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47CF4" w14:textId="77592488" w:rsidR="00E14C2A" w:rsidRPr="00E73A9D" w:rsidRDefault="00E14C2A" w:rsidP="00E73A9D">
      <w:pPr>
        <w:pStyle w:val="BodyText"/>
        <w:spacing w:before="120"/>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0" behindDoc="0" locked="0" layoutInCell="1" allowOverlap="1" wp14:anchorId="323DC41E" wp14:editId="31DB7D8D">
                <wp:simplePos x="0" y="0"/>
                <wp:positionH relativeFrom="page">
                  <wp:posOffset>174695</wp:posOffset>
                </wp:positionH>
                <wp:positionV relativeFrom="page">
                  <wp:posOffset>2945478</wp:posOffset>
                </wp:positionV>
                <wp:extent cx="182880" cy="48031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D5DCB6F"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type w14:anchorId="323DC41E" id="_x0000_t202" coordsize="21600,21600" o:spt="202" path="m,l,21600r21600,l21600,xe">
                <v:stroke joinstyle="miter"/>
                <v:path gradientshapeok="t" o:connecttype="rect"/>
              </v:shapetype>
              <v:shape id="Textbox 2" o:spid="_x0000_s1026" type="#_x0000_t202" style="position:absolute;margin-left:13.75pt;margin-top:231.95pt;width:14.4pt;height:378.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" filled="f" stroked="f">
                <v:textbox style="layout-flow:vertical;mso-layout-flow-alt:bottom-to-top" inset="0,0,0,0">
                  <w:txbxContent>
                    <w:p w14:paraId="4D5DCB6F"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noProof/>
          <w:sz w:val="24"/>
        </w:rPr>
        <w:drawing>
          <wp:inline distT="0" distB="0" distL="0" distR="0" wp14:anchorId="47C24DFC" wp14:editId="3BD6BA7B">
            <wp:extent cx="5760720" cy="61722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5825577" cy="624169"/>
                    </a:xfrm>
                    <a:prstGeom prst="rect">
                      <a:avLst/>
                    </a:prstGeom>
                  </pic:spPr>
                </pic:pic>
              </a:graphicData>
            </a:graphic>
          </wp:inline>
        </w:drawing>
      </w:r>
    </w:p>
    <w:p w14:paraId="6DDA4852" w14:textId="77777777" w:rsidR="00E14C2A" w:rsidRDefault="00E14C2A" w:rsidP="00E73A9D">
      <w:pPr>
        <w:spacing w:before="120"/>
        <w:jc w:val="center"/>
        <w:rPr>
          <w:rFonts w:ascii="Times New Roman" w:hAnsi="Times New Roman"/>
          <w:b/>
          <w:sz w:val="24"/>
        </w:rPr>
      </w:pPr>
      <w:r>
        <w:rPr>
          <w:rFonts w:ascii="Times New Roman" w:hAnsi="Times New Roman"/>
          <w:b/>
          <w:sz w:val="24"/>
        </w:rPr>
        <w:t>NATO IEROBEŽOTAS PIEEJAMĪBAS INFORMĀCIJA</w:t>
      </w:r>
    </w:p>
    <w:p w14:paraId="2C7A4570" w14:textId="77777777" w:rsidR="00F86281" w:rsidRPr="00E73A9D" w:rsidRDefault="00F86281" w:rsidP="00E73A9D">
      <w:pPr>
        <w:spacing w:before="120"/>
        <w:jc w:val="center"/>
        <w:rPr>
          <w:rFonts w:ascii="Times New Roman" w:hAnsi="Times New Roman" w:cs="Times New Roman"/>
          <w:b/>
          <w:noProof/>
          <w:sz w:val="24"/>
          <w:szCs w:val="24"/>
        </w:rPr>
      </w:pPr>
    </w:p>
    <w:p w14:paraId="6A156E05" w14:textId="77777777" w:rsidR="00E14C2A" w:rsidRPr="00E73A9D" w:rsidRDefault="00E14C2A" w:rsidP="00F86281">
      <w:pPr>
        <w:tabs>
          <w:tab w:val="left" w:pos="7088"/>
        </w:tabs>
        <w:ind w:left="-284"/>
        <w:jc w:val="right"/>
        <w:rPr>
          <w:rFonts w:ascii="Times New Roman" w:hAnsi="Times New Roman" w:cs="Times New Roman"/>
          <w:b/>
          <w:noProof/>
          <w:sz w:val="24"/>
          <w:szCs w:val="24"/>
        </w:rPr>
      </w:pPr>
      <w:r>
        <w:rPr>
          <w:rFonts w:ascii="Times New Roman" w:hAnsi="Times New Roman"/>
          <w:sz w:val="24"/>
        </w:rPr>
        <w:t>2020. gada 25. novembris</w:t>
      </w:r>
      <w:r>
        <w:rPr>
          <w:rFonts w:ascii="Times New Roman" w:hAnsi="Times New Roman"/>
          <w:sz w:val="24"/>
        </w:rPr>
        <w:tab/>
      </w:r>
      <w:r>
        <w:rPr>
          <w:rFonts w:ascii="Times New Roman" w:hAnsi="Times New Roman"/>
          <w:b/>
          <w:sz w:val="24"/>
        </w:rPr>
        <w:t>DOKUMENTS</w:t>
      </w:r>
    </w:p>
    <w:p w14:paraId="532A95F3" w14:textId="77777777" w:rsidR="00E14C2A" w:rsidRPr="00E73A9D" w:rsidRDefault="00E14C2A" w:rsidP="00E73A9D">
      <w:pPr>
        <w:jc w:val="right"/>
        <w:rPr>
          <w:rFonts w:ascii="Times New Roman" w:hAnsi="Times New Roman" w:cs="Times New Roman"/>
          <w:noProof/>
          <w:sz w:val="24"/>
          <w:szCs w:val="24"/>
        </w:rPr>
      </w:pPr>
      <w:r>
        <w:rPr>
          <w:rFonts w:ascii="Times New Roman" w:hAnsi="Times New Roman"/>
          <w:sz w:val="24"/>
        </w:rPr>
        <w:t>AC/35-D/2001-REV3</w:t>
      </w:r>
    </w:p>
    <w:p w14:paraId="23C766D7" w14:textId="77777777" w:rsidR="00E14C2A" w:rsidRPr="00E73A9D" w:rsidRDefault="00E14C2A" w:rsidP="001870E7">
      <w:pPr>
        <w:spacing w:before="240"/>
        <w:jc w:val="center"/>
        <w:rPr>
          <w:rFonts w:ascii="Times New Roman" w:hAnsi="Times New Roman" w:cs="Times New Roman"/>
          <w:b/>
          <w:noProof/>
          <w:sz w:val="26"/>
          <w:szCs w:val="26"/>
        </w:rPr>
      </w:pPr>
      <w:r>
        <w:rPr>
          <w:rFonts w:ascii="Times New Roman" w:hAnsi="Times New Roman"/>
          <w:b/>
          <w:sz w:val="26"/>
        </w:rPr>
        <w:t>DROŠĪBAS JAUTĀJUMU KOMITEJA</w:t>
      </w:r>
    </w:p>
    <w:p w14:paraId="33C11E99" w14:textId="77777777" w:rsidR="00E14C2A" w:rsidRPr="00E73A9D" w:rsidRDefault="00E14C2A" w:rsidP="00E73A9D">
      <w:pPr>
        <w:pStyle w:val="BodyText"/>
        <w:spacing w:before="120"/>
        <w:rPr>
          <w:rFonts w:ascii="Times New Roman" w:hAnsi="Times New Roman" w:cs="Times New Roman"/>
          <w:b/>
          <w:noProof/>
          <w:sz w:val="26"/>
          <w:szCs w:val="26"/>
        </w:rPr>
      </w:pPr>
    </w:p>
    <w:p w14:paraId="5BA6D9D9" w14:textId="77777777" w:rsidR="00E14C2A" w:rsidRPr="00E73A9D" w:rsidRDefault="00E14C2A" w:rsidP="00E73A9D">
      <w:pPr>
        <w:spacing w:before="120"/>
        <w:jc w:val="center"/>
        <w:rPr>
          <w:rFonts w:ascii="Times New Roman" w:hAnsi="Times New Roman" w:cs="Times New Roman"/>
          <w:b/>
          <w:noProof/>
          <w:sz w:val="26"/>
          <w:szCs w:val="26"/>
        </w:rPr>
      </w:pPr>
      <w:r>
        <w:rPr>
          <w:rFonts w:ascii="Times New Roman" w:hAnsi="Times New Roman"/>
          <w:b/>
          <w:sz w:val="26"/>
        </w:rPr>
        <w:t>DIREKTĪVA PAR FIZISKO DROŠĪBU</w:t>
      </w:r>
    </w:p>
    <w:p w14:paraId="44CA9CA0" w14:textId="77777777" w:rsidR="00E14C2A" w:rsidRPr="00E73A9D" w:rsidRDefault="00E14C2A" w:rsidP="00BD4F68">
      <w:pPr>
        <w:spacing w:before="240"/>
        <w:jc w:val="center"/>
        <w:rPr>
          <w:rFonts w:ascii="Times New Roman" w:hAnsi="Times New Roman" w:cs="Times New Roman"/>
          <w:b/>
          <w:noProof/>
          <w:sz w:val="26"/>
          <w:szCs w:val="26"/>
        </w:rPr>
      </w:pPr>
      <w:r>
        <w:rPr>
          <w:rFonts w:ascii="Times New Roman" w:hAnsi="Times New Roman"/>
          <w:b/>
          <w:sz w:val="26"/>
        </w:rPr>
        <w:t>Priekšsēdētāja vietas izpildītāja paziņojums</w:t>
      </w:r>
    </w:p>
    <w:p w14:paraId="258951A5" w14:textId="77777777" w:rsidR="00E14C2A" w:rsidRPr="00E73A9D" w:rsidRDefault="00E14C2A" w:rsidP="00E73A9D">
      <w:pPr>
        <w:pStyle w:val="BodyText"/>
        <w:spacing w:before="120"/>
        <w:rPr>
          <w:rFonts w:ascii="Times New Roman" w:hAnsi="Times New Roman" w:cs="Times New Roman"/>
          <w:b/>
          <w:noProof/>
          <w:sz w:val="24"/>
          <w:szCs w:val="24"/>
        </w:rPr>
      </w:pPr>
    </w:p>
    <w:p w14:paraId="200DE369" w14:textId="57B53EC9" w:rsidR="00E14C2A" w:rsidRPr="00E73A9D" w:rsidRDefault="00BD4F68" w:rsidP="0003054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1. Šā dokumenta pielikumā ir Direktīvas par fizisko drošību trešais pārstrādātais izdevums, kas ir publicēts, lai nodrošinātu dokumenta “Security Within the North Atlantic Treaty Organization” [Drošība Ziemeļatlantijas līguma organizācijā] (C-M(2002)49-REV1) īstenošanu. Tas ir saistošs un obligāts pēc būtības. Šis dokuments aizstāj AC/35-D/2001-REV2, kas ir jāiznīcina.</w:t>
      </w:r>
    </w:p>
    <w:p w14:paraId="78CCACC3" w14:textId="64938345" w:rsidR="00E14C2A" w:rsidRPr="00E73A9D" w:rsidRDefault="00BD4F68" w:rsidP="0003054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2. Šis pārskatītais izdevums ir sagatavots NATO drošības politikas vispārējā pārskatīšanā (AC/35-N(2015)0025-AS1, datēts ar 2015. gada 21. decembri).</w:t>
      </w:r>
    </w:p>
    <w:p w14:paraId="04C9A156" w14:textId="48B25BA0" w:rsidR="00E14C2A" w:rsidRPr="00E73A9D" w:rsidRDefault="00030540" w:rsidP="0003054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3. Šo dokumentu Drošības jautājumu komiteja ir apstiprinājusi (AC/35-N(2020)0004-AS1, datēts ar 2020. gada 4. novembri), un tas tiks periodiski pārskatīts.</w:t>
      </w:r>
    </w:p>
    <w:p w14:paraId="463F1AD6" w14:textId="77777777" w:rsidR="00E14C2A" w:rsidRPr="00E73A9D" w:rsidRDefault="00E14C2A" w:rsidP="00E73A9D">
      <w:pPr>
        <w:pStyle w:val="BodyText"/>
        <w:spacing w:before="120"/>
        <w:rPr>
          <w:rFonts w:ascii="Times New Roman" w:hAnsi="Times New Roman" w:cs="Times New Roman"/>
          <w:noProof/>
          <w:sz w:val="24"/>
          <w:szCs w:val="24"/>
        </w:rPr>
      </w:pPr>
    </w:p>
    <w:p w14:paraId="7DF55F3A" w14:textId="77777777" w:rsidR="00E14C2A" w:rsidRPr="00E73A9D" w:rsidRDefault="00E14C2A" w:rsidP="00E73A9D">
      <w:pPr>
        <w:pStyle w:val="BodyText"/>
        <w:spacing w:before="120"/>
        <w:rPr>
          <w:rFonts w:ascii="Times New Roman" w:hAnsi="Times New Roman" w:cs="Times New Roman"/>
          <w:noProof/>
          <w:sz w:val="24"/>
          <w:szCs w:val="24"/>
        </w:rPr>
      </w:pPr>
    </w:p>
    <w:p w14:paraId="49532BF5" w14:textId="77777777" w:rsidR="00E14C2A" w:rsidRPr="00E73A9D" w:rsidRDefault="00E14C2A" w:rsidP="00E73A9D">
      <w:pPr>
        <w:pStyle w:val="BodyText"/>
        <w:spacing w:before="120"/>
        <w:rPr>
          <w:rFonts w:ascii="Times New Roman" w:hAnsi="Times New Roman" w:cs="Times New Roman"/>
          <w:noProof/>
          <w:sz w:val="24"/>
          <w:szCs w:val="24"/>
        </w:rPr>
      </w:pPr>
    </w:p>
    <w:p w14:paraId="16CA2176" w14:textId="77777777" w:rsidR="00E14C2A" w:rsidRPr="00E73A9D" w:rsidRDefault="00E14C2A" w:rsidP="00E73A9D">
      <w:pPr>
        <w:pStyle w:val="BodyText"/>
        <w:spacing w:before="120"/>
        <w:rPr>
          <w:rFonts w:ascii="Times New Roman" w:hAnsi="Times New Roman" w:cs="Times New Roman"/>
          <w:noProof/>
          <w:sz w:val="24"/>
          <w:szCs w:val="24"/>
        </w:rPr>
      </w:pPr>
    </w:p>
    <w:p w14:paraId="63725BF8" w14:textId="77777777" w:rsidR="00E14C2A" w:rsidRPr="00E73A9D" w:rsidRDefault="00E14C2A" w:rsidP="00E73A9D">
      <w:pPr>
        <w:spacing w:before="120"/>
        <w:jc w:val="center"/>
        <w:rPr>
          <w:rFonts w:ascii="Times New Roman" w:hAnsi="Times New Roman" w:cs="Times New Roman"/>
          <w:noProof/>
          <w:sz w:val="24"/>
          <w:szCs w:val="24"/>
        </w:rPr>
      </w:pPr>
      <w:r>
        <w:rPr>
          <w:rFonts w:ascii="Times New Roman" w:hAnsi="Times New Roman"/>
          <w:sz w:val="24"/>
        </w:rPr>
        <w:t>(Parakstījis) Marko Kriskuolo [</w:t>
      </w:r>
      <w:r>
        <w:rPr>
          <w:rFonts w:ascii="Times New Roman" w:hAnsi="Times New Roman"/>
          <w:i/>
          <w:iCs/>
          <w:sz w:val="24"/>
        </w:rPr>
        <w:t>Marco Criscuolo</w:t>
      </w:r>
      <w:r>
        <w:rPr>
          <w:rFonts w:ascii="Times New Roman" w:hAnsi="Times New Roman"/>
          <w:sz w:val="24"/>
        </w:rPr>
        <w:t>]</w:t>
      </w:r>
    </w:p>
    <w:p w14:paraId="353F2A76" w14:textId="77777777" w:rsidR="00E14C2A" w:rsidRPr="00E73A9D" w:rsidRDefault="00E14C2A" w:rsidP="00E73A9D">
      <w:pPr>
        <w:pStyle w:val="BodyText"/>
        <w:spacing w:before="120"/>
        <w:rPr>
          <w:rFonts w:ascii="Times New Roman" w:hAnsi="Times New Roman" w:cs="Times New Roman"/>
          <w:noProof/>
          <w:sz w:val="24"/>
          <w:szCs w:val="24"/>
        </w:rPr>
      </w:pPr>
    </w:p>
    <w:p w14:paraId="46007ACC" w14:textId="77777777" w:rsidR="00E14C2A" w:rsidRPr="00E73A9D" w:rsidRDefault="00E14C2A" w:rsidP="00E73A9D">
      <w:pPr>
        <w:pStyle w:val="BodyText"/>
        <w:spacing w:before="120"/>
        <w:rPr>
          <w:rFonts w:ascii="Times New Roman" w:hAnsi="Times New Roman" w:cs="Times New Roman"/>
          <w:noProof/>
          <w:sz w:val="24"/>
          <w:szCs w:val="24"/>
        </w:rPr>
      </w:pPr>
    </w:p>
    <w:p w14:paraId="1B73AD04" w14:textId="77777777" w:rsidR="00E14C2A" w:rsidRPr="00E73A9D" w:rsidRDefault="00E14C2A" w:rsidP="00E73A9D">
      <w:pPr>
        <w:pStyle w:val="BodyText"/>
        <w:spacing w:before="120"/>
        <w:rPr>
          <w:rFonts w:ascii="Times New Roman" w:hAnsi="Times New Roman" w:cs="Times New Roman"/>
          <w:noProof/>
          <w:sz w:val="24"/>
          <w:szCs w:val="24"/>
        </w:rPr>
      </w:pPr>
    </w:p>
    <w:p w14:paraId="3FC1422D" w14:textId="204EF800" w:rsidR="00E14C2A" w:rsidRPr="001870E7" w:rsidRDefault="0024162A" w:rsidP="00E73A9D">
      <w:pPr>
        <w:pStyle w:val="BodyText"/>
        <w:spacing w:before="120"/>
        <w:rPr>
          <w:rFonts w:ascii="Times New Roman" w:hAnsi="Times New Roman" w:cs="Times New Roman"/>
          <w:noProof/>
          <w:sz w:val="20"/>
          <w:szCs w:val="20"/>
        </w:rPr>
      </w:pPr>
      <w:r w:rsidRPr="001870E7">
        <w:rPr>
          <w:rFonts w:ascii="Times New Roman" w:hAnsi="Times New Roman"/>
          <w:sz w:val="20"/>
          <w:szCs w:val="18"/>
        </w:rPr>
        <w:t>1. pielikums</w:t>
      </w:r>
    </w:p>
    <w:p w14:paraId="74149C60" w14:textId="166BE908" w:rsidR="00E14C2A" w:rsidRPr="001870E7" w:rsidRDefault="00E14C2A" w:rsidP="0024162A">
      <w:pPr>
        <w:tabs>
          <w:tab w:val="left" w:pos="851"/>
        </w:tabs>
        <w:jc w:val="right"/>
        <w:rPr>
          <w:rFonts w:ascii="Times New Roman" w:hAnsi="Times New Roman" w:cs="Times New Roman"/>
          <w:noProof/>
          <w:sz w:val="20"/>
          <w:szCs w:val="20"/>
        </w:rPr>
      </w:pPr>
      <w:r w:rsidRPr="001870E7">
        <w:rPr>
          <w:rFonts w:ascii="Times New Roman" w:hAnsi="Times New Roman"/>
          <w:sz w:val="20"/>
          <w:szCs w:val="18"/>
        </w:rPr>
        <w:t>Virsnieks-izpildītājs: R. Grumbergs [</w:t>
      </w:r>
      <w:r w:rsidRPr="001870E7">
        <w:rPr>
          <w:rFonts w:ascii="Times New Roman" w:hAnsi="Times New Roman"/>
          <w:i/>
          <w:iCs/>
          <w:sz w:val="20"/>
          <w:szCs w:val="18"/>
        </w:rPr>
        <w:t>R. Grumberg</w:t>
      </w:r>
      <w:r w:rsidRPr="001870E7">
        <w:rPr>
          <w:rFonts w:ascii="Times New Roman" w:hAnsi="Times New Roman"/>
          <w:sz w:val="20"/>
          <w:szCs w:val="18"/>
        </w:rPr>
        <w:t xml:space="preserve">], </w:t>
      </w:r>
      <w:r w:rsidRPr="001870E7">
        <w:rPr>
          <w:rFonts w:ascii="Times New Roman" w:hAnsi="Times New Roman"/>
          <w:i/>
          <w:iCs/>
          <w:sz w:val="20"/>
          <w:szCs w:val="18"/>
        </w:rPr>
        <w:t>NOS</w:t>
      </w:r>
      <w:r w:rsidRPr="001870E7">
        <w:rPr>
          <w:rFonts w:ascii="Times New Roman" w:hAnsi="Times New Roman"/>
          <w:sz w:val="20"/>
          <w:szCs w:val="18"/>
        </w:rPr>
        <w:t xml:space="preserve"> (papildnumurs: 9182)</w:t>
      </w:r>
    </w:p>
    <w:p w14:paraId="55BFFB85" w14:textId="77777777" w:rsidR="00E14C2A" w:rsidRPr="001870E7" w:rsidRDefault="00E14C2A" w:rsidP="0024162A">
      <w:pPr>
        <w:jc w:val="right"/>
        <w:rPr>
          <w:rFonts w:ascii="Times New Roman" w:hAnsi="Times New Roman" w:cs="Times New Roman"/>
          <w:noProof/>
          <w:sz w:val="20"/>
          <w:szCs w:val="20"/>
        </w:rPr>
      </w:pPr>
      <w:r w:rsidRPr="001870E7">
        <w:rPr>
          <w:rFonts w:ascii="Times New Roman" w:hAnsi="Times New Roman"/>
          <w:sz w:val="20"/>
          <w:szCs w:val="18"/>
        </w:rPr>
        <w:t>Oriģināls: angļu valodā</w:t>
      </w:r>
    </w:p>
    <w:p w14:paraId="6D19FF3C" w14:textId="5CD92E1D" w:rsidR="00E73A9D" w:rsidRDefault="0024162A" w:rsidP="00E73A9D">
      <w:pPr>
        <w:spacing w:before="120"/>
        <w:jc w:val="right"/>
        <w:rPr>
          <w:rFonts w:ascii="Times New Roman" w:hAnsi="Times New Roman" w:cs="Times New Roman"/>
          <w:b/>
          <w:noProof/>
          <w:sz w:val="24"/>
          <w:szCs w:val="24"/>
        </w:rPr>
      </w:pPr>
      <w:r>
        <w:rPr>
          <w:rFonts w:ascii="Times New Roman" w:hAnsi="Times New Roman"/>
          <w:b/>
          <w:noProof/>
          <w:sz w:val="24"/>
        </w:rPr>
        <w:drawing>
          <wp:inline distT="0" distB="0" distL="0" distR="0" wp14:anchorId="12CAF424" wp14:editId="0F04C83F">
            <wp:extent cx="1204064" cy="1196444"/>
            <wp:effectExtent l="0" t="0" r="0" b="3810"/>
            <wp:docPr id="1833833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33227" name=""/>
                    <pic:cNvPicPr/>
                  </pic:nvPicPr>
                  <pic:blipFill>
                    <a:blip r:embed="rId12"/>
                    <a:stretch>
                      <a:fillRect/>
                    </a:stretch>
                  </pic:blipFill>
                  <pic:spPr>
                    <a:xfrm>
                      <a:off x="0" y="0"/>
                      <a:ext cx="1204064" cy="1196444"/>
                    </a:xfrm>
                    <a:prstGeom prst="rect">
                      <a:avLst/>
                    </a:prstGeom>
                  </pic:spPr>
                </pic:pic>
              </a:graphicData>
            </a:graphic>
          </wp:inline>
        </w:drawing>
      </w:r>
    </w:p>
    <w:p w14:paraId="58BAB6C9" w14:textId="77777777" w:rsidR="004D666B" w:rsidRDefault="00E14C2A" w:rsidP="004D666B">
      <w:pPr>
        <w:pStyle w:val="BodyText"/>
        <w:spacing w:before="120"/>
        <w:rPr>
          <w:rFonts w:ascii="Times New Roman" w:hAnsi="Times New Roman" w:cs="Times New Roman"/>
          <w:b/>
          <w:noProof/>
          <w:sz w:val="24"/>
          <w:szCs w:val="24"/>
        </w:rPr>
      </w:pPr>
      <w:r>
        <w:rPr>
          <w:rFonts w:ascii="Times New Roman" w:hAnsi="Times New Roman"/>
          <w:b/>
          <w:noProof/>
          <w:sz w:val="24"/>
        </w:rPr>
        <mc:AlternateContent>
          <mc:Choice Requires="wps">
            <w:drawing>
              <wp:anchor distT="0" distB="0" distL="0" distR="0" simplePos="0" relativeHeight="251658241" behindDoc="0" locked="0" layoutInCell="1" allowOverlap="1" wp14:anchorId="3CAD0BB7" wp14:editId="55A746BE">
                <wp:simplePos x="0" y="0"/>
                <wp:positionH relativeFrom="page">
                  <wp:posOffset>174695</wp:posOffset>
                </wp:positionH>
                <wp:positionV relativeFrom="page">
                  <wp:posOffset>2945478</wp:posOffset>
                </wp:positionV>
                <wp:extent cx="182880" cy="48031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2252364C"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3CAD0BB7" id="Textbox 7" o:spid="_x0000_s1027" type="#_x0000_t202" style="position:absolute;margin-left:13.75pt;margin-top:231.95pt;width:14.4pt;height:378.2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b1oAEAADE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" filled="f" stroked="f">
                <v:textbox style="layout-flow:vertical;mso-layout-flow-alt:bottom-to-top" inset="0,0,0,0">
                  <w:txbxContent>
                    <w:p w14:paraId="2252364C"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p>
    <w:p w14:paraId="577C7174" w14:textId="06C90BDF" w:rsidR="00834008" w:rsidRPr="00820633" w:rsidRDefault="004D666B" w:rsidP="00820633">
      <w:pPr>
        <w:jc w:val="right"/>
        <w:rPr>
          <w:rFonts w:ascii="Times New Roman" w:hAnsi="Times New Roman" w:cs="Times New Roman"/>
          <w:b/>
          <w:noProof/>
          <w:sz w:val="24"/>
          <w:szCs w:val="24"/>
        </w:rPr>
      </w:pPr>
      <w:r>
        <w:br w:type="page"/>
      </w:r>
      <w:r w:rsidR="00820633" w:rsidRPr="00820633">
        <w:rPr>
          <w:rFonts w:ascii="Times New Roman" w:hAnsi="Times New Roman" w:cs="Times New Roman"/>
          <w:sz w:val="24"/>
          <w:szCs w:val="24"/>
        </w:rPr>
        <w:lastRenderedPageBreak/>
        <w:t>1</w:t>
      </w:r>
      <w:r w:rsidR="00820633">
        <w:rPr>
          <w:rFonts w:ascii="Times New Roman" w:hAnsi="Times New Roman" w:cs="Times New Roman"/>
          <w:sz w:val="24"/>
          <w:szCs w:val="24"/>
        </w:rPr>
        <w:t>.</w:t>
      </w:r>
      <w:r w:rsidR="00834008" w:rsidRPr="00820633">
        <w:rPr>
          <w:rFonts w:ascii="Times New Roman" w:hAnsi="Times New Roman" w:cs="Times New Roman"/>
          <w:sz w:val="24"/>
          <w:szCs w:val="24"/>
        </w:rPr>
        <w:t> PIELIKUMS</w:t>
      </w:r>
    </w:p>
    <w:p w14:paraId="135A90B6" w14:textId="7651565D" w:rsidR="00834008" w:rsidRPr="00820633" w:rsidRDefault="00DB3ABC" w:rsidP="00DB3ABC">
      <w:pPr>
        <w:pStyle w:val="BodyText"/>
        <w:spacing w:before="60"/>
        <w:jc w:val="right"/>
        <w:rPr>
          <w:rFonts w:ascii="Times New Roman" w:hAnsi="Times New Roman" w:cs="Times New Roman"/>
          <w:bCs/>
          <w:noProof/>
          <w:sz w:val="24"/>
          <w:szCs w:val="24"/>
        </w:rPr>
      </w:pPr>
      <w:r w:rsidRPr="00820633">
        <w:rPr>
          <w:rFonts w:ascii="Times New Roman" w:hAnsi="Times New Roman" w:cs="Times New Roman"/>
          <w:sz w:val="24"/>
          <w:szCs w:val="24"/>
        </w:rPr>
        <w:t>AC/35-D/2001-REV3</w:t>
      </w:r>
    </w:p>
    <w:p w14:paraId="55644510" w14:textId="77777777" w:rsidR="00834008" w:rsidRDefault="00834008" w:rsidP="004D666B">
      <w:pPr>
        <w:pStyle w:val="BodyText"/>
        <w:spacing w:before="60"/>
        <w:jc w:val="center"/>
        <w:rPr>
          <w:rFonts w:ascii="Times New Roman" w:hAnsi="Times New Roman" w:cs="Times New Roman"/>
          <w:b/>
          <w:noProof/>
          <w:sz w:val="24"/>
          <w:szCs w:val="24"/>
        </w:rPr>
      </w:pPr>
    </w:p>
    <w:p w14:paraId="428FB9DF" w14:textId="5C1965D3" w:rsidR="004D666B" w:rsidRDefault="00E14C2A" w:rsidP="004D666B">
      <w:pPr>
        <w:pStyle w:val="BodyText"/>
        <w:spacing w:before="60"/>
        <w:jc w:val="center"/>
        <w:rPr>
          <w:rFonts w:ascii="Times New Roman" w:hAnsi="Times New Roman" w:cs="Times New Roman"/>
          <w:b/>
          <w:noProof/>
          <w:sz w:val="24"/>
          <w:szCs w:val="24"/>
        </w:rPr>
      </w:pPr>
      <w:r>
        <w:rPr>
          <w:rFonts w:ascii="Times New Roman" w:hAnsi="Times New Roman"/>
          <w:b/>
          <w:sz w:val="24"/>
        </w:rPr>
        <w:t>DIREKTĪVA PAR FIZISKO DROŠĪBU</w:t>
      </w:r>
    </w:p>
    <w:p w14:paraId="1866276A" w14:textId="77777777" w:rsidR="0089024E" w:rsidRDefault="00E14C2A" w:rsidP="00820633">
      <w:pPr>
        <w:pStyle w:val="TOCHeading"/>
        <w:spacing w:before="0"/>
        <w:jc w:val="center"/>
        <w:rPr>
          <w:rFonts w:ascii="Times New Roman" w:hAnsi="Times New Roman"/>
          <w:b/>
          <w:sz w:val="24"/>
        </w:rPr>
      </w:pPr>
      <w:r w:rsidRPr="0089024E">
        <w:rPr>
          <w:rFonts w:ascii="Times New Roman" w:hAnsi="Times New Roman"/>
          <w:b/>
          <w:color w:val="auto"/>
          <w:sz w:val="24"/>
        </w:rPr>
        <w:t>SATURA RĀDĪTĀJS</w:t>
      </w:r>
      <w:r w:rsidR="002C47F3">
        <w:rPr>
          <w:rFonts w:ascii="Times New Roman" w:hAnsi="Times New Roman"/>
          <w:noProof/>
          <w:sz w:val="24"/>
        </w:rPr>
        <mc:AlternateContent>
          <mc:Choice Requires="wps">
            <w:drawing>
              <wp:anchor distT="0" distB="0" distL="0" distR="0" simplePos="0" relativeHeight="251658254" behindDoc="0" locked="0" layoutInCell="1" allowOverlap="1" wp14:anchorId="2E3964DB" wp14:editId="43F505BA">
                <wp:simplePos x="0" y="0"/>
                <wp:positionH relativeFrom="page">
                  <wp:posOffset>307402</wp:posOffset>
                </wp:positionH>
                <wp:positionV relativeFrom="page">
                  <wp:posOffset>2968213</wp:posOffset>
                </wp:positionV>
                <wp:extent cx="182880" cy="4803140"/>
                <wp:effectExtent l="0" t="0" r="0" b="0"/>
                <wp:wrapNone/>
                <wp:docPr id="23020752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DD35314" w14:textId="77777777" w:rsidR="002C47F3" w:rsidRPr="00E14C2A" w:rsidRDefault="002C47F3" w:rsidP="002C47F3">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2E3964DB" id="Textbox 9" o:spid="_x0000_s1028" type="#_x0000_t202" style="position:absolute;left:0;text-align:left;margin-left:24.2pt;margin-top:233.7pt;width:14.4pt;height:378.2pt;z-index:2516582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" filled="f" stroked="f">
                <v:textbox style="layout-flow:vertical;mso-layout-flow-alt:bottom-to-top" inset="0,0,0,0">
                  <w:txbxContent>
                    <w:p w14:paraId="4DD35314" w14:textId="77777777" w:rsidR="002C47F3" w:rsidRPr="00E14C2A" w:rsidRDefault="002C47F3" w:rsidP="002C47F3">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p>
    <w:sdt>
      <w:sdtPr>
        <w:id w:val="904498374"/>
        <w:docPartObj>
          <w:docPartGallery w:val="Table of Contents"/>
          <w:docPartUnique/>
        </w:docPartObj>
      </w:sdtPr>
      <w:sdtEndPr>
        <w:rPr>
          <w:b/>
          <w:bCs/>
          <w:noProof/>
        </w:rPr>
      </w:sdtEndPr>
      <w:sdtContent>
        <w:p w14:paraId="5124C82C" w14:textId="0D232599" w:rsidR="00B669E0" w:rsidRDefault="00B669E0" w:rsidP="0089024E">
          <w:pPr>
            <w:pStyle w:val="BodyText"/>
            <w:spacing w:before="60"/>
            <w:jc w:val="center"/>
          </w:pPr>
        </w:p>
        <w:p w14:paraId="4E6EC947" w14:textId="2A3B8C42"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r w:rsidRPr="0089024E">
            <w:rPr>
              <w:rFonts w:ascii="Times New Roman" w:hAnsi="Times New Roman" w:cs="Times New Roman"/>
            </w:rPr>
            <w:fldChar w:fldCharType="begin"/>
          </w:r>
          <w:r w:rsidRPr="0089024E">
            <w:rPr>
              <w:rFonts w:ascii="Times New Roman" w:hAnsi="Times New Roman" w:cs="Times New Roman"/>
            </w:rPr>
            <w:instrText xml:space="preserve"> TOC \o "1-3" \h \z \u </w:instrText>
          </w:r>
          <w:r w:rsidRPr="0089024E">
            <w:rPr>
              <w:rFonts w:ascii="Times New Roman" w:hAnsi="Times New Roman" w:cs="Times New Roman"/>
            </w:rPr>
            <w:fldChar w:fldCharType="separate"/>
          </w:r>
          <w:hyperlink w:anchor="_Toc234405273" w:history="1">
            <w:r w:rsidRPr="0089024E">
              <w:rPr>
                <w:rStyle w:val="Hyperlink"/>
                <w:rFonts w:ascii="Times New Roman" w:hAnsi="Times New Roman" w:cs="Times New Roman"/>
                <w:noProof/>
              </w:rPr>
              <w:t>IEVADS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_Toc234405273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3</w:t>
            </w:r>
            <w:r w:rsidRPr="0089024E">
              <w:rPr>
                <w:rFonts w:ascii="Times New Roman" w:hAnsi="Times New Roman" w:cs="Times New Roman"/>
                <w:noProof/>
                <w:webHidden/>
              </w:rPr>
              <w:fldChar w:fldCharType="end"/>
            </w:r>
          </w:hyperlink>
        </w:p>
        <w:p w14:paraId="0B2C7CCB" w14:textId="6599B898"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74" w:history="1">
            <w:r w:rsidRPr="0089024E">
              <w:rPr>
                <w:rStyle w:val="Hyperlink"/>
                <w:rFonts w:ascii="Times New Roman" w:hAnsi="Times New Roman" w:cs="Times New Roman"/>
                <w:noProof/>
              </w:rPr>
              <w:t>PAMATPRINCIPI</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_Toc234405274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4</w:t>
            </w:r>
            <w:r w:rsidRPr="0089024E">
              <w:rPr>
                <w:rFonts w:ascii="Times New Roman" w:hAnsi="Times New Roman" w:cs="Times New Roman"/>
                <w:noProof/>
                <w:webHidden/>
              </w:rPr>
              <w:fldChar w:fldCharType="end"/>
            </w:r>
          </w:hyperlink>
        </w:p>
        <w:p w14:paraId="44BC1C9C" w14:textId="511E84AE"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75" w:history="1">
            <w:r w:rsidRPr="0089024E">
              <w:rPr>
                <w:rStyle w:val="Hyperlink"/>
                <w:rFonts w:ascii="Times New Roman" w:hAnsi="Times New Roman" w:cs="Times New Roman"/>
                <w:noProof/>
              </w:rPr>
              <w:t>VISPĀRĒJĀS FIZISKĀS DROŠĪBAS PRASĪBAS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_Toc234405275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4</w:t>
            </w:r>
            <w:r w:rsidRPr="0089024E">
              <w:rPr>
                <w:rFonts w:ascii="Times New Roman" w:hAnsi="Times New Roman" w:cs="Times New Roman"/>
                <w:noProof/>
                <w:webHidden/>
              </w:rPr>
              <w:fldChar w:fldCharType="end"/>
            </w:r>
          </w:hyperlink>
        </w:p>
        <w:p w14:paraId="7FA27498" w14:textId="776DD77D"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76" w:history="1">
            <w:r w:rsidRPr="0089024E">
              <w:rPr>
                <w:rStyle w:val="Hyperlink"/>
                <w:rFonts w:ascii="Times New Roman" w:hAnsi="Times New Roman" w:cs="Times New Roman"/>
                <w:noProof/>
              </w:rPr>
              <w:t>Drošības zonas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_Toc234405276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5</w:t>
            </w:r>
            <w:r w:rsidRPr="0089024E">
              <w:rPr>
                <w:rFonts w:ascii="Times New Roman" w:hAnsi="Times New Roman" w:cs="Times New Roman"/>
                <w:noProof/>
                <w:webHidden/>
              </w:rPr>
              <w:fldChar w:fldCharType="end"/>
            </w:r>
          </w:hyperlink>
        </w:p>
        <w:p w14:paraId="165FE8F4" w14:textId="72744A9F"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77" w:history="1">
            <w:r w:rsidRPr="0089024E">
              <w:rPr>
                <w:rStyle w:val="Hyperlink"/>
                <w:rFonts w:ascii="Times New Roman" w:hAnsi="Times New Roman" w:cs="Times New Roman"/>
                <w:noProof/>
              </w:rPr>
              <w:t>Administratīvā zona</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_Toc234405277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6</w:t>
            </w:r>
            <w:r w:rsidRPr="0089024E">
              <w:rPr>
                <w:rFonts w:ascii="Times New Roman" w:hAnsi="Times New Roman" w:cs="Times New Roman"/>
                <w:noProof/>
                <w:webHidden/>
              </w:rPr>
              <w:fldChar w:fldCharType="end"/>
            </w:r>
          </w:hyperlink>
        </w:p>
        <w:p w14:paraId="78788452" w14:textId="5D3EF19E"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78" w:history="1">
            <w:r w:rsidRPr="0089024E">
              <w:rPr>
                <w:rStyle w:val="Hyperlink"/>
                <w:rFonts w:ascii="Times New Roman" w:hAnsi="Times New Roman" w:cs="Times New Roman"/>
                <w:noProof/>
              </w:rPr>
              <w:t>Tehniski drošas zonas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_Toc234405278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6</w:t>
            </w:r>
            <w:r w:rsidRPr="0089024E">
              <w:rPr>
                <w:rFonts w:ascii="Times New Roman" w:hAnsi="Times New Roman" w:cs="Times New Roman"/>
                <w:noProof/>
                <w:webHidden/>
              </w:rPr>
              <w:fldChar w:fldCharType="end"/>
            </w:r>
          </w:hyperlink>
        </w:p>
        <w:p w14:paraId="42793A05" w14:textId="60D438CC"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79" w:history="1">
            <w:r w:rsidRPr="0089024E">
              <w:rPr>
                <w:rStyle w:val="Hyperlink"/>
                <w:rFonts w:ascii="Times New Roman" w:hAnsi="Times New Roman" w:cs="Times New Roman"/>
                <w:noProof/>
              </w:rPr>
              <w:t>KONKRĒTI FIZISKĀS DROŠĪBAS PASĀKUMI</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_Toc234405279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6</w:t>
            </w:r>
            <w:r w:rsidRPr="0089024E">
              <w:rPr>
                <w:rFonts w:ascii="Times New Roman" w:hAnsi="Times New Roman" w:cs="Times New Roman"/>
                <w:noProof/>
                <w:webHidden/>
              </w:rPr>
              <w:fldChar w:fldCharType="end"/>
            </w:r>
          </w:hyperlink>
        </w:p>
        <w:p w14:paraId="3FB3B1F3" w14:textId="688ECA69"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0" w:history="1">
            <w:r w:rsidRPr="0089024E">
              <w:rPr>
                <w:rStyle w:val="Hyperlink"/>
                <w:rFonts w:ascii="Times New Roman" w:hAnsi="Times New Roman" w:cs="Times New Roman"/>
                <w:noProof/>
              </w:rPr>
              <w:t>Perimetrs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_Toc234405280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7</w:t>
            </w:r>
            <w:r w:rsidRPr="0089024E">
              <w:rPr>
                <w:rFonts w:ascii="Times New Roman" w:hAnsi="Times New Roman" w:cs="Times New Roman"/>
                <w:noProof/>
                <w:webHidden/>
              </w:rPr>
              <w:fldChar w:fldCharType="end"/>
            </w:r>
          </w:hyperlink>
        </w:p>
        <w:p w14:paraId="6BBE92D6" w14:textId="711B94BA"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1" w:history="1">
            <w:r w:rsidRPr="0089024E">
              <w:rPr>
                <w:rStyle w:val="Hyperlink"/>
                <w:rFonts w:ascii="Times New Roman" w:hAnsi="Times New Roman" w:cs="Times New Roman"/>
                <w:noProof/>
              </w:rPr>
              <w:t>Ielaušanās atklāšanas sistēmas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_Toc234405281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7</w:t>
            </w:r>
            <w:r w:rsidRPr="0089024E">
              <w:rPr>
                <w:rFonts w:ascii="Times New Roman" w:hAnsi="Times New Roman" w:cs="Times New Roman"/>
                <w:noProof/>
                <w:webHidden/>
              </w:rPr>
              <w:fldChar w:fldCharType="end"/>
            </w:r>
          </w:hyperlink>
        </w:p>
        <w:p w14:paraId="09141A99" w14:textId="1E9610DF"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2" w:history="1">
            <w:r w:rsidRPr="0089024E">
              <w:rPr>
                <w:rStyle w:val="Hyperlink"/>
                <w:rFonts w:ascii="Times New Roman" w:hAnsi="Times New Roman" w:cs="Times New Roman"/>
                <w:noProof/>
              </w:rPr>
              <w:t>Piekļuves kontrole</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_Toc234405282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7</w:t>
            </w:r>
            <w:r w:rsidRPr="0089024E">
              <w:rPr>
                <w:rFonts w:ascii="Times New Roman" w:hAnsi="Times New Roman" w:cs="Times New Roman"/>
                <w:noProof/>
                <w:webHidden/>
              </w:rPr>
              <w:fldChar w:fldCharType="end"/>
            </w:r>
          </w:hyperlink>
        </w:p>
        <w:p w14:paraId="634D26FD" w14:textId="14583C28"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3" w:history="1">
            <w:r w:rsidRPr="0089024E">
              <w:rPr>
                <w:rStyle w:val="Hyperlink"/>
                <w:rFonts w:ascii="Times New Roman" w:hAnsi="Times New Roman" w:cs="Times New Roman"/>
                <w:noProof/>
              </w:rPr>
              <w:t>Administratīvās telpas nošķiršana</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_Toc234405283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8</w:t>
            </w:r>
            <w:r w:rsidRPr="0089024E">
              <w:rPr>
                <w:rFonts w:ascii="Times New Roman" w:hAnsi="Times New Roman" w:cs="Times New Roman"/>
                <w:noProof/>
                <w:webHidden/>
              </w:rPr>
              <w:fldChar w:fldCharType="end"/>
            </w:r>
          </w:hyperlink>
        </w:p>
        <w:p w14:paraId="21DD95B9" w14:textId="1C9CB8F3"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4" w:history="1">
            <w:r w:rsidRPr="0089024E">
              <w:rPr>
                <w:rStyle w:val="Hyperlink"/>
                <w:rFonts w:ascii="Times New Roman" w:hAnsi="Times New Roman" w:cs="Times New Roman"/>
                <w:noProof/>
              </w:rPr>
              <w:t>Apsargi</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_Toc234405284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8</w:t>
            </w:r>
            <w:r w:rsidRPr="0089024E">
              <w:rPr>
                <w:rFonts w:ascii="Times New Roman" w:hAnsi="Times New Roman" w:cs="Times New Roman"/>
                <w:noProof/>
                <w:webHidden/>
              </w:rPr>
              <w:fldChar w:fldCharType="end"/>
            </w:r>
          </w:hyperlink>
        </w:p>
        <w:p w14:paraId="4CC59D91" w14:textId="389885C5"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5" w:history="1">
            <w:r w:rsidRPr="0089024E">
              <w:rPr>
                <w:rStyle w:val="Hyperlink"/>
                <w:rFonts w:ascii="Times New Roman" w:hAnsi="Times New Roman" w:cs="Times New Roman"/>
                <w:noProof/>
              </w:rPr>
              <w:t>Videonovērošanas kameras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_Toc234405285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8</w:t>
            </w:r>
            <w:r w:rsidRPr="0089024E">
              <w:rPr>
                <w:rFonts w:ascii="Times New Roman" w:hAnsi="Times New Roman" w:cs="Times New Roman"/>
                <w:noProof/>
                <w:webHidden/>
              </w:rPr>
              <w:fldChar w:fldCharType="end"/>
            </w:r>
          </w:hyperlink>
        </w:p>
        <w:p w14:paraId="543AA8D4" w14:textId="0755E56D"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6" w:history="1">
            <w:r w:rsidRPr="0089024E">
              <w:rPr>
                <w:rStyle w:val="Hyperlink"/>
                <w:rFonts w:ascii="Times New Roman" w:hAnsi="Times New Roman" w:cs="Times New Roman"/>
                <w:noProof/>
              </w:rPr>
              <w:t>Drošības apgaismojums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_Toc234405286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8</w:t>
            </w:r>
            <w:r w:rsidRPr="0089024E">
              <w:rPr>
                <w:rFonts w:ascii="Times New Roman" w:hAnsi="Times New Roman" w:cs="Times New Roman"/>
                <w:noProof/>
                <w:webHidden/>
              </w:rPr>
              <w:fldChar w:fldCharType="end"/>
            </w:r>
          </w:hyperlink>
        </w:p>
        <w:p w14:paraId="696BAF18" w14:textId="491817BB"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7" w:history="1">
            <w:r w:rsidRPr="0089024E">
              <w:rPr>
                <w:rStyle w:val="Hyperlink"/>
                <w:rFonts w:ascii="Times New Roman" w:hAnsi="Times New Roman" w:cs="Times New Roman"/>
                <w:noProof/>
              </w:rPr>
              <w:t>Seifi un biroja mēbeles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_Toc234405287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9</w:t>
            </w:r>
            <w:r w:rsidRPr="0089024E">
              <w:rPr>
                <w:rFonts w:ascii="Times New Roman" w:hAnsi="Times New Roman" w:cs="Times New Roman"/>
                <w:noProof/>
                <w:webHidden/>
              </w:rPr>
              <w:fldChar w:fldCharType="end"/>
            </w:r>
          </w:hyperlink>
        </w:p>
        <w:p w14:paraId="63292301" w14:textId="63276B63"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8" w:history="1">
            <w:r w:rsidRPr="0089024E">
              <w:rPr>
                <w:rStyle w:val="Hyperlink"/>
                <w:rFonts w:ascii="Times New Roman" w:hAnsi="Times New Roman" w:cs="Times New Roman"/>
                <w:noProof/>
              </w:rPr>
              <w:t>Slēdzenes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_Toc234405288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9</w:t>
            </w:r>
            <w:r w:rsidRPr="0089024E">
              <w:rPr>
                <w:rFonts w:ascii="Times New Roman" w:hAnsi="Times New Roman" w:cs="Times New Roman"/>
                <w:noProof/>
                <w:webHidden/>
              </w:rPr>
              <w:fldChar w:fldCharType="end"/>
            </w:r>
          </w:hyperlink>
        </w:p>
        <w:p w14:paraId="3C30BDCC" w14:textId="5E61CA3E"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89" w:history="1">
            <w:r w:rsidRPr="0089024E">
              <w:rPr>
                <w:rStyle w:val="Hyperlink"/>
                <w:rFonts w:ascii="Times New Roman" w:hAnsi="Times New Roman" w:cs="Times New Roman"/>
                <w:noProof/>
              </w:rPr>
              <w:t>Atslēgu un kombināciju kontrole</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_Toc234405289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9</w:t>
            </w:r>
            <w:r w:rsidRPr="0089024E">
              <w:rPr>
                <w:rFonts w:ascii="Times New Roman" w:hAnsi="Times New Roman" w:cs="Times New Roman"/>
                <w:noProof/>
                <w:webHidden/>
              </w:rPr>
              <w:fldChar w:fldCharType="end"/>
            </w:r>
          </w:hyperlink>
        </w:p>
        <w:p w14:paraId="34EE0C2F" w14:textId="3DFFF41D"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90" w:history="1">
            <w:r w:rsidRPr="0089024E">
              <w:rPr>
                <w:rStyle w:val="Hyperlink"/>
                <w:rFonts w:ascii="Times New Roman" w:hAnsi="Times New Roman" w:cs="Times New Roman"/>
                <w:noProof/>
              </w:rPr>
              <w:t>Apstiprināts aprīkojums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_Toc234405290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10</w:t>
            </w:r>
            <w:r w:rsidRPr="0089024E">
              <w:rPr>
                <w:rFonts w:ascii="Times New Roman" w:hAnsi="Times New Roman" w:cs="Times New Roman"/>
                <w:noProof/>
                <w:webHidden/>
              </w:rPr>
              <w:fldChar w:fldCharType="end"/>
            </w:r>
          </w:hyperlink>
        </w:p>
        <w:p w14:paraId="2B562F15" w14:textId="2E0C3C1E"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91" w:history="1">
            <w:r w:rsidRPr="0089024E">
              <w:rPr>
                <w:rStyle w:val="Hyperlink"/>
                <w:rFonts w:ascii="Times New Roman" w:hAnsi="Times New Roman" w:cs="Times New Roman"/>
                <w:noProof/>
              </w:rPr>
              <w:t>Pārmeklēšana ienākšanas un iziešanas brīdī</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_Toc234405291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10</w:t>
            </w:r>
            <w:r w:rsidRPr="0089024E">
              <w:rPr>
                <w:rFonts w:ascii="Times New Roman" w:hAnsi="Times New Roman" w:cs="Times New Roman"/>
                <w:noProof/>
                <w:webHidden/>
              </w:rPr>
              <w:fldChar w:fldCharType="end"/>
            </w:r>
          </w:hyperlink>
        </w:p>
        <w:p w14:paraId="24590176" w14:textId="77113C78"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92" w:history="1">
            <w:r w:rsidRPr="0089024E">
              <w:rPr>
                <w:rStyle w:val="Hyperlink"/>
                <w:rFonts w:ascii="Times New Roman" w:hAnsi="Times New Roman" w:cs="Times New Roman"/>
                <w:noProof/>
              </w:rPr>
              <w:t>MINIMĀLIE STANDARTI NATO KLASIFICĒTĀS INFORMĀCIJAS GLABĀŠANAI</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_Toc234405292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11</w:t>
            </w:r>
            <w:r w:rsidRPr="0089024E">
              <w:rPr>
                <w:rFonts w:ascii="Times New Roman" w:hAnsi="Times New Roman" w:cs="Times New Roman"/>
                <w:noProof/>
                <w:webHidden/>
              </w:rPr>
              <w:fldChar w:fldCharType="end"/>
            </w:r>
          </w:hyperlink>
        </w:p>
        <w:p w14:paraId="0599D4A0" w14:textId="053594E2"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93" w:history="1">
            <w:r w:rsidRPr="0089024E">
              <w:rPr>
                <w:rStyle w:val="Hyperlink"/>
                <w:rFonts w:ascii="Times New Roman" w:hAnsi="Times New Roman" w:cs="Times New Roman"/>
                <w:noProof/>
              </w:rPr>
              <w:t>SAKARU UN INFORMĀCIJAS SISTĒMU FIZISKĀ AIZSARDZĪBA</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_Toc234405293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12</w:t>
            </w:r>
            <w:r w:rsidRPr="0089024E">
              <w:rPr>
                <w:rFonts w:ascii="Times New Roman" w:hAnsi="Times New Roman" w:cs="Times New Roman"/>
                <w:noProof/>
                <w:webHidden/>
              </w:rPr>
              <w:fldChar w:fldCharType="end"/>
            </w:r>
          </w:hyperlink>
        </w:p>
        <w:p w14:paraId="797EBFE9" w14:textId="747EB0BB"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94" w:history="1">
            <w:r w:rsidRPr="0089024E">
              <w:rPr>
                <w:rStyle w:val="Hyperlink"/>
                <w:rFonts w:ascii="Times New Roman" w:hAnsi="Times New Roman" w:cs="Times New Roman"/>
                <w:noProof/>
              </w:rPr>
              <w:t>Printeru, kopētāju un smalcinātāju fiziska aizsardzība</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_Toc234405294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12</w:t>
            </w:r>
            <w:r w:rsidRPr="0089024E">
              <w:rPr>
                <w:rFonts w:ascii="Times New Roman" w:hAnsi="Times New Roman" w:cs="Times New Roman"/>
                <w:noProof/>
                <w:webHidden/>
              </w:rPr>
              <w:fldChar w:fldCharType="end"/>
            </w:r>
          </w:hyperlink>
        </w:p>
        <w:p w14:paraId="0E9539EB" w14:textId="5C880E04" w:rsidR="00B669E0" w:rsidRPr="0089024E" w:rsidRDefault="00B669E0">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95" w:history="1">
            <w:r w:rsidRPr="0089024E">
              <w:rPr>
                <w:rStyle w:val="Hyperlink"/>
                <w:rFonts w:ascii="Times New Roman" w:hAnsi="Times New Roman" w:cs="Times New Roman"/>
                <w:noProof/>
              </w:rPr>
              <w:t>AIZSARDZĪBA PRET TEHNISKIEM UZBRUKUMIEM</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_Toc234405295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12</w:t>
            </w:r>
            <w:r w:rsidRPr="0089024E">
              <w:rPr>
                <w:rFonts w:ascii="Times New Roman" w:hAnsi="Times New Roman" w:cs="Times New Roman"/>
                <w:noProof/>
                <w:webHidden/>
              </w:rPr>
              <w:fldChar w:fldCharType="end"/>
            </w:r>
          </w:hyperlink>
        </w:p>
        <w:p w14:paraId="0DDBB1FC" w14:textId="7B665AB2" w:rsidR="00B669E0" w:rsidRPr="0089024E" w:rsidRDefault="00B669E0">
          <w:pPr>
            <w:pStyle w:val="TOC2"/>
            <w:tabs>
              <w:tab w:val="right" w:leader="dot" w:pos="9062"/>
            </w:tabs>
            <w:rPr>
              <w:rFonts w:ascii="Times New Roman" w:eastAsiaTheme="minorEastAsia" w:hAnsi="Times New Roman" w:cs="Times New Roman"/>
              <w:noProof/>
              <w:kern w:val="2"/>
              <w:lang w:val="en-US"/>
              <w14:ligatures w14:val="standardContextual"/>
            </w:rPr>
          </w:pPr>
          <w:hyperlink w:anchor="_Toc234405296" w:history="1">
            <w:r w:rsidRPr="0089024E">
              <w:rPr>
                <w:rStyle w:val="Hyperlink"/>
                <w:rFonts w:ascii="Times New Roman" w:hAnsi="Times New Roman" w:cs="Times New Roman"/>
                <w:noProof/>
              </w:rPr>
              <w:t>Elektriskā/elektroniskā aprīkojuma pārbaude</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_Toc234405296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13</w:t>
            </w:r>
            <w:r w:rsidRPr="0089024E">
              <w:rPr>
                <w:rFonts w:ascii="Times New Roman" w:hAnsi="Times New Roman" w:cs="Times New Roman"/>
                <w:noProof/>
                <w:webHidden/>
              </w:rPr>
              <w:fldChar w:fldCharType="end"/>
            </w:r>
          </w:hyperlink>
        </w:p>
        <w:p w14:paraId="1ABF5CCC" w14:textId="0697DB2B" w:rsidR="00B669E0" w:rsidRPr="0089024E" w:rsidRDefault="00B669E0" w:rsidP="00820633">
          <w:pPr>
            <w:pStyle w:val="TOC1"/>
            <w:tabs>
              <w:tab w:val="right" w:leader="dot" w:pos="9062"/>
            </w:tabs>
            <w:rPr>
              <w:rFonts w:ascii="Times New Roman" w:eastAsiaTheme="minorEastAsia" w:hAnsi="Times New Roman" w:cs="Times New Roman"/>
              <w:noProof/>
              <w:kern w:val="2"/>
              <w:lang w:val="en-US"/>
              <w14:ligatures w14:val="standardContextual"/>
            </w:rPr>
          </w:pPr>
          <w:hyperlink w:anchor="_Toc234405297" w:history="1">
            <w:r w:rsidRPr="0089024E">
              <w:rPr>
                <w:rStyle w:val="Hyperlink"/>
                <w:rFonts w:ascii="Times New Roman" w:hAnsi="Times New Roman" w:cs="Times New Roman"/>
                <w:noProof/>
              </w:rPr>
              <w:t>ATKLĀTAS GLABĀŠANAS ZONAS</w:t>
            </w:r>
            <w:r w:rsidRPr="0089024E">
              <w:rPr>
                <w:rFonts w:ascii="Times New Roman" w:hAnsi="Times New Roman" w:cs="Times New Roman"/>
                <w:noProof/>
                <w:webHidden/>
              </w:rPr>
              <w:tab/>
            </w:r>
            <w:r w:rsidRPr="0089024E">
              <w:rPr>
                <w:rFonts w:ascii="Times New Roman" w:hAnsi="Times New Roman" w:cs="Times New Roman"/>
                <w:noProof/>
                <w:webHidden/>
              </w:rPr>
              <w:fldChar w:fldCharType="begin"/>
            </w:r>
            <w:r w:rsidRPr="0089024E">
              <w:rPr>
                <w:rFonts w:ascii="Times New Roman" w:hAnsi="Times New Roman" w:cs="Times New Roman"/>
                <w:noProof/>
                <w:webHidden/>
              </w:rPr>
              <w:instrText xml:space="preserve"> PAGEREF _Toc234405297 \h </w:instrText>
            </w:r>
            <w:r w:rsidRPr="0089024E">
              <w:rPr>
                <w:rFonts w:ascii="Times New Roman" w:hAnsi="Times New Roman" w:cs="Times New Roman"/>
                <w:noProof/>
                <w:webHidden/>
              </w:rPr>
            </w:r>
            <w:r w:rsidRPr="0089024E">
              <w:rPr>
                <w:rFonts w:ascii="Times New Roman" w:hAnsi="Times New Roman" w:cs="Times New Roman"/>
                <w:noProof/>
                <w:webHidden/>
              </w:rPr>
              <w:fldChar w:fldCharType="separate"/>
            </w:r>
            <w:r w:rsidRPr="0089024E">
              <w:rPr>
                <w:rFonts w:ascii="Times New Roman" w:hAnsi="Times New Roman" w:cs="Times New Roman"/>
                <w:noProof/>
                <w:webHidden/>
              </w:rPr>
              <w:t>14</w:t>
            </w:r>
            <w:r w:rsidRPr="0089024E">
              <w:rPr>
                <w:rFonts w:ascii="Times New Roman" w:hAnsi="Times New Roman" w:cs="Times New Roman"/>
                <w:noProof/>
                <w:webHidden/>
              </w:rPr>
              <w:fldChar w:fldCharType="end"/>
            </w:r>
          </w:hyperlink>
        </w:p>
        <w:p w14:paraId="0B2025AA" w14:textId="3C167E6E" w:rsidR="00B669E0" w:rsidRDefault="00B669E0">
          <w:r w:rsidRPr="0089024E">
            <w:rPr>
              <w:rFonts w:ascii="Times New Roman" w:hAnsi="Times New Roman" w:cs="Times New Roman"/>
              <w:b/>
              <w:bCs/>
              <w:noProof/>
              <w:sz w:val="24"/>
              <w:szCs w:val="24"/>
            </w:rPr>
            <w:fldChar w:fldCharType="end"/>
          </w:r>
        </w:p>
      </w:sdtContent>
    </w:sdt>
    <w:p w14:paraId="1C57967D" w14:textId="77777777" w:rsidR="0089024E" w:rsidRDefault="0089024E">
      <w:pPr>
        <w:rPr>
          <w:rFonts w:ascii="Times New Roman" w:hAnsi="Times New Roman"/>
          <w:b/>
          <w:sz w:val="24"/>
        </w:rPr>
      </w:pPr>
      <w:r>
        <w:rPr>
          <w:rFonts w:ascii="Times New Roman" w:hAnsi="Times New Roman"/>
          <w:b/>
          <w:sz w:val="24"/>
        </w:rPr>
        <w:br w:type="page"/>
      </w:r>
    </w:p>
    <w:p w14:paraId="5D92CA8E" w14:textId="132F658D" w:rsidR="00E14C2A" w:rsidRPr="00E73A9D" w:rsidRDefault="00E14C2A" w:rsidP="00834008">
      <w:pPr>
        <w:spacing w:before="120"/>
        <w:jc w:val="center"/>
        <w:rPr>
          <w:rFonts w:ascii="Times New Roman" w:hAnsi="Times New Roman" w:cs="Times New Roman"/>
          <w:b/>
          <w:noProof/>
          <w:sz w:val="24"/>
          <w:szCs w:val="24"/>
        </w:rPr>
      </w:pPr>
      <w:r>
        <w:rPr>
          <w:rFonts w:ascii="Times New Roman" w:hAnsi="Times New Roman"/>
          <w:b/>
          <w:noProof/>
          <w:sz w:val="24"/>
        </w:rPr>
        <w:lastRenderedPageBreak/>
        <mc:AlternateContent>
          <mc:Choice Requires="wps">
            <w:drawing>
              <wp:anchor distT="0" distB="0" distL="0" distR="0" simplePos="0" relativeHeight="251658242" behindDoc="0" locked="0" layoutInCell="1" allowOverlap="1" wp14:anchorId="0D51CA02" wp14:editId="15BF602F">
                <wp:simplePos x="0" y="0"/>
                <wp:positionH relativeFrom="page">
                  <wp:posOffset>174695</wp:posOffset>
                </wp:positionH>
                <wp:positionV relativeFrom="page">
                  <wp:posOffset>2945478</wp:posOffset>
                </wp:positionV>
                <wp:extent cx="182880" cy="48031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6F9B456"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0D51CA02" id="Textbox 8" o:spid="_x0000_s1029" type="#_x0000_t202" style="position:absolute;left:0;text-align:left;margin-left:13.75pt;margin-top:231.95pt;width:14.4pt;height:378.2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By&#10;N/PPoQEAADEDAAAOAAAAAAAAAAAAAAAAAC4CAABkcnMvZTJvRG9jLnhtbFBLAQItABQABgAIAAAA&#10;IQCVp3Lb3gAAAAoBAAAPAAAAAAAAAAAAAAAAAPsDAABkcnMvZG93bnJldi54bWxQSwUGAAAAAAQA&#10;BADzAAAABgUAAAAA&#10;" filled="f" stroked="f">
                <v:textbox style="layout-flow:vertical;mso-layout-flow-alt:bottom-to-top" inset="0,0,0,0">
                  <w:txbxContent>
                    <w:p w14:paraId="46F9B456"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b/>
          <w:sz w:val="24"/>
        </w:rPr>
        <w:t>DIREKTĪVA PAR FIZISKO DROŠĪBU</w:t>
      </w:r>
    </w:p>
    <w:p w14:paraId="17E51A94" w14:textId="77777777" w:rsidR="00E14C2A" w:rsidRPr="00E73A9D" w:rsidRDefault="00E14C2A" w:rsidP="00E73A9D">
      <w:pPr>
        <w:pStyle w:val="BodyText"/>
        <w:spacing w:before="120"/>
        <w:rPr>
          <w:rFonts w:ascii="Times New Roman" w:hAnsi="Times New Roman" w:cs="Times New Roman"/>
          <w:b/>
          <w:noProof/>
          <w:sz w:val="24"/>
          <w:szCs w:val="24"/>
        </w:rPr>
      </w:pPr>
    </w:p>
    <w:p w14:paraId="4B396047" w14:textId="77777777" w:rsidR="00E14C2A" w:rsidRPr="00E73A9D" w:rsidRDefault="00E14C2A" w:rsidP="00E73A9D">
      <w:pPr>
        <w:pStyle w:val="Heading1"/>
        <w:spacing w:before="120"/>
        <w:ind w:left="0"/>
        <w:rPr>
          <w:noProof/>
          <w:sz w:val="24"/>
          <w:szCs w:val="24"/>
        </w:rPr>
      </w:pPr>
      <w:bookmarkStart w:id="0" w:name="_Toc226553690"/>
      <w:bookmarkStart w:id="1" w:name="_Toc234405273"/>
      <w:r>
        <w:rPr>
          <w:sz w:val="24"/>
        </w:rPr>
        <w:t>IEVADS</w:t>
      </w:r>
      <w:bookmarkEnd w:id="0"/>
      <w:bookmarkEnd w:id="1"/>
    </w:p>
    <w:p w14:paraId="732F6CB1" w14:textId="36E3EAC4" w:rsidR="00E14C2A" w:rsidRPr="00E73A9D" w:rsidRDefault="00DB3ABC" w:rsidP="00DB3ABC">
      <w:pPr>
        <w:pStyle w:val="ListParagraph"/>
        <w:tabs>
          <w:tab w:val="left" w:pos="993"/>
        </w:tabs>
        <w:spacing w:before="120"/>
        <w:ind w:left="0"/>
        <w:rPr>
          <w:rFonts w:ascii="Times New Roman" w:hAnsi="Times New Roman" w:cs="Times New Roman"/>
          <w:noProof/>
          <w:sz w:val="24"/>
          <w:szCs w:val="24"/>
        </w:rPr>
      </w:pPr>
      <w:r>
        <w:rPr>
          <w:rFonts w:ascii="Times New Roman" w:hAnsi="Times New Roman"/>
          <w:sz w:val="24"/>
        </w:rPr>
        <w:t>1. Šo Fiziskās drošības direktīvu ir publicējusi Drošības jautājumu komiteja (AC/35), lai nodrošinātu NATO Drošības politikas (C-M(2002)49) D pielikuma īstenošanu. Šajā direktīvā iekļauti obligātie noteikumi, kā arī sniegta šos noteikumus skaidrojoša informācija. Šajā direktīvā apspriesti šādi aspekti:</w:t>
      </w:r>
    </w:p>
    <w:p w14:paraId="7D69A787" w14:textId="05F992A0" w:rsidR="00E14C2A" w:rsidRPr="00E73A9D" w:rsidRDefault="00DB3ABC" w:rsidP="00DB3AB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a) pamatprincipi;</w:t>
      </w:r>
    </w:p>
    <w:p w14:paraId="594CCF2B" w14:textId="1175B50A" w:rsidR="00E14C2A" w:rsidRPr="00E73A9D" w:rsidRDefault="00DB3ABC" w:rsidP="00DB3AB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b) vispārējās fiziskās drošības prasības;</w:t>
      </w:r>
    </w:p>
    <w:p w14:paraId="72B47877" w14:textId="4C7C41F4" w:rsidR="00E14C2A" w:rsidRPr="00E73A9D" w:rsidRDefault="00DB3ABC" w:rsidP="00DB3AB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c) konkrēti fiziskās drošības pasākumi;</w:t>
      </w:r>
    </w:p>
    <w:p w14:paraId="107E50E3" w14:textId="09B4D89A" w:rsidR="00E14C2A" w:rsidRPr="00E73A9D" w:rsidRDefault="00DB3ABC" w:rsidP="00DB3AB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d) NATO klasificētās informācijas uzglabāšanas prasības;</w:t>
      </w:r>
    </w:p>
    <w:p w14:paraId="58F1DE6B" w14:textId="393765A6" w:rsidR="00E14C2A" w:rsidRPr="00E73A9D" w:rsidRDefault="00DB3ABC" w:rsidP="00DB3AB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e) sakaru un informācijas sistēmu fiziskā aizsardzība un</w:t>
      </w:r>
    </w:p>
    <w:p w14:paraId="51EE936D" w14:textId="603CD6E6" w:rsidR="00E14C2A" w:rsidRPr="00E73A9D" w:rsidRDefault="00DB3ABC" w:rsidP="00DB3AB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f) aizsardzība pret tehniskiem uzbrukumiem.</w:t>
      </w:r>
    </w:p>
    <w:p w14:paraId="489A8D4C" w14:textId="77777777" w:rsidR="00E14C2A" w:rsidRPr="00E73A9D" w:rsidRDefault="00E14C2A" w:rsidP="00E73A9D">
      <w:pPr>
        <w:pStyle w:val="BodyText"/>
        <w:spacing w:before="120"/>
        <w:rPr>
          <w:rFonts w:ascii="Times New Roman" w:hAnsi="Times New Roman" w:cs="Times New Roman"/>
          <w:noProof/>
          <w:sz w:val="24"/>
          <w:szCs w:val="24"/>
        </w:rPr>
      </w:pPr>
    </w:p>
    <w:p w14:paraId="6C2B6822" w14:textId="77777777" w:rsidR="00E14C2A" w:rsidRPr="00E73A9D" w:rsidRDefault="00E14C2A" w:rsidP="00E73A9D">
      <w:pPr>
        <w:pStyle w:val="Heading1"/>
        <w:spacing w:before="120"/>
        <w:ind w:left="0"/>
        <w:rPr>
          <w:noProof/>
          <w:sz w:val="24"/>
          <w:szCs w:val="24"/>
        </w:rPr>
      </w:pPr>
      <w:bookmarkStart w:id="2" w:name="_Toc226553691"/>
      <w:bookmarkStart w:id="3" w:name="_Toc234405274"/>
      <w:r>
        <w:rPr>
          <w:sz w:val="24"/>
        </w:rPr>
        <w:t>PAMATPRINCIPI</w:t>
      </w:r>
      <w:bookmarkEnd w:id="2"/>
      <w:bookmarkEnd w:id="3"/>
    </w:p>
    <w:p w14:paraId="5846E426" w14:textId="132A557B" w:rsidR="00E14C2A" w:rsidRPr="00E73A9D" w:rsidRDefault="00DB3ABC" w:rsidP="001668DC">
      <w:pPr>
        <w:pStyle w:val="ListParagraph"/>
        <w:tabs>
          <w:tab w:val="left" w:pos="993"/>
        </w:tabs>
        <w:spacing w:before="120"/>
        <w:ind w:left="0"/>
        <w:rPr>
          <w:rFonts w:ascii="Times New Roman" w:hAnsi="Times New Roman" w:cs="Times New Roman"/>
          <w:noProof/>
          <w:sz w:val="24"/>
          <w:szCs w:val="24"/>
        </w:rPr>
      </w:pPr>
      <w:r>
        <w:rPr>
          <w:rFonts w:ascii="Times New Roman" w:hAnsi="Times New Roman"/>
          <w:sz w:val="24"/>
        </w:rPr>
        <w:t>2. Visus objektus, ēkas, birojus, telpas un citas zonas, kurās glabā, apstrādā un/vai apspriež NATO klasificēto informāciju, aizsargā ar atbilstošiem fiziskās drošības pasākumiem. Lai noteiktu nepieciešamo fiziskās drošības aizsardzības pakāpi, ņem vērā visus būtiskos faktorus, tostarp:</w:t>
      </w:r>
    </w:p>
    <w:p w14:paraId="32AB7320" w14:textId="615B2BF5" w:rsidR="00E14C2A" w:rsidRPr="00E73A9D" w:rsidRDefault="00DB3ABC" w:rsidP="001668D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a) drošības klasifikācijas līmeni un informācijas kategoriju;</w:t>
      </w:r>
    </w:p>
    <w:p w14:paraId="766C6CFC" w14:textId="3B3C6A65" w:rsidR="00E14C2A" w:rsidRPr="00E73A9D" w:rsidRDefault="00DB3ABC" w:rsidP="001668D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b) uzglabātās un/vai apstrādātās klasificētas informācijas apjomu un formu (cietā kopija un/vai elektroniska forma);</w:t>
      </w:r>
    </w:p>
    <w:p w14:paraId="389E01FF" w14:textId="3F497DF4" w:rsidR="00E14C2A" w:rsidRPr="00E73A9D" w:rsidRDefault="00DB3ABC" w:rsidP="001668DC">
      <w:pPr>
        <w:pStyle w:val="ListParagraph"/>
        <w:tabs>
          <w:tab w:val="left" w:pos="1581"/>
        </w:tabs>
        <w:spacing w:before="120"/>
        <w:ind w:left="567" w:hanging="283"/>
        <w:rPr>
          <w:rFonts w:ascii="Times New Roman" w:hAnsi="Times New Roman" w:cs="Times New Roman"/>
          <w:noProof/>
          <w:sz w:val="24"/>
          <w:szCs w:val="24"/>
        </w:rPr>
      </w:pPr>
      <w:r>
        <w:rPr>
          <w:rFonts w:ascii="Times New Roman" w:hAnsi="Times New Roman"/>
          <w:sz w:val="24"/>
        </w:rPr>
        <w:t>c) piekļuves kontroli un “nepieciešamības zināt” principa izpildi;</w:t>
      </w:r>
    </w:p>
    <w:p w14:paraId="20BF769F" w14:textId="15DC4485" w:rsidR="00E14C2A" w:rsidRPr="00E73A9D" w:rsidRDefault="00DB3AB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d) naidīgu izlūkdienestu radītus draudus NATO un/vai NATO dalībvalstīm un vietējā līmenī izvērtētus terorisma, spiegošanas, kaitniecības, sabotāžas un (organizētās) noziedzības draudus, un</w:t>
      </w:r>
    </w:p>
    <w:p w14:paraId="55929EF4" w14:textId="77777777" w:rsidR="00DB3ABC" w:rsidRDefault="00DB3AB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e) to, kā klasificētā informācija tiks uzglabāta (piemēram, cietā kopija vai elektroniski un šifrēti).</w:t>
      </w:r>
    </w:p>
    <w:p w14:paraId="7D890A52" w14:textId="30970081" w:rsidR="00E14C2A" w:rsidRPr="00DB3ABC" w:rsidRDefault="00DB3ABC" w:rsidP="001668DC">
      <w:pPr>
        <w:spacing w:before="240"/>
        <w:jc w:val="both"/>
        <w:rPr>
          <w:rFonts w:ascii="Times New Roman" w:hAnsi="Times New Roman" w:cs="Times New Roman"/>
          <w:noProof/>
          <w:sz w:val="24"/>
          <w:szCs w:val="24"/>
        </w:rPr>
      </w:pPr>
      <w:r>
        <w:rPr>
          <w:rFonts w:ascii="Times New Roman" w:hAnsi="Times New Roman"/>
          <w:sz w:val="24"/>
        </w:rPr>
        <w:t>3. Fiziskās drošības pasākumus izstrādā tā, lai:</w:t>
      </w:r>
    </w:p>
    <w:p w14:paraId="0D5DE7CC" w14:textId="670AE9EE" w:rsidR="00E14C2A" w:rsidRPr="00E73A9D" w:rsidRDefault="005E58F9"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a) novērstu iebrucēja slepenu iekļūšanu vai ielaušanos ar spēku;</w:t>
      </w:r>
    </w:p>
    <w:p w14:paraId="66924843" w14:textId="219A8A77"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b) atturētu, kavētu un atklātu darbības saistībā ar iekšēju drošības apdraudējumu;</w:t>
      </w:r>
    </w:p>
    <w:p w14:paraId="14EB134D" w14:textId="67BC2AA0"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c) darītu iespējamu personāla nošķiršanu, pamatojoties uz tam piešķirto piekļuvi NATO klasificētajai informācijai atbilstoši personāla drošības pielaides (</w:t>
      </w:r>
      <w:r>
        <w:rPr>
          <w:rFonts w:ascii="Times New Roman" w:hAnsi="Times New Roman"/>
          <w:i/>
          <w:iCs/>
          <w:sz w:val="24"/>
        </w:rPr>
        <w:t>PSC</w:t>
      </w:r>
      <w:r>
        <w:rPr>
          <w:rFonts w:ascii="Times New Roman" w:hAnsi="Times New Roman"/>
          <w:sz w:val="24"/>
        </w:rPr>
        <w:t>) līmenim un “nepieciešamības zināt” principam, un</w:t>
      </w:r>
    </w:p>
    <w:p w14:paraId="19502619" w14:textId="0FD5879F"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d) atklātu visus drošības incidentus un atbilstoši rīkotos iespējami īsā laikā.</w:t>
      </w:r>
    </w:p>
    <w:p w14:paraId="288FAE4F" w14:textId="162EE67B" w:rsidR="00E14C2A" w:rsidRPr="00E73A9D" w:rsidRDefault="00E14C2A" w:rsidP="001668DC">
      <w:pPr>
        <w:pStyle w:val="BodyText"/>
        <w:spacing w:before="240"/>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3" behindDoc="0" locked="0" layoutInCell="1" allowOverlap="1" wp14:anchorId="69D99A0D" wp14:editId="5BF7E0A7">
                <wp:simplePos x="0" y="0"/>
                <wp:positionH relativeFrom="page">
                  <wp:posOffset>174695</wp:posOffset>
                </wp:positionH>
                <wp:positionV relativeFrom="page">
                  <wp:posOffset>2945478</wp:posOffset>
                </wp:positionV>
                <wp:extent cx="182880" cy="48031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74881FF4"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69D99A0D" id="_x0000_s1030" type="#_x0000_t202" style="position:absolute;left:0;text-align:left;margin-left:13.75pt;margin-top:231.95pt;width:14.4pt;height:378.2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dxoQEAADE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EXSeYv6zhe5IWmgdCSvH1QfqPtJ0W47Pexk1Z8M3T/bl&#10;VTgd4umwPR1iGj5DWZis0MPHfQJjC59Lm5kPzaXQnHcoD/7ve6m6bPrmDwA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D1&#10;kqdxoQEAADEDAAAOAAAAAAAAAAAAAAAAAC4CAABkcnMvZTJvRG9jLnhtbFBLAQItABQABgAIAAAA&#10;IQCVp3Lb3gAAAAoBAAAPAAAAAAAAAAAAAAAAAPsDAABkcnMvZG93bnJldi54bWxQSwUGAAAAAAQA&#10;BADzAAAABgUAAAAA&#10;" filled="f" stroked="f">
                <v:textbox style="layout-flow:vertical;mso-layout-flow-alt:bottom-to-top" inset="0,0,0,0">
                  <w:txbxContent>
                    <w:p w14:paraId="74881FF4"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4. Valsts drošības iestādēm / izraudzītajām drošības iestādēm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un citām kompetentām drošības iestādēm un NATO civilajām un militārajām institūcijām ir pienākums nodrošināt, ka ir sagatavoti drošības plāni, lai ārkārtas situācijā novērstu NATO klasificētās informācijas nonākšanu pie nepilnvarotām vai naidīgi noskaņotām personām. Šādos plānos paredz ārkārtas evakuāciju un/vai klasificētas informācijas iznīcināšanu. Tajos iekļauj vismaz šādus elementus:</w:t>
      </w:r>
    </w:p>
    <w:p w14:paraId="2B1ED7B4" w14:textId="72F8ABBA"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lastRenderedPageBreak/>
        <w:t>a) konkrētas ārkārtas situācijas, kad klasificēto informāciju evakuē un/vai iznīcina;</w:t>
      </w:r>
    </w:p>
    <w:p w14:paraId="5945E769" w14:textId="7DBA184E"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b) ārkārtas evakuācijas / iznīcināšanas procedūras, nosakot iestādi (galveno un rezerves), kas ir atbildīga par šīs procedūras ierosināšanu;</w:t>
      </w:r>
    </w:p>
    <w:p w14:paraId="69CB8ADF" w14:textId="1C2F047A"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c) saziņas metodes;</w:t>
      </w:r>
    </w:p>
    <w:p w14:paraId="409B8426" w14:textId="581C0F59"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d) iznīcināšanas paņēmienus vai evakuācijas paņēmienus;</w:t>
      </w:r>
    </w:p>
    <w:p w14:paraId="2929784D" w14:textId="232B5210"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e) norādes par evakuācijas gadījumā izmantojamām rezerves glabāšanas vietām un</w:t>
      </w:r>
    </w:p>
    <w:p w14:paraId="36F8FB4A" w14:textId="538452C6" w:rsidR="00E14C2A" w:rsidRPr="00E73A9D" w:rsidRDefault="001668DC" w:rsidP="001668DC">
      <w:pPr>
        <w:pStyle w:val="ListParagraph"/>
        <w:spacing w:before="120"/>
        <w:ind w:left="567" w:hanging="283"/>
        <w:rPr>
          <w:rFonts w:ascii="Times New Roman" w:hAnsi="Times New Roman" w:cs="Times New Roman"/>
          <w:noProof/>
          <w:sz w:val="24"/>
          <w:szCs w:val="24"/>
        </w:rPr>
      </w:pPr>
      <w:r>
        <w:rPr>
          <w:rFonts w:ascii="Times New Roman" w:hAnsi="Times New Roman"/>
          <w:sz w:val="24"/>
        </w:rPr>
        <w:t>f) ārkārtas gadījumā iznīcināmo vai evakuējamo vienumu prioritāro secību.</w:t>
      </w:r>
    </w:p>
    <w:p w14:paraId="3D7DEDF4" w14:textId="77777777" w:rsidR="00E14C2A" w:rsidRPr="00E73A9D" w:rsidRDefault="00E14C2A" w:rsidP="001668DC">
      <w:pPr>
        <w:pStyle w:val="Heading1"/>
        <w:spacing w:before="240"/>
        <w:ind w:left="0"/>
        <w:rPr>
          <w:noProof/>
          <w:sz w:val="24"/>
          <w:szCs w:val="24"/>
        </w:rPr>
      </w:pPr>
      <w:bookmarkStart w:id="4" w:name="_Toc226553692"/>
      <w:bookmarkStart w:id="5" w:name="_Toc234405275"/>
      <w:r>
        <w:rPr>
          <w:sz w:val="24"/>
        </w:rPr>
        <w:t>VISPĀRĒJĀS FIZISKĀS DROŠĪBAS PRASĪBAS</w:t>
      </w:r>
      <w:bookmarkEnd w:id="4"/>
      <w:bookmarkEnd w:id="5"/>
    </w:p>
    <w:p w14:paraId="231E753F" w14:textId="6A89FDDF" w:rsidR="00E14C2A" w:rsidRPr="00E73A9D" w:rsidRDefault="001668DC" w:rsidP="001A7F39">
      <w:pPr>
        <w:pStyle w:val="ListParagraph"/>
        <w:tabs>
          <w:tab w:val="left" w:pos="993"/>
        </w:tabs>
        <w:spacing w:before="120"/>
        <w:ind w:left="0"/>
        <w:rPr>
          <w:rFonts w:ascii="Times New Roman" w:hAnsi="Times New Roman" w:cs="Times New Roman"/>
          <w:noProof/>
          <w:sz w:val="24"/>
          <w:szCs w:val="24"/>
        </w:rPr>
      </w:pPr>
      <w:r>
        <w:rPr>
          <w:rFonts w:ascii="Times New Roman" w:hAnsi="Times New Roman"/>
          <w:sz w:val="24"/>
        </w:rPr>
        <w:t>5. Fiziskā drošība ir tikai viens aizsargājošas drošības aspekts, un to papildina ar skaidriem personāla drošības, informācijas drošības un sakaru un informācijas sistēmu (</w:t>
      </w:r>
      <w:r>
        <w:rPr>
          <w:rFonts w:ascii="Times New Roman" w:hAnsi="Times New Roman"/>
          <w:i/>
          <w:iCs/>
          <w:sz w:val="24"/>
        </w:rPr>
        <w:t>CIS</w:t>
      </w:r>
      <w:r>
        <w:rPr>
          <w:rFonts w:ascii="Times New Roman" w:hAnsi="Times New Roman"/>
          <w:sz w:val="24"/>
        </w:rPr>
        <w:t>) drošības pasākumiem, par kuriem sīkāka informācija ir sniegta dokumenta C-M(2002)49 C, E un F pielikumā un papildu direktīvās. Racionāla drošības risku pārvaldība paredz vissamērīgāko, efektīvāko un rentablāko paņēmienu noteikšanu draudu apkarošanai un ievainojamību mazināšanai, apvienojot aizsardzības pasākumus no šīm jomām. Šādu efektivitāti un rentabilitāti nodrošina, nosakot fiziskās drošības prasības objektu plānošanā un izstrādē un lūdzot norādījumus attiecīgajai drošības iestādei, tādējādi samazinot dārgu remontdarbu nepieciešamību.</w:t>
      </w:r>
    </w:p>
    <w:p w14:paraId="175E003A" w14:textId="6E5224BA" w:rsidR="00E14C2A" w:rsidRPr="001A7F39" w:rsidRDefault="001A7F39" w:rsidP="001A7F39">
      <w:pPr>
        <w:pStyle w:val="ListParagraph"/>
        <w:tabs>
          <w:tab w:val="left" w:pos="993"/>
        </w:tabs>
        <w:spacing w:before="240"/>
        <w:ind w:left="0"/>
        <w:rPr>
          <w:rFonts w:ascii="Times New Roman" w:hAnsi="Times New Roman" w:cs="Times New Roman"/>
          <w:noProof/>
          <w:sz w:val="24"/>
          <w:szCs w:val="24"/>
        </w:rPr>
      </w:pPr>
      <w:r>
        <w:rPr>
          <w:rFonts w:ascii="Times New Roman" w:hAnsi="Times New Roman"/>
          <w:sz w:val="24"/>
        </w:rPr>
        <w:t>6. Fiziskās drošības programmas veido, pamatojoties uz “aizstāvēšanās dziļuma” principu, apvienojot atbilstošus savstarpēji papildinošus fiziskās drošības pasākumus, kas nodrošina aizsardzību tādā pakāpē, kura atbilst ar organizācijas un tās informācijas kritiskumu un ievainojamību saistītajām prasībām. Lai gan tas, kādi fiziskās drošības pasākumi tiks izmantoti, ir atkarīgs no konkrētās vietas un vairākiem faktoriem (piemēram, no vietējā līmenī novērtētā apdraudējuma, ēkas konstrukcijas un arhitektūras, vides apsvērumiem un objekta izvietojuma), piemēro šādus vispārējus principus:</w:t>
      </w:r>
    </w:p>
    <w:p w14:paraId="0C3B5E7B" w14:textId="45D318AC" w:rsidR="00E14C2A" w:rsidRPr="00E73A9D" w:rsidRDefault="001A7F39" w:rsidP="001A7F39">
      <w:pPr>
        <w:pStyle w:val="ListParagraph"/>
        <w:spacing w:before="120"/>
        <w:ind w:left="567" w:hanging="283"/>
        <w:rPr>
          <w:rFonts w:ascii="Times New Roman" w:hAnsi="Times New Roman" w:cs="Times New Roman"/>
          <w:noProof/>
          <w:sz w:val="24"/>
          <w:szCs w:val="24"/>
        </w:rPr>
      </w:pPr>
      <w:r>
        <w:rPr>
          <w:rFonts w:ascii="Times New Roman" w:hAnsi="Times New Roman"/>
          <w:sz w:val="24"/>
        </w:rPr>
        <w:t>a) vispirms nosaka, kuriem aktīviem ir nepieciešama aizsardzība. Pēc tam izstrādā vairāklīmeņu drošības pasākumus, lai nodrošinātu “aizstāvēšanās dziļumu” un aizkavējošos faktorus;</w:t>
      </w:r>
    </w:p>
    <w:p w14:paraId="5CA44B01" w14:textId="4A4509F5" w:rsidR="00E14C2A" w:rsidRPr="00E73A9D" w:rsidRDefault="001A7F39" w:rsidP="001A7F39">
      <w:pPr>
        <w:pStyle w:val="ListParagraph"/>
        <w:spacing w:before="120"/>
        <w:ind w:left="567" w:hanging="283"/>
        <w:rPr>
          <w:rFonts w:ascii="Times New Roman" w:hAnsi="Times New Roman" w:cs="Times New Roman"/>
          <w:noProof/>
          <w:sz w:val="24"/>
          <w:szCs w:val="24"/>
        </w:rPr>
      </w:pPr>
      <w:r>
        <w:rPr>
          <w:rFonts w:ascii="Times New Roman" w:hAnsi="Times New Roman"/>
          <w:sz w:val="24"/>
        </w:rPr>
        <w:t>b) ārējie fiziskās drošības pasākumi nosaka aizsargātās platības robežas un atvaira nesankcionētu piekļuvi;</w:t>
      </w:r>
    </w:p>
    <w:p w14:paraId="25DE59A7" w14:textId="7745DD84" w:rsidR="00E14C2A" w:rsidRPr="00E73A9D" w:rsidRDefault="001A7F39" w:rsidP="001A7F39">
      <w:pPr>
        <w:pStyle w:val="ListParagraph"/>
        <w:spacing w:before="120"/>
        <w:ind w:left="567" w:hanging="283"/>
        <w:rPr>
          <w:rFonts w:ascii="Times New Roman" w:hAnsi="Times New Roman" w:cs="Times New Roman"/>
          <w:noProof/>
          <w:sz w:val="24"/>
          <w:szCs w:val="24"/>
        </w:rPr>
      </w:pPr>
      <w:r>
        <w:rPr>
          <w:rFonts w:ascii="Times New Roman" w:hAnsi="Times New Roman"/>
          <w:sz w:val="24"/>
        </w:rPr>
        <w:t>c) nākamais pasākumu līmenis ļauj konstatēt nesankcionētu piekļuvi vai tās mēģinājumu un brīdina apsardzi;</w:t>
      </w:r>
    </w:p>
    <w:p w14:paraId="5E2231E9" w14:textId="0CCBA35C" w:rsidR="00E14C2A" w:rsidRPr="00E73A9D" w:rsidRDefault="001A7F39" w:rsidP="001A7F39">
      <w:pPr>
        <w:pStyle w:val="ListParagraph"/>
        <w:spacing w:before="120"/>
        <w:ind w:left="567" w:hanging="283"/>
        <w:rPr>
          <w:rFonts w:ascii="Times New Roman" w:hAnsi="Times New Roman" w:cs="Times New Roman"/>
          <w:noProof/>
          <w:sz w:val="24"/>
          <w:szCs w:val="24"/>
        </w:rPr>
      </w:pPr>
      <w:r>
        <w:rPr>
          <w:rFonts w:ascii="Times New Roman" w:hAnsi="Times New Roman"/>
          <w:sz w:val="24"/>
        </w:rPr>
        <w:t>d) ar iekšējiem pasākumiem pietiekami ilgi aizkavē iebrucējus līdz brīdim, kad tos spēj aizturēt apsardze. Tādējādi pastāv savstarpēja saistība starp apsardzes reakcijas laiku un iebrucēju aizkavēšanai paredzētajiem fiziskās drošības pasākumiem.</w:t>
      </w:r>
    </w:p>
    <w:p w14:paraId="7A7CCD67" w14:textId="5BFAF07D" w:rsidR="00E14C2A" w:rsidRPr="00E73A9D" w:rsidRDefault="00E14C2A" w:rsidP="001A7F39">
      <w:pPr>
        <w:pStyle w:val="BodyText"/>
        <w:spacing w:before="240"/>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4" behindDoc="0" locked="0" layoutInCell="1" allowOverlap="1" wp14:anchorId="4F725124" wp14:editId="6F9FB02F">
                <wp:simplePos x="0" y="0"/>
                <wp:positionH relativeFrom="page">
                  <wp:posOffset>174695</wp:posOffset>
                </wp:positionH>
                <wp:positionV relativeFrom="page">
                  <wp:posOffset>2945478</wp:posOffset>
                </wp:positionV>
                <wp:extent cx="182880" cy="48031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253ED63E"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F725124" id="Textbox 10" o:spid="_x0000_s1031" type="#_x0000_t202" style="position:absolute;left:0;text-align:left;margin-left:13.75pt;margin-top:231.95pt;width:14.4pt;height:378.2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" filled="f" stroked="f">
                <v:textbox style="layout-flow:vertical;mso-layout-flow-alt:bottom-to-top" inset="0,0,0,0">
                  <w:txbxContent>
                    <w:p w14:paraId="253ED63E"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7. Aprīkojumam, kas nodrošina fizisko drošību (piemēram, videonovērošanas kamerām, ielaušanās atklāšanas sistēmai, seifiem), regulāri veic tehnisko apkopi, lai nodrošinātu tā optimālu darbību. Periodiski jāizvērtē arī atsevišķu drošības pasākumu efektivitāte, kā arī kopējā drošības sistēma. Tas ir īpaši svarīgi gadījumā, ja mainās objekta lietojums vai konkrēti drošības sistēmas elementi. To var panākt, regulāri (parasti – vienu reizi gadā) izmēģinot incidentiem paredzētus reaģēšanas plānus.</w:t>
      </w:r>
    </w:p>
    <w:p w14:paraId="20E0EA1F" w14:textId="2EC68B82" w:rsidR="00E14C2A" w:rsidRPr="00E73A9D" w:rsidRDefault="001A7F39" w:rsidP="001A7F39">
      <w:pPr>
        <w:pStyle w:val="ListParagraph"/>
        <w:tabs>
          <w:tab w:val="left" w:pos="993"/>
        </w:tabs>
        <w:spacing w:before="240"/>
        <w:ind w:left="0"/>
        <w:rPr>
          <w:rFonts w:ascii="Times New Roman" w:hAnsi="Times New Roman" w:cs="Times New Roman"/>
          <w:noProof/>
          <w:sz w:val="24"/>
          <w:szCs w:val="24"/>
        </w:rPr>
      </w:pPr>
      <w:r>
        <w:rPr>
          <w:rFonts w:ascii="Times New Roman" w:hAnsi="Times New Roman"/>
          <w:sz w:val="24"/>
        </w:rPr>
        <w:t xml:space="preserve">8. Vietējā drošības iestāde rūpīgi novērtē visu ar ierakstīšanas un pārraidīšanas funkcijām nodrošinātu elektronisko sistēmu un mobilo ierīču (piemēram, mobilo tālruņu, viedtālruņu un/vai pulksteņu, planšetdatoru, klēpjdatoru, lietu interneta ierīču) klātbūtni zonās, kur glabā, apstrādā vai apspriež NATO klasificēto informāciju. Drošības prasību un vietējo noteikumu </w:t>
      </w:r>
      <w:r>
        <w:rPr>
          <w:rFonts w:ascii="Times New Roman" w:hAnsi="Times New Roman"/>
          <w:sz w:val="24"/>
        </w:rPr>
        <w:lastRenderedPageBreak/>
        <w:t>par mobilo tālruņu lietošanu izstrādāšanai var izmantot atbalsta dokumentu par mobilo ierīču izmantošanu NATO objektos (AC/35-D/1042).</w:t>
      </w:r>
    </w:p>
    <w:p w14:paraId="794CBA65" w14:textId="77777777" w:rsidR="00E14C2A" w:rsidRPr="00E73A9D" w:rsidRDefault="00E14C2A" w:rsidP="001A7F39">
      <w:pPr>
        <w:pStyle w:val="Heading2"/>
        <w:spacing w:before="240"/>
        <w:ind w:left="0"/>
        <w:jc w:val="both"/>
        <w:rPr>
          <w:rFonts w:ascii="Times New Roman" w:hAnsi="Times New Roman" w:cs="Times New Roman"/>
          <w:noProof/>
          <w:sz w:val="24"/>
          <w:szCs w:val="24"/>
        </w:rPr>
      </w:pPr>
      <w:bookmarkStart w:id="6" w:name="_Toc226553693"/>
      <w:bookmarkStart w:id="7" w:name="_Toc234405276"/>
      <w:r>
        <w:rPr>
          <w:rFonts w:ascii="Times New Roman" w:hAnsi="Times New Roman"/>
          <w:sz w:val="24"/>
        </w:rPr>
        <w:t>Drošības zonas</w:t>
      </w:r>
      <w:bookmarkEnd w:id="6"/>
      <w:bookmarkEnd w:id="7"/>
    </w:p>
    <w:p w14:paraId="0F97ACCE" w14:textId="4F461DEE" w:rsidR="00E14C2A" w:rsidRPr="00E73A9D" w:rsidRDefault="001A7F39" w:rsidP="001A7F39">
      <w:pPr>
        <w:pStyle w:val="ListParagraph"/>
        <w:tabs>
          <w:tab w:val="left" w:pos="993"/>
        </w:tabs>
        <w:spacing w:before="120"/>
        <w:ind w:left="0"/>
        <w:rPr>
          <w:rFonts w:ascii="Times New Roman" w:hAnsi="Times New Roman" w:cs="Times New Roman"/>
          <w:noProof/>
          <w:sz w:val="24"/>
          <w:szCs w:val="24"/>
        </w:rPr>
      </w:pPr>
      <w:r>
        <w:rPr>
          <w:rFonts w:ascii="Times New Roman" w:hAnsi="Times New Roman"/>
          <w:sz w:val="24"/>
        </w:rPr>
        <w:t xml:space="preserve">9. Drošības zonas ir zonas, kur glabā, apstrādā vai apspriež informāciju ar </w:t>
      </w:r>
      <w:r>
        <w:rPr>
          <w:rFonts w:ascii="Times New Roman" w:hAnsi="Times New Roman"/>
          <w:i/>
          <w:iCs/>
          <w:sz w:val="24"/>
        </w:rPr>
        <w:t>NATO CONFIDENTIAL</w:t>
      </w:r>
      <w:r>
        <w:rPr>
          <w:rFonts w:ascii="Times New Roman" w:hAnsi="Times New Roman"/>
          <w:sz w:val="24"/>
        </w:rPr>
        <w:t xml:space="preserve"> (</w:t>
      </w:r>
      <w:r>
        <w:rPr>
          <w:rFonts w:ascii="Times New Roman" w:hAnsi="Times New Roman"/>
          <w:i/>
          <w:iCs/>
          <w:sz w:val="24"/>
        </w:rPr>
        <w:t>NC</w:t>
      </w:r>
      <w:r>
        <w:rPr>
          <w:rFonts w:ascii="Times New Roman" w:hAnsi="Times New Roman"/>
          <w:sz w:val="24"/>
        </w:rPr>
        <w:t>) vai augstāku slepenības pakāpi. Turpmākajos punktos izklāstītie noteikumi vienlīdz attiecas – attiecīgā gadījumā – gan uz pastāvīgām drošības zonām, gan pagaidu drošības zonām. Šādas zonas organizē un strukturē tā, lai tās atbilstu kādai no šādām zonām:</w:t>
      </w:r>
    </w:p>
    <w:p w14:paraId="48CD14E8" w14:textId="786A74AB" w:rsidR="00E14C2A" w:rsidRPr="00E73A9D" w:rsidRDefault="00427E10" w:rsidP="001A7F39">
      <w:pPr>
        <w:pStyle w:val="ListParagraph"/>
        <w:spacing w:before="120"/>
        <w:ind w:left="567" w:hanging="283"/>
        <w:rPr>
          <w:rFonts w:ascii="Times New Roman" w:hAnsi="Times New Roman" w:cs="Times New Roman"/>
          <w:noProof/>
          <w:sz w:val="24"/>
          <w:szCs w:val="24"/>
        </w:rPr>
      </w:pPr>
      <w:r>
        <w:rPr>
          <w:rFonts w:ascii="Times New Roman" w:hAnsi="Times New Roman"/>
          <w:sz w:val="24"/>
        </w:rPr>
        <w:t xml:space="preserve">a) NATO I kategorijas drošības zonai: īpaši aizsargājamai zonai, kur informāciju ar </w:t>
      </w:r>
      <w:r>
        <w:rPr>
          <w:rFonts w:ascii="Times New Roman" w:hAnsi="Times New Roman"/>
          <w:i/>
          <w:iCs/>
          <w:sz w:val="24"/>
        </w:rPr>
        <w:t>NC</w:t>
      </w:r>
      <w:r>
        <w:rPr>
          <w:rFonts w:ascii="Times New Roman" w:hAnsi="Times New Roman"/>
          <w:sz w:val="24"/>
        </w:rPr>
        <w:t xml:space="preserve"> un augstāku slepenības pakāpi glabā, apstrādā vai apspriež tādā veidā, ka iekļūšana šajā zonā jebkādos praktiskos nolūkos ir uzskatāma par piekļuvi NATO klasificētajai informācijai; tādējādi nesankcionēta iekļūšana tiktu uzskatīta par drošības pārkāpumu. Šādas zonas var ietvert vadības telpas, sakaru centrus vai arhīva telpas, un tām nepieciešams:</w:t>
      </w:r>
    </w:p>
    <w:p w14:paraId="7EA7D95A" w14:textId="246286AF" w:rsidR="00E14C2A" w:rsidRPr="00E73A9D" w:rsidRDefault="00427E10" w:rsidP="00427E10">
      <w:pPr>
        <w:pStyle w:val="ListParagraph"/>
        <w:spacing w:before="120"/>
        <w:ind w:left="851" w:hanging="283"/>
        <w:rPr>
          <w:rFonts w:ascii="Times New Roman" w:hAnsi="Times New Roman" w:cs="Times New Roman"/>
          <w:noProof/>
          <w:sz w:val="24"/>
          <w:szCs w:val="24"/>
        </w:rPr>
      </w:pPr>
      <w:r>
        <w:rPr>
          <w:rFonts w:ascii="Times New Roman" w:hAnsi="Times New Roman"/>
          <w:sz w:val="24"/>
        </w:rPr>
        <w:t>i) skaidri noteikts un aizsargāts perimetrs, kurā kontrolē visu ienākšanu un iziešanu;</w:t>
      </w:r>
    </w:p>
    <w:p w14:paraId="084A4012" w14:textId="67216092" w:rsidR="00E14C2A" w:rsidRPr="00E73A9D" w:rsidRDefault="00427E10" w:rsidP="00427E10">
      <w:pPr>
        <w:pStyle w:val="ListParagraph"/>
        <w:spacing w:before="120"/>
        <w:ind w:left="851" w:hanging="283"/>
        <w:rPr>
          <w:rFonts w:ascii="Times New Roman" w:hAnsi="Times New Roman" w:cs="Times New Roman"/>
          <w:noProof/>
          <w:sz w:val="24"/>
          <w:szCs w:val="24"/>
        </w:rPr>
      </w:pPr>
      <w:r>
        <w:rPr>
          <w:rFonts w:ascii="Times New Roman" w:hAnsi="Times New Roman"/>
          <w:sz w:val="24"/>
        </w:rPr>
        <w:t>ii) ieejas kontroles sistēma, kas piešķir piekļuvi tikai tām personām, kurām ir atbilstoša pielaide un kuras ir īpaši pilnvarotas</w:t>
      </w:r>
      <w:r>
        <w:rPr>
          <w:rStyle w:val="FootnoteReference"/>
          <w:rFonts w:ascii="Times New Roman" w:hAnsi="Times New Roman" w:cs="Times New Roman"/>
          <w:noProof/>
          <w:sz w:val="24"/>
          <w:szCs w:val="24"/>
        </w:rPr>
        <w:footnoteReference w:customMarkFollows="1" w:id="1"/>
        <w:t>1</w:t>
      </w:r>
      <w:r>
        <w:rPr>
          <w:rFonts w:ascii="Times New Roman" w:hAnsi="Times New Roman"/>
          <w:sz w:val="24"/>
        </w:rPr>
        <w:t xml:space="preserve"> iekļūt šajā zonā;</w:t>
      </w:r>
    </w:p>
    <w:p w14:paraId="49CC165A" w14:textId="2FF87F69" w:rsidR="00E14C2A" w:rsidRPr="00427E10" w:rsidRDefault="00427E10" w:rsidP="00427E10">
      <w:pPr>
        <w:pStyle w:val="ListParagraph"/>
        <w:spacing w:before="120"/>
        <w:ind w:left="851" w:hanging="283"/>
        <w:rPr>
          <w:rFonts w:ascii="Times New Roman" w:hAnsi="Times New Roman" w:cs="Times New Roman"/>
          <w:noProof/>
          <w:sz w:val="24"/>
          <w:szCs w:val="24"/>
        </w:rPr>
      </w:pPr>
      <w:r>
        <w:rPr>
          <w:rFonts w:ascii="Times New Roman" w:hAnsi="Times New Roman"/>
          <w:sz w:val="24"/>
        </w:rPr>
        <w:t xml:space="preserve">iii) zonā parasti glabātās informācijas, t. i., informācijas, kurai šajā zonā var piekļūt, slepenības pakāpes un kategorijas (piemēram, </w:t>
      </w:r>
      <w:r>
        <w:rPr>
          <w:rFonts w:ascii="Times New Roman" w:hAnsi="Times New Roman"/>
          <w:i/>
          <w:iCs/>
          <w:sz w:val="24"/>
        </w:rPr>
        <w:t>ATOMAL</w:t>
      </w:r>
      <w:r>
        <w:rPr>
          <w:rFonts w:ascii="Times New Roman" w:hAnsi="Times New Roman"/>
          <w:sz w:val="24"/>
        </w:rPr>
        <w:t xml:space="preserve">, </w:t>
      </w:r>
      <w:r>
        <w:rPr>
          <w:rFonts w:ascii="Times New Roman" w:hAnsi="Times New Roman"/>
          <w:i/>
          <w:iCs/>
          <w:sz w:val="24"/>
        </w:rPr>
        <w:t>BOHEMIA</w:t>
      </w:r>
      <w:r>
        <w:rPr>
          <w:rFonts w:ascii="Times New Roman" w:hAnsi="Times New Roman"/>
          <w:sz w:val="24"/>
        </w:rPr>
        <w:t>) noteikšana un</w:t>
      </w:r>
    </w:p>
    <w:p w14:paraId="35825EBA" w14:textId="1B12191D" w:rsidR="00E14C2A" w:rsidRPr="00E73A9D" w:rsidRDefault="00427E10" w:rsidP="00427E10">
      <w:pPr>
        <w:pStyle w:val="ListParagraph"/>
        <w:spacing w:before="120"/>
        <w:ind w:left="851" w:hanging="283"/>
        <w:rPr>
          <w:rFonts w:ascii="Times New Roman" w:hAnsi="Times New Roman" w:cs="Times New Roman"/>
          <w:noProof/>
          <w:sz w:val="24"/>
          <w:szCs w:val="24"/>
        </w:rPr>
      </w:pPr>
      <w:r>
        <w:rPr>
          <w:rFonts w:ascii="Times New Roman" w:hAnsi="Times New Roman"/>
          <w:sz w:val="24"/>
        </w:rPr>
        <w:t>iv) skaidra norāde, ka iekļūšanai šādās zonās nepieciešama vietējās drošības iestādes izsniegta īpaša atļauja. Šādā norādē var ietvert attiecīgās zonas slepenības pakāpi un/vai sensitivitātes pakāpi;</w:t>
      </w:r>
    </w:p>
    <w:p w14:paraId="6578CBDA" w14:textId="03232742" w:rsidR="00E14C2A" w:rsidRPr="00E73A9D" w:rsidRDefault="00427E10" w:rsidP="001A7F39">
      <w:pPr>
        <w:pStyle w:val="ListParagraph"/>
        <w:spacing w:before="120"/>
        <w:ind w:left="567" w:hanging="283"/>
        <w:rPr>
          <w:rFonts w:ascii="Times New Roman" w:hAnsi="Times New Roman" w:cs="Times New Roman"/>
          <w:noProof/>
          <w:sz w:val="24"/>
          <w:szCs w:val="24"/>
        </w:rPr>
      </w:pPr>
      <w:r>
        <w:rPr>
          <w:rFonts w:ascii="Times New Roman" w:hAnsi="Times New Roman"/>
          <w:sz w:val="24"/>
        </w:rPr>
        <w:t xml:space="preserve">b) NATO II kategorijas drošības zonai: zonai, kur informāciju ar </w:t>
      </w:r>
      <w:r>
        <w:rPr>
          <w:rFonts w:ascii="Times New Roman" w:hAnsi="Times New Roman"/>
          <w:i/>
          <w:iCs/>
          <w:sz w:val="24"/>
        </w:rPr>
        <w:t>NC</w:t>
      </w:r>
      <w:r>
        <w:rPr>
          <w:rFonts w:ascii="Times New Roman" w:hAnsi="Times New Roman"/>
          <w:sz w:val="24"/>
        </w:rPr>
        <w:t xml:space="preserve"> un augstāku slepenības pakāpi glabā, apstrādā vai apspriež tādā veidā, ka to var aizsargāt pret nesankcionētu personu piekļuvi, izmantojot iekšēji izveidotus kontroles mehānismus. Šādās zonās var ietilpt darba telpas vai sanāksmju telpas, kur glabā, apstrādā vai apspriež NATO klasificēto informāciju. Šīm zonām ir nepieciešams:</w:t>
      </w:r>
    </w:p>
    <w:p w14:paraId="66315292" w14:textId="3736D8E9" w:rsidR="00E14C2A" w:rsidRPr="00E73A9D" w:rsidRDefault="00427E10" w:rsidP="00427E10">
      <w:pPr>
        <w:pStyle w:val="ListParagraph"/>
        <w:spacing w:before="120"/>
        <w:ind w:left="851" w:hanging="283"/>
        <w:rPr>
          <w:rFonts w:ascii="Times New Roman" w:hAnsi="Times New Roman" w:cs="Times New Roman"/>
          <w:noProof/>
          <w:sz w:val="24"/>
          <w:szCs w:val="24"/>
        </w:rPr>
      </w:pPr>
      <w:r>
        <w:rPr>
          <w:rFonts w:ascii="Times New Roman" w:hAnsi="Times New Roman"/>
          <w:sz w:val="24"/>
        </w:rPr>
        <w:t>i) skaidri noteikts un aizsargāts perimetrs, kurā kontrolē visu ienākšanu un iziešanu;</w:t>
      </w:r>
    </w:p>
    <w:p w14:paraId="4DF334A2" w14:textId="46CAF168" w:rsidR="00E14C2A" w:rsidRPr="00E73A9D" w:rsidRDefault="00E14C2A" w:rsidP="00427E10">
      <w:pPr>
        <w:pStyle w:val="ListParagraph"/>
        <w:spacing w:before="120"/>
        <w:ind w:left="851" w:hanging="283"/>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5" behindDoc="0" locked="0" layoutInCell="1" allowOverlap="1" wp14:anchorId="354CEA9F" wp14:editId="62D1947A">
                <wp:simplePos x="0" y="0"/>
                <wp:positionH relativeFrom="page">
                  <wp:posOffset>174695</wp:posOffset>
                </wp:positionH>
                <wp:positionV relativeFrom="page">
                  <wp:posOffset>2945478</wp:posOffset>
                </wp:positionV>
                <wp:extent cx="182880" cy="48031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76ADD313"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354CEA9F" id="Textbox 12" o:spid="_x0000_s1032" type="#_x0000_t202" style="position:absolute;left:0;text-align:left;margin-left:13.75pt;margin-top:231.95pt;width:14.4pt;height:378.2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Ds&#10;PeJLoQEAADEDAAAOAAAAAAAAAAAAAAAAAC4CAABkcnMvZTJvRG9jLnhtbFBLAQItABQABgAIAAAA&#10;IQCVp3Lb3gAAAAoBAAAPAAAAAAAAAAAAAAAAAPsDAABkcnMvZG93bnJldi54bWxQSwUGAAAAAAQA&#10;BADzAAAABgUAAAAA&#10;" filled="f" stroked="f">
                <v:textbox style="layout-flow:vertical;mso-layout-flow-alt:bottom-to-top" inset="0,0,0,0">
                  <w:txbxContent>
                    <w:p w14:paraId="76ADD313"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ii) ieejas kontroles sistēma, kas sniedz brīvu piekļuvi tikai tām personām, kurām ir piešķirta speciālā pielaide un kuras ir pilnvarotas iekļūt šajā zonā, vai</w:t>
      </w:r>
    </w:p>
    <w:p w14:paraId="0636F99B" w14:textId="17EB81ED" w:rsidR="00E14C2A" w:rsidRPr="00E73A9D" w:rsidRDefault="00427E10" w:rsidP="00427E10">
      <w:pPr>
        <w:pStyle w:val="ListParagraph"/>
        <w:spacing w:before="120"/>
        <w:ind w:left="851" w:hanging="283"/>
        <w:rPr>
          <w:rFonts w:ascii="Times New Roman" w:hAnsi="Times New Roman" w:cs="Times New Roman"/>
          <w:noProof/>
          <w:sz w:val="24"/>
          <w:szCs w:val="24"/>
        </w:rPr>
      </w:pPr>
      <w:r>
        <w:rPr>
          <w:rFonts w:ascii="Times New Roman" w:hAnsi="Times New Roman"/>
          <w:sz w:val="24"/>
        </w:rPr>
        <w:t>iii) pavadīšanas mehānisms vai līdzvērtīgs kontroles mehānisms attiecībā uz personām, kas neatbilst iepriekš b) apakšpunkta ii) punktā izklāstītajiem kritērijiem, lai novērstu nesankcionētu piekļuvi NATO klasificētajai informācijai un nekontrolētu piekļuvi zonām, kas ir īpaši aizsargātas pret tehniskiem uzbrukumiem, slepenu noklausīšanos un netīšu noklausīšanos.</w:t>
      </w:r>
    </w:p>
    <w:p w14:paraId="06125F1E" w14:textId="27DF1119" w:rsidR="00E14C2A" w:rsidRPr="00E73A9D" w:rsidRDefault="00427E10" w:rsidP="00427E1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10. Attiecībā uz visām drošības zonām (piemēram, birojiem, sanāksmju un apspriežu telpām, tehniski drošām zonām u. c.), kur apspriež NATO klasificēto informāciju, periodiski izvērtē netīšas noklausīšanās riskus. Ja attiecīgā drošības iestāde konstatē, ka šādi riski pastāv, slepenām apspriedēm ir jābūt aizliegtām vai jāpiemēro atbilstoši korektīvi procesuāli pasākumi (piemēram, slepenām apspriedēm paredzētu sanāksmju telpu noteikšana) vai tehniski pasākumi (piemēram, sienu, durvju un griestu aprīkošana ar skaņas izolāciju, skaņas slāpēšanas sistēmu uzstādīšana u. c.).</w:t>
      </w:r>
    </w:p>
    <w:p w14:paraId="32AF3D0D" w14:textId="25B5583A" w:rsidR="00E14C2A" w:rsidRPr="00E73A9D" w:rsidRDefault="00427E10" w:rsidP="00427E1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lastRenderedPageBreak/>
        <w:t>11. Drošības zonas, kurās dežūrpersonāls neuzturas 24 stundas diennaktī, apskata nekavējoties pēc parastā darbalaika beigām, lai pārliecinātos, ka tās ir pienācīgi aizsargātas, ja vien šim nolūkam nav aktivizēta ielaušanās atklāšanas sistēma.</w:t>
      </w:r>
    </w:p>
    <w:p w14:paraId="4BEC9AB7" w14:textId="7FB4124A" w:rsidR="00E14C2A" w:rsidRPr="00E73A9D" w:rsidRDefault="00427E10" w:rsidP="00427E1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12. Iekļūšanu I vai II klases drošības zonās kontrolē, izmantojot atbilstošu piekļuves kontroli (piemēram, caurlaižu vai personu atpazīšanas sistēmu) attiecībā uz pastāvīgo personālu.</w:t>
      </w:r>
    </w:p>
    <w:p w14:paraId="4EF836AC" w14:textId="77777777" w:rsidR="00E14C2A" w:rsidRPr="00E73A9D" w:rsidRDefault="00E14C2A" w:rsidP="00427E10">
      <w:pPr>
        <w:pStyle w:val="Heading2"/>
        <w:spacing w:before="240"/>
        <w:ind w:left="0"/>
        <w:rPr>
          <w:rFonts w:ascii="Times New Roman" w:hAnsi="Times New Roman" w:cs="Times New Roman"/>
          <w:noProof/>
          <w:sz w:val="24"/>
          <w:szCs w:val="24"/>
        </w:rPr>
      </w:pPr>
      <w:bookmarkStart w:id="8" w:name="_Toc226553694"/>
      <w:bookmarkStart w:id="9" w:name="_Toc234405277"/>
      <w:r>
        <w:rPr>
          <w:rFonts w:ascii="Times New Roman" w:hAnsi="Times New Roman"/>
          <w:sz w:val="24"/>
        </w:rPr>
        <w:t>Administratīvā zona</w:t>
      </w:r>
      <w:bookmarkEnd w:id="8"/>
      <w:bookmarkEnd w:id="9"/>
    </w:p>
    <w:p w14:paraId="2356364F" w14:textId="08BA18EE" w:rsidR="00E14C2A" w:rsidRPr="00E73A9D" w:rsidRDefault="00427E10" w:rsidP="00427E10">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 xml:space="preserve">13. Administratīvo zonu izveido ap NATO I vai II klases drošības zonām vai ceļā uz tām. Administratīvajās zonās drīkst glabāt, apstrādāt un apspriest tikai informāciju ar </w:t>
      </w:r>
      <w:r>
        <w:rPr>
          <w:rFonts w:ascii="Times New Roman" w:hAnsi="Times New Roman"/>
          <w:i/>
          <w:iCs/>
          <w:sz w:val="24"/>
        </w:rPr>
        <w:t>NATO RESTRICTED</w:t>
      </w:r>
      <w:r>
        <w:rPr>
          <w:rFonts w:ascii="Times New Roman" w:hAnsi="Times New Roman"/>
          <w:sz w:val="24"/>
        </w:rPr>
        <w:t xml:space="preserve"> (</w:t>
      </w:r>
      <w:r>
        <w:rPr>
          <w:rFonts w:ascii="Times New Roman" w:hAnsi="Times New Roman"/>
          <w:i/>
          <w:iCs/>
          <w:sz w:val="24"/>
        </w:rPr>
        <w:t>NR</w:t>
      </w:r>
      <w:r>
        <w:rPr>
          <w:rFonts w:ascii="Times New Roman" w:hAnsi="Times New Roman"/>
          <w:sz w:val="24"/>
        </w:rPr>
        <w:t>) slepenības pakāpi. Šādām zonām nepieciešams vizuāli nosakāms perimetrs, kurā pastāv personu un transportlīdzekļu kontroles iespēja. Tomēr personu pavadīšana nav nepieciešama.</w:t>
      </w:r>
    </w:p>
    <w:p w14:paraId="3D6E35AA" w14:textId="77777777" w:rsidR="00E14C2A" w:rsidRPr="00E73A9D" w:rsidRDefault="00E14C2A" w:rsidP="00427E10">
      <w:pPr>
        <w:pStyle w:val="Heading2"/>
        <w:spacing w:before="240"/>
        <w:ind w:left="0"/>
        <w:rPr>
          <w:rFonts w:ascii="Times New Roman" w:hAnsi="Times New Roman" w:cs="Times New Roman"/>
          <w:noProof/>
          <w:sz w:val="24"/>
          <w:szCs w:val="24"/>
        </w:rPr>
      </w:pPr>
      <w:bookmarkStart w:id="10" w:name="_Toc226553695"/>
      <w:bookmarkStart w:id="11" w:name="_Toc234405278"/>
      <w:r>
        <w:rPr>
          <w:rFonts w:ascii="Times New Roman" w:hAnsi="Times New Roman"/>
          <w:sz w:val="24"/>
        </w:rPr>
        <w:t>Tehniski drošas zonas</w:t>
      </w:r>
      <w:bookmarkEnd w:id="10"/>
      <w:bookmarkEnd w:id="11"/>
    </w:p>
    <w:p w14:paraId="480D80BE" w14:textId="19EB9030" w:rsidR="00E14C2A" w:rsidRPr="00E73A9D" w:rsidRDefault="00427E10" w:rsidP="00427E10">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14. Pastāvīgas vai pagaidu tehniski drošās zonas ir zonas</w:t>
      </w:r>
      <w:r>
        <w:rPr>
          <w:rFonts w:ascii="Times New Roman" w:hAnsi="Times New Roman"/>
          <w:b/>
          <w:bCs/>
          <w:sz w:val="24"/>
        </w:rPr>
        <w:t>,</w:t>
      </w:r>
      <w:r>
        <w:rPr>
          <w:rFonts w:ascii="Times New Roman" w:hAnsi="Times New Roman"/>
          <w:sz w:val="24"/>
        </w:rPr>
        <w:t xml:space="preserve"> kas ir norādītas kā zonas, kurām nepieciešama aizsardzība pret tehniskiem uzbrukumiem un slepenu noklausīšanos.</w:t>
      </w:r>
    </w:p>
    <w:p w14:paraId="4910C586" w14:textId="1E5EF51B" w:rsidR="00E14C2A" w:rsidRPr="00E73A9D" w:rsidRDefault="00427E10" w:rsidP="00427E10">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15. Tehniski drošajām zonām regulāri veic fiziskās un tehniskās</w:t>
      </w:r>
      <w:r>
        <w:rPr>
          <w:rStyle w:val="FootnoteReference"/>
          <w:rFonts w:ascii="Times New Roman" w:hAnsi="Times New Roman" w:cs="Times New Roman"/>
          <w:noProof/>
          <w:sz w:val="24"/>
          <w:szCs w:val="24"/>
        </w:rPr>
        <w:footnoteReference w:customMarkFollows="1" w:id="2"/>
        <w:t>2</w:t>
      </w:r>
      <w:r>
        <w:rPr>
          <w:rFonts w:ascii="Times New Roman" w:hAnsi="Times New Roman"/>
          <w:sz w:val="24"/>
        </w:rPr>
        <w:t xml:space="preserve"> pārbaudes un iekļūšanu šādās zonās stingri kontrolē. Lai nodrošinātu aizsardzību pret tehniskiem uzbrukumiem un slepenu noklausīšanos, piemēro šādus pasākumus:</w:t>
      </w:r>
    </w:p>
    <w:p w14:paraId="237690FB" w14:textId="3DEED097" w:rsidR="00E14C2A" w:rsidRPr="00E73A9D" w:rsidRDefault="00427E10" w:rsidP="00427E10">
      <w:pPr>
        <w:pStyle w:val="ListParagraph"/>
        <w:tabs>
          <w:tab w:val="left" w:pos="1557"/>
          <w:tab w:val="left" w:pos="1559"/>
        </w:tabs>
        <w:spacing w:before="120"/>
        <w:ind w:left="567" w:hanging="283"/>
        <w:rPr>
          <w:rFonts w:ascii="Times New Roman" w:hAnsi="Times New Roman" w:cs="Times New Roman"/>
          <w:noProof/>
          <w:sz w:val="24"/>
          <w:szCs w:val="24"/>
        </w:rPr>
      </w:pPr>
      <w:r>
        <w:rPr>
          <w:rFonts w:ascii="Times New Roman" w:hAnsi="Times New Roman"/>
          <w:sz w:val="24"/>
        </w:rPr>
        <w:t>a) ievieš atbilstoša līmeņa fiziskās un tehniskās drošības pasākumus, lai nodrošinātu riskā balstītu piekļuves kontroli. Atbildība par riska noteikšanu ir sadalīta starp atbilstošiem tehniskajiem speciālistiem un drošības iestādi, kas konsultē riska īpašnieku par lēmumu/apstiprinājumu;</w:t>
      </w:r>
    </w:p>
    <w:p w14:paraId="619DB130" w14:textId="5661FDD7" w:rsidR="00E14C2A" w:rsidRPr="00E73A9D" w:rsidRDefault="00E14C2A" w:rsidP="00427E10">
      <w:pPr>
        <w:pStyle w:val="BodyText"/>
        <w:spacing w:before="120"/>
        <w:ind w:left="567" w:hanging="283"/>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6" behindDoc="0" locked="0" layoutInCell="1" allowOverlap="1" wp14:anchorId="5F7A9034" wp14:editId="7BFB15D8">
                <wp:simplePos x="0" y="0"/>
                <wp:positionH relativeFrom="page">
                  <wp:posOffset>174695</wp:posOffset>
                </wp:positionH>
                <wp:positionV relativeFrom="page">
                  <wp:posOffset>2945478</wp:posOffset>
                </wp:positionV>
                <wp:extent cx="182880" cy="48031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058775D8"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5F7A9034" id="Textbox 14" o:spid="_x0000_s1033" type="#_x0000_t202" style="position:absolute;left:0;text-align:left;margin-left:13.75pt;margin-top:231.95pt;width:14.4pt;height:378.2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BA&#10;aXi7oQEAADEDAAAOAAAAAAAAAAAAAAAAAC4CAABkcnMvZTJvRG9jLnhtbFBLAQItABQABgAIAAAA&#10;IQCVp3Lb3gAAAAoBAAAPAAAAAAAAAAAAAAAAAPsDAABkcnMvZG93bnJldi54bWxQSwUGAAAAAAQA&#10;BADzAAAABgUAAAAA&#10;" filled="f" stroked="f">
                <v:textbox style="layout-flow:vertical;mso-layout-flow-alt:bottom-to-top" inset="0,0,0,0">
                  <w:txbxContent>
                    <w:p w14:paraId="058775D8"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b) kad šādās zonās nav nevienas personas, tās aizslēdz un/vai apsargā, un uzskata, ka visas atslēgas ir drošības atslēgas</w:t>
      </w:r>
      <w:r>
        <w:rPr>
          <w:rStyle w:val="FootnoteReference"/>
          <w:rFonts w:ascii="Times New Roman" w:hAnsi="Times New Roman" w:cs="Times New Roman"/>
          <w:noProof/>
          <w:sz w:val="24"/>
          <w:szCs w:val="24"/>
        </w:rPr>
        <w:footnoteReference w:customMarkFollows="1" w:id="3"/>
        <w:t>3</w:t>
      </w:r>
      <w:r>
        <w:rPr>
          <w:rFonts w:ascii="Times New Roman" w:hAnsi="Times New Roman"/>
          <w:sz w:val="24"/>
        </w:rPr>
        <w:t>. Veic regulāras fiziskas un/vai tehniskas pārbaudes saskaņā ar attiecīgās drošības iestādes prasībām. Šādas pārbaudes veic arī pēc nesankcionētas iekļūšanas vai aizdomām par šādu iekļūšanu, kā arī pēc nepiederoša personāla iekļūšanas (piemēram, kas veic uzturēšanas, iekārtošanas darbus);</w:t>
      </w:r>
    </w:p>
    <w:p w14:paraId="79A35666" w14:textId="56635A4F" w:rsidR="00E14C2A" w:rsidRPr="00E73A9D" w:rsidRDefault="00427E10" w:rsidP="00427E10">
      <w:pPr>
        <w:pStyle w:val="ListParagraph"/>
        <w:tabs>
          <w:tab w:val="left" w:pos="1557"/>
          <w:tab w:val="left" w:pos="1559"/>
        </w:tabs>
        <w:spacing w:before="120"/>
        <w:ind w:left="567" w:hanging="283"/>
        <w:rPr>
          <w:rFonts w:ascii="Times New Roman" w:hAnsi="Times New Roman" w:cs="Times New Roman"/>
          <w:noProof/>
          <w:sz w:val="24"/>
          <w:szCs w:val="24"/>
        </w:rPr>
      </w:pPr>
      <w:r>
        <w:rPr>
          <w:rFonts w:ascii="Times New Roman" w:hAnsi="Times New Roman"/>
          <w:sz w:val="24"/>
        </w:rPr>
        <w:t>c) šajā zonā neatļauj ienest nevienu priekšmetu, interjera elementu vai aprīkojumu, kamēr apmācīts drošības personāls nav rūpīgi pārbaudījis, vai tas nesatur slepenas noklausīšanās ierīces. Uztur atbilstošu dokumentāciju par priekšmetiem, interjera elementiem un aprīkojumu, ko ienes šajās zonās un iznes no tām;</w:t>
      </w:r>
    </w:p>
    <w:p w14:paraId="0A3690B4" w14:textId="439FB525" w:rsidR="00E14C2A" w:rsidRPr="00E73A9D" w:rsidRDefault="00427E10" w:rsidP="00427E10">
      <w:pPr>
        <w:pStyle w:val="ListParagraph"/>
        <w:tabs>
          <w:tab w:val="left" w:pos="1557"/>
          <w:tab w:val="left" w:pos="1559"/>
        </w:tabs>
        <w:spacing w:before="120"/>
        <w:ind w:left="567" w:hanging="283"/>
        <w:rPr>
          <w:rFonts w:ascii="Times New Roman" w:hAnsi="Times New Roman" w:cs="Times New Roman"/>
          <w:noProof/>
          <w:sz w:val="24"/>
          <w:szCs w:val="24"/>
        </w:rPr>
      </w:pPr>
      <w:r>
        <w:rPr>
          <w:rFonts w:ascii="Times New Roman" w:hAnsi="Times New Roman"/>
          <w:sz w:val="24"/>
        </w:rPr>
        <w:t>d) aizliedz jebkādu ar ierakstīšanas un/vai pārraidīšanas funkcijām aprīkotu elektronisko sistēmu un mobilo ierīču (piemēram, mobilo tālruņu, viedtālruņu un/vai pulksteņu, planšetdatoru, klēpjdatoru, lietu interneta ierīču) klātbūtni;</w:t>
      </w:r>
    </w:p>
    <w:p w14:paraId="6A59F06D" w14:textId="265E2AC9" w:rsidR="00E14C2A" w:rsidRPr="00E73A9D" w:rsidRDefault="00427E10" w:rsidP="00427E10">
      <w:pPr>
        <w:pStyle w:val="ListParagraph"/>
        <w:tabs>
          <w:tab w:val="left" w:pos="1557"/>
          <w:tab w:val="left" w:pos="1559"/>
        </w:tabs>
        <w:spacing w:before="120"/>
        <w:ind w:left="567" w:hanging="283"/>
        <w:rPr>
          <w:rFonts w:ascii="Times New Roman" w:hAnsi="Times New Roman" w:cs="Times New Roman"/>
          <w:noProof/>
          <w:sz w:val="24"/>
          <w:szCs w:val="24"/>
        </w:rPr>
      </w:pPr>
      <w:r>
        <w:rPr>
          <w:rFonts w:ascii="Times New Roman" w:hAnsi="Times New Roman"/>
          <w:sz w:val="24"/>
        </w:rPr>
        <w:t>e) šādās zonās parasti neuzstāda tālruņus un citas videokonferenču ierīces. Ja tomēr to uzstādīšana nav novēršama, tās fiziski atvieno slepenu apspriežu laikā. Tas neattiecas uz atbilstoši uzstādītām un apstiprinātām sakaru ierīcēm (piemēram, uz slepenām tālruņu līnijām, videokonferenču aprīkojumu).</w:t>
      </w:r>
    </w:p>
    <w:p w14:paraId="66FA9A46" w14:textId="77777777" w:rsidR="00E14C2A" w:rsidRPr="00E73A9D" w:rsidRDefault="00E14C2A" w:rsidP="00381E3B">
      <w:pPr>
        <w:pStyle w:val="Heading1"/>
        <w:keepNext/>
        <w:keepLines/>
        <w:spacing w:before="240"/>
        <w:ind w:left="0"/>
        <w:rPr>
          <w:noProof/>
          <w:sz w:val="24"/>
          <w:szCs w:val="24"/>
        </w:rPr>
      </w:pPr>
      <w:bookmarkStart w:id="12" w:name="_Toc226553696"/>
      <w:bookmarkStart w:id="13" w:name="_Toc234405279"/>
      <w:r>
        <w:rPr>
          <w:sz w:val="24"/>
        </w:rPr>
        <w:lastRenderedPageBreak/>
        <w:t>KONKRĒTI FIZISKĀS DROŠĪBAS PASĀKUMI</w:t>
      </w:r>
      <w:bookmarkEnd w:id="12"/>
      <w:bookmarkEnd w:id="13"/>
    </w:p>
    <w:p w14:paraId="36FD6AB0" w14:textId="1F9E8256" w:rsidR="00E14C2A" w:rsidRPr="00E73A9D" w:rsidRDefault="00427E10" w:rsidP="00381E3B">
      <w:pPr>
        <w:pStyle w:val="ListParagraph"/>
        <w:keepNext/>
        <w:keepLines/>
        <w:tabs>
          <w:tab w:val="left" w:pos="991"/>
        </w:tabs>
        <w:spacing w:before="120"/>
        <w:ind w:left="0"/>
        <w:rPr>
          <w:rFonts w:ascii="Times New Roman" w:hAnsi="Times New Roman" w:cs="Times New Roman"/>
          <w:noProof/>
          <w:sz w:val="24"/>
          <w:szCs w:val="24"/>
        </w:rPr>
      </w:pPr>
      <w:r>
        <w:rPr>
          <w:rFonts w:ascii="Times New Roman" w:hAnsi="Times New Roman"/>
          <w:sz w:val="24"/>
        </w:rPr>
        <w:t>16. Šajā punktā ir sniegta informācija par dažādiem konkrētiem fiziskas drošības pasākumiem (piemēram, perimetru, durvīm, slēdzenēm), tehniskas drošības līdzekļiem (piemēram, ielaušanās atklāšanas sistēmu, videonovērošanas kamerām) un procedūrām (piemēram, apmeklētāju kontroli, atslēgu kontroli, biroja telpu atdalīšanu) un par to, kā tie var uzlabot organizācijas vai objekta drošības sistēmu.</w:t>
      </w:r>
    </w:p>
    <w:p w14:paraId="23F2804A" w14:textId="77777777" w:rsidR="00E14C2A" w:rsidRPr="00E73A9D" w:rsidRDefault="00E14C2A" w:rsidP="001F24AB">
      <w:pPr>
        <w:pStyle w:val="Heading2"/>
        <w:spacing w:before="240"/>
        <w:ind w:left="0"/>
        <w:rPr>
          <w:rFonts w:ascii="Times New Roman" w:hAnsi="Times New Roman" w:cs="Times New Roman"/>
          <w:noProof/>
          <w:sz w:val="24"/>
          <w:szCs w:val="24"/>
        </w:rPr>
      </w:pPr>
      <w:bookmarkStart w:id="14" w:name="_Toc226553697"/>
      <w:bookmarkStart w:id="15" w:name="_Toc234405280"/>
      <w:r>
        <w:rPr>
          <w:rFonts w:ascii="Times New Roman" w:hAnsi="Times New Roman"/>
          <w:sz w:val="24"/>
        </w:rPr>
        <w:t>Perimetrs</w:t>
      </w:r>
      <w:bookmarkEnd w:id="14"/>
      <w:bookmarkEnd w:id="15"/>
    </w:p>
    <w:p w14:paraId="29304C62" w14:textId="56AF9A9F" w:rsidR="00E14C2A" w:rsidRPr="00E73A9D" w:rsidRDefault="00427E10" w:rsidP="001F24AB">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17. Perimetrs veido fizisku barjeru un nosaka tās zonas robežu, kam nepieciešama drošības aizsardzība.</w:t>
      </w:r>
    </w:p>
    <w:p w14:paraId="3BB60628" w14:textId="4FD09F5F" w:rsidR="00E14C2A" w:rsidRPr="00E73A9D" w:rsidRDefault="00427E10" w:rsidP="00326A2E">
      <w:pPr>
        <w:pStyle w:val="ListParagraph"/>
        <w:tabs>
          <w:tab w:val="left" w:pos="993"/>
        </w:tabs>
        <w:spacing w:before="240"/>
        <w:ind w:left="0"/>
        <w:rPr>
          <w:rFonts w:ascii="Times New Roman" w:hAnsi="Times New Roman" w:cs="Times New Roman"/>
          <w:noProof/>
          <w:sz w:val="24"/>
          <w:szCs w:val="24"/>
        </w:rPr>
      </w:pPr>
      <w:r>
        <w:rPr>
          <w:rFonts w:ascii="Times New Roman" w:hAnsi="Times New Roman"/>
          <w:sz w:val="24"/>
        </w:rPr>
        <w:t>18. Perimetru izmanto tam, lai:</w:t>
      </w:r>
    </w:p>
    <w:p w14:paraId="511704DF" w14:textId="52795F96" w:rsidR="00E14C2A" w:rsidRPr="00E73A9D" w:rsidRDefault="001F24AB" w:rsidP="001F24AB">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a) izveidotu fizisku un psiholoģisku atvairošu līdzekli attiecībā uz nejaušu iekļūšanu zonā;</w:t>
      </w:r>
    </w:p>
    <w:p w14:paraId="7B22BEC4" w14:textId="5AE0BCDE" w:rsidR="00E14C2A" w:rsidRPr="00E73A9D" w:rsidRDefault="001F24AB" w:rsidP="001F24AB">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b) atvairītu nesankcionētu iekļūšanu ar atklātiem un slēptiem līdzekļiem;</w:t>
      </w:r>
    </w:p>
    <w:p w14:paraId="7EFD6AA6" w14:textId="312F19A1" w:rsidR="00E14C2A" w:rsidRPr="00E73A9D" w:rsidRDefault="001F24AB" w:rsidP="001F24AB">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c) aizkavētu ielaušanos zonā, lai dotu apsardzei vai drošības spēkiem pietiekamu laiku reaģēt uz to, un</w:t>
      </w:r>
    </w:p>
    <w:p w14:paraId="5AF14F79" w14:textId="27B0B765" w:rsidR="00E14C2A" w:rsidRPr="00E73A9D" w:rsidRDefault="001F24AB" w:rsidP="001F24AB">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d) atvieglotu identificēšanas un kontroles procedūras, novirzot pilnvarotu personu un transportlīdzekļu plūsmu caur pastāvīgiem ieejas punktiem.</w:t>
      </w:r>
    </w:p>
    <w:p w14:paraId="743F9512" w14:textId="30AA9AEF" w:rsidR="00E14C2A" w:rsidRPr="00E73A9D" w:rsidRDefault="00E14C2A" w:rsidP="001F24AB">
      <w:pPr>
        <w:pStyle w:val="BodyText"/>
        <w:spacing w:before="240"/>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7" behindDoc="0" locked="0" layoutInCell="1" allowOverlap="1" wp14:anchorId="7D2994DF" wp14:editId="3F413176">
                <wp:simplePos x="0" y="0"/>
                <wp:positionH relativeFrom="page">
                  <wp:posOffset>174695</wp:posOffset>
                </wp:positionH>
                <wp:positionV relativeFrom="page">
                  <wp:posOffset>2945478</wp:posOffset>
                </wp:positionV>
                <wp:extent cx="182880" cy="48031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38C08F59"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7D2994DF" id="Textbox 16" o:spid="_x0000_s1034" type="#_x0000_t202" style="position:absolute;left:0;text-align:left;margin-left:13.75pt;margin-top:231.95pt;width:14.4pt;height:378.2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rsoQEAADE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tbzOU8x/ttAdSQutI2HluPpA3UeabsvxeS+j5mz45sm+&#10;vAqnQzwdtqdDTMNnKAuTFXr4uE9gbOFzaTPzobkUmvMO5cH/fS9Vl03f/AE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Cj&#10;cDrsoQEAADEDAAAOAAAAAAAAAAAAAAAAAC4CAABkcnMvZTJvRG9jLnhtbFBLAQItABQABgAIAAAA&#10;IQCVp3Lb3gAAAAoBAAAPAAAAAAAAAAAAAAAAAPsDAABkcnMvZG93bnJldi54bWxQSwUGAAAAAAQA&#10;BADzAAAABgUAAAAA&#10;" filled="f" stroked="f">
                <v:textbox style="layout-flow:vertical;mso-layout-flow-alt:bottom-to-top" inset="0,0,0,0">
                  <w:txbxContent>
                    <w:p w14:paraId="38C08F59"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19. Perimetra žoga nodrošinātais aizsardzības līmenis ir atkarīgs no tā konstrukcijas, būvniecības materiāliem, augstuma, pamatu veida un dziļuma un no jebkādiem papildu drošības elementiem, kas izmantoti, lai uzlabotu tā darbību un efektivitāti (piemēram, no tā augšējās daļas, perimetra ielaušanās atklāšanas sistēmas, apgaismojuma un videonovērošanas kamerām). Dažām ēkām var nebūt perimetra žogu, bet gan citas barjeras un infrastruktūra, kas funkcionē kā fiziska barjera.</w:t>
      </w:r>
    </w:p>
    <w:p w14:paraId="4646C08F" w14:textId="07224919" w:rsidR="00E14C2A" w:rsidRPr="00E73A9D" w:rsidRDefault="001F24AB" w:rsidP="001F24AB">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20. Perimetra barjera spēj vienīgi aizkavēt apņēmības pilnu iebrucēju uz īsu laika posmu, tāpēc tā ir jāpapildina ar ielaušanās atklāšanas sistēmu (</w:t>
      </w:r>
      <w:r>
        <w:rPr>
          <w:rFonts w:ascii="Times New Roman" w:hAnsi="Times New Roman"/>
          <w:i/>
          <w:iCs/>
          <w:sz w:val="24"/>
        </w:rPr>
        <w:t>IDS</w:t>
      </w:r>
      <w:r>
        <w:rPr>
          <w:rFonts w:ascii="Times New Roman" w:hAnsi="Times New Roman"/>
          <w:sz w:val="24"/>
        </w:rPr>
        <w:t>), videonovērošanas kamerām (</w:t>
      </w:r>
      <w:r>
        <w:rPr>
          <w:rFonts w:ascii="Times New Roman" w:hAnsi="Times New Roman"/>
          <w:i/>
          <w:iCs/>
          <w:sz w:val="24"/>
        </w:rPr>
        <w:t>CCTV</w:t>
      </w:r>
      <w:r>
        <w:rPr>
          <w:rFonts w:ascii="Times New Roman" w:hAnsi="Times New Roman"/>
          <w:sz w:val="24"/>
        </w:rPr>
        <w:t>), drošības apgaismojumu un atbilstošas apsardzes vai drošības spēku periodisku patrulēšanu nejauši izvēlētos laikos.</w:t>
      </w:r>
    </w:p>
    <w:p w14:paraId="381F0EEA" w14:textId="1C719368" w:rsidR="00E14C2A" w:rsidRPr="00E73A9D" w:rsidRDefault="001F24AB" w:rsidP="001F24AB">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21. Perimetra efektivitāte ir atkarīga arī no drošības līmeņa ieejas punktos. Tāpēc vārtus veido atbilstoši tam pašam drošības standartam, kādu piemēro attiecībā uz perimetru, un ievieš piekļuves kontroli.</w:t>
      </w:r>
    </w:p>
    <w:p w14:paraId="088D908F" w14:textId="77777777" w:rsidR="00E14C2A" w:rsidRPr="00E73A9D" w:rsidRDefault="00E14C2A" w:rsidP="001F24AB">
      <w:pPr>
        <w:pStyle w:val="Heading2"/>
        <w:spacing w:before="240"/>
        <w:ind w:left="0"/>
        <w:rPr>
          <w:rFonts w:ascii="Times New Roman" w:hAnsi="Times New Roman" w:cs="Times New Roman"/>
          <w:noProof/>
          <w:sz w:val="24"/>
          <w:szCs w:val="24"/>
        </w:rPr>
      </w:pPr>
      <w:bookmarkStart w:id="16" w:name="_Toc226553698"/>
      <w:bookmarkStart w:id="17" w:name="_Toc234405281"/>
      <w:r>
        <w:rPr>
          <w:rFonts w:ascii="Times New Roman" w:hAnsi="Times New Roman"/>
          <w:sz w:val="24"/>
        </w:rPr>
        <w:t>Ielaušanās atklāšanas sistēmas</w:t>
      </w:r>
      <w:bookmarkEnd w:id="16"/>
      <w:bookmarkEnd w:id="17"/>
    </w:p>
    <w:p w14:paraId="39EF7339" w14:textId="4203CB72"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22. Perimetra ielaušanās atklāšanas sistēmas (</w:t>
      </w:r>
      <w:r>
        <w:rPr>
          <w:rFonts w:ascii="Times New Roman" w:hAnsi="Times New Roman"/>
          <w:i/>
          <w:iCs/>
          <w:sz w:val="24"/>
        </w:rPr>
        <w:t>PIDS</w:t>
      </w:r>
      <w:r>
        <w:rPr>
          <w:rFonts w:ascii="Times New Roman" w:hAnsi="Times New Roman"/>
          <w:sz w:val="24"/>
        </w:rPr>
        <w:t xml:space="preserve">) var izmantot tam, lai uzlabotu ar perimetra žogiem nodrošināto drošības līmeni. </w:t>
      </w:r>
      <w:r>
        <w:rPr>
          <w:rFonts w:ascii="Times New Roman" w:hAnsi="Times New Roman"/>
          <w:i/>
          <w:iCs/>
          <w:sz w:val="24"/>
        </w:rPr>
        <w:t>PIDS</w:t>
      </w:r>
      <w:r>
        <w:rPr>
          <w:rFonts w:ascii="Times New Roman" w:hAnsi="Times New Roman"/>
          <w:sz w:val="24"/>
        </w:rPr>
        <w:t xml:space="preserve"> var būt uzstādītas kā slēptas ierīces (parasti estētisku apsvērumu dēļ) vai atklāti kā atturošs elements. </w:t>
      </w:r>
      <w:r>
        <w:rPr>
          <w:rFonts w:ascii="Times New Roman" w:hAnsi="Times New Roman"/>
          <w:i/>
          <w:iCs/>
          <w:sz w:val="24"/>
        </w:rPr>
        <w:t>PIDS</w:t>
      </w:r>
      <w:r>
        <w:rPr>
          <w:rFonts w:ascii="Times New Roman" w:hAnsi="Times New Roman"/>
          <w:sz w:val="24"/>
        </w:rPr>
        <w:t xml:space="preserve"> ir raksturīga viltus trauksmes izziņošana, tāpēc parasti to izmanto vienīgi kopā ar trauksmes pārbaudes sistēmu, piemēram, ar </w:t>
      </w:r>
      <w:r>
        <w:rPr>
          <w:rFonts w:ascii="Times New Roman" w:hAnsi="Times New Roman"/>
          <w:i/>
          <w:iCs/>
          <w:sz w:val="24"/>
        </w:rPr>
        <w:t>CCTV</w:t>
      </w:r>
      <w:r>
        <w:rPr>
          <w:rFonts w:ascii="Times New Roman" w:hAnsi="Times New Roman"/>
          <w:sz w:val="24"/>
        </w:rPr>
        <w:t>.</w:t>
      </w:r>
    </w:p>
    <w:p w14:paraId="317F01D5" w14:textId="737CF2CC" w:rsidR="00E14C2A" w:rsidRPr="00E73A9D" w:rsidRDefault="007E3C57" w:rsidP="00326A2E">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 xml:space="preserve">23. Saskaņā ar “aizstāvēšanās dziļuma” principu </w:t>
      </w:r>
      <w:r>
        <w:rPr>
          <w:rFonts w:ascii="Times New Roman" w:hAnsi="Times New Roman"/>
          <w:i/>
          <w:iCs/>
          <w:sz w:val="24"/>
        </w:rPr>
        <w:t>IDS</w:t>
      </w:r>
      <w:r>
        <w:rPr>
          <w:rFonts w:ascii="Times New Roman" w:hAnsi="Times New Roman"/>
          <w:sz w:val="24"/>
        </w:rPr>
        <w:t xml:space="preserve"> var izmantot telpās un ēkās apsardzes vietā vai apsardzes atbalstam. Lai </w:t>
      </w:r>
      <w:r>
        <w:rPr>
          <w:rFonts w:ascii="Times New Roman" w:hAnsi="Times New Roman"/>
          <w:i/>
          <w:iCs/>
          <w:sz w:val="24"/>
        </w:rPr>
        <w:t>IDS</w:t>
      </w:r>
      <w:r>
        <w:rPr>
          <w:rFonts w:ascii="Times New Roman" w:hAnsi="Times New Roman"/>
          <w:sz w:val="24"/>
        </w:rPr>
        <w:t xml:space="preserve"> būtu efektīva, jābūt ātrās reaģēšanas spēkiem, kas trauksmes iedarbināšanas gadījumā reaģēs pietiekami īsā laikā.</w:t>
      </w:r>
    </w:p>
    <w:p w14:paraId="70761F98" w14:textId="77777777" w:rsidR="00E14C2A" w:rsidRPr="00E73A9D" w:rsidRDefault="00E14C2A" w:rsidP="00E73A9D">
      <w:pPr>
        <w:pStyle w:val="Heading2"/>
        <w:spacing w:before="120"/>
        <w:ind w:left="0"/>
        <w:rPr>
          <w:rFonts w:ascii="Times New Roman" w:hAnsi="Times New Roman" w:cs="Times New Roman"/>
          <w:noProof/>
          <w:sz w:val="24"/>
          <w:szCs w:val="24"/>
        </w:rPr>
      </w:pPr>
      <w:bookmarkStart w:id="18" w:name="_Toc226553699"/>
      <w:bookmarkStart w:id="19" w:name="_Toc234405282"/>
      <w:r>
        <w:rPr>
          <w:rFonts w:ascii="Times New Roman" w:hAnsi="Times New Roman"/>
          <w:sz w:val="24"/>
        </w:rPr>
        <w:t>Piekļuves kontrole</w:t>
      </w:r>
      <w:bookmarkEnd w:id="18"/>
      <w:bookmarkEnd w:id="19"/>
    </w:p>
    <w:p w14:paraId="660048BE" w14:textId="06AAA23E" w:rsidR="00E14C2A" w:rsidRPr="00E73A9D" w:rsidRDefault="007E3C57" w:rsidP="00326A2E">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24. Termins “piekļuves kontrole” ietver caurlaides vai personas atpazīšanas sistēmu, tostarp pasākumus darbuzņēmēju un apmeklētāju kontrolei un pavadīšanai.</w:t>
      </w:r>
    </w:p>
    <w:p w14:paraId="21D69E44" w14:textId="7515DBC1"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lastRenderedPageBreak/>
        <w:t>25. Piekļuves kontroli var īstenot attiecībā uz objektu, ēku vai ēkām attiecīgajā objektā un ēkās esošajām zonām un telpām. Var izmantot elektronisku, elektromehānisku vai fizisku kontroles mehānismu. To var nodrošināt arī apsargs vai administrators. Pastāvīgā personāla iekļūšanu I vai II klases drošības zonās kontrolē, izmantojot caurlaižu vai personu atpazīšanas sistēmu.</w:t>
      </w:r>
    </w:p>
    <w:p w14:paraId="4058C1E1" w14:textId="520E8C85"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26. Ja iestādē ir ieviesta caurlaižu atpazīšanas sistēma, drošības caurlaides vienmēr jānēsā redzamā vietā, lai būtu iespējama personas atpazīšana un identifikācija.</w:t>
      </w:r>
    </w:p>
    <w:p w14:paraId="2812B9F8"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20" w:name="_Toc226553700"/>
      <w:bookmarkStart w:id="21" w:name="_Toc234405283"/>
      <w:r>
        <w:rPr>
          <w:rFonts w:ascii="Times New Roman" w:hAnsi="Times New Roman"/>
          <w:sz w:val="24"/>
        </w:rPr>
        <w:t>Administratīvās telpas nošķiršana</w:t>
      </w:r>
      <w:bookmarkEnd w:id="20"/>
      <w:bookmarkEnd w:id="21"/>
    </w:p>
    <w:p w14:paraId="717521C7" w14:textId="47CB1264"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27. Piemēro atbilstošus pasākumus, lai novērstu iespēju nesankcionētām personām piekļūt NATO klasificētajai informācijai, izmantojot fizisku tuvumu vai novērošanu. Ņem vērā tādus faktorus kā to darbinieku skaitu, kas strādā attiecīgajā zonā vai kam ir piekļuve šai zonai, logu izvietojumu un iespēju no ārpuses aplūkot telpas iekšpusi, kā arī gaismas apstākļus (dienasgaisma, mākslīgais apgaismojums). Piemēro arī piesardzības pasākumus pret netīšu un slepenu noklausīšanos.</w:t>
      </w:r>
    </w:p>
    <w:p w14:paraId="359DC275"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22" w:name="_Toc226553701"/>
      <w:bookmarkStart w:id="23" w:name="_Toc234405284"/>
      <w:r>
        <w:rPr>
          <w:rFonts w:ascii="Times New Roman" w:hAnsi="Times New Roman"/>
          <w:sz w:val="24"/>
        </w:rPr>
        <w:t>Apsargi</w:t>
      </w:r>
      <w:bookmarkEnd w:id="22"/>
      <w:bookmarkEnd w:id="23"/>
    </w:p>
    <w:p w14:paraId="0039E364" w14:textId="7F7160FD"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28. Apsargu nodarbināšana var būt ievērojams atturošs faktors personām, kas varētu plānot slepenu ielaušanos. Apsargu pienākumus un patrulēšanas biežumu nosaka, ņemot vērā riska līmeni un citas drošība sistēmas vai aprīkojumu, kas varētu būt ieviests. Apsargiem sniedz pienācīgus rakstveida norādījumus, lai nodrošinātu, ka konkrētus darba uzdevumus izpilda atbilstoši prasītajam. Apsargiem ir nepieciešami līdzekļi saziņai ar vadības centru.</w:t>
      </w:r>
    </w:p>
    <w:p w14:paraId="7F6F9665" w14:textId="21CCED82" w:rsidR="00E14C2A" w:rsidRPr="00E73A9D" w:rsidRDefault="00E14C2A" w:rsidP="008C57B7">
      <w:pPr>
        <w:pStyle w:val="BodyText"/>
        <w:spacing w:before="240"/>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8" behindDoc="0" locked="0" layoutInCell="1" allowOverlap="1" wp14:anchorId="43135ED9" wp14:editId="592A82A6">
                <wp:simplePos x="0" y="0"/>
                <wp:positionH relativeFrom="page">
                  <wp:posOffset>174695</wp:posOffset>
                </wp:positionH>
                <wp:positionV relativeFrom="page">
                  <wp:posOffset>2945478</wp:posOffset>
                </wp:positionV>
                <wp:extent cx="182880" cy="48031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E4825CB"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3135ED9" id="Textbox 17" o:spid="_x0000_s1035" type="#_x0000_t202" style="position:absolute;left:0;text-align:left;margin-left:13.75pt;margin-top:231.95pt;width:14.4pt;height:378.2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" filled="f" stroked="f">
                <v:textbox style="layout-flow:vertical;mso-layout-flow-alt:bottom-to-top" inset="0,0,0,0">
                  <w:txbxContent>
                    <w:p w14:paraId="4E4825CB"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29. Ja apsargus izmanto drošību zonu un NATO klasificētās informācijas integritātes nodrošināšanai, pārliecinās, ka tie atbilst speciālās pielaides izsniegšanas prasībām un ir apguvuši nepieciešamās mācības, un to darbību pārrauga.</w:t>
      </w:r>
    </w:p>
    <w:p w14:paraId="76E98EC2" w14:textId="221C71F4"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30. Ja objektā notiek drošības incidents, ātras reaģēšanas spēkiem ir jāreaģē. Šos ātrās reaģēšanas spēkus veido no atbilstoša drošības darbinieku skaita (parasti vismaz no diviem apsargiem), kuru noteikusi attiecīgā drošības iestāde. Reaģējot uz incidentu, nedrīkst kaitēt aizsardzībai citviet objektā vai vājināt šādu aizsardzību. Apsardzes reakciju uz trauksmēm vai avārijas signāliem testē, lai tā atbilstu laika ierobežojumam, kurā saskaņā ar veikto novērtējumu ir iespējams novērst iebrucēja piekļuvi NATO klasificētajai informācijai.</w:t>
      </w:r>
    </w:p>
    <w:p w14:paraId="7916A23B"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24" w:name="_Toc226553702"/>
      <w:bookmarkStart w:id="25" w:name="_Toc234405285"/>
      <w:r>
        <w:rPr>
          <w:rFonts w:ascii="Times New Roman" w:hAnsi="Times New Roman"/>
          <w:sz w:val="24"/>
        </w:rPr>
        <w:t>Videonovērošanas kameras</w:t>
      </w:r>
      <w:bookmarkEnd w:id="24"/>
      <w:bookmarkEnd w:id="25"/>
    </w:p>
    <w:p w14:paraId="745AB814" w14:textId="4ABFF84D"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 xml:space="preserve">31. </w:t>
      </w:r>
      <w:r>
        <w:rPr>
          <w:rFonts w:ascii="Times New Roman" w:hAnsi="Times New Roman"/>
          <w:i/>
          <w:iCs/>
          <w:sz w:val="24"/>
        </w:rPr>
        <w:t>CCTV</w:t>
      </w:r>
      <w:r>
        <w:rPr>
          <w:rFonts w:ascii="Times New Roman" w:hAnsi="Times New Roman"/>
          <w:sz w:val="24"/>
        </w:rPr>
        <w:t xml:space="preserve"> izmantošana sniedz vērtīgu atbalstu apsardzei incidentu verificēšanā un ielaušanās atklāšanas sistēmām (</w:t>
      </w:r>
      <w:r>
        <w:rPr>
          <w:rFonts w:ascii="Times New Roman" w:hAnsi="Times New Roman"/>
          <w:i/>
          <w:iCs/>
          <w:sz w:val="24"/>
        </w:rPr>
        <w:t>IDS</w:t>
      </w:r>
      <w:r>
        <w:rPr>
          <w:rFonts w:ascii="Times New Roman" w:hAnsi="Times New Roman"/>
          <w:sz w:val="24"/>
        </w:rPr>
        <w:t xml:space="preserve">) lielos objektos vai perimetros. Tomēr šādas sistēmas efektivitāte būs atkarīga no atbilstoša aprīkojuma izraudzīšanās un uzstādīšanas, kā arī no sistēmas uzraudzības vadības centrā. Ar ekspertiem konsultējas tādu optimālu </w:t>
      </w:r>
      <w:r>
        <w:rPr>
          <w:rFonts w:ascii="Times New Roman" w:hAnsi="Times New Roman"/>
          <w:i/>
          <w:iCs/>
          <w:sz w:val="24"/>
        </w:rPr>
        <w:t>CCTV</w:t>
      </w:r>
      <w:r>
        <w:rPr>
          <w:rFonts w:ascii="Times New Roman" w:hAnsi="Times New Roman"/>
          <w:sz w:val="24"/>
        </w:rPr>
        <w:t xml:space="preserve"> elementu noteikšanā kā, piemēram, kameras tehniskie parametri, kameras uzstādīšanas vietas, </w:t>
      </w:r>
      <w:r>
        <w:rPr>
          <w:rFonts w:ascii="Times New Roman" w:hAnsi="Times New Roman"/>
          <w:i/>
          <w:iCs/>
          <w:sz w:val="24"/>
        </w:rPr>
        <w:t>CCTV</w:t>
      </w:r>
      <w:r>
        <w:rPr>
          <w:rFonts w:ascii="Times New Roman" w:hAnsi="Times New Roman"/>
          <w:sz w:val="24"/>
        </w:rPr>
        <w:t xml:space="preserve"> sistēmas dublēšana un </w:t>
      </w:r>
      <w:r>
        <w:rPr>
          <w:rFonts w:ascii="Times New Roman" w:hAnsi="Times New Roman"/>
          <w:i/>
          <w:iCs/>
          <w:sz w:val="24"/>
        </w:rPr>
        <w:t>CCTV</w:t>
      </w:r>
      <w:r>
        <w:rPr>
          <w:rFonts w:ascii="Times New Roman" w:hAnsi="Times New Roman"/>
          <w:sz w:val="24"/>
        </w:rPr>
        <w:t xml:space="preserve"> vadības centra uzraudzības bloka izkārtojums un ergonomika. Uzmanību pievērš tam, lai ar </w:t>
      </w:r>
      <w:r>
        <w:rPr>
          <w:rFonts w:ascii="Times New Roman" w:hAnsi="Times New Roman"/>
          <w:i/>
          <w:iCs/>
          <w:sz w:val="24"/>
        </w:rPr>
        <w:t>CCTV</w:t>
      </w:r>
      <w:r>
        <w:rPr>
          <w:rFonts w:ascii="Times New Roman" w:hAnsi="Times New Roman"/>
          <w:sz w:val="24"/>
        </w:rPr>
        <w:t xml:space="preserve"> iegūtie audio dati un vizuālie dati neradītu NATO klasificētās informācijas slēptas novērošanas risku.</w:t>
      </w:r>
    </w:p>
    <w:p w14:paraId="5754C0D7"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26" w:name="_Toc226553703"/>
      <w:bookmarkStart w:id="27" w:name="_Toc234405286"/>
      <w:r>
        <w:rPr>
          <w:rFonts w:ascii="Times New Roman" w:hAnsi="Times New Roman"/>
          <w:sz w:val="24"/>
        </w:rPr>
        <w:t>Drošības apgaismojums</w:t>
      </w:r>
      <w:bookmarkEnd w:id="26"/>
      <w:bookmarkEnd w:id="27"/>
    </w:p>
    <w:p w14:paraId="6976CF65" w14:textId="4F36181A"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 xml:space="preserve">32. Papildus tāda apgaismojuma nodrošināšanai, kas nepieciešams efektīvai uzraudzībai, kuru nepastarpināti veic apsargi vai kura notiek ar </w:t>
      </w:r>
      <w:r>
        <w:rPr>
          <w:rFonts w:ascii="Times New Roman" w:hAnsi="Times New Roman"/>
          <w:i/>
          <w:iCs/>
          <w:sz w:val="24"/>
        </w:rPr>
        <w:t>CCTV</w:t>
      </w:r>
      <w:r>
        <w:rPr>
          <w:rFonts w:ascii="Times New Roman" w:hAnsi="Times New Roman"/>
          <w:sz w:val="24"/>
        </w:rPr>
        <w:t xml:space="preserve"> sistēmas starpniecību, drošības apgaismojums var nodrošināt potenciālā iebrucēja atturēšanu augstā līmenī. Apgaismojuma standartā ievēro </w:t>
      </w:r>
      <w:r>
        <w:rPr>
          <w:rFonts w:ascii="Times New Roman" w:hAnsi="Times New Roman"/>
          <w:i/>
          <w:iCs/>
          <w:sz w:val="24"/>
        </w:rPr>
        <w:t>CCTV</w:t>
      </w:r>
      <w:r>
        <w:rPr>
          <w:rFonts w:ascii="Times New Roman" w:hAnsi="Times New Roman"/>
          <w:sz w:val="24"/>
        </w:rPr>
        <w:t xml:space="preserve"> minimālās prasības un apgaismojumu uzstāda atbilstoši attiecīgās vietas apstākļiem.</w:t>
      </w:r>
    </w:p>
    <w:p w14:paraId="0DFF46FD"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28" w:name="_Toc226553704"/>
      <w:bookmarkStart w:id="29" w:name="_Toc234405287"/>
      <w:r>
        <w:rPr>
          <w:rFonts w:ascii="Times New Roman" w:hAnsi="Times New Roman"/>
          <w:sz w:val="24"/>
        </w:rPr>
        <w:lastRenderedPageBreak/>
        <w:t>Seifi un biroja mēbeles</w:t>
      </w:r>
      <w:bookmarkEnd w:id="28"/>
      <w:bookmarkEnd w:id="29"/>
    </w:p>
    <w:p w14:paraId="1552FD9A" w14:textId="3CFC9CEE" w:rsidR="00E14C2A" w:rsidRPr="00E73A9D" w:rsidRDefault="007E3C57" w:rsidP="008C57B7">
      <w:pPr>
        <w:pStyle w:val="ListParagraph"/>
        <w:tabs>
          <w:tab w:val="left" w:pos="991"/>
        </w:tabs>
        <w:spacing w:before="120"/>
        <w:ind w:left="0"/>
        <w:rPr>
          <w:rFonts w:ascii="Times New Roman" w:hAnsi="Times New Roman" w:cs="Times New Roman"/>
          <w:b/>
          <w:noProof/>
          <w:sz w:val="24"/>
          <w:szCs w:val="24"/>
        </w:rPr>
      </w:pPr>
      <w:r>
        <w:rPr>
          <w:rFonts w:ascii="Times New Roman" w:hAnsi="Times New Roman"/>
          <w:sz w:val="24"/>
        </w:rPr>
        <w:t>33. NATO klasificētās informācijas glabāšanai izmantotais seifs un biroja mēbeles ir pēdējais drošības līmenis “aizstāvēšanās dziļuma” pieejā. To aizkavēšanas spēja ir noskaidrota vispusīgos testos, lai noteiktu to izturību pret nepamanītu piekļuvi un pret tāda veida uzbrukumiem, kam tie varētu tikt pakļauti. Pienācīgi apstiprina šāda aprīkojuma piemērotību tajā turētās klasificētās informācijas slepenības pakāpei (kas noteikta šīs direktīvas 50.–54. punktā). Izraugoties aprīkojumu NATO klasificētās informācijas glabāšanai, ņem vērā šādus kritērijus:</w:t>
      </w:r>
    </w:p>
    <w:p w14:paraId="2BD7BE6F" w14:textId="54193982"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a) drošības apdraudējumu zonā, kur tiek glabāta informācija;</w:t>
      </w:r>
    </w:p>
    <w:p w14:paraId="0EB178BA" w14:textId="38585196"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b) glabājamās informācijas slepenības pakāpi;</w:t>
      </w:r>
    </w:p>
    <w:p w14:paraId="49712739" w14:textId="3340F4B6"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c) seifa vai mēbeles un tā slēdzenes nodrošināto aizsardzības līmeni un</w:t>
      </w:r>
    </w:p>
    <w:p w14:paraId="14FAA3A1" w14:textId="4D3E93C1"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d) ap seifu vai mēbeli esošās vides aizsardzībai izmantotos papildu pasākumus.</w:t>
      </w:r>
    </w:p>
    <w:p w14:paraId="11B4787F"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30" w:name="_Toc226553705"/>
      <w:bookmarkStart w:id="31" w:name="_Toc234405288"/>
      <w:r>
        <w:rPr>
          <w:rFonts w:ascii="Times New Roman" w:hAnsi="Times New Roman"/>
          <w:sz w:val="24"/>
        </w:rPr>
        <w:t>Slēdzenes</w:t>
      </w:r>
      <w:bookmarkEnd w:id="30"/>
      <w:bookmarkEnd w:id="31"/>
    </w:p>
    <w:p w14:paraId="537F5FC0" w14:textId="43E28495"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34. Izvēlas tādas slēdzenes un atslēgu sistēmas, kas nodrošina aizsardzību, kura ir samērīga ar nepieciešamo piekļuves kontroles līmeni, aizsargājamo informāciju un konstrukciju un materiālu, kur tās uzstādīs.</w:t>
      </w:r>
    </w:p>
    <w:p w14:paraId="4DAE4684" w14:textId="7A15A3AA" w:rsidR="00E14C2A" w:rsidRPr="00E73A9D" w:rsidRDefault="00E14C2A" w:rsidP="008C57B7">
      <w:pPr>
        <w:pStyle w:val="BodyText"/>
        <w:spacing w:before="240"/>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9" behindDoc="0" locked="0" layoutInCell="1" allowOverlap="1" wp14:anchorId="4EE2EFA6" wp14:editId="731088DF">
                <wp:simplePos x="0" y="0"/>
                <wp:positionH relativeFrom="page">
                  <wp:posOffset>174695</wp:posOffset>
                </wp:positionH>
                <wp:positionV relativeFrom="page">
                  <wp:posOffset>2945478</wp:posOffset>
                </wp:positionV>
                <wp:extent cx="182880" cy="48031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0DEBC21"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EE2EFA6" id="Textbox 18" o:spid="_x0000_s1036" type="#_x0000_t202" style="position:absolute;left:0;text-align:left;margin-left:13.75pt;margin-top:231.95pt;width:14.4pt;height:378.2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oAEAADI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" filled="f" stroked="f">
                <v:textbox style="layout-flow:vertical;mso-layout-flow-alt:bottom-to-top" inset="0,0,0,0">
                  <w:txbxContent>
                    <w:p w14:paraId="40DEBC21"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35. Izmanto mehāniskos slēdzenes cilindrus, kas nodrošina aizsardzību pret slēdzenes atmūķēšanu ar uzsitienu, fizisku uzlaušanu (piemēram, urbšanu, kalšanu, savērpšanu, izraušanu) un nesankcionētu atslēgas dublēšanu. Objekta atslēgu pārvaldības sistēmā iekļauj mērenu skaitu universālo atslēgu grupu. Izvēlas ārējās slēdzenes, kas ir pienācīgi izturīgas pret koroziju vietējos vides apstākļos.</w:t>
      </w:r>
    </w:p>
    <w:p w14:paraId="2E100032" w14:textId="61518EB8"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36. Izmanto elektroniskās slēdzenes, kas nodrošina pienācīgu aizsardzību pret nesankcionētu elektroniskās atslēgas (magnētiskās joslas, viedās mikroshēmas, marķierierīces u. tml.) dublēšanu un aktīvus rādījumus par zemu akumulatora uzlādes līmeni un sistēmas kļūmēm. Objekta elektronisko atslēgu pārvaldības sistēmās ierobežo tādu elektronisko universālo atslēgu skaitu, kas nodrošina piekļuvi lielam skaitam elektronisko slēdzeņu, un ierobežo elektronisko atslēgu derīguma termiņu. Elektroniskās slēdzenes ļauj uzturēt elektronisko atslēgu-slēdzeņu piekļuves autorizāciju reģistru.</w:t>
      </w:r>
    </w:p>
    <w:p w14:paraId="719AE9D3"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32" w:name="_Toc226553706"/>
      <w:bookmarkStart w:id="33" w:name="_Toc234405289"/>
      <w:r>
        <w:rPr>
          <w:rFonts w:ascii="Times New Roman" w:hAnsi="Times New Roman"/>
          <w:sz w:val="24"/>
        </w:rPr>
        <w:t>Atslēgu un kombināciju kontrole</w:t>
      </w:r>
      <w:bookmarkEnd w:id="32"/>
      <w:bookmarkEnd w:id="33"/>
    </w:p>
    <w:p w14:paraId="5F093D69" w14:textId="108DE5D9"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37. Seifu atslēgas nedrīkst iznest ārpus objekta. Parasti šādas atslēgas nedrīkst iznest ārpus administratīvās ēkas, kur atrodas attiecīgais seifs. Personām, kam ir jāzina seifos iestatītās kombinācijas, kā arī kombinācijas, kas iestatītas</w:t>
      </w:r>
      <w:r>
        <w:rPr>
          <w:rFonts w:ascii="Times New Roman" w:hAnsi="Times New Roman"/>
          <w:i/>
          <w:iCs/>
          <w:sz w:val="24"/>
        </w:rPr>
        <w:t>IDS</w:t>
      </w:r>
      <w:r>
        <w:rPr>
          <w:rFonts w:ascii="Times New Roman" w:hAnsi="Times New Roman"/>
          <w:sz w:val="24"/>
        </w:rPr>
        <w:t xml:space="preserve"> aktivēšanai/deaktivēšanai, šīs kombinācijas ir jāiegaumē. Iespējami ierobežo to personu skaitu, kuras zina iestatītās kombinācijas. Kombinācijas ir nomaina vismaz šādos gadījumos:</w:t>
      </w:r>
    </w:p>
    <w:p w14:paraId="0085C56E" w14:textId="7A92A110"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a) kad pirmreizēji tiek sākta lietošana;</w:t>
      </w:r>
    </w:p>
    <w:p w14:paraId="26F3D019" w14:textId="59198DAC"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b) vienmēr, kad notiek izmaiņas personālā, kam ir zināma attiecīgā kombinācija;</w:t>
      </w:r>
    </w:p>
    <w:p w14:paraId="72831F54" w14:textId="42BDD181"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c) vienmēr, kad ir noticis drošības pārkāpums vai pastāv aizdomas par šādu pārkāpumu, un</w:t>
      </w:r>
    </w:p>
    <w:p w14:paraId="2B55D377" w14:textId="360FBB26" w:rsidR="00E14C2A" w:rsidRPr="00E73A9D" w:rsidRDefault="007E3C57" w:rsidP="008C57B7">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d) intervālos, kas nepārsniedz 12 mēnešus, ja vien attiecīgā drošības iestāde nav atļāvusi rīkoties citādi, ņemot vērā drošības riska novērtējumu.</w:t>
      </w:r>
    </w:p>
    <w:p w14:paraId="169E345B" w14:textId="7B912865"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38. Rezerves atslēgas un katras iestatītās kombinācijas pierakstu glabā vietējās drošības iestāde aizzīmogotās necaurspīdīgās aploksnēs izmantošanai ārkārtas situācijā.</w:t>
      </w:r>
    </w:p>
    <w:p w14:paraId="37594836" w14:textId="39982B79" w:rsidR="00E14C2A" w:rsidRPr="00E73A9D" w:rsidRDefault="007E3C57" w:rsidP="00381E3B">
      <w:pPr>
        <w:pStyle w:val="ListParagraph"/>
        <w:keepNext/>
        <w:keepLines/>
        <w:tabs>
          <w:tab w:val="left" w:pos="991"/>
        </w:tabs>
        <w:spacing w:before="240"/>
        <w:ind w:left="0"/>
        <w:rPr>
          <w:rFonts w:ascii="Times New Roman" w:hAnsi="Times New Roman" w:cs="Times New Roman"/>
          <w:noProof/>
          <w:sz w:val="24"/>
          <w:szCs w:val="24"/>
        </w:rPr>
      </w:pPr>
      <w:r>
        <w:rPr>
          <w:rFonts w:ascii="Times New Roman" w:hAnsi="Times New Roman"/>
          <w:sz w:val="24"/>
        </w:rPr>
        <w:lastRenderedPageBreak/>
        <w:t>39. Lietošanā esošās drošības atslēgas un rezerves drošības atslēgas tur atsevišķos skapjos. Katras kombinācijas pierakstu tur atsevišķā aploksnē.</w:t>
      </w:r>
    </w:p>
    <w:p w14:paraId="7733FEB4" w14:textId="1ABECEEF"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40. Atslēgām, kombinācijām un aploksnēm piešķir tādu drošības aizsardzības līmeni, kas nav zemāks par to, kurš ir piešķirts informācijai, kam tās nodrošina piekļuvi.</w:t>
      </w:r>
    </w:p>
    <w:p w14:paraId="63A13FD8" w14:textId="77777777" w:rsidR="00E14C2A" w:rsidRPr="00E73A9D" w:rsidRDefault="00E14C2A" w:rsidP="008C57B7">
      <w:pPr>
        <w:pStyle w:val="Heading2"/>
        <w:spacing w:before="240"/>
        <w:ind w:left="0"/>
        <w:rPr>
          <w:rFonts w:ascii="Times New Roman" w:hAnsi="Times New Roman" w:cs="Times New Roman"/>
          <w:noProof/>
          <w:sz w:val="24"/>
          <w:szCs w:val="24"/>
        </w:rPr>
      </w:pPr>
      <w:bookmarkStart w:id="34" w:name="_Toc226553707"/>
      <w:bookmarkStart w:id="35" w:name="_Toc234405290"/>
      <w:r>
        <w:rPr>
          <w:rFonts w:ascii="Times New Roman" w:hAnsi="Times New Roman"/>
          <w:sz w:val="24"/>
        </w:rPr>
        <w:t>Apstiprināts aprīkojums</w:t>
      </w:r>
      <w:bookmarkEnd w:id="34"/>
      <w:bookmarkEnd w:id="35"/>
    </w:p>
    <w:p w14:paraId="3C1B2A5E" w14:textId="1DC18E8D" w:rsidR="00E14C2A" w:rsidRPr="00E73A9D" w:rsidRDefault="007E3C57"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 xml:space="preserve">41. Seifglabātavu sienas, grīdas, griestus un durvis un atklātas glabāšanas zonas, kuras izveidotas I vai II klases drošības zonā un kurās informāciju, kam piešķirta </w:t>
      </w:r>
      <w:r>
        <w:rPr>
          <w:rFonts w:ascii="Times New Roman" w:hAnsi="Times New Roman"/>
          <w:i/>
          <w:iCs/>
          <w:sz w:val="24"/>
        </w:rPr>
        <w:t>NC</w:t>
      </w:r>
      <w:r>
        <w:rPr>
          <w:rFonts w:ascii="Times New Roman" w:hAnsi="Times New Roman"/>
          <w:sz w:val="24"/>
        </w:rPr>
        <w:t xml:space="preserve"> vai augstāka slepenības pakāpe, glabā atvērtos plauktos vai uzskatāmi izstāda (piemēram, diagrammās, kartēs), apstiprina atbilstoša drošības iestāde.</w:t>
      </w:r>
    </w:p>
    <w:p w14:paraId="0A8074EE" w14:textId="15C87C2C"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42. NATO dalībvalstis izmanto tikai tādu aprīkojumu, ko atbilstoša drošības iestāde ir apstiprinājusi NATO klasificētās informācijas aizsardzībai.</w:t>
      </w:r>
    </w:p>
    <w:p w14:paraId="48213C1A" w14:textId="547A7E52" w:rsidR="00E14C2A" w:rsidRPr="00E73A9D" w:rsidRDefault="007E3C57"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43. NATO civilās un militārās institūcijas pārliecinās, ka ikvienu iegādāto aprīkojumu kāda no NATO dalībvalstīm ir apstiprinājusi lietošanai līdzīgos apstākļos. NATO civilās un militārās institūcijas var iegādāties arī tādu aprīkojumu, ko lietošanai apstiprinājusi kāda atbilstoša drošības iestāde, pamatojoties uz pabeigtu riska novērtējumu, kas apstiprina identificētā riska(-u) samazināšanu.</w:t>
      </w:r>
    </w:p>
    <w:p w14:paraId="4D3413F3" w14:textId="0ED546E5" w:rsidR="00E14C2A" w:rsidRPr="007E3C57" w:rsidRDefault="00E14C2A" w:rsidP="008C57B7">
      <w:pPr>
        <w:pStyle w:val="BodyText"/>
        <w:spacing w:before="240"/>
        <w:jc w:val="both"/>
        <w:rPr>
          <w:rFonts w:ascii="Times New Roman" w:hAnsi="Times New Roman" w:cs="Times New Roman"/>
          <w:b/>
          <w:bCs/>
          <w:noProof/>
          <w:sz w:val="24"/>
          <w:szCs w:val="24"/>
        </w:rPr>
      </w:pPr>
      <w:r>
        <w:rPr>
          <w:rFonts w:ascii="Times New Roman" w:hAnsi="Times New Roman"/>
          <w:b/>
          <w:noProof/>
          <w:sz w:val="24"/>
        </w:rPr>
        <mc:AlternateContent>
          <mc:Choice Requires="wps">
            <w:drawing>
              <wp:anchor distT="0" distB="0" distL="0" distR="0" simplePos="0" relativeHeight="251658250" behindDoc="0" locked="0" layoutInCell="1" allowOverlap="1" wp14:anchorId="5C5FBD7C" wp14:editId="5FF51C3B">
                <wp:simplePos x="0" y="0"/>
                <wp:positionH relativeFrom="page">
                  <wp:posOffset>174695</wp:posOffset>
                </wp:positionH>
                <wp:positionV relativeFrom="page">
                  <wp:posOffset>2945478</wp:posOffset>
                </wp:positionV>
                <wp:extent cx="182880" cy="48031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3BE42098"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5C5FBD7C" id="Textbox 19" o:spid="_x0000_s1037" type="#_x0000_t202" style="position:absolute;left:0;text-align:left;margin-left:13.75pt;margin-top:231.95pt;width:14.4pt;height:378.2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IPogEAADI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" filled="f" stroked="f">
                <v:textbox style="layout-flow:vertical;mso-layout-flow-alt:bottom-to-top" inset="0,0,0,0">
                  <w:txbxContent>
                    <w:p w14:paraId="3BE42098"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bookmarkStart w:id="36" w:name="_Toc226553708"/>
      <w:r>
        <w:rPr>
          <w:rFonts w:ascii="Times New Roman" w:hAnsi="Times New Roman"/>
          <w:b/>
          <w:sz w:val="24"/>
        </w:rPr>
        <w:t>Apmeklētāju kontrole</w:t>
      </w:r>
      <w:bookmarkEnd w:id="36"/>
    </w:p>
    <w:p w14:paraId="61EE2CB0" w14:textId="1783645C" w:rsidR="00E14C2A" w:rsidRPr="00E73A9D" w:rsidRDefault="00B97893" w:rsidP="008C57B7">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44. Ievieš atbilstošu sistēmu apmeklētāju kontrolei, lai noteiktu, vai apmeklētājam var atļaut iekļūt objektā, ēkā vai zonā, kur glabā, apstrādā un/vai apspriež NATO klasificēto informāciju.</w:t>
      </w:r>
    </w:p>
    <w:p w14:paraId="5CD23D22" w14:textId="7D6859FA" w:rsidR="00E14C2A" w:rsidRPr="00E73A9D" w:rsidRDefault="00B97893"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45. Apmeklētāja mātesorganizācijai oficiāli apmeklējumi parasti ir jāpiesaka iepriekš. Oficiālā paziņojumā jāsniedz vismaz oficiālā identifikācijas dokumenta, piemēram, pases vai personas apliecības, apraksts.</w:t>
      </w:r>
    </w:p>
    <w:p w14:paraId="08801773" w14:textId="341BAF47" w:rsidR="00E14C2A" w:rsidRPr="00E73A9D" w:rsidRDefault="00B97893"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46. Apmeklētāji var būt pavadīti vai nepavadīti, tomēr uztur atbilstoša līmeņa kontroli attiecībā uz apmeklētājiem, kā izklāstīts turpmākajā punktā.</w:t>
      </w:r>
    </w:p>
    <w:p w14:paraId="35103EF1" w14:textId="5C80A60B" w:rsidR="00E14C2A" w:rsidRPr="00E73A9D" w:rsidRDefault="00B97893" w:rsidP="008C57B7">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47. Apmeklētājiem piemērotās kontroles procedūras var atšķirties atkarībā no vietējām drošības prasībām. Jebkurā gadījumā gan pavadītiem, gan nepavadītiem apmeklētājiem piemēro šādas minimālās prasības:</w:t>
      </w:r>
    </w:p>
    <w:p w14:paraId="4B4B64D0" w14:textId="72117D00" w:rsidR="00E14C2A" w:rsidRPr="00E73A9D" w:rsidRDefault="00B97893" w:rsidP="00243AE3">
      <w:pPr>
        <w:pStyle w:val="ListParagraph"/>
        <w:tabs>
          <w:tab w:val="left" w:pos="1558"/>
        </w:tabs>
        <w:spacing w:before="120"/>
        <w:ind w:left="567" w:hanging="283"/>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pavadīti apmeklētāji</w:t>
      </w:r>
      <w:r>
        <w:rPr>
          <w:rFonts w:ascii="Times New Roman" w:hAnsi="Times New Roman"/>
          <w:sz w:val="24"/>
        </w:rPr>
        <w:t>:</w:t>
      </w:r>
    </w:p>
    <w:p w14:paraId="2667616C" w14:textId="77777777" w:rsidR="00E14C2A" w:rsidRPr="00E73A9D" w:rsidRDefault="00E14C2A" w:rsidP="00243AE3">
      <w:pPr>
        <w:pStyle w:val="BodyText"/>
        <w:spacing w:before="120"/>
        <w:ind w:left="567"/>
        <w:jc w:val="both"/>
        <w:rPr>
          <w:rFonts w:ascii="Times New Roman" w:hAnsi="Times New Roman" w:cs="Times New Roman"/>
          <w:noProof/>
          <w:sz w:val="24"/>
          <w:szCs w:val="24"/>
        </w:rPr>
      </w:pPr>
      <w:r>
        <w:rPr>
          <w:rFonts w:ascii="Times New Roman" w:hAnsi="Times New Roman"/>
          <w:sz w:val="24"/>
        </w:rPr>
        <w:t xml:space="preserve">apmeklētājus vienmēr pavada personāls vai apsargi ar atbilstoša līmeņa </w:t>
      </w:r>
      <w:r>
        <w:rPr>
          <w:rFonts w:ascii="Times New Roman" w:hAnsi="Times New Roman"/>
          <w:i/>
          <w:iCs/>
          <w:sz w:val="24"/>
        </w:rPr>
        <w:t>PSC</w:t>
      </w:r>
      <w:r>
        <w:rPr>
          <w:rFonts w:ascii="Times New Roman" w:hAnsi="Times New Roman"/>
          <w:sz w:val="24"/>
        </w:rPr>
        <w:t>. Tiem var būt pienākums nēsāt caurlaidi, kas apliecina apmeklētāja statusu. Jāreģistrē pilna informācija par apmeklētāju;</w:t>
      </w:r>
    </w:p>
    <w:p w14:paraId="67112840" w14:textId="40BBB81F" w:rsidR="00E14C2A" w:rsidRPr="00E73A9D" w:rsidRDefault="00B97893" w:rsidP="00243AE3">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u w:val="single"/>
        </w:rPr>
        <w:t>nepavadīti apmeklētāji</w:t>
      </w:r>
      <w:r>
        <w:rPr>
          <w:rFonts w:ascii="Times New Roman" w:hAnsi="Times New Roman"/>
          <w:sz w:val="24"/>
        </w:rPr>
        <w:t>:</w:t>
      </w:r>
    </w:p>
    <w:p w14:paraId="18420C0C" w14:textId="77777777" w:rsidR="00E14C2A" w:rsidRPr="00E73A9D" w:rsidRDefault="00E14C2A" w:rsidP="00243AE3">
      <w:pPr>
        <w:pStyle w:val="BodyText"/>
        <w:spacing w:before="120"/>
        <w:ind w:left="567"/>
        <w:jc w:val="both"/>
        <w:rPr>
          <w:rFonts w:ascii="Times New Roman" w:hAnsi="Times New Roman" w:cs="Times New Roman"/>
          <w:noProof/>
          <w:sz w:val="24"/>
          <w:szCs w:val="24"/>
        </w:rPr>
      </w:pPr>
      <w:r>
        <w:rPr>
          <w:rFonts w:ascii="Times New Roman" w:hAnsi="Times New Roman"/>
          <w:sz w:val="24"/>
        </w:rPr>
        <w:t xml:space="preserve">personām ar atbilstošu </w:t>
      </w:r>
      <w:r>
        <w:rPr>
          <w:rFonts w:ascii="Times New Roman" w:hAnsi="Times New Roman"/>
          <w:i/>
          <w:iCs/>
          <w:sz w:val="24"/>
        </w:rPr>
        <w:t>PSC</w:t>
      </w:r>
      <w:r>
        <w:rPr>
          <w:rFonts w:ascii="Times New Roman" w:hAnsi="Times New Roman"/>
          <w:sz w:val="24"/>
        </w:rPr>
        <w:t xml:space="preserve"> un nepieciešamību zināt var uz laiku nodrošināt nepavadītu piekļuvi zonai vai tās daļām. Tomēr šādiem apmeklētājiem nosaka pienākumu nēsāt caurlaidi, kas apliecina to apmeklētāja statusu, un atdot šo pagaidu caurlaidi, tiklīdz tie ir pabeiguši savus darbus organizācijā. Reģistrē pilnu informāciju par apmeklētājiem, tostarp to ienākšanas un iziešanas laiku. Apmeklētājiem, kas netiek pavadīti, nav atļauts pavadīt citus apmeklētājus.</w:t>
      </w:r>
    </w:p>
    <w:p w14:paraId="5D46C145" w14:textId="77777777" w:rsidR="00E14C2A" w:rsidRPr="00E73A9D" w:rsidRDefault="00E14C2A" w:rsidP="00381E3B">
      <w:pPr>
        <w:pStyle w:val="Heading2"/>
        <w:keepNext/>
        <w:keepLines/>
        <w:spacing w:before="240"/>
        <w:ind w:left="0"/>
        <w:rPr>
          <w:rFonts w:ascii="Times New Roman" w:hAnsi="Times New Roman" w:cs="Times New Roman"/>
          <w:noProof/>
          <w:sz w:val="24"/>
          <w:szCs w:val="24"/>
        </w:rPr>
      </w:pPr>
      <w:bookmarkStart w:id="37" w:name="_Toc226553709"/>
      <w:bookmarkStart w:id="38" w:name="_Toc234405291"/>
      <w:r>
        <w:rPr>
          <w:rFonts w:ascii="Times New Roman" w:hAnsi="Times New Roman"/>
          <w:sz w:val="24"/>
        </w:rPr>
        <w:lastRenderedPageBreak/>
        <w:t>Pārmeklēšana ienākšanas un iziešanas brīdī</w:t>
      </w:r>
      <w:bookmarkEnd w:id="37"/>
      <w:bookmarkEnd w:id="38"/>
    </w:p>
    <w:p w14:paraId="7E715459" w14:textId="389EE5B6" w:rsidR="00E14C2A" w:rsidRPr="00E73A9D" w:rsidRDefault="00B97893" w:rsidP="00381E3B">
      <w:pPr>
        <w:pStyle w:val="ListParagraph"/>
        <w:keepNext/>
        <w:keepLines/>
        <w:tabs>
          <w:tab w:val="left" w:pos="991"/>
        </w:tabs>
        <w:spacing w:before="120"/>
        <w:ind w:left="0"/>
        <w:rPr>
          <w:rFonts w:ascii="Times New Roman" w:hAnsi="Times New Roman" w:cs="Times New Roman"/>
          <w:noProof/>
          <w:sz w:val="24"/>
          <w:szCs w:val="24"/>
        </w:rPr>
      </w:pPr>
      <w:r>
        <w:rPr>
          <w:rFonts w:ascii="Times New Roman" w:hAnsi="Times New Roman"/>
          <w:sz w:val="24"/>
        </w:rPr>
        <w:t>48. Objektos vai ēkās, kur glabā vai apstrādā NATO informāciju, var ienākšanas un iziešanas brīdī pēc nejaušības principa veikt pārmeklēšanu, kas paredzēta atturēšanai no neatļauta materiāla ienešanas vai klasificētas vai neklasificētas informācijas iznešanas.</w:t>
      </w:r>
    </w:p>
    <w:p w14:paraId="770E92A0" w14:textId="643AD3A9" w:rsidR="00E14C2A" w:rsidRPr="00E73A9D" w:rsidRDefault="00B97893" w:rsidP="00243AE3">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49. Pārmeklēšana ienākšanas un iziešanas brīdī var būt noteikta kā nosacījums iekļūšanai objektā vai ēkā. Var izvietot brīdinošu paziņojumu par to, ka ienākšanas un iziešanas brīdī pēc nejaušības principa var tikt veikta pārmeklēšana.</w:t>
      </w:r>
    </w:p>
    <w:p w14:paraId="1C359AFD" w14:textId="77777777" w:rsidR="00E14C2A" w:rsidRPr="00E73A9D" w:rsidRDefault="00E14C2A" w:rsidP="00243AE3">
      <w:pPr>
        <w:pStyle w:val="Heading1"/>
        <w:spacing w:before="240"/>
        <w:ind w:left="0"/>
        <w:rPr>
          <w:noProof/>
          <w:sz w:val="24"/>
          <w:szCs w:val="24"/>
        </w:rPr>
      </w:pPr>
      <w:bookmarkStart w:id="39" w:name="_Toc226553710"/>
      <w:bookmarkStart w:id="40" w:name="_Toc234405292"/>
      <w:r>
        <w:rPr>
          <w:sz w:val="24"/>
        </w:rPr>
        <w:t>MINIMĀLIE STANDARTI NATO KLASIFICĒTĀS INFORMĀCIJAS GLABĀŠANAI</w:t>
      </w:r>
      <w:bookmarkEnd w:id="39"/>
      <w:bookmarkEnd w:id="40"/>
    </w:p>
    <w:p w14:paraId="4F87AE7B" w14:textId="174D19D6" w:rsidR="00E14C2A" w:rsidRPr="00E73A9D" w:rsidRDefault="00B97893" w:rsidP="00243AE3">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50. NATO klasificēto informāciju glabā zonās, seifos un/vai biroju mēbelēs, kas veidotas tā, lai atturētu no nesankcionētas piekļuves informācijai un atklātu šādu piekļuvi.</w:t>
      </w:r>
    </w:p>
    <w:p w14:paraId="233D84F8" w14:textId="63F1AA72" w:rsidR="00E14C2A" w:rsidRPr="00E73A9D" w:rsidRDefault="0048364D" w:rsidP="00243AE3">
      <w:pPr>
        <w:pStyle w:val="ListParagraph"/>
        <w:tabs>
          <w:tab w:val="left" w:pos="991"/>
        </w:tabs>
        <w:spacing w:before="240"/>
        <w:ind w:left="0"/>
        <w:jc w:val="left"/>
        <w:rPr>
          <w:rFonts w:ascii="Times New Roman" w:hAnsi="Times New Roman" w:cs="Times New Roman"/>
          <w:b/>
          <w:noProof/>
          <w:sz w:val="24"/>
          <w:szCs w:val="24"/>
        </w:rPr>
      </w:pPr>
      <w:r>
        <w:rPr>
          <w:rFonts w:ascii="Times New Roman" w:hAnsi="Times New Roman"/>
          <w:sz w:val="24"/>
        </w:rPr>
        <w:t>51.</w:t>
      </w:r>
      <w:r>
        <w:rPr>
          <w:rFonts w:ascii="Times New Roman" w:hAnsi="Times New Roman"/>
          <w:b/>
          <w:sz w:val="24"/>
        </w:rPr>
        <w:t xml:space="preserve"> </w:t>
      </w:r>
      <w:r>
        <w:rPr>
          <w:rFonts w:ascii="Times New Roman" w:hAnsi="Times New Roman"/>
          <w:b/>
          <w:i/>
          <w:iCs/>
          <w:sz w:val="24"/>
        </w:rPr>
        <w:t>COSMIC TOP SECRET</w:t>
      </w:r>
      <w:r>
        <w:rPr>
          <w:rFonts w:ascii="Times New Roman" w:hAnsi="Times New Roman"/>
          <w:b/>
          <w:sz w:val="24"/>
        </w:rPr>
        <w:t xml:space="preserve"> (</w:t>
      </w:r>
      <w:r>
        <w:rPr>
          <w:rFonts w:ascii="Times New Roman" w:hAnsi="Times New Roman"/>
          <w:b/>
          <w:i/>
          <w:iCs/>
          <w:sz w:val="24"/>
        </w:rPr>
        <w:t>CTS</w:t>
      </w:r>
      <w:r>
        <w:rPr>
          <w:rFonts w:ascii="Times New Roman" w:hAnsi="Times New Roman"/>
          <w:b/>
          <w:sz w:val="24"/>
        </w:rPr>
        <w:t>)</w:t>
      </w:r>
    </w:p>
    <w:p w14:paraId="0A22E13C" w14:textId="77777777" w:rsidR="00E14C2A" w:rsidRPr="00E73A9D" w:rsidRDefault="00E14C2A" w:rsidP="00243AE3">
      <w:pPr>
        <w:pStyle w:val="BodyText"/>
        <w:spacing w:before="120"/>
        <w:jc w:val="both"/>
        <w:rPr>
          <w:rFonts w:ascii="Times New Roman" w:hAnsi="Times New Roman" w:cs="Times New Roman"/>
          <w:noProof/>
          <w:sz w:val="24"/>
          <w:szCs w:val="24"/>
        </w:rPr>
      </w:pPr>
      <w:r>
        <w:rPr>
          <w:rFonts w:ascii="Times New Roman" w:hAnsi="Times New Roman"/>
          <w:sz w:val="24"/>
        </w:rPr>
        <w:t xml:space="preserve">Informāciju, kam piešķirta </w:t>
      </w:r>
      <w:r>
        <w:rPr>
          <w:rFonts w:ascii="Times New Roman" w:hAnsi="Times New Roman"/>
          <w:i/>
          <w:iCs/>
          <w:sz w:val="24"/>
        </w:rPr>
        <w:t>CTS</w:t>
      </w:r>
      <w:r>
        <w:rPr>
          <w:rFonts w:ascii="Times New Roman" w:hAnsi="Times New Roman"/>
          <w:sz w:val="24"/>
        </w:rPr>
        <w:t xml:space="preserve"> slepenības pakāpe, glabā I vai II klases drošības zonā atbilstoši vienam no šādiem nosacījumiem:</w:t>
      </w:r>
    </w:p>
    <w:p w14:paraId="772764AE" w14:textId="2D9BFB20" w:rsidR="00E14C2A" w:rsidRPr="00E73A9D" w:rsidRDefault="0048364D" w:rsidP="00243AE3">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a) apstiprinātā seifā ar vienu no šādiem papildinošiem kontroles mehānismiem:</w:t>
      </w:r>
    </w:p>
    <w:p w14:paraId="3D4E55A8" w14:textId="69E20192" w:rsidR="00E14C2A" w:rsidRPr="00E73A9D" w:rsidRDefault="0048364D" w:rsidP="00243AE3">
      <w:pPr>
        <w:pStyle w:val="ListParagraph"/>
        <w:tabs>
          <w:tab w:val="left" w:pos="1559"/>
        </w:tabs>
        <w:spacing w:before="120"/>
        <w:ind w:left="851" w:hanging="283"/>
        <w:rPr>
          <w:rFonts w:ascii="Times New Roman" w:hAnsi="Times New Roman" w:cs="Times New Roman"/>
          <w:noProof/>
          <w:sz w:val="24"/>
          <w:szCs w:val="24"/>
        </w:rPr>
      </w:pPr>
      <w:r>
        <w:rPr>
          <w:rFonts w:ascii="Times New Roman" w:hAnsi="Times New Roman"/>
          <w:sz w:val="24"/>
        </w:rPr>
        <w:t>i) pastāvīga aizsardzība, kuru nodrošina apsargi vai dežūrpersonāls, kam piešķirta speciālā pielaide;</w:t>
      </w:r>
    </w:p>
    <w:p w14:paraId="0138DDFC" w14:textId="421A297F" w:rsidR="00E14C2A" w:rsidRPr="00E73A9D" w:rsidRDefault="0048364D" w:rsidP="00243AE3">
      <w:pPr>
        <w:pStyle w:val="ListParagraph"/>
        <w:tabs>
          <w:tab w:val="left" w:pos="1559"/>
        </w:tabs>
        <w:spacing w:before="120"/>
        <w:ind w:left="851" w:hanging="283"/>
        <w:rPr>
          <w:rFonts w:ascii="Times New Roman" w:hAnsi="Times New Roman" w:cs="Times New Roman"/>
          <w:noProof/>
          <w:sz w:val="24"/>
          <w:szCs w:val="24"/>
        </w:rPr>
      </w:pPr>
      <w:r>
        <w:rPr>
          <w:rFonts w:ascii="Times New Roman" w:hAnsi="Times New Roman"/>
          <w:sz w:val="24"/>
        </w:rPr>
        <w:t>ii) apsargi vai dežūrpersonāls, kam piešķirta speciālā pielaide, pārbauda seifu nejauši izvēlētos laikos ne retāk kā vienu reizi divās stundās;</w:t>
      </w:r>
    </w:p>
    <w:p w14:paraId="2EE3ABCE" w14:textId="6D3E4FEC" w:rsidR="00E14C2A" w:rsidRPr="00E73A9D" w:rsidRDefault="00E14C2A" w:rsidP="00243AE3">
      <w:pPr>
        <w:pStyle w:val="ListParagraph"/>
        <w:tabs>
          <w:tab w:val="left" w:pos="1559"/>
        </w:tabs>
        <w:spacing w:before="120"/>
        <w:ind w:left="851" w:hanging="283"/>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51" behindDoc="0" locked="0" layoutInCell="1" allowOverlap="1" wp14:anchorId="5948E9A2" wp14:editId="5D37E2C3">
                <wp:simplePos x="0" y="0"/>
                <wp:positionH relativeFrom="page">
                  <wp:posOffset>174695</wp:posOffset>
                </wp:positionH>
                <wp:positionV relativeFrom="page">
                  <wp:posOffset>2945478</wp:posOffset>
                </wp:positionV>
                <wp:extent cx="182880" cy="48031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39C3428F"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5948E9A2" id="Textbox 20" o:spid="_x0000_s1038" type="#_x0000_t202" style="position:absolute;left:0;text-align:left;margin-left:13.75pt;margin-top:231.95pt;width:14.4pt;height:378.2pt;z-index:2516582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B4&#10;V+3FoQEAADIDAAAOAAAAAAAAAAAAAAAAAC4CAABkcnMvZTJvRG9jLnhtbFBLAQItABQABgAIAAAA&#10;IQCVp3Lb3gAAAAoBAAAPAAAAAAAAAAAAAAAAAPsDAABkcnMvZG93bnJldi54bWxQSwUGAAAAAAQA&#10;BADzAAAABgUAAAAA&#10;" filled="f" stroked="f">
                <v:textbox style="layout-flow:vertical;mso-layout-flow-alt:bottom-to-top" inset="0,0,0,0">
                  <w:txbxContent>
                    <w:p w14:paraId="39C3428F"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iii) apstiprināta </w:t>
      </w:r>
      <w:r>
        <w:rPr>
          <w:rFonts w:ascii="Times New Roman" w:hAnsi="Times New Roman"/>
          <w:i/>
          <w:iCs/>
          <w:sz w:val="24"/>
        </w:rPr>
        <w:t>IDS</w:t>
      </w:r>
      <w:r>
        <w:rPr>
          <w:rFonts w:ascii="Times New Roman" w:hAnsi="Times New Roman"/>
          <w:sz w:val="24"/>
        </w:rPr>
        <w:t xml:space="preserve"> apvienojumā ar ātrās reaģēšanas spēkiem, kas pēc trauksmes izziņošanas ierodas attiecīgajā vietā laikā, kāds saskaņā ar prognozēto nepieciešams seifa izņemšanai vai atlaušanai vai ieviesto fiziskās drošības pasākumu pārvarēšanai;</w:t>
      </w:r>
    </w:p>
    <w:p w14:paraId="71CBFFDB" w14:textId="3144298C" w:rsidR="00E14C2A" w:rsidRPr="00E73A9D" w:rsidRDefault="0048364D" w:rsidP="00243AE3">
      <w:pPr>
        <w:pStyle w:val="ListParagraph"/>
        <w:spacing w:before="120"/>
        <w:ind w:left="567" w:hanging="283"/>
        <w:rPr>
          <w:rFonts w:ascii="Times New Roman" w:hAnsi="Times New Roman" w:cs="Times New Roman"/>
          <w:noProof/>
          <w:sz w:val="24"/>
          <w:szCs w:val="24"/>
        </w:rPr>
      </w:pPr>
      <w:r>
        <w:rPr>
          <w:rFonts w:ascii="Times New Roman" w:hAnsi="Times New Roman"/>
          <w:sz w:val="24"/>
        </w:rPr>
        <w:t xml:space="preserve">b) atklātā glabāšanas zonā, kas veidota saskaņā ar šīs direktīvas 1. papildinājumu un aprīkota ar </w:t>
      </w:r>
      <w:r>
        <w:rPr>
          <w:rFonts w:ascii="Times New Roman" w:hAnsi="Times New Roman"/>
          <w:i/>
          <w:iCs/>
          <w:sz w:val="24"/>
        </w:rPr>
        <w:t>IDS</w:t>
      </w:r>
      <w:r>
        <w:rPr>
          <w:rFonts w:ascii="Times New Roman" w:hAnsi="Times New Roman"/>
          <w:sz w:val="24"/>
        </w:rPr>
        <w:t xml:space="preserve"> apvienojumā ar ātrās reaģēšanas spēkiem, kuri pēc trauksmes izziņošanas ierodas attiecīgajā vietā laikā, kāds saskaņā ar prognozēto nepieciešams, lai ielauztos šajā zonā, vai</w:t>
      </w:r>
    </w:p>
    <w:p w14:paraId="3A235824" w14:textId="1542E172" w:rsidR="00E14C2A" w:rsidRPr="00E73A9D" w:rsidRDefault="0048364D" w:rsidP="00243AE3">
      <w:pPr>
        <w:pStyle w:val="ListParagraph"/>
        <w:spacing w:before="120"/>
        <w:ind w:left="567" w:hanging="283"/>
        <w:rPr>
          <w:rFonts w:ascii="Times New Roman" w:hAnsi="Times New Roman" w:cs="Times New Roman"/>
          <w:noProof/>
          <w:sz w:val="24"/>
          <w:szCs w:val="24"/>
        </w:rPr>
      </w:pPr>
      <w:r>
        <w:rPr>
          <w:rFonts w:ascii="Times New Roman" w:hAnsi="Times New Roman"/>
          <w:sz w:val="24"/>
        </w:rPr>
        <w:t xml:space="preserve">c) ar </w:t>
      </w:r>
      <w:r>
        <w:rPr>
          <w:rFonts w:ascii="Times New Roman" w:hAnsi="Times New Roman"/>
          <w:i/>
          <w:iCs/>
          <w:sz w:val="24"/>
        </w:rPr>
        <w:t>IDS</w:t>
      </w:r>
      <w:r>
        <w:rPr>
          <w:rFonts w:ascii="Times New Roman" w:hAnsi="Times New Roman"/>
          <w:sz w:val="24"/>
        </w:rPr>
        <w:t xml:space="preserve"> aprīkotā seifglabātavā apvienojumā ar ātras reaģēšanas spēkiem, kuri pēc trauksmes izziņošanas ierodas attiecīgajā vietā laikā, kāds saskaņā ar prognozēto nepieciešams, lai ielauztos šajā seifglabātavā.</w:t>
      </w:r>
    </w:p>
    <w:p w14:paraId="78F91FFC" w14:textId="4EAD812A" w:rsidR="00E14C2A" w:rsidRPr="00E73A9D" w:rsidRDefault="0048364D" w:rsidP="00D63D84">
      <w:pPr>
        <w:pStyle w:val="ListParagraph"/>
        <w:tabs>
          <w:tab w:val="left" w:pos="993"/>
        </w:tabs>
        <w:spacing w:before="240"/>
        <w:ind w:left="0"/>
        <w:jc w:val="left"/>
        <w:rPr>
          <w:rFonts w:ascii="Times New Roman" w:hAnsi="Times New Roman" w:cs="Times New Roman"/>
          <w:b/>
          <w:noProof/>
          <w:sz w:val="24"/>
          <w:szCs w:val="24"/>
        </w:rPr>
      </w:pPr>
      <w:r>
        <w:rPr>
          <w:rFonts w:ascii="Times New Roman" w:hAnsi="Times New Roman"/>
          <w:sz w:val="24"/>
        </w:rPr>
        <w:t>52.</w:t>
      </w:r>
      <w:r>
        <w:rPr>
          <w:rFonts w:ascii="Times New Roman" w:hAnsi="Times New Roman"/>
          <w:b/>
          <w:sz w:val="24"/>
        </w:rPr>
        <w:t xml:space="preserve"> </w:t>
      </w:r>
      <w:r>
        <w:rPr>
          <w:rFonts w:ascii="Times New Roman" w:hAnsi="Times New Roman"/>
          <w:b/>
          <w:i/>
          <w:iCs/>
          <w:sz w:val="24"/>
        </w:rPr>
        <w:t>NATO SECRET</w:t>
      </w:r>
      <w:r>
        <w:rPr>
          <w:rFonts w:ascii="Times New Roman" w:hAnsi="Times New Roman"/>
          <w:b/>
          <w:sz w:val="24"/>
        </w:rPr>
        <w:t xml:space="preserve"> (</w:t>
      </w:r>
      <w:r>
        <w:rPr>
          <w:rFonts w:ascii="Times New Roman" w:hAnsi="Times New Roman"/>
          <w:b/>
          <w:i/>
          <w:iCs/>
          <w:sz w:val="24"/>
        </w:rPr>
        <w:t>NS</w:t>
      </w:r>
      <w:r>
        <w:rPr>
          <w:rFonts w:ascii="Times New Roman" w:hAnsi="Times New Roman"/>
          <w:b/>
          <w:sz w:val="24"/>
        </w:rPr>
        <w:t>)</w:t>
      </w:r>
    </w:p>
    <w:p w14:paraId="084D0E9F" w14:textId="77777777" w:rsidR="00E14C2A" w:rsidRPr="00E73A9D" w:rsidRDefault="00E14C2A" w:rsidP="00D63D84">
      <w:pPr>
        <w:pStyle w:val="BodyText"/>
        <w:spacing w:before="120"/>
        <w:jc w:val="both"/>
        <w:rPr>
          <w:rFonts w:ascii="Times New Roman" w:hAnsi="Times New Roman" w:cs="Times New Roman"/>
          <w:noProof/>
          <w:sz w:val="24"/>
          <w:szCs w:val="24"/>
        </w:rPr>
      </w:pPr>
      <w:r>
        <w:rPr>
          <w:rFonts w:ascii="Times New Roman" w:hAnsi="Times New Roman"/>
          <w:sz w:val="24"/>
        </w:rPr>
        <w:t xml:space="preserve">Informāciju, kam piešķirta </w:t>
      </w:r>
      <w:r>
        <w:rPr>
          <w:rFonts w:ascii="Times New Roman" w:hAnsi="Times New Roman"/>
          <w:i/>
          <w:iCs/>
          <w:sz w:val="24"/>
        </w:rPr>
        <w:t>NS</w:t>
      </w:r>
      <w:r>
        <w:rPr>
          <w:rFonts w:ascii="Times New Roman" w:hAnsi="Times New Roman"/>
          <w:sz w:val="24"/>
        </w:rPr>
        <w:t xml:space="preserve"> slepenības pakāpe, glabā I vai II klases drošības zonā, izmantojot vienu no šādiem paņēmieniem:</w:t>
      </w:r>
    </w:p>
    <w:p w14:paraId="0F3697D9" w14:textId="2333374A" w:rsidR="00E14C2A" w:rsidRPr="00E73A9D" w:rsidRDefault="0048364D" w:rsidP="00D63D84">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 xml:space="preserve">a) tāpat, kā norādīts attiecībā uz informāciju, kam piešķirta </w:t>
      </w:r>
      <w:r>
        <w:rPr>
          <w:rFonts w:ascii="Times New Roman" w:hAnsi="Times New Roman"/>
          <w:i/>
          <w:iCs/>
          <w:sz w:val="24"/>
        </w:rPr>
        <w:t>CTS</w:t>
      </w:r>
      <w:r>
        <w:rPr>
          <w:rFonts w:ascii="Times New Roman" w:hAnsi="Times New Roman"/>
          <w:sz w:val="24"/>
        </w:rPr>
        <w:t xml:space="preserve"> slepenības pakāpe;</w:t>
      </w:r>
    </w:p>
    <w:p w14:paraId="3C6C0825" w14:textId="5052C570" w:rsidR="00E14C2A" w:rsidRPr="00E73A9D" w:rsidRDefault="0048364D" w:rsidP="00D63D84">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b) apstiprinātā seifā vei seifglabātavā bez papildinošiem kontroles mehānismiem vai</w:t>
      </w:r>
    </w:p>
    <w:p w14:paraId="178142A5" w14:textId="07C7F270" w:rsidR="00E14C2A" w:rsidRPr="00E73A9D" w:rsidRDefault="0048364D" w:rsidP="00D63D84">
      <w:pPr>
        <w:pStyle w:val="ListParagraph"/>
        <w:tabs>
          <w:tab w:val="left" w:pos="1559"/>
        </w:tabs>
        <w:spacing w:before="120"/>
        <w:ind w:left="567" w:hanging="283"/>
        <w:rPr>
          <w:rFonts w:ascii="Times New Roman" w:hAnsi="Times New Roman" w:cs="Times New Roman"/>
          <w:noProof/>
          <w:sz w:val="24"/>
          <w:szCs w:val="24"/>
        </w:rPr>
      </w:pPr>
      <w:r>
        <w:rPr>
          <w:rFonts w:ascii="Times New Roman" w:hAnsi="Times New Roman"/>
          <w:sz w:val="24"/>
        </w:rPr>
        <w:t>c) atklātā glabāšanas zonā; šādā gadījumā ir nepieciešams viens no šādiem papildinošiem kontroles mehānismiem:</w:t>
      </w:r>
    </w:p>
    <w:p w14:paraId="54E66731" w14:textId="3B36315A" w:rsidR="00E14C2A" w:rsidRPr="00E73A9D" w:rsidRDefault="0048364D" w:rsidP="00D63D84">
      <w:pPr>
        <w:pStyle w:val="ListParagraph"/>
        <w:tabs>
          <w:tab w:val="left" w:pos="1559"/>
        </w:tabs>
        <w:spacing w:before="120"/>
        <w:ind w:left="851" w:hanging="283"/>
        <w:rPr>
          <w:rFonts w:ascii="Times New Roman" w:hAnsi="Times New Roman" w:cs="Times New Roman"/>
          <w:noProof/>
          <w:sz w:val="24"/>
          <w:szCs w:val="24"/>
        </w:rPr>
      </w:pPr>
      <w:r>
        <w:rPr>
          <w:rFonts w:ascii="Times New Roman" w:hAnsi="Times New Roman"/>
          <w:sz w:val="24"/>
        </w:rPr>
        <w:t>i) vietu, kur izvietota atklātā glabāšanas zona, pastāvīgi aizsargā apsargi vai dežūrpersonāls, kam piešķirta speciālā pielaide;</w:t>
      </w:r>
    </w:p>
    <w:p w14:paraId="2611A5EF" w14:textId="4CF3ADE4" w:rsidR="00E14C2A" w:rsidRPr="00E73A9D" w:rsidRDefault="0048364D" w:rsidP="00D63D84">
      <w:pPr>
        <w:pStyle w:val="ListParagraph"/>
        <w:tabs>
          <w:tab w:val="left" w:pos="1559"/>
        </w:tabs>
        <w:spacing w:before="120"/>
        <w:ind w:left="851" w:hanging="283"/>
        <w:rPr>
          <w:rFonts w:ascii="Times New Roman" w:hAnsi="Times New Roman" w:cs="Times New Roman"/>
          <w:noProof/>
          <w:sz w:val="24"/>
          <w:szCs w:val="24"/>
        </w:rPr>
      </w:pPr>
      <w:r>
        <w:rPr>
          <w:rFonts w:ascii="Times New Roman" w:hAnsi="Times New Roman"/>
          <w:sz w:val="24"/>
        </w:rPr>
        <w:t>ii) apsargi vai dežūrpersonāls, kam piešķirta speciālā pielaide, pārbauda atklāto glabāšanas zonu ne retāk kā vienu reizi četrās stundās, vai</w:t>
      </w:r>
    </w:p>
    <w:p w14:paraId="0E178138" w14:textId="69144041" w:rsidR="00E14C2A" w:rsidRPr="00E73A9D" w:rsidRDefault="0048364D" w:rsidP="00381E3B">
      <w:pPr>
        <w:pStyle w:val="ListParagraph"/>
        <w:keepNext/>
        <w:keepLines/>
        <w:tabs>
          <w:tab w:val="left" w:pos="1559"/>
        </w:tabs>
        <w:spacing w:before="120"/>
        <w:ind w:left="851" w:hanging="284"/>
        <w:rPr>
          <w:rFonts w:ascii="Times New Roman" w:hAnsi="Times New Roman" w:cs="Times New Roman"/>
          <w:noProof/>
          <w:sz w:val="24"/>
          <w:szCs w:val="24"/>
        </w:rPr>
      </w:pPr>
      <w:r>
        <w:rPr>
          <w:rFonts w:ascii="Times New Roman" w:hAnsi="Times New Roman"/>
          <w:sz w:val="24"/>
        </w:rPr>
        <w:lastRenderedPageBreak/>
        <w:t xml:space="preserve">iii) </w:t>
      </w:r>
      <w:r>
        <w:rPr>
          <w:rFonts w:ascii="Times New Roman" w:hAnsi="Times New Roman"/>
          <w:i/>
          <w:iCs/>
          <w:sz w:val="24"/>
        </w:rPr>
        <w:t>IDS</w:t>
      </w:r>
      <w:r>
        <w:rPr>
          <w:rFonts w:ascii="Times New Roman" w:hAnsi="Times New Roman"/>
          <w:sz w:val="24"/>
        </w:rPr>
        <w:t xml:space="preserve"> apvienojumā ar ātras reaģēšanas spēkiem, kuri pēc trauksmes izziņošanas ierodas attiecīgajā vietā laikā, kāds saskaņā ar prognozēto nepieciešams, lai ielauztos šajā zonā.</w:t>
      </w:r>
    </w:p>
    <w:p w14:paraId="36C4E815" w14:textId="69978A7C" w:rsidR="00E14C2A" w:rsidRPr="00E73A9D" w:rsidRDefault="0048364D" w:rsidP="00D63D84">
      <w:pPr>
        <w:pStyle w:val="ListParagraph"/>
        <w:tabs>
          <w:tab w:val="left" w:pos="993"/>
        </w:tabs>
        <w:spacing w:before="240"/>
        <w:ind w:left="0"/>
        <w:jc w:val="left"/>
        <w:rPr>
          <w:rFonts w:ascii="Times New Roman" w:hAnsi="Times New Roman" w:cs="Times New Roman"/>
          <w:b/>
          <w:noProof/>
          <w:sz w:val="24"/>
          <w:szCs w:val="24"/>
        </w:rPr>
      </w:pPr>
      <w:r>
        <w:rPr>
          <w:rFonts w:ascii="Times New Roman" w:hAnsi="Times New Roman"/>
          <w:sz w:val="24"/>
        </w:rPr>
        <w:t>53.</w:t>
      </w:r>
      <w:r>
        <w:rPr>
          <w:rFonts w:ascii="Times New Roman" w:hAnsi="Times New Roman"/>
          <w:b/>
          <w:sz w:val="24"/>
        </w:rPr>
        <w:t xml:space="preserve"> </w:t>
      </w:r>
      <w:r>
        <w:rPr>
          <w:rFonts w:ascii="Times New Roman" w:hAnsi="Times New Roman"/>
          <w:b/>
          <w:i/>
          <w:iCs/>
          <w:sz w:val="24"/>
        </w:rPr>
        <w:t>NATO CONFIDENTIAL</w:t>
      </w:r>
      <w:r>
        <w:rPr>
          <w:rFonts w:ascii="Times New Roman" w:hAnsi="Times New Roman"/>
          <w:b/>
          <w:sz w:val="24"/>
        </w:rPr>
        <w:t xml:space="preserve"> (</w:t>
      </w:r>
      <w:r>
        <w:rPr>
          <w:rFonts w:ascii="Times New Roman" w:hAnsi="Times New Roman"/>
          <w:b/>
          <w:i/>
          <w:iCs/>
          <w:sz w:val="24"/>
        </w:rPr>
        <w:t>NC</w:t>
      </w:r>
      <w:r>
        <w:rPr>
          <w:rFonts w:ascii="Times New Roman" w:hAnsi="Times New Roman"/>
          <w:b/>
          <w:sz w:val="24"/>
        </w:rPr>
        <w:t>)</w:t>
      </w:r>
    </w:p>
    <w:p w14:paraId="3B0843F2" w14:textId="77777777" w:rsidR="00E14C2A" w:rsidRPr="00E73A9D" w:rsidRDefault="00E14C2A" w:rsidP="00D63D84">
      <w:pPr>
        <w:pStyle w:val="BodyText"/>
        <w:spacing w:before="120"/>
        <w:jc w:val="both"/>
        <w:rPr>
          <w:rFonts w:ascii="Times New Roman" w:hAnsi="Times New Roman" w:cs="Times New Roman"/>
          <w:noProof/>
          <w:sz w:val="24"/>
          <w:szCs w:val="24"/>
        </w:rPr>
      </w:pPr>
      <w:r>
        <w:rPr>
          <w:rFonts w:ascii="Times New Roman" w:hAnsi="Times New Roman"/>
          <w:sz w:val="24"/>
        </w:rPr>
        <w:t xml:space="preserve">Informāciju, kam piešķirta </w:t>
      </w:r>
      <w:r>
        <w:rPr>
          <w:rFonts w:ascii="Times New Roman" w:hAnsi="Times New Roman"/>
          <w:i/>
          <w:iCs/>
          <w:sz w:val="24"/>
        </w:rPr>
        <w:t>NC</w:t>
      </w:r>
      <w:r>
        <w:rPr>
          <w:rFonts w:ascii="Times New Roman" w:hAnsi="Times New Roman"/>
          <w:sz w:val="24"/>
        </w:rPr>
        <w:t xml:space="preserve"> slepenības pakāpe, glabā apstiprinātā seifā I vai II klases drošības zonā.</w:t>
      </w:r>
    </w:p>
    <w:p w14:paraId="37B2D13B" w14:textId="7A9C7272" w:rsidR="00E14C2A" w:rsidRPr="00E73A9D" w:rsidRDefault="0048364D" w:rsidP="00D63D84">
      <w:pPr>
        <w:pStyle w:val="ListParagraph"/>
        <w:tabs>
          <w:tab w:val="left" w:pos="993"/>
        </w:tabs>
        <w:spacing w:before="240"/>
        <w:ind w:left="0"/>
        <w:jc w:val="left"/>
        <w:rPr>
          <w:rFonts w:ascii="Times New Roman" w:hAnsi="Times New Roman" w:cs="Times New Roman"/>
          <w:b/>
          <w:noProof/>
          <w:sz w:val="24"/>
          <w:szCs w:val="24"/>
        </w:rPr>
      </w:pPr>
      <w:r>
        <w:rPr>
          <w:rFonts w:ascii="Times New Roman" w:hAnsi="Times New Roman"/>
          <w:sz w:val="24"/>
        </w:rPr>
        <w:t>54.</w:t>
      </w:r>
      <w:r>
        <w:rPr>
          <w:rFonts w:ascii="Times New Roman" w:hAnsi="Times New Roman"/>
          <w:b/>
          <w:sz w:val="24"/>
        </w:rPr>
        <w:t xml:space="preserve"> </w:t>
      </w:r>
      <w:r>
        <w:rPr>
          <w:rFonts w:ascii="Times New Roman" w:hAnsi="Times New Roman"/>
          <w:b/>
          <w:i/>
          <w:iCs/>
          <w:sz w:val="24"/>
        </w:rPr>
        <w:t>NATO RESTRICTED</w:t>
      </w:r>
      <w:r>
        <w:rPr>
          <w:rFonts w:ascii="Times New Roman" w:hAnsi="Times New Roman"/>
          <w:b/>
          <w:sz w:val="24"/>
        </w:rPr>
        <w:t xml:space="preserve"> (</w:t>
      </w:r>
      <w:r>
        <w:rPr>
          <w:rFonts w:ascii="Times New Roman" w:hAnsi="Times New Roman"/>
          <w:b/>
          <w:i/>
          <w:iCs/>
          <w:sz w:val="24"/>
        </w:rPr>
        <w:t>NR</w:t>
      </w:r>
      <w:r>
        <w:rPr>
          <w:rFonts w:ascii="Times New Roman" w:hAnsi="Times New Roman"/>
          <w:b/>
          <w:sz w:val="24"/>
        </w:rPr>
        <w:t>)</w:t>
      </w:r>
    </w:p>
    <w:p w14:paraId="6211A76A" w14:textId="77777777" w:rsidR="00E14C2A" w:rsidRPr="00E73A9D" w:rsidRDefault="00E14C2A" w:rsidP="00E73A9D">
      <w:pPr>
        <w:pStyle w:val="BodyText"/>
        <w:spacing w:before="120"/>
        <w:jc w:val="both"/>
        <w:rPr>
          <w:rFonts w:ascii="Times New Roman" w:hAnsi="Times New Roman" w:cs="Times New Roman"/>
          <w:noProof/>
          <w:sz w:val="24"/>
          <w:szCs w:val="24"/>
        </w:rPr>
      </w:pPr>
      <w:r>
        <w:rPr>
          <w:rFonts w:ascii="Times New Roman" w:hAnsi="Times New Roman"/>
          <w:sz w:val="24"/>
        </w:rPr>
        <w:t xml:space="preserve">Informāciju, kam piešķirta </w:t>
      </w:r>
      <w:r>
        <w:rPr>
          <w:rFonts w:ascii="Times New Roman" w:hAnsi="Times New Roman"/>
          <w:i/>
          <w:iCs/>
          <w:sz w:val="24"/>
        </w:rPr>
        <w:t>NR</w:t>
      </w:r>
      <w:r>
        <w:rPr>
          <w:rFonts w:ascii="Times New Roman" w:hAnsi="Times New Roman"/>
          <w:sz w:val="24"/>
        </w:rPr>
        <w:t xml:space="preserve"> slepenības pakāpe, glabā aizslēgtā skapī vai biroja mēbelē (piemēram, galda atvilktnē) administratīvajā zonā</w:t>
      </w:r>
      <w:r>
        <w:rPr>
          <w:rFonts w:ascii="Times New Roman" w:hAnsi="Times New Roman"/>
          <w:b/>
          <w:bCs/>
          <w:sz w:val="24"/>
        </w:rPr>
        <w:t>,</w:t>
      </w:r>
      <w:r>
        <w:rPr>
          <w:rFonts w:ascii="Times New Roman" w:hAnsi="Times New Roman"/>
          <w:sz w:val="24"/>
        </w:rPr>
        <w:t xml:space="preserve"> I klases drošības zonā vai II klases drošības zonā. Informāciju, kam piešķirta </w:t>
      </w:r>
      <w:r>
        <w:rPr>
          <w:rFonts w:ascii="Times New Roman" w:hAnsi="Times New Roman"/>
          <w:i/>
          <w:iCs/>
          <w:sz w:val="24"/>
        </w:rPr>
        <w:t>NR</w:t>
      </w:r>
      <w:r>
        <w:rPr>
          <w:rFonts w:ascii="Times New Roman" w:hAnsi="Times New Roman"/>
          <w:sz w:val="24"/>
        </w:rPr>
        <w:t xml:space="preserve"> slepenības pakāpe, var glabāt arī aizslēgtā skapī, seifglabātavā vai atvērtā glabāšanas zonā, kas apstiprināta tādas informācijas glabāšanai, kurai piešķirta </w:t>
      </w:r>
      <w:r>
        <w:rPr>
          <w:rFonts w:ascii="Times New Roman" w:hAnsi="Times New Roman"/>
          <w:i/>
          <w:iCs/>
          <w:sz w:val="24"/>
        </w:rPr>
        <w:t>NC</w:t>
      </w:r>
      <w:r>
        <w:rPr>
          <w:rFonts w:ascii="Times New Roman" w:hAnsi="Times New Roman"/>
          <w:sz w:val="24"/>
        </w:rPr>
        <w:t xml:space="preserve"> vai augstāka slepenības pakāpe.</w:t>
      </w:r>
    </w:p>
    <w:p w14:paraId="594BF67F" w14:textId="77777777" w:rsidR="00E14C2A" w:rsidRPr="00E73A9D" w:rsidRDefault="00E14C2A" w:rsidP="00D63D84">
      <w:pPr>
        <w:pStyle w:val="Heading1"/>
        <w:spacing w:before="240"/>
        <w:ind w:left="0"/>
        <w:rPr>
          <w:noProof/>
          <w:sz w:val="24"/>
          <w:szCs w:val="24"/>
        </w:rPr>
      </w:pPr>
      <w:bookmarkStart w:id="41" w:name="_Toc226553711"/>
      <w:bookmarkStart w:id="42" w:name="_Toc234405293"/>
      <w:r>
        <w:rPr>
          <w:sz w:val="24"/>
        </w:rPr>
        <w:t>SAKARU UN INFORMĀCIJAS SISTĒMU FIZISKĀ AIZSARDZĪBA</w:t>
      </w:r>
      <w:bookmarkEnd w:id="41"/>
      <w:bookmarkEnd w:id="42"/>
    </w:p>
    <w:p w14:paraId="523C3BB4" w14:textId="4E1AEE7D" w:rsidR="00E14C2A" w:rsidRPr="00E73A9D" w:rsidRDefault="0048364D" w:rsidP="00D63D84">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55. Zonas, kurās NATO klasificēto informāciju iesniedz vai apstrādā, izmantojot informācijas tehnoloģiju, vai kurās ir iespējama piekļuve šādai informācijai, veido tā, lai būtu izpildīta apvienotā konfidencialitātes, integritātes un pieejamības prasība.</w:t>
      </w:r>
    </w:p>
    <w:p w14:paraId="4C360324" w14:textId="2FDF74BB" w:rsidR="00E73A9D" w:rsidRDefault="0048364D" w:rsidP="00D63D84">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 xml:space="preserve">56. Zonas, kurās izmanto </w:t>
      </w:r>
      <w:r>
        <w:rPr>
          <w:rFonts w:ascii="Times New Roman" w:hAnsi="Times New Roman"/>
          <w:i/>
          <w:iCs/>
          <w:sz w:val="24"/>
        </w:rPr>
        <w:t>CIS</w:t>
      </w:r>
      <w:r>
        <w:rPr>
          <w:rFonts w:ascii="Times New Roman" w:hAnsi="Times New Roman"/>
          <w:sz w:val="24"/>
        </w:rPr>
        <w:t xml:space="preserve">, lai atspoguļotu, glabātu, apstrādātu vai pārsūtītu informāciju, kam piešķirta </w:t>
      </w:r>
      <w:r>
        <w:rPr>
          <w:rFonts w:ascii="Times New Roman" w:hAnsi="Times New Roman"/>
          <w:i/>
          <w:iCs/>
          <w:sz w:val="24"/>
        </w:rPr>
        <w:t>NC</w:t>
      </w:r>
      <w:r>
        <w:rPr>
          <w:rFonts w:ascii="Times New Roman" w:hAnsi="Times New Roman"/>
          <w:sz w:val="24"/>
        </w:rPr>
        <w:t xml:space="preserve"> vai augstāka slepenības pakāpe, veido kā NATO I vai II drošības klases zonas vai to ekvivalents attiecīgajā valstī.</w:t>
      </w:r>
    </w:p>
    <w:p w14:paraId="1548C1A8" w14:textId="15B26B0F" w:rsidR="00E14C2A" w:rsidRPr="00E73A9D" w:rsidRDefault="00E14C2A" w:rsidP="00D63D84">
      <w:pPr>
        <w:pStyle w:val="BodyText"/>
        <w:spacing w:before="240"/>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52" behindDoc="0" locked="0" layoutInCell="1" allowOverlap="1" wp14:anchorId="440336CB" wp14:editId="4A59EF6C">
                <wp:simplePos x="0" y="0"/>
                <wp:positionH relativeFrom="page">
                  <wp:posOffset>174695</wp:posOffset>
                </wp:positionH>
                <wp:positionV relativeFrom="page">
                  <wp:posOffset>2945478</wp:posOffset>
                </wp:positionV>
                <wp:extent cx="182880" cy="48031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12DD2B8A"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40336CB" id="Textbox 21" o:spid="_x0000_s1039" type="#_x0000_t202" style="position:absolute;left:0;text-align:left;margin-left:13.75pt;margin-top:231.95pt;width:14.4pt;height:378.2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" filled="f" stroked="f">
                <v:textbox style="layout-flow:vertical;mso-layout-flow-alt:bottom-to-top" inset="0,0,0,0">
                  <w:txbxContent>
                    <w:p w14:paraId="12DD2B8A"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57. Zonas, kurās izmanto </w:t>
      </w:r>
      <w:r>
        <w:rPr>
          <w:rFonts w:ascii="Times New Roman" w:hAnsi="Times New Roman"/>
          <w:i/>
          <w:iCs/>
          <w:sz w:val="24"/>
        </w:rPr>
        <w:t>CIS</w:t>
      </w:r>
      <w:r>
        <w:rPr>
          <w:rFonts w:ascii="Times New Roman" w:hAnsi="Times New Roman"/>
          <w:sz w:val="24"/>
        </w:rPr>
        <w:t xml:space="preserve">, lai atspoguļotu, glabātu, apstrādātu vai pārsūtītu informāciju, kam piešķirta </w:t>
      </w:r>
      <w:r>
        <w:rPr>
          <w:rFonts w:ascii="Times New Roman" w:hAnsi="Times New Roman"/>
          <w:i/>
          <w:iCs/>
          <w:sz w:val="24"/>
        </w:rPr>
        <w:t>NR</w:t>
      </w:r>
      <w:r>
        <w:rPr>
          <w:rFonts w:ascii="Times New Roman" w:hAnsi="Times New Roman"/>
          <w:sz w:val="24"/>
        </w:rPr>
        <w:t xml:space="preserve"> slepenības pakāpe, vai kurās ir iespējama piekļuve šādai informācijai, var būt veidotas kā administratīvās zonas.</w:t>
      </w:r>
    </w:p>
    <w:p w14:paraId="233A08E6" w14:textId="3AF2875C" w:rsidR="00E14C2A" w:rsidRPr="00E73A9D" w:rsidRDefault="0048364D" w:rsidP="00D63D84">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 xml:space="preserve">58. Piekļuvi zonām, kurās izvieto un pārvalda būtiskus </w:t>
      </w:r>
      <w:r>
        <w:rPr>
          <w:rFonts w:ascii="Times New Roman" w:hAnsi="Times New Roman"/>
          <w:i/>
          <w:iCs/>
          <w:sz w:val="24"/>
        </w:rPr>
        <w:t>CIS</w:t>
      </w:r>
      <w:r>
        <w:rPr>
          <w:rFonts w:ascii="Times New Roman" w:hAnsi="Times New Roman"/>
          <w:sz w:val="24"/>
        </w:rPr>
        <w:t xml:space="preserve"> komponentus (piemēram, serverus, tīklu, glabāšanas un šifrēšanas aprīkojumu), īpaši kontrolē un piešķir tikai pilnvarotam personālam, kas ir saistīts ar drošību un sistēmas/tīkla/šifrēšanas pārvaldību.</w:t>
      </w:r>
    </w:p>
    <w:p w14:paraId="76527152" w14:textId="0321B472" w:rsidR="00E14C2A" w:rsidRPr="00E73A9D" w:rsidRDefault="0048364D" w:rsidP="00D63D84">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 xml:space="preserve">59. Lai noteiktu atbilstošu aizsardzības līmeni </w:t>
      </w:r>
      <w:r>
        <w:rPr>
          <w:rFonts w:ascii="Times New Roman" w:hAnsi="Times New Roman"/>
          <w:i/>
          <w:iCs/>
          <w:sz w:val="24"/>
        </w:rPr>
        <w:t>CIS</w:t>
      </w:r>
      <w:r>
        <w:rPr>
          <w:rFonts w:ascii="Times New Roman" w:hAnsi="Times New Roman"/>
          <w:sz w:val="24"/>
        </w:rPr>
        <w:t>, kurā apstrādā NATO klasificēto informāciju, piemēro dokumenta C-M(2002)49 F pielikumu un tā papildu direktīvas.</w:t>
      </w:r>
    </w:p>
    <w:p w14:paraId="53D25DF5" w14:textId="77777777" w:rsidR="00E14C2A" w:rsidRPr="00E73A9D" w:rsidRDefault="00E14C2A" w:rsidP="00D63D84">
      <w:pPr>
        <w:pStyle w:val="Heading2"/>
        <w:spacing w:before="240"/>
        <w:ind w:left="0"/>
        <w:jc w:val="both"/>
        <w:rPr>
          <w:rFonts w:ascii="Times New Roman" w:hAnsi="Times New Roman" w:cs="Times New Roman"/>
          <w:noProof/>
          <w:sz w:val="24"/>
          <w:szCs w:val="24"/>
        </w:rPr>
      </w:pPr>
      <w:bookmarkStart w:id="43" w:name="_Toc226553712"/>
      <w:bookmarkStart w:id="44" w:name="_Toc234405294"/>
      <w:r>
        <w:rPr>
          <w:rFonts w:ascii="Times New Roman" w:hAnsi="Times New Roman"/>
          <w:sz w:val="24"/>
        </w:rPr>
        <w:t>Printeru, kopētāju un smalcinātāju fiziska aizsardzība</w:t>
      </w:r>
      <w:bookmarkEnd w:id="43"/>
      <w:bookmarkEnd w:id="44"/>
    </w:p>
    <w:p w14:paraId="486B73EB" w14:textId="4C04D8CB" w:rsidR="00E14C2A" w:rsidRPr="00E73A9D" w:rsidRDefault="0048364D" w:rsidP="0048364D">
      <w:pPr>
        <w:pStyle w:val="ListParagraph"/>
        <w:tabs>
          <w:tab w:val="left" w:pos="991"/>
        </w:tabs>
        <w:spacing w:before="120"/>
        <w:ind w:left="0"/>
        <w:jc w:val="left"/>
        <w:rPr>
          <w:rFonts w:ascii="Times New Roman" w:hAnsi="Times New Roman" w:cs="Times New Roman"/>
          <w:noProof/>
          <w:sz w:val="24"/>
          <w:szCs w:val="24"/>
        </w:rPr>
      </w:pPr>
      <w:r>
        <w:rPr>
          <w:rFonts w:ascii="Times New Roman" w:hAnsi="Times New Roman"/>
          <w:sz w:val="24"/>
        </w:rPr>
        <w:t>60. Printerus, kopētājus, smalcinātājus un citu aprīkojumu, ko izmanto NATO klasificētās informācijas pavairošanai vai iznīcināšanai, fiziski aizsargā, ciktāl tas nepieciešams, lai nodrošinātu, ka tos var izmantot vienīgi pilnvarotas personas un ka NATO klasificētā informācija tiek kontrolēta saskaņā ar NATO drošības politikas un tās papildu direktīvu prasībām.</w:t>
      </w:r>
    </w:p>
    <w:p w14:paraId="1B52816C" w14:textId="77777777" w:rsidR="00E14C2A" w:rsidRPr="00E73A9D" w:rsidRDefault="00E14C2A" w:rsidP="00D63D84">
      <w:pPr>
        <w:pStyle w:val="Heading1"/>
        <w:spacing w:before="240"/>
        <w:ind w:left="0"/>
        <w:rPr>
          <w:noProof/>
          <w:sz w:val="24"/>
          <w:szCs w:val="24"/>
        </w:rPr>
      </w:pPr>
      <w:bookmarkStart w:id="45" w:name="_Toc226553713"/>
      <w:bookmarkStart w:id="46" w:name="_Toc234405295"/>
      <w:r>
        <w:rPr>
          <w:sz w:val="24"/>
        </w:rPr>
        <w:t>AIZSARDZĪBA PRET TEHNISKIEM UZBRUKUMIEM</w:t>
      </w:r>
      <w:bookmarkEnd w:id="45"/>
      <w:bookmarkEnd w:id="46"/>
    </w:p>
    <w:p w14:paraId="473BC362" w14:textId="5A47784C" w:rsidR="00E14C2A" w:rsidRPr="00E73A9D" w:rsidRDefault="0048364D" w:rsidP="00D63D84">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 xml:space="preserve">61. Administratīvās telpas vai zonas, kurās regulāri apspriež informāciju, kam piešķirta </w:t>
      </w:r>
      <w:r>
        <w:rPr>
          <w:rFonts w:ascii="Times New Roman" w:hAnsi="Times New Roman"/>
          <w:i/>
          <w:iCs/>
          <w:sz w:val="24"/>
        </w:rPr>
        <w:t>NS</w:t>
      </w:r>
      <w:r>
        <w:rPr>
          <w:rFonts w:ascii="Times New Roman" w:hAnsi="Times New Roman"/>
          <w:sz w:val="24"/>
        </w:rPr>
        <w:t xml:space="preserve"> vai augstāka slepenības pakāpe, aizsargā pret pasīviem vai aktīviem slepenas noklausīšanās uzbrukumiem, izmantojot piemērotus fiziskās drošības pasākumus un piekļuves kontroli, ja tas nepieciešams, ņemot vērā pastāvošo risku. Atbildību par riska noteikšanu koordinē ar tehniskajiem speciālistiem, un par to lemj atbilstošā drošības iestāde.</w:t>
      </w:r>
    </w:p>
    <w:p w14:paraId="128BB56B" w14:textId="17EA0C11" w:rsidR="00E14C2A" w:rsidRPr="00E73A9D" w:rsidRDefault="0048364D" w:rsidP="00F5399B">
      <w:pPr>
        <w:pStyle w:val="ListParagraph"/>
        <w:keepNext/>
        <w:keepLines/>
        <w:tabs>
          <w:tab w:val="left" w:pos="991"/>
        </w:tabs>
        <w:spacing w:before="240"/>
        <w:ind w:left="0"/>
        <w:rPr>
          <w:rFonts w:ascii="Times New Roman" w:hAnsi="Times New Roman" w:cs="Times New Roman"/>
          <w:noProof/>
          <w:sz w:val="24"/>
          <w:szCs w:val="24"/>
        </w:rPr>
      </w:pPr>
      <w:r>
        <w:rPr>
          <w:rFonts w:ascii="Times New Roman" w:hAnsi="Times New Roman"/>
          <w:sz w:val="24"/>
        </w:rPr>
        <w:lastRenderedPageBreak/>
        <w:t>62. Aizsardzības pret pasīviem slepenas noklausīšanās uzbrukumiem (t. i., pret NATO klasificētās informācijas noplūšanu pa nedrošiem sakaru kanāliem vai ar netīšu elektromagnētisko starojumu) nodrošināšanai var būt nepieciešamas tehniskas drošības konsultācijas.</w:t>
      </w:r>
    </w:p>
    <w:p w14:paraId="78C7455D" w14:textId="6ECB062E" w:rsidR="00E14C2A" w:rsidRPr="00E73A9D" w:rsidRDefault="0048364D" w:rsidP="00D63D84">
      <w:pPr>
        <w:pStyle w:val="ListParagraph"/>
        <w:tabs>
          <w:tab w:val="left" w:pos="991"/>
        </w:tabs>
        <w:spacing w:before="240"/>
        <w:ind w:left="0"/>
        <w:rPr>
          <w:rFonts w:ascii="Times New Roman" w:hAnsi="Times New Roman" w:cs="Times New Roman"/>
          <w:noProof/>
          <w:sz w:val="24"/>
          <w:szCs w:val="24"/>
        </w:rPr>
      </w:pPr>
      <w:r>
        <w:rPr>
          <w:rFonts w:ascii="Times New Roman" w:hAnsi="Times New Roman"/>
          <w:sz w:val="24"/>
        </w:rPr>
        <w:t>63. Aizsardzībai pret aktīvu slepenu noklausīšanos (t. i., NATO klasificētās informācijas noplūšanu pa mikrofoniem ar vadu, bezvadu mikrofoniem vai citām ievietotām ierīcēm) nepieciešama telpas materiālu, apdares un furnitūras un telpā esošā biroja aprīkojuma, tostarp biroja iekārtu (mehānisko un elektrisko) un sakaru līdzekļu, tehniska un/vai fiziska drošības pārbaude. Šīs pārbaudes veic mācīts drošības personāls, kuru pilnvarojusi atbilstoša drošības iestāde.</w:t>
      </w:r>
    </w:p>
    <w:p w14:paraId="0FBCE6EA" w14:textId="77777777" w:rsidR="00E14C2A" w:rsidRPr="00E73A9D" w:rsidRDefault="00E14C2A" w:rsidP="00D63D84">
      <w:pPr>
        <w:pStyle w:val="Heading2"/>
        <w:spacing w:before="240"/>
        <w:ind w:left="0"/>
        <w:rPr>
          <w:rFonts w:ascii="Times New Roman" w:hAnsi="Times New Roman" w:cs="Times New Roman"/>
          <w:noProof/>
          <w:sz w:val="24"/>
          <w:szCs w:val="24"/>
        </w:rPr>
      </w:pPr>
      <w:bookmarkStart w:id="47" w:name="_Toc226553714"/>
      <w:bookmarkStart w:id="48" w:name="_Toc234405296"/>
      <w:r>
        <w:rPr>
          <w:rFonts w:ascii="Times New Roman" w:hAnsi="Times New Roman"/>
          <w:sz w:val="24"/>
        </w:rPr>
        <w:t>Elektriskā/elektroniskā aprīkojuma pārbaude</w:t>
      </w:r>
      <w:bookmarkEnd w:id="47"/>
      <w:bookmarkEnd w:id="48"/>
    </w:p>
    <w:p w14:paraId="5CF368A9" w14:textId="7E9E9ECE" w:rsidR="00E14C2A" w:rsidRPr="00E73A9D" w:rsidRDefault="0048364D" w:rsidP="00D63D84">
      <w:pPr>
        <w:pStyle w:val="ListParagraph"/>
        <w:tabs>
          <w:tab w:val="left" w:pos="991"/>
        </w:tabs>
        <w:spacing w:before="120"/>
        <w:ind w:left="0"/>
        <w:rPr>
          <w:rFonts w:ascii="Times New Roman" w:hAnsi="Times New Roman" w:cs="Times New Roman"/>
          <w:noProof/>
          <w:sz w:val="24"/>
          <w:szCs w:val="24"/>
        </w:rPr>
      </w:pPr>
      <w:r>
        <w:rPr>
          <w:rFonts w:ascii="Times New Roman" w:hAnsi="Times New Roman"/>
          <w:sz w:val="24"/>
        </w:rPr>
        <w:t xml:space="preserve">64. Jebkādas sakaru iekārtas un elektrisko vai elektronisko aprīkojumu pirms tā izmantošanas zonās, kurās notiek sanāksmes vai darbs, kas saistīts ar informāciju, kurai piešķirta </w:t>
      </w:r>
      <w:r>
        <w:rPr>
          <w:rFonts w:ascii="Times New Roman" w:hAnsi="Times New Roman"/>
          <w:i/>
          <w:iCs/>
          <w:sz w:val="24"/>
        </w:rPr>
        <w:t>NS</w:t>
      </w:r>
      <w:r>
        <w:rPr>
          <w:rFonts w:ascii="Times New Roman" w:hAnsi="Times New Roman"/>
          <w:sz w:val="24"/>
        </w:rPr>
        <w:t xml:space="preserve"> vai augstāka slepenības pakāpe, un apstākļos, kad saskaņā ar drošības riska novērtējumu pastāv augsts draudu līmenis, pārbauda tehniskie vai sakaru drošības eksperti, lai pārliecinātos, ka ar šādu aprīkojumu netiek nejauši vai ļaunprātīgi pārraidīta saprotama informācija uz kādu vietu ārpus I un II klases drošības zonas.</w:t>
      </w:r>
    </w:p>
    <w:p w14:paraId="2ED2FA75" w14:textId="77777777" w:rsidR="00E73A9D" w:rsidRDefault="00E73A9D" w:rsidP="00E73A9D">
      <w:pPr>
        <w:pStyle w:val="ListParagraph"/>
        <w:spacing w:before="120"/>
        <w:ind w:left="0"/>
        <w:rPr>
          <w:rFonts w:ascii="Times New Roman" w:hAnsi="Times New Roman" w:cs="Times New Roman"/>
          <w:noProof/>
          <w:sz w:val="24"/>
          <w:szCs w:val="24"/>
        </w:rPr>
      </w:pPr>
    </w:p>
    <w:p w14:paraId="61E70955" w14:textId="77777777" w:rsidR="0048364D" w:rsidRDefault="0048364D">
      <w:pPr>
        <w:rPr>
          <w:rFonts w:ascii="Times New Roman" w:hAnsi="Times New Roman" w:cs="Times New Roman"/>
          <w:noProof/>
          <w:sz w:val="24"/>
          <w:szCs w:val="24"/>
        </w:rPr>
      </w:pPr>
      <w:r>
        <w:br w:type="page"/>
      </w:r>
    </w:p>
    <w:p w14:paraId="6CB44BDE" w14:textId="263F3528" w:rsidR="00E14C2A" w:rsidRPr="00E73A9D" w:rsidRDefault="00E14C2A" w:rsidP="00E36CF8">
      <w:pPr>
        <w:pStyle w:val="BodyText"/>
        <w:jc w:val="right"/>
        <w:rPr>
          <w:rFonts w:ascii="Times New Roman" w:hAnsi="Times New Roman" w:cs="Times New Roman"/>
          <w:noProof/>
          <w:sz w:val="24"/>
          <w:szCs w:val="24"/>
        </w:rPr>
      </w:pPr>
      <w:r>
        <w:rPr>
          <w:rFonts w:ascii="Times New Roman" w:hAnsi="Times New Roman"/>
          <w:noProof/>
          <w:sz w:val="24"/>
        </w:rPr>
        <w:lastRenderedPageBreak/>
        <mc:AlternateContent>
          <mc:Choice Requires="wps">
            <w:drawing>
              <wp:anchor distT="0" distB="0" distL="0" distR="0" simplePos="0" relativeHeight="251658253" behindDoc="0" locked="0" layoutInCell="1" allowOverlap="1" wp14:anchorId="7742EEBA" wp14:editId="5DCD565F">
                <wp:simplePos x="0" y="0"/>
                <wp:positionH relativeFrom="page">
                  <wp:posOffset>174695</wp:posOffset>
                </wp:positionH>
                <wp:positionV relativeFrom="page">
                  <wp:posOffset>2945478</wp:posOffset>
                </wp:positionV>
                <wp:extent cx="182880" cy="48031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9DBFA77"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7742EEBA" id="Textbox 24" o:spid="_x0000_s1040" type="#_x0000_t202" style="position:absolute;left:0;text-align:left;margin-left:13.75pt;margin-top:231.95pt;width:14.4pt;height:378.2pt;z-index:2516582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" filled="f" stroked="f">
                <v:textbox style="layout-flow:vertical;mso-layout-flow-alt:bottom-to-top" inset="0,0,0,0">
                  <w:txbxContent>
                    <w:p w14:paraId="49DBFA77" w14:textId="77777777" w:rsidR="00E14C2A" w:rsidRPr="00E14C2A" w:rsidRDefault="00E14C2A" w:rsidP="00E14C2A">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1. PAPILDINĀJUMS</w:t>
      </w:r>
    </w:p>
    <w:p w14:paraId="746A21DD" w14:textId="77777777" w:rsidR="00E36CF8" w:rsidRDefault="00E14C2A" w:rsidP="00E36CF8">
      <w:pPr>
        <w:pStyle w:val="BodyText"/>
        <w:jc w:val="right"/>
        <w:rPr>
          <w:rFonts w:ascii="Times New Roman" w:hAnsi="Times New Roman" w:cs="Times New Roman"/>
          <w:noProof/>
          <w:sz w:val="24"/>
          <w:szCs w:val="24"/>
        </w:rPr>
      </w:pPr>
      <w:r>
        <w:rPr>
          <w:rFonts w:ascii="Times New Roman" w:hAnsi="Times New Roman"/>
          <w:sz w:val="24"/>
        </w:rPr>
        <w:t>1. PIELIKUMS</w:t>
      </w:r>
    </w:p>
    <w:p w14:paraId="5BCF740A" w14:textId="5495083E" w:rsidR="00E14C2A" w:rsidRPr="00E73A9D" w:rsidRDefault="00E14C2A" w:rsidP="00E36CF8">
      <w:pPr>
        <w:pStyle w:val="BodyText"/>
        <w:jc w:val="right"/>
        <w:rPr>
          <w:rFonts w:ascii="Times New Roman" w:hAnsi="Times New Roman" w:cs="Times New Roman"/>
          <w:noProof/>
          <w:sz w:val="24"/>
          <w:szCs w:val="24"/>
        </w:rPr>
      </w:pPr>
      <w:r>
        <w:rPr>
          <w:rFonts w:ascii="Times New Roman" w:hAnsi="Times New Roman"/>
          <w:sz w:val="24"/>
        </w:rPr>
        <w:t>AC/35-D/2001-REV3</w:t>
      </w:r>
    </w:p>
    <w:p w14:paraId="40A39AB2" w14:textId="77777777" w:rsidR="00E14C2A" w:rsidRPr="00E73A9D" w:rsidRDefault="00E14C2A" w:rsidP="00E73A9D">
      <w:pPr>
        <w:pStyle w:val="BodyText"/>
        <w:spacing w:before="120"/>
        <w:rPr>
          <w:rFonts w:ascii="Times New Roman" w:hAnsi="Times New Roman" w:cs="Times New Roman"/>
          <w:noProof/>
          <w:sz w:val="24"/>
          <w:szCs w:val="24"/>
        </w:rPr>
      </w:pPr>
    </w:p>
    <w:p w14:paraId="5F726A31" w14:textId="77777777" w:rsidR="00E14C2A" w:rsidRPr="00E73A9D" w:rsidRDefault="00E14C2A" w:rsidP="00E73A9D">
      <w:pPr>
        <w:pStyle w:val="Heading1"/>
        <w:spacing w:before="120"/>
        <w:ind w:left="0"/>
        <w:jc w:val="center"/>
        <w:rPr>
          <w:noProof/>
          <w:sz w:val="24"/>
          <w:szCs w:val="24"/>
        </w:rPr>
      </w:pPr>
      <w:bookmarkStart w:id="49" w:name="_Toc226553715"/>
      <w:bookmarkStart w:id="50" w:name="_Toc234405297"/>
      <w:r>
        <w:rPr>
          <w:sz w:val="24"/>
        </w:rPr>
        <w:t>ATKLĀTAS GLABĀŠANAS ZONAS</w:t>
      </w:r>
      <w:bookmarkEnd w:id="49"/>
      <w:bookmarkEnd w:id="50"/>
    </w:p>
    <w:p w14:paraId="4360B73D" w14:textId="77777777" w:rsidR="00E14C2A" w:rsidRPr="00E73A9D" w:rsidRDefault="00E14C2A" w:rsidP="00E73A9D">
      <w:pPr>
        <w:pStyle w:val="BodyText"/>
        <w:spacing w:before="120"/>
        <w:rPr>
          <w:rFonts w:ascii="Times New Roman" w:hAnsi="Times New Roman" w:cs="Times New Roman"/>
          <w:b/>
          <w:noProof/>
          <w:sz w:val="24"/>
          <w:szCs w:val="24"/>
        </w:rPr>
      </w:pPr>
    </w:p>
    <w:p w14:paraId="11E3E79D" w14:textId="7FADBFAA" w:rsidR="00E14C2A" w:rsidRPr="00E73A9D" w:rsidRDefault="000B433D" w:rsidP="007724C3">
      <w:pPr>
        <w:pStyle w:val="ListParagraph"/>
        <w:tabs>
          <w:tab w:val="left" w:pos="993"/>
        </w:tabs>
        <w:spacing w:before="120"/>
        <w:ind w:left="0"/>
        <w:rPr>
          <w:rFonts w:ascii="Times New Roman" w:hAnsi="Times New Roman" w:cs="Times New Roman"/>
          <w:noProof/>
          <w:sz w:val="24"/>
          <w:szCs w:val="24"/>
        </w:rPr>
      </w:pPr>
      <w:r>
        <w:rPr>
          <w:rFonts w:ascii="Times New Roman" w:hAnsi="Times New Roman"/>
          <w:sz w:val="24"/>
        </w:rPr>
        <w:t>1. Atklātas glabāšanas zonas ir zonas, kurās atbilstoša drošības iestāde atļāvusi atklāti glabāt NATO klasificēto informāciju. Šīs zonas veido atbilstoši turpmāk norādītajiem standartiem.</w:t>
      </w:r>
    </w:p>
    <w:p w14:paraId="6F39352B" w14:textId="6DCAA083" w:rsidR="00E14C2A" w:rsidRPr="00E73A9D" w:rsidRDefault="007724C3" w:rsidP="007724C3">
      <w:pPr>
        <w:pStyle w:val="Heading2"/>
        <w:tabs>
          <w:tab w:val="left" w:pos="1564"/>
        </w:tabs>
        <w:spacing w:before="120"/>
        <w:ind w:left="567" w:hanging="283"/>
        <w:jc w:val="both"/>
        <w:rPr>
          <w:rFonts w:ascii="Times New Roman" w:hAnsi="Times New Roman" w:cs="Times New Roman"/>
          <w:noProof/>
          <w:sz w:val="24"/>
          <w:szCs w:val="24"/>
        </w:rPr>
      </w:pPr>
      <w:bookmarkStart w:id="51" w:name="_Toc226553716"/>
      <w:bookmarkStart w:id="52" w:name="_Toc234405298"/>
      <w:r>
        <w:rPr>
          <w:rFonts w:ascii="Times New Roman" w:hAnsi="Times New Roman"/>
          <w:b w:val="0"/>
          <w:sz w:val="24"/>
        </w:rPr>
        <w:t>a)</w:t>
      </w:r>
      <w:r>
        <w:rPr>
          <w:rFonts w:ascii="Times New Roman" w:hAnsi="Times New Roman"/>
          <w:sz w:val="24"/>
        </w:rPr>
        <w:t xml:space="preserve"> Konstrukcija</w:t>
      </w:r>
      <w:bookmarkEnd w:id="51"/>
      <w:bookmarkEnd w:id="52"/>
    </w:p>
    <w:p w14:paraId="00B9A93D" w14:textId="77777777" w:rsidR="00E14C2A" w:rsidRPr="00E73A9D" w:rsidRDefault="00E14C2A" w:rsidP="007724C3">
      <w:pPr>
        <w:pStyle w:val="BodyText"/>
        <w:spacing w:before="120"/>
        <w:ind w:left="567"/>
        <w:jc w:val="both"/>
        <w:rPr>
          <w:rFonts w:ascii="Times New Roman" w:hAnsi="Times New Roman" w:cs="Times New Roman"/>
          <w:noProof/>
          <w:sz w:val="24"/>
          <w:szCs w:val="24"/>
        </w:rPr>
      </w:pPr>
      <w:r>
        <w:rPr>
          <w:rFonts w:ascii="Times New Roman" w:hAnsi="Times New Roman"/>
          <w:sz w:val="24"/>
        </w:rPr>
        <w:t>Perimetra sienas, grīdas un griesti ir pastāvīgi uzbūvēti un savstarpēji savienoti. Visu konstrukciju veido tā, lai nodrošinātu vizuālos pierādījumus par nesankcionētu ielaušanos.</w:t>
      </w:r>
    </w:p>
    <w:p w14:paraId="6D9E2AF3" w14:textId="26165158" w:rsidR="00E14C2A" w:rsidRPr="00E73A9D" w:rsidRDefault="007724C3" w:rsidP="007724C3">
      <w:pPr>
        <w:pStyle w:val="ListParagraph"/>
        <w:tabs>
          <w:tab w:val="left" w:pos="1564"/>
        </w:tabs>
        <w:spacing w:before="120"/>
        <w:ind w:left="567" w:hanging="283"/>
        <w:rPr>
          <w:rFonts w:ascii="Times New Roman" w:hAnsi="Times New Roman" w:cs="Times New Roman"/>
          <w:b/>
          <w:noProof/>
          <w:sz w:val="24"/>
          <w:szCs w:val="24"/>
        </w:rPr>
      </w:pPr>
      <w:r>
        <w:rPr>
          <w:rFonts w:ascii="Times New Roman" w:hAnsi="Times New Roman"/>
          <w:sz w:val="24"/>
        </w:rPr>
        <w:t>b)</w:t>
      </w:r>
      <w:r>
        <w:rPr>
          <w:rFonts w:ascii="Times New Roman" w:hAnsi="Times New Roman"/>
          <w:b/>
          <w:bCs/>
          <w:sz w:val="24"/>
        </w:rPr>
        <w:t xml:space="preserve"> Durvis</w:t>
      </w:r>
    </w:p>
    <w:p w14:paraId="67E2A968" w14:textId="77777777" w:rsidR="00E14C2A" w:rsidRPr="00E73A9D" w:rsidRDefault="00E14C2A" w:rsidP="007724C3">
      <w:pPr>
        <w:pStyle w:val="BodyText"/>
        <w:spacing w:before="120"/>
        <w:ind w:left="567"/>
        <w:jc w:val="both"/>
        <w:rPr>
          <w:rFonts w:ascii="Times New Roman" w:hAnsi="Times New Roman" w:cs="Times New Roman"/>
          <w:noProof/>
          <w:sz w:val="24"/>
          <w:szCs w:val="24"/>
        </w:rPr>
      </w:pPr>
      <w:r>
        <w:rPr>
          <w:rFonts w:ascii="Times New Roman" w:hAnsi="Times New Roman"/>
          <w:sz w:val="24"/>
        </w:rPr>
        <w:t xml:space="preserve">Durvis veido no koka, metāla vai cita cieta materiāla. Ieejas durvis nodrošina ar iebūvētu apstiprinātu trīs pozīciju kombinācijas slēdzeni. Ja pastāv īpaši apstākļi, atbilstoša drošības iestāde var atļaut izmantot citas slēdzenes </w:t>
      </w:r>
      <w:r>
        <w:rPr>
          <w:rFonts w:ascii="Times New Roman" w:hAnsi="Times New Roman"/>
          <w:i/>
          <w:iCs/>
          <w:sz w:val="24"/>
        </w:rPr>
        <w:t>NS</w:t>
      </w:r>
      <w:r>
        <w:rPr>
          <w:rFonts w:ascii="Times New Roman" w:hAnsi="Times New Roman"/>
          <w:sz w:val="24"/>
        </w:rPr>
        <w:t xml:space="preserve"> un </w:t>
      </w:r>
      <w:r>
        <w:rPr>
          <w:rFonts w:ascii="Times New Roman" w:hAnsi="Times New Roman"/>
          <w:i/>
          <w:iCs/>
          <w:sz w:val="24"/>
        </w:rPr>
        <w:t>NC</w:t>
      </w:r>
      <w:r>
        <w:rPr>
          <w:rFonts w:ascii="Times New Roman" w:hAnsi="Times New Roman"/>
          <w:sz w:val="24"/>
        </w:rPr>
        <w:t xml:space="preserve"> informācijas glabātavas ieejas durvīs. Durvis, kas nav nodrošinātas ar minētajām slēdzenēm, nodrošina no iekšpuses ar avārijas izejas ietaisi ar aizgriezni, aizbīdni vai stingru koka vai metāla stieni, kas stiepjas durvju platumā, vai ar citiem atbilstošās drošības iestādes apstiprinātiem līdzekļiem.</w:t>
      </w:r>
    </w:p>
    <w:p w14:paraId="7D89ED31" w14:textId="2977362E" w:rsidR="00E14C2A" w:rsidRPr="00E73A9D" w:rsidRDefault="007724C3" w:rsidP="007724C3">
      <w:pPr>
        <w:pStyle w:val="ListParagraph"/>
        <w:tabs>
          <w:tab w:val="left" w:pos="1564"/>
        </w:tabs>
        <w:spacing w:before="120"/>
        <w:ind w:left="567" w:hanging="283"/>
        <w:rPr>
          <w:rFonts w:ascii="Times New Roman" w:hAnsi="Times New Roman" w:cs="Times New Roman"/>
          <w:b/>
          <w:noProof/>
          <w:sz w:val="24"/>
          <w:szCs w:val="24"/>
        </w:rPr>
      </w:pPr>
      <w:r>
        <w:rPr>
          <w:rFonts w:ascii="Times New Roman" w:hAnsi="Times New Roman"/>
          <w:sz w:val="24"/>
        </w:rPr>
        <w:t xml:space="preserve">c) </w:t>
      </w:r>
      <w:r>
        <w:rPr>
          <w:rFonts w:ascii="Times New Roman" w:hAnsi="Times New Roman"/>
          <w:b/>
          <w:bCs/>
          <w:sz w:val="24"/>
        </w:rPr>
        <w:t>Ventilācijas atveres, gaisa vadi un dažādi atvērumi</w:t>
      </w:r>
    </w:p>
    <w:p w14:paraId="2F5D7F04" w14:textId="77777777" w:rsidR="00E14C2A" w:rsidRPr="00E73A9D" w:rsidRDefault="00E14C2A" w:rsidP="007724C3">
      <w:pPr>
        <w:pStyle w:val="BodyText"/>
        <w:spacing w:before="120"/>
        <w:ind w:left="567"/>
        <w:jc w:val="both"/>
        <w:rPr>
          <w:rFonts w:ascii="Times New Roman" w:hAnsi="Times New Roman" w:cs="Times New Roman"/>
          <w:noProof/>
          <w:sz w:val="24"/>
          <w:szCs w:val="24"/>
        </w:rPr>
      </w:pPr>
      <w:r>
        <w:rPr>
          <w:rFonts w:ascii="Times New Roman" w:hAnsi="Times New Roman"/>
          <w:sz w:val="24"/>
        </w:rPr>
        <w:t>Visas ventilācijas atveres, gaisa vadus un līdzīgus atvērumus, kas ir lielāki par 96 kvadrātcollām / 620 kvadrātcentimetriem (mazākā dimensija ir lielāka par 6 collām / 15 centimetriem) un kas ienāk glabāšanas zonā vai šķērso to, aizsargā ar restēm, perforētas vilktas loksnes režģiem, komerciāliem metāla skaņas deflektoriem vai ielaušanās atklāšanas sistēmu.</w:t>
      </w:r>
    </w:p>
    <w:p w14:paraId="30DE8D01" w14:textId="4A52EBDB" w:rsidR="00E14C2A" w:rsidRPr="00E73A9D" w:rsidRDefault="007724C3" w:rsidP="007724C3">
      <w:pPr>
        <w:pStyle w:val="ListParagraph"/>
        <w:tabs>
          <w:tab w:val="left" w:pos="1564"/>
        </w:tabs>
        <w:spacing w:before="120"/>
        <w:ind w:left="567" w:hanging="283"/>
        <w:rPr>
          <w:rFonts w:ascii="Times New Roman" w:hAnsi="Times New Roman" w:cs="Times New Roman"/>
          <w:b/>
          <w:noProof/>
          <w:sz w:val="24"/>
          <w:szCs w:val="24"/>
        </w:rPr>
      </w:pPr>
      <w:r>
        <w:rPr>
          <w:rFonts w:ascii="Times New Roman" w:hAnsi="Times New Roman"/>
          <w:sz w:val="24"/>
        </w:rPr>
        <w:t xml:space="preserve">d) </w:t>
      </w:r>
      <w:r>
        <w:rPr>
          <w:rFonts w:ascii="Times New Roman" w:hAnsi="Times New Roman"/>
          <w:b/>
          <w:bCs/>
          <w:sz w:val="24"/>
        </w:rPr>
        <w:t>Logi</w:t>
      </w:r>
    </w:p>
    <w:p w14:paraId="64D41CF4" w14:textId="6D492553" w:rsidR="00E14C2A" w:rsidRPr="00E73A9D" w:rsidRDefault="007724C3" w:rsidP="007724C3">
      <w:pPr>
        <w:pStyle w:val="ListParagraph"/>
        <w:tabs>
          <w:tab w:val="left" w:pos="2122"/>
          <w:tab w:val="left" w:pos="2125"/>
        </w:tabs>
        <w:spacing w:before="120"/>
        <w:ind w:left="851" w:hanging="284"/>
        <w:rPr>
          <w:rFonts w:ascii="Times New Roman" w:hAnsi="Times New Roman" w:cs="Times New Roman"/>
          <w:noProof/>
          <w:sz w:val="24"/>
          <w:szCs w:val="24"/>
        </w:rPr>
      </w:pPr>
      <w:r>
        <w:rPr>
          <w:rFonts w:ascii="Times New Roman" w:hAnsi="Times New Roman"/>
          <w:sz w:val="24"/>
        </w:rPr>
        <w:t>i) Visi logi, caur kuriem var novērot objektā notiekošās klasificētās darbības, ir necaurredzami vai aprīkoti ar žalūzijām, aizkariem vai citiem aizsegiem, un</w:t>
      </w:r>
    </w:p>
    <w:p w14:paraId="3867A252" w14:textId="315D0A50" w:rsidR="00E14C2A" w:rsidRPr="00E73A9D" w:rsidRDefault="007724C3" w:rsidP="007724C3">
      <w:pPr>
        <w:pStyle w:val="ListParagraph"/>
        <w:tabs>
          <w:tab w:val="left" w:pos="2121"/>
          <w:tab w:val="left" w:pos="2125"/>
        </w:tabs>
        <w:spacing w:before="120"/>
        <w:ind w:left="851" w:hanging="284"/>
        <w:rPr>
          <w:rFonts w:ascii="Times New Roman" w:hAnsi="Times New Roman" w:cs="Times New Roman"/>
          <w:noProof/>
          <w:sz w:val="24"/>
          <w:szCs w:val="24"/>
        </w:rPr>
      </w:pPr>
      <w:r>
        <w:rPr>
          <w:rFonts w:ascii="Times New Roman" w:hAnsi="Times New Roman"/>
          <w:sz w:val="24"/>
        </w:rPr>
        <w:t xml:space="preserve">ii) zemes līmenī esošie logi vai citi viegli aizsniedzami logi (piemēram, no jumtiem, verandām un piebūvēm) tiks būvēti no materiāliem, kas nodrošina aizsardzību pret ielaušanos, vai būs aizsegti ar šādiem materiāliem. Logu aizsardzībai nav jābūt izturīgākai par blakusesošo sienu stiprību. Atklātajām glabāšanas zonām, kas ir izvietotas kontrolētā teritorijā vai līdzīgā vietā, var nepiemērot prasību attiecībā uz aizsardzību pret ielaušanos, ja logi ir padarīti neatverami, pastāvīgi noslēdzot tos vai no iekšpuses aprīkojot ar aizslēgiem, un ja tie ir ietverti </w:t>
      </w:r>
      <w:r>
        <w:rPr>
          <w:rFonts w:ascii="Times New Roman" w:hAnsi="Times New Roman"/>
          <w:i/>
          <w:iCs/>
          <w:sz w:val="24"/>
        </w:rPr>
        <w:t>IDS</w:t>
      </w:r>
      <w:r>
        <w:rPr>
          <w:rFonts w:ascii="Times New Roman" w:hAnsi="Times New Roman"/>
          <w:sz w:val="24"/>
        </w:rPr>
        <w:t xml:space="preserve"> (atsevišķi vai ar zonā izvietotiem kustību sensoriem).</w:t>
      </w:r>
    </w:p>
    <w:sectPr w:rsidR="00E14C2A" w:rsidRPr="00E73A9D" w:rsidSect="00E73A9D">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54894" w14:textId="77777777" w:rsidR="00D64FD7" w:rsidRPr="00E14C2A" w:rsidRDefault="00D64FD7">
      <w:pPr>
        <w:rPr>
          <w:noProof/>
        </w:rPr>
      </w:pPr>
      <w:r w:rsidRPr="00E14C2A">
        <w:rPr>
          <w:noProof/>
        </w:rPr>
        <w:separator/>
      </w:r>
    </w:p>
  </w:endnote>
  <w:endnote w:type="continuationSeparator" w:id="0">
    <w:p w14:paraId="67965E34" w14:textId="77777777" w:rsidR="00D64FD7" w:rsidRPr="00E14C2A" w:rsidRDefault="00D64FD7">
      <w:pPr>
        <w:rPr>
          <w:noProof/>
        </w:rPr>
      </w:pPr>
      <w:r w:rsidRPr="00E14C2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9C9A" w14:textId="77777777" w:rsidR="00603B22" w:rsidRPr="00603B22" w:rsidRDefault="00603B22" w:rsidP="00603B22">
    <w:pPr>
      <w:tabs>
        <w:tab w:val="right" w:leader="underscore" w:pos="9072"/>
      </w:tabs>
      <w:autoSpaceDE/>
      <w:autoSpaceDN/>
      <w:rPr>
        <w:rFonts w:ascii="Times New Roman" w:eastAsiaTheme="minorHAnsi" w:hAnsi="Times New Roman" w:cs="Times New Roman"/>
        <w:sz w:val="20"/>
        <w:szCs w:val="18"/>
      </w:rPr>
    </w:pPr>
    <w:r w:rsidRPr="00603B22">
      <w:rPr>
        <w:rFonts w:ascii="Times New Roman" w:eastAsiaTheme="minorHAnsi" w:hAnsi="Times New Roman" w:cs="Times New Roman"/>
        <w:sz w:val="20"/>
        <w:szCs w:val="18"/>
      </w:rPr>
      <w:tab/>
    </w:r>
  </w:p>
  <w:p w14:paraId="09B1A46E" w14:textId="77777777" w:rsidR="00603B22" w:rsidRPr="00603B22" w:rsidRDefault="00603B22" w:rsidP="00603B22">
    <w:pPr>
      <w:tabs>
        <w:tab w:val="center" w:pos="4513"/>
        <w:tab w:val="right" w:pos="9026"/>
        <w:tab w:val="right" w:pos="9072"/>
      </w:tabs>
      <w:autoSpaceDE/>
      <w:autoSpaceDN/>
      <w:rPr>
        <w:rFonts w:ascii="Times New Roman" w:eastAsiaTheme="minorHAnsi" w:hAnsi="Times New Roman" w:cs="Times New Roman"/>
        <w:sz w:val="20"/>
        <w:szCs w:val="18"/>
      </w:rPr>
    </w:pPr>
  </w:p>
  <w:p w14:paraId="7EFDB353" w14:textId="322A6E83" w:rsidR="00603B22" w:rsidRPr="00603B22" w:rsidRDefault="00603B22" w:rsidP="00603B22">
    <w:pPr>
      <w:tabs>
        <w:tab w:val="right" w:pos="9072"/>
      </w:tabs>
      <w:autoSpaceDE/>
      <w:autoSpaceDN/>
      <w:rPr>
        <w:rFonts w:ascii="Times New Roman" w:eastAsiaTheme="minorHAnsi" w:hAnsi="Times New Roman" w:cs="Times New Roman"/>
        <w:sz w:val="20"/>
        <w:szCs w:val="18"/>
      </w:rPr>
    </w:pPr>
    <w:r w:rsidRPr="00603B22">
      <w:rPr>
        <w:rFonts w:ascii="Times New Roman" w:eastAsiaTheme="minorHAnsi" w:hAnsi="Times New Roman" w:cs="Times New Roman"/>
        <w:noProof/>
        <w:sz w:val="20"/>
        <w:szCs w:val="18"/>
      </w:rPr>
      <w:t xml:space="preserve">Tulkojums </w:t>
    </w:r>
    <w:r w:rsidRPr="00603B22">
      <w:rPr>
        <w:rFonts w:ascii="Times New Roman" w:eastAsiaTheme="minorHAnsi" w:hAnsi="Times New Roman" w:cs="Times New Roman"/>
        <w:noProof/>
        <w:sz w:val="20"/>
        <w:szCs w:val="18"/>
      </w:rPr>
      <w:fldChar w:fldCharType="begin"/>
    </w:r>
    <w:r w:rsidRPr="00603B22">
      <w:rPr>
        <w:rFonts w:ascii="Times New Roman" w:eastAsiaTheme="minorHAnsi" w:hAnsi="Times New Roman" w:cs="Times New Roman"/>
        <w:noProof/>
        <w:sz w:val="20"/>
        <w:szCs w:val="18"/>
      </w:rPr>
      <w:instrText>symbol 211 \f "Symbol" \s 9</w:instrText>
    </w:r>
    <w:r w:rsidRPr="00603B22">
      <w:rPr>
        <w:rFonts w:ascii="Times New Roman" w:eastAsiaTheme="minorHAnsi" w:hAnsi="Times New Roman" w:cs="Times New Roman"/>
        <w:noProof/>
        <w:sz w:val="20"/>
        <w:szCs w:val="18"/>
      </w:rPr>
      <w:fldChar w:fldCharType="separate"/>
    </w:r>
    <w:r w:rsidRPr="00603B22">
      <w:rPr>
        <w:rFonts w:ascii="Times New Roman" w:eastAsiaTheme="minorHAnsi" w:hAnsi="Times New Roman" w:cs="Times New Roman"/>
        <w:noProof/>
        <w:sz w:val="20"/>
        <w:szCs w:val="18"/>
      </w:rPr>
      <w:t>Ó</w:t>
    </w:r>
    <w:r w:rsidRPr="00603B22">
      <w:rPr>
        <w:rFonts w:ascii="Times New Roman" w:eastAsiaTheme="minorHAnsi" w:hAnsi="Times New Roman" w:cs="Times New Roman"/>
        <w:noProof/>
        <w:sz w:val="20"/>
        <w:szCs w:val="18"/>
      </w:rPr>
      <w:fldChar w:fldCharType="end"/>
    </w:r>
    <w:r w:rsidRPr="00603B2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603B22">
      <w:rPr>
        <w:rFonts w:ascii="Times New Roman" w:eastAsiaTheme="minorHAnsi" w:hAnsi="Times New Roman" w:cs="Times New Roman"/>
        <w:sz w:val="20"/>
        <w:szCs w:val="18"/>
      </w:rPr>
      <w:tab/>
    </w:r>
    <w:r w:rsidRPr="00603B22">
      <w:rPr>
        <w:rFonts w:ascii="Times New Roman" w:eastAsiaTheme="minorHAnsi" w:hAnsi="Times New Roman" w:cs="Times New Roman"/>
        <w:sz w:val="20"/>
        <w:szCs w:val="18"/>
      </w:rPr>
      <w:fldChar w:fldCharType="begin"/>
    </w:r>
    <w:r w:rsidRPr="00603B22">
      <w:rPr>
        <w:rFonts w:ascii="Times New Roman" w:eastAsiaTheme="minorHAnsi" w:hAnsi="Times New Roman" w:cs="Times New Roman"/>
        <w:sz w:val="20"/>
        <w:szCs w:val="18"/>
      </w:rPr>
      <w:instrText xml:space="preserve">page </w:instrText>
    </w:r>
    <w:r w:rsidRPr="00603B22">
      <w:rPr>
        <w:rFonts w:ascii="Times New Roman" w:eastAsiaTheme="minorHAnsi" w:hAnsi="Times New Roman" w:cs="Times New Roman"/>
        <w:sz w:val="20"/>
        <w:szCs w:val="18"/>
      </w:rPr>
      <w:fldChar w:fldCharType="separate"/>
    </w:r>
    <w:r w:rsidRPr="00603B22">
      <w:rPr>
        <w:rFonts w:ascii="Times New Roman" w:eastAsiaTheme="minorHAnsi" w:hAnsi="Times New Roman" w:cs="Times New Roman"/>
        <w:sz w:val="20"/>
        <w:szCs w:val="18"/>
      </w:rPr>
      <w:t>2</w:t>
    </w:r>
    <w:r w:rsidRPr="00603B22">
      <w:rPr>
        <w:rFonts w:ascii="Times New Roman" w:eastAsiaTheme="minorHAnsi" w:hAnsi="Times New Roman" w:cs="Times New Roman"/>
        <w:sz w:val="20"/>
        <w:szCs w:val="18"/>
      </w:rPr>
      <w:fldChar w:fldCharType="end"/>
    </w:r>
  </w:p>
  <w:p w14:paraId="1B6AE68A" w14:textId="01C4BE19" w:rsidR="00464441" w:rsidRDefault="0046444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56AE" w14:textId="77777777" w:rsidR="00D8262B" w:rsidRPr="00D8262B" w:rsidRDefault="00D8262B" w:rsidP="00D8262B">
    <w:pPr>
      <w:tabs>
        <w:tab w:val="left" w:leader="underscore" w:pos="9072"/>
      </w:tabs>
      <w:autoSpaceDE/>
      <w:autoSpaceDN/>
      <w:rPr>
        <w:rFonts w:ascii="Times New Roman" w:eastAsiaTheme="minorHAnsi" w:hAnsi="Times New Roman" w:cs="Times New Roman"/>
        <w:sz w:val="20"/>
        <w:szCs w:val="18"/>
      </w:rPr>
    </w:pPr>
    <w:r w:rsidRPr="00D8262B">
      <w:rPr>
        <w:rFonts w:ascii="Times New Roman" w:eastAsiaTheme="minorHAnsi" w:hAnsi="Times New Roman" w:cs="Times New Roman"/>
        <w:sz w:val="20"/>
        <w:szCs w:val="18"/>
      </w:rPr>
      <w:tab/>
    </w:r>
  </w:p>
  <w:p w14:paraId="4F0E3A43" w14:textId="77777777" w:rsidR="00D8262B" w:rsidRPr="00D8262B" w:rsidRDefault="00D8262B" w:rsidP="00D8262B">
    <w:pPr>
      <w:tabs>
        <w:tab w:val="center" w:pos="4513"/>
        <w:tab w:val="right" w:pos="9026"/>
        <w:tab w:val="left" w:pos="9072"/>
      </w:tabs>
      <w:autoSpaceDE/>
      <w:autoSpaceDN/>
      <w:rPr>
        <w:rFonts w:ascii="Times New Roman" w:eastAsiaTheme="minorHAnsi" w:hAnsi="Times New Roman" w:cs="Times New Roman"/>
        <w:sz w:val="20"/>
        <w:szCs w:val="18"/>
      </w:rPr>
    </w:pPr>
  </w:p>
  <w:p w14:paraId="3AF627F0" w14:textId="1612BD2C" w:rsidR="00395ABD" w:rsidRPr="00D8262B" w:rsidRDefault="00D8262B" w:rsidP="00D8262B">
    <w:pPr>
      <w:tabs>
        <w:tab w:val="center" w:pos="4513"/>
        <w:tab w:val="right" w:pos="9026"/>
      </w:tabs>
      <w:autoSpaceDE/>
      <w:autoSpaceDN/>
      <w:rPr>
        <w:rFonts w:ascii="Times New Roman" w:eastAsiaTheme="minorHAnsi" w:hAnsi="Times New Roman" w:cs="Times New Roman"/>
        <w:sz w:val="20"/>
        <w:szCs w:val="18"/>
      </w:rPr>
    </w:pPr>
    <w:r w:rsidRPr="00D8262B">
      <w:rPr>
        <w:rFonts w:ascii="Times New Roman" w:eastAsiaTheme="minorHAnsi" w:hAnsi="Times New Roman" w:cs="Times New Roman"/>
        <w:noProof/>
        <w:sz w:val="20"/>
        <w:szCs w:val="18"/>
      </w:rPr>
      <w:t xml:space="preserve">Tulkojums </w:t>
    </w:r>
    <w:r w:rsidRPr="00D8262B">
      <w:rPr>
        <w:rFonts w:ascii="Times New Roman" w:eastAsiaTheme="minorHAnsi" w:hAnsi="Times New Roman" w:cs="Times New Roman"/>
        <w:noProof/>
        <w:sz w:val="20"/>
        <w:szCs w:val="18"/>
      </w:rPr>
      <w:fldChar w:fldCharType="begin"/>
    </w:r>
    <w:r w:rsidRPr="00D8262B">
      <w:rPr>
        <w:rFonts w:ascii="Times New Roman" w:eastAsiaTheme="minorHAnsi" w:hAnsi="Times New Roman" w:cs="Times New Roman"/>
        <w:noProof/>
        <w:sz w:val="20"/>
        <w:szCs w:val="18"/>
      </w:rPr>
      <w:instrText>symbol 211 \f "Symbol" \s 9</w:instrText>
    </w:r>
    <w:r w:rsidRPr="00D8262B">
      <w:rPr>
        <w:rFonts w:ascii="Times New Roman" w:eastAsiaTheme="minorHAnsi" w:hAnsi="Times New Roman" w:cs="Times New Roman"/>
        <w:noProof/>
        <w:sz w:val="20"/>
        <w:szCs w:val="18"/>
      </w:rPr>
      <w:fldChar w:fldCharType="separate"/>
    </w:r>
    <w:r w:rsidRPr="00D8262B">
      <w:rPr>
        <w:rFonts w:ascii="Times New Roman" w:eastAsiaTheme="minorHAnsi" w:hAnsi="Times New Roman" w:cs="Times New Roman"/>
        <w:noProof/>
        <w:sz w:val="20"/>
        <w:szCs w:val="18"/>
      </w:rPr>
      <w:t>Ó</w:t>
    </w:r>
    <w:r w:rsidRPr="00D8262B">
      <w:rPr>
        <w:rFonts w:ascii="Times New Roman" w:eastAsiaTheme="minorHAnsi" w:hAnsi="Times New Roman" w:cs="Times New Roman"/>
        <w:noProof/>
        <w:sz w:val="20"/>
        <w:szCs w:val="18"/>
      </w:rPr>
      <w:fldChar w:fldCharType="end"/>
    </w:r>
    <w:r w:rsidRPr="00D8262B">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3C1DB" w14:textId="77777777" w:rsidR="00D64FD7" w:rsidRPr="00E14C2A" w:rsidRDefault="00D64FD7">
      <w:pPr>
        <w:rPr>
          <w:noProof/>
        </w:rPr>
      </w:pPr>
      <w:r w:rsidRPr="00E14C2A">
        <w:rPr>
          <w:noProof/>
        </w:rPr>
        <w:separator/>
      </w:r>
    </w:p>
  </w:footnote>
  <w:footnote w:type="continuationSeparator" w:id="0">
    <w:p w14:paraId="3B469F70" w14:textId="77777777" w:rsidR="00D64FD7" w:rsidRPr="00E14C2A" w:rsidRDefault="00D64FD7">
      <w:pPr>
        <w:rPr>
          <w:noProof/>
        </w:rPr>
      </w:pPr>
      <w:r w:rsidRPr="00E14C2A">
        <w:rPr>
          <w:noProof/>
        </w:rPr>
        <w:continuationSeparator/>
      </w:r>
    </w:p>
  </w:footnote>
  <w:footnote w:id="1">
    <w:p w14:paraId="4307CD7F" w14:textId="2B7B02E3" w:rsidR="00427E10" w:rsidRPr="00427E10" w:rsidRDefault="00427E10" w:rsidP="00427E10">
      <w:pPr>
        <w:pStyle w:val="FootnoteText"/>
        <w:ind w:left="142" w:hanging="142"/>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Īpaši pilnvarotas personas ir darbinieki, kam ir oficiāli atzīta nepieciešamība zināt vai piekļuve, pamatojoties uz to darba pienākumu būtību, un kas ir iekļauti piekļuves kontroles sarakstā, kā arī personas, ko attiecīgās organizācijas vadītājs ir oficiāli pilnvarojis </w:t>
      </w:r>
      <w:r>
        <w:rPr>
          <w:rFonts w:ascii="Times New Roman" w:hAnsi="Times New Roman"/>
          <w:i/>
          <w:iCs/>
        </w:rPr>
        <w:t>ad hoc</w:t>
      </w:r>
      <w:r>
        <w:rPr>
          <w:rFonts w:ascii="Times New Roman" w:hAnsi="Times New Roman"/>
        </w:rPr>
        <w:t xml:space="preserve"> izpildīt konkrētu funkciju vai pienākumu.</w:t>
      </w:r>
    </w:p>
  </w:footnote>
  <w:footnote w:id="2">
    <w:p w14:paraId="3BEDDD5C" w14:textId="5E825044" w:rsidR="00427E10" w:rsidRPr="00556773" w:rsidRDefault="00427E10" w:rsidP="00556773">
      <w:pPr>
        <w:tabs>
          <w:tab w:val="left" w:pos="993"/>
        </w:tabs>
        <w:spacing w:before="60"/>
        <w:ind w:left="142" w:hanging="142"/>
        <w:jc w:val="both"/>
        <w:rPr>
          <w:rFonts w:ascii="Times New Roman" w:hAnsi="Times New Roman" w:cs="Times New Roman"/>
          <w:noProof/>
          <w:sz w:val="20"/>
          <w:szCs w:val="20"/>
        </w:rPr>
      </w:pPr>
      <w:r>
        <w:rPr>
          <w:rStyle w:val="FootnoteReference"/>
          <w:rFonts w:ascii="Times New Roman" w:hAnsi="Times New Roman"/>
          <w:sz w:val="20"/>
        </w:rPr>
        <w:t>2</w:t>
      </w:r>
      <w:r>
        <w:rPr>
          <w:rFonts w:ascii="Times New Roman" w:hAnsi="Times New Roman"/>
          <w:sz w:val="20"/>
        </w:rPr>
        <w:t xml:space="preserve"> Tehniska pārbaude ietver zonas elektronisku pārmeklēšanu vai apsekošanu, lai noteiktu informācijas vākšanas ierīču (mikrofonu, kameru u. tml.) vai sakaru traucēšanas ierīču potenciālo klātbūtni.</w:t>
      </w:r>
    </w:p>
  </w:footnote>
  <w:footnote w:id="3">
    <w:p w14:paraId="0853F687" w14:textId="24744B3D" w:rsidR="00556773" w:rsidRDefault="00556773" w:rsidP="00556773">
      <w:pPr>
        <w:pStyle w:val="FootnoteText"/>
        <w:spacing w:before="60"/>
        <w:ind w:left="142" w:hanging="142"/>
        <w:jc w:val="both"/>
      </w:pPr>
      <w:r>
        <w:rPr>
          <w:rStyle w:val="FootnoteReference"/>
          <w:rFonts w:ascii="Times New Roman" w:hAnsi="Times New Roman"/>
        </w:rPr>
        <w:t>3</w:t>
      </w:r>
      <w:r>
        <w:rPr>
          <w:rFonts w:ascii="Times New Roman" w:hAnsi="Times New Roman"/>
        </w:rPr>
        <w:t xml:space="preserve"> Drošības atslēgas ir atslēgas, ar kurām slēdz slēdzenes, kas uzstādītas: seifos, kuri paredzēti klasificētas informācijas glabāšanai; drošo telpu vai zonu durvīs; to drošo telpu vai zonu durvīs, kurās veic tehniskās drošības pārbaudes; klasificētu dokumentu apritei izmantotajos seifos. Ar drošības atslēgām rīkojas un tās aizsargā tāpat kā attiecībā uz klasificēto informāciju, kam tās nodrošina piekļuvi.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3235" w14:textId="77777777" w:rsidR="00BF103C" w:rsidRPr="00BF103C" w:rsidRDefault="00BF103C" w:rsidP="00BF103C">
    <w:pPr>
      <w:tabs>
        <w:tab w:val="right" w:leader="underscore" w:pos="9072"/>
      </w:tabs>
      <w:autoSpaceDE/>
      <w:autoSpaceDN/>
      <w:rPr>
        <w:rFonts w:ascii="Times New Roman" w:eastAsia="Arial" w:hAnsi="Times New Roman" w:cs="Times New Roman"/>
        <w:sz w:val="20"/>
        <w:szCs w:val="20"/>
      </w:rPr>
    </w:pPr>
    <w:bookmarkStart w:id="53" w:name="_Hlk496261784"/>
    <w:bookmarkStart w:id="54" w:name="_Hlk496261785"/>
    <w:bookmarkStart w:id="55" w:name="_Hlk496261786"/>
    <w:bookmarkStart w:id="56" w:name="_Hlk502757728"/>
    <w:bookmarkStart w:id="57" w:name="_Hlk502757729"/>
    <w:bookmarkStart w:id="58" w:name="_Hlk502757738"/>
    <w:bookmarkStart w:id="59" w:name="_Hlk502757739"/>
    <w:bookmarkStart w:id="60" w:name="_Hlk30491084"/>
    <w:bookmarkStart w:id="61" w:name="_Hlk30491085"/>
    <w:bookmarkStart w:id="62" w:name="_Hlk63344778"/>
    <w:bookmarkStart w:id="63" w:name="_Hlk63344779"/>
    <w:bookmarkStart w:id="64" w:name="_Hlk63344780"/>
    <w:bookmarkStart w:id="65" w:name="_Hlk63344781"/>
    <w:r w:rsidRPr="00BF103C">
      <w:rPr>
        <w:rFonts w:ascii="Times New Roman" w:eastAsiaTheme="minorHAnsi" w:hAnsi="Times New Roman" w:cs="Times New Roman"/>
        <w:sz w:val="20"/>
        <w:szCs w:val="20"/>
      </w:rPr>
      <w:tab/>
    </w:r>
  </w:p>
  <w:bookmarkEnd w:id="53"/>
  <w:bookmarkEnd w:id="54"/>
  <w:bookmarkEnd w:id="55"/>
  <w:bookmarkEnd w:id="56"/>
  <w:bookmarkEnd w:id="57"/>
  <w:bookmarkEnd w:id="58"/>
  <w:bookmarkEnd w:id="59"/>
  <w:bookmarkEnd w:id="60"/>
  <w:bookmarkEnd w:id="61"/>
  <w:bookmarkEnd w:id="62"/>
  <w:bookmarkEnd w:id="63"/>
  <w:bookmarkEnd w:id="64"/>
  <w:bookmarkEnd w:id="65"/>
  <w:p w14:paraId="1B6AE689" w14:textId="0A77A17C" w:rsidR="00464441" w:rsidRPr="00BF103C" w:rsidRDefault="00464441" w:rsidP="00BF1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BC12" w14:textId="77777777" w:rsidR="00395ABD" w:rsidRPr="00395ABD" w:rsidRDefault="00395ABD" w:rsidP="00395ABD">
    <w:pPr>
      <w:pBdr>
        <w:bottom w:val="single" w:sz="12" w:space="5" w:color="auto"/>
      </w:pBdr>
      <w:autoSpaceDE/>
      <w:autoSpaceDN/>
      <w:rPr>
        <w:rFonts w:ascii="Times New Roman" w:eastAsiaTheme="minorHAnsi" w:hAnsi="Times New Roman" w:cs="Times New Roman"/>
        <w:spacing w:val="-2"/>
        <w:sz w:val="20"/>
        <w:szCs w:val="20"/>
      </w:rPr>
    </w:pPr>
    <w:bookmarkStart w:id="66" w:name="_Hlk496261745"/>
    <w:bookmarkStart w:id="67" w:name="_Hlk496261746"/>
    <w:bookmarkStart w:id="68" w:name="_Hlk496261747"/>
    <w:bookmarkStart w:id="69" w:name="_Hlk30491063"/>
    <w:bookmarkStart w:id="70" w:name="_Hlk30491064"/>
  </w:p>
  <w:bookmarkEnd w:id="66"/>
  <w:bookmarkEnd w:id="67"/>
  <w:bookmarkEnd w:id="68"/>
  <w:bookmarkEnd w:id="69"/>
  <w:bookmarkEnd w:id="70"/>
  <w:p w14:paraId="4174B871" w14:textId="77777777" w:rsidR="00395ABD" w:rsidRDefault="00395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A49"/>
    <w:multiLevelType w:val="hybridMultilevel"/>
    <w:tmpl w:val="D8C46EE6"/>
    <w:lvl w:ilvl="0" w:tplc="EC1ED886">
      <w:start w:val="1"/>
      <w:numFmt w:val="decimal"/>
      <w:lvlText w:val="%1."/>
      <w:lvlJc w:val="left"/>
      <w:pPr>
        <w:ind w:left="141" w:hanging="852"/>
        <w:jc w:val="left"/>
      </w:pPr>
      <w:rPr>
        <w:rFonts w:ascii="Arial MT" w:eastAsia="Arial MT" w:hAnsi="Arial MT" w:cs="Arial MT" w:hint="default"/>
        <w:b w:val="0"/>
        <w:bCs w:val="0"/>
        <w:i w:val="0"/>
        <w:iCs w:val="0"/>
        <w:spacing w:val="-1"/>
        <w:w w:val="100"/>
        <w:sz w:val="22"/>
        <w:szCs w:val="22"/>
        <w:lang w:val="en-US" w:eastAsia="en-US" w:bidi="ar-SA"/>
      </w:rPr>
    </w:lvl>
    <w:lvl w:ilvl="1" w:tplc="43769678">
      <w:start w:val="1"/>
      <w:numFmt w:val="lowerLetter"/>
      <w:lvlText w:val="(%2)"/>
      <w:lvlJc w:val="left"/>
      <w:pPr>
        <w:ind w:left="1559" w:hanging="567"/>
        <w:jc w:val="left"/>
      </w:pPr>
      <w:rPr>
        <w:rFonts w:hint="default"/>
        <w:spacing w:val="0"/>
        <w:w w:val="100"/>
        <w:lang w:val="en-US" w:eastAsia="en-US" w:bidi="ar-SA"/>
      </w:rPr>
    </w:lvl>
    <w:lvl w:ilvl="2" w:tplc="0C660902">
      <w:start w:val="1"/>
      <w:numFmt w:val="lowerRoman"/>
      <w:lvlText w:val="(%3)"/>
      <w:lvlJc w:val="left"/>
      <w:pPr>
        <w:ind w:left="2126" w:hanging="567"/>
        <w:jc w:val="left"/>
      </w:pPr>
      <w:rPr>
        <w:rFonts w:ascii="Arial MT" w:eastAsia="Arial MT" w:hAnsi="Arial MT" w:cs="Arial MT" w:hint="default"/>
        <w:b w:val="0"/>
        <w:bCs w:val="0"/>
        <w:i w:val="0"/>
        <w:iCs w:val="0"/>
        <w:spacing w:val="-4"/>
        <w:w w:val="100"/>
        <w:sz w:val="22"/>
        <w:szCs w:val="22"/>
        <w:lang w:val="en-US" w:eastAsia="en-US" w:bidi="ar-SA"/>
      </w:rPr>
    </w:lvl>
    <w:lvl w:ilvl="3" w:tplc="F1B433BA">
      <w:numFmt w:val="bullet"/>
      <w:lvlText w:val="•"/>
      <w:lvlJc w:val="left"/>
      <w:pPr>
        <w:ind w:left="2120" w:hanging="567"/>
      </w:pPr>
      <w:rPr>
        <w:rFonts w:hint="default"/>
        <w:lang w:val="en-US" w:eastAsia="en-US" w:bidi="ar-SA"/>
      </w:rPr>
    </w:lvl>
    <w:lvl w:ilvl="4" w:tplc="E7229CFE">
      <w:numFmt w:val="bullet"/>
      <w:lvlText w:val="•"/>
      <w:lvlJc w:val="left"/>
      <w:pPr>
        <w:ind w:left="3315" w:hanging="567"/>
      </w:pPr>
      <w:rPr>
        <w:rFonts w:hint="default"/>
        <w:lang w:val="en-US" w:eastAsia="en-US" w:bidi="ar-SA"/>
      </w:rPr>
    </w:lvl>
    <w:lvl w:ilvl="5" w:tplc="385C91A6">
      <w:numFmt w:val="bullet"/>
      <w:lvlText w:val="•"/>
      <w:lvlJc w:val="left"/>
      <w:pPr>
        <w:ind w:left="4511" w:hanging="567"/>
      </w:pPr>
      <w:rPr>
        <w:rFonts w:hint="default"/>
        <w:lang w:val="en-US" w:eastAsia="en-US" w:bidi="ar-SA"/>
      </w:rPr>
    </w:lvl>
    <w:lvl w:ilvl="6" w:tplc="2A242B8E">
      <w:numFmt w:val="bullet"/>
      <w:lvlText w:val="•"/>
      <w:lvlJc w:val="left"/>
      <w:pPr>
        <w:ind w:left="5706" w:hanging="567"/>
      </w:pPr>
      <w:rPr>
        <w:rFonts w:hint="default"/>
        <w:lang w:val="en-US" w:eastAsia="en-US" w:bidi="ar-SA"/>
      </w:rPr>
    </w:lvl>
    <w:lvl w:ilvl="7" w:tplc="30BC13C0">
      <w:numFmt w:val="bullet"/>
      <w:lvlText w:val="•"/>
      <w:lvlJc w:val="left"/>
      <w:pPr>
        <w:ind w:left="6902" w:hanging="567"/>
      </w:pPr>
      <w:rPr>
        <w:rFonts w:hint="default"/>
        <w:lang w:val="en-US" w:eastAsia="en-US" w:bidi="ar-SA"/>
      </w:rPr>
    </w:lvl>
    <w:lvl w:ilvl="8" w:tplc="F528C57C">
      <w:numFmt w:val="bullet"/>
      <w:lvlText w:val="•"/>
      <w:lvlJc w:val="left"/>
      <w:pPr>
        <w:ind w:left="8098" w:hanging="567"/>
      </w:pPr>
      <w:rPr>
        <w:rFonts w:hint="default"/>
        <w:lang w:val="en-US" w:eastAsia="en-US" w:bidi="ar-SA"/>
      </w:rPr>
    </w:lvl>
  </w:abstractNum>
  <w:abstractNum w:abstractNumId="1" w15:restartNumberingAfterBreak="0">
    <w:nsid w:val="3C181706"/>
    <w:multiLevelType w:val="hybridMultilevel"/>
    <w:tmpl w:val="E9FC1388"/>
    <w:lvl w:ilvl="0" w:tplc="C37CF44A">
      <w:start w:val="1"/>
      <w:numFmt w:val="decimal"/>
      <w:lvlText w:val="%1."/>
      <w:lvlJc w:val="left"/>
      <w:pPr>
        <w:ind w:left="141" w:hanging="852"/>
        <w:jc w:val="left"/>
      </w:pPr>
      <w:rPr>
        <w:rFonts w:ascii="Arial MT" w:eastAsia="Arial MT" w:hAnsi="Arial MT" w:cs="Arial MT" w:hint="default"/>
        <w:b w:val="0"/>
        <w:bCs w:val="0"/>
        <w:i w:val="0"/>
        <w:iCs w:val="0"/>
        <w:spacing w:val="0"/>
        <w:w w:val="99"/>
        <w:sz w:val="24"/>
        <w:szCs w:val="24"/>
        <w:lang w:val="en-US" w:eastAsia="en-US" w:bidi="ar-SA"/>
      </w:rPr>
    </w:lvl>
    <w:lvl w:ilvl="1" w:tplc="6066B4D2">
      <w:numFmt w:val="bullet"/>
      <w:lvlText w:val="•"/>
      <w:lvlJc w:val="left"/>
      <w:pPr>
        <w:ind w:left="1174" w:hanging="852"/>
      </w:pPr>
      <w:rPr>
        <w:rFonts w:hint="default"/>
        <w:lang w:val="en-US" w:eastAsia="en-US" w:bidi="ar-SA"/>
      </w:rPr>
    </w:lvl>
    <w:lvl w:ilvl="2" w:tplc="86C0066A">
      <w:numFmt w:val="bullet"/>
      <w:lvlText w:val="•"/>
      <w:lvlJc w:val="left"/>
      <w:pPr>
        <w:ind w:left="2209" w:hanging="852"/>
      </w:pPr>
      <w:rPr>
        <w:rFonts w:hint="default"/>
        <w:lang w:val="en-US" w:eastAsia="en-US" w:bidi="ar-SA"/>
      </w:rPr>
    </w:lvl>
    <w:lvl w:ilvl="3" w:tplc="8E0E2B3C">
      <w:numFmt w:val="bullet"/>
      <w:lvlText w:val="•"/>
      <w:lvlJc w:val="left"/>
      <w:pPr>
        <w:ind w:left="3244" w:hanging="852"/>
      </w:pPr>
      <w:rPr>
        <w:rFonts w:hint="default"/>
        <w:lang w:val="en-US" w:eastAsia="en-US" w:bidi="ar-SA"/>
      </w:rPr>
    </w:lvl>
    <w:lvl w:ilvl="4" w:tplc="1A9EA738">
      <w:numFmt w:val="bullet"/>
      <w:lvlText w:val="•"/>
      <w:lvlJc w:val="left"/>
      <w:pPr>
        <w:ind w:left="4279" w:hanging="852"/>
      </w:pPr>
      <w:rPr>
        <w:rFonts w:hint="default"/>
        <w:lang w:val="en-US" w:eastAsia="en-US" w:bidi="ar-SA"/>
      </w:rPr>
    </w:lvl>
    <w:lvl w:ilvl="5" w:tplc="C310BFB4">
      <w:numFmt w:val="bullet"/>
      <w:lvlText w:val="•"/>
      <w:lvlJc w:val="left"/>
      <w:pPr>
        <w:ind w:left="5314" w:hanging="852"/>
      </w:pPr>
      <w:rPr>
        <w:rFonts w:hint="default"/>
        <w:lang w:val="en-US" w:eastAsia="en-US" w:bidi="ar-SA"/>
      </w:rPr>
    </w:lvl>
    <w:lvl w:ilvl="6" w:tplc="D436ADE2">
      <w:numFmt w:val="bullet"/>
      <w:lvlText w:val="•"/>
      <w:lvlJc w:val="left"/>
      <w:pPr>
        <w:ind w:left="6349" w:hanging="852"/>
      </w:pPr>
      <w:rPr>
        <w:rFonts w:hint="default"/>
        <w:lang w:val="en-US" w:eastAsia="en-US" w:bidi="ar-SA"/>
      </w:rPr>
    </w:lvl>
    <w:lvl w:ilvl="7" w:tplc="5DBC82D2">
      <w:numFmt w:val="bullet"/>
      <w:lvlText w:val="•"/>
      <w:lvlJc w:val="left"/>
      <w:pPr>
        <w:ind w:left="7384" w:hanging="852"/>
      </w:pPr>
      <w:rPr>
        <w:rFonts w:hint="default"/>
        <w:lang w:val="en-US" w:eastAsia="en-US" w:bidi="ar-SA"/>
      </w:rPr>
    </w:lvl>
    <w:lvl w:ilvl="8" w:tplc="415AA41A">
      <w:numFmt w:val="bullet"/>
      <w:lvlText w:val="•"/>
      <w:lvlJc w:val="left"/>
      <w:pPr>
        <w:ind w:left="8419" w:hanging="852"/>
      </w:pPr>
      <w:rPr>
        <w:rFonts w:hint="default"/>
        <w:lang w:val="en-US" w:eastAsia="en-US" w:bidi="ar-SA"/>
      </w:rPr>
    </w:lvl>
  </w:abstractNum>
  <w:abstractNum w:abstractNumId="2" w15:restartNumberingAfterBreak="0">
    <w:nsid w:val="6EE17759"/>
    <w:multiLevelType w:val="hybridMultilevel"/>
    <w:tmpl w:val="CF8841AA"/>
    <w:lvl w:ilvl="0" w:tplc="7B063A0A">
      <w:start w:val="1"/>
      <w:numFmt w:val="decimal"/>
      <w:lvlText w:val="%1."/>
      <w:lvlJc w:val="left"/>
      <w:pPr>
        <w:ind w:left="141" w:hanging="852"/>
        <w:jc w:val="left"/>
      </w:pPr>
      <w:rPr>
        <w:rFonts w:ascii="Arial MT" w:eastAsia="Arial MT" w:hAnsi="Arial MT" w:cs="Arial MT" w:hint="default"/>
        <w:b w:val="0"/>
        <w:bCs w:val="0"/>
        <w:i w:val="0"/>
        <w:iCs w:val="0"/>
        <w:spacing w:val="-1"/>
        <w:w w:val="100"/>
        <w:sz w:val="22"/>
        <w:szCs w:val="22"/>
        <w:lang w:val="en-US" w:eastAsia="en-US" w:bidi="ar-SA"/>
      </w:rPr>
    </w:lvl>
    <w:lvl w:ilvl="1" w:tplc="F4FC1CF0">
      <w:start w:val="1"/>
      <w:numFmt w:val="lowerLetter"/>
      <w:lvlText w:val="(%2)"/>
      <w:lvlJc w:val="left"/>
      <w:pPr>
        <w:ind w:left="1564" w:hanging="572"/>
        <w:jc w:val="left"/>
      </w:pPr>
      <w:rPr>
        <w:rFonts w:ascii="Arial MT" w:eastAsia="Arial MT" w:hAnsi="Arial MT" w:cs="Arial MT" w:hint="default"/>
        <w:b w:val="0"/>
        <w:bCs w:val="0"/>
        <w:i w:val="0"/>
        <w:iCs w:val="0"/>
        <w:spacing w:val="0"/>
        <w:w w:val="100"/>
        <w:sz w:val="22"/>
        <w:szCs w:val="22"/>
        <w:lang w:val="en-US" w:eastAsia="en-US" w:bidi="ar-SA"/>
      </w:rPr>
    </w:lvl>
    <w:lvl w:ilvl="2" w:tplc="9F1090EA">
      <w:start w:val="1"/>
      <w:numFmt w:val="lowerRoman"/>
      <w:lvlText w:val="(%3)"/>
      <w:lvlJc w:val="left"/>
      <w:pPr>
        <w:ind w:left="2126" w:hanging="567"/>
        <w:jc w:val="left"/>
      </w:pPr>
      <w:rPr>
        <w:rFonts w:ascii="Arial MT" w:eastAsia="Arial MT" w:hAnsi="Arial MT" w:cs="Arial MT" w:hint="default"/>
        <w:b w:val="0"/>
        <w:bCs w:val="0"/>
        <w:i w:val="0"/>
        <w:iCs w:val="0"/>
        <w:spacing w:val="-2"/>
        <w:w w:val="100"/>
        <w:sz w:val="22"/>
        <w:szCs w:val="22"/>
        <w:lang w:val="en-US" w:eastAsia="en-US" w:bidi="ar-SA"/>
      </w:rPr>
    </w:lvl>
    <w:lvl w:ilvl="3" w:tplc="0082C442">
      <w:numFmt w:val="bullet"/>
      <w:lvlText w:val="•"/>
      <w:lvlJc w:val="left"/>
      <w:pPr>
        <w:ind w:left="3166" w:hanging="567"/>
      </w:pPr>
      <w:rPr>
        <w:rFonts w:hint="default"/>
        <w:lang w:val="en-US" w:eastAsia="en-US" w:bidi="ar-SA"/>
      </w:rPr>
    </w:lvl>
    <w:lvl w:ilvl="4" w:tplc="B0960EB2">
      <w:numFmt w:val="bullet"/>
      <w:lvlText w:val="•"/>
      <w:lvlJc w:val="left"/>
      <w:pPr>
        <w:ind w:left="4212" w:hanging="567"/>
      </w:pPr>
      <w:rPr>
        <w:rFonts w:hint="default"/>
        <w:lang w:val="en-US" w:eastAsia="en-US" w:bidi="ar-SA"/>
      </w:rPr>
    </w:lvl>
    <w:lvl w:ilvl="5" w:tplc="14F2DCD8">
      <w:numFmt w:val="bullet"/>
      <w:lvlText w:val="•"/>
      <w:lvlJc w:val="left"/>
      <w:pPr>
        <w:ind w:left="5258" w:hanging="567"/>
      </w:pPr>
      <w:rPr>
        <w:rFonts w:hint="default"/>
        <w:lang w:val="en-US" w:eastAsia="en-US" w:bidi="ar-SA"/>
      </w:rPr>
    </w:lvl>
    <w:lvl w:ilvl="6" w:tplc="E0C8F22C">
      <w:numFmt w:val="bullet"/>
      <w:lvlText w:val="•"/>
      <w:lvlJc w:val="left"/>
      <w:pPr>
        <w:ind w:left="6304" w:hanging="567"/>
      </w:pPr>
      <w:rPr>
        <w:rFonts w:hint="default"/>
        <w:lang w:val="en-US" w:eastAsia="en-US" w:bidi="ar-SA"/>
      </w:rPr>
    </w:lvl>
    <w:lvl w:ilvl="7" w:tplc="2ABAA3E8">
      <w:numFmt w:val="bullet"/>
      <w:lvlText w:val="•"/>
      <w:lvlJc w:val="left"/>
      <w:pPr>
        <w:ind w:left="7350" w:hanging="567"/>
      </w:pPr>
      <w:rPr>
        <w:rFonts w:hint="default"/>
        <w:lang w:val="en-US" w:eastAsia="en-US" w:bidi="ar-SA"/>
      </w:rPr>
    </w:lvl>
    <w:lvl w:ilvl="8" w:tplc="9C3C3BB6">
      <w:numFmt w:val="bullet"/>
      <w:lvlText w:val="•"/>
      <w:lvlJc w:val="left"/>
      <w:pPr>
        <w:ind w:left="8397" w:hanging="567"/>
      </w:pPr>
      <w:rPr>
        <w:rFonts w:hint="default"/>
        <w:lang w:val="en-US" w:eastAsia="en-US" w:bidi="ar-SA"/>
      </w:rPr>
    </w:lvl>
  </w:abstractNum>
  <w:num w:numId="1" w16cid:durableId="307590832">
    <w:abstractNumId w:val="2"/>
  </w:num>
  <w:num w:numId="2" w16cid:durableId="287783183">
    <w:abstractNumId w:val="0"/>
  </w:num>
  <w:num w:numId="3" w16cid:durableId="1474063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4441"/>
    <w:rsid w:val="00030540"/>
    <w:rsid w:val="000B433D"/>
    <w:rsid w:val="00164583"/>
    <w:rsid w:val="001668DC"/>
    <w:rsid w:val="001870E7"/>
    <w:rsid w:val="001A7F39"/>
    <w:rsid w:val="001C4508"/>
    <w:rsid w:val="001F24AB"/>
    <w:rsid w:val="0024162A"/>
    <w:rsid w:val="00243AE3"/>
    <w:rsid w:val="002C47F3"/>
    <w:rsid w:val="002C623D"/>
    <w:rsid w:val="00326A2E"/>
    <w:rsid w:val="00381E3B"/>
    <w:rsid w:val="00395ABD"/>
    <w:rsid w:val="00427E10"/>
    <w:rsid w:val="00464441"/>
    <w:rsid w:val="0048364D"/>
    <w:rsid w:val="004D666B"/>
    <w:rsid w:val="00543BA3"/>
    <w:rsid w:val="00556773"/>
    <w:rsid w:val="005E58F9"/>
    <w:rsid w:val="00603B22"/>
    <w:rsid w:val="007724C3"/>
    <w:rsid w:val="007E3C57"/>
    <w:rsid w:val="00820633"/>
    <w:rsid w:val="00834008"/>
    <w:rsid w:val="0089024E"/>
    <w:rsid w:val="008C57B7"/>
    <w:rsid w:val="00900262"/>
    <w:rsid w:val="009036E2"/>
    <w:rsid w:val="00940778"/>
    <w:rsid w:val="00B669E0"/>
    <w:rsid w:val="00B97893"/>
    <w:rsid w:val="00BD4F68"/>
    <w:rsid w:val="00BF103C"/>
    <w:rsid w:val="00D63D84"/>
    <w:rsid w:val="00D64FD7"/>
    <w:rsid w:val="00D8262B"/>
    <w:rsid w:val="00DB3ABC"/>
    <w:rsid w:val="00E14C2A"/>
    <w:rsid w:val="00E36CF8"/>
    <w:rsid w:val="00E73A9D"/>
    <w:rsid w:val="00F5399B"/>
    <w:rsid w:val="00F8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A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4"/>
      <w:ind w:left="20"/>
      <w:outlineLvl w:val="0"/>
    </w:pPr>
    <w:rPr>
      <w:rFonts w:ascii="Times New Roman" w:eastAsia="Times New Roman" w:hAnsi="Times New Roman" w:cs="Times New Roman"/>
      <w:b/>
      <w:bCs/>
    </w:rPr>
  </w:style>
  <w:style w:type="paragraph" w:styleId="Heading2">
    <w:name w:val="heading 2"/>
    <w:basedOn w:val="Normal"/>
    <w:uiPriority w:val="9"/>
    <w:unhideWhenUsed/>
    <w:qFormat/>
    <w:pPr>
      <w:ind w:left="141"/>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141"/>
    </w:pPr>
    <w:rPr>
      <w:sz w:val="24"/>
      <w:szCs w:val="24"/>
    </w:rPr>
  </w:style>
  <w:style w:type="paragraph" w:styleId="TOC2">
    <w:name w:val="toc 2"/>
    <w:basedOn w:val="Normal"/>
    <w:uiPriority w:val="39"/>
    <w:qFormat/>
    <w:pPr>
      <w:spacing w:before="101"/>
      <w:ind w:left="141"/>
    </w:pPr>
    <w:rPr>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14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C2A"/>
    <w:pPr>
      <w:tabs>
        <w:tab w:val="center" w:pos="4680"/>
        <w:tab w:val="right" w:pos="9360"/>
      </w:tabs>
    </w:pPr>
  </w:style>
  <w:style w:type="character" w:customStyle="1" w:styleId="HeaderChar">
    <w:name w:val="Header Char"/>
    <w:basedOn w:val="DefaultParagraphFont"/>
    <w:link w:val="Header"/>
    <w:uiPriority w:val="99"/>
    <w:rsid w:val="00E14C2A"/>
    <w:rPr>
      <w:rFonts w:ascii="Arial MT" w:eastAsia="Arial MT" w:hAnsi="Arial MT" w:cs="Arial MT"/>
    </w:rPr>
  </w:style>
  <w:style w:type="paragraph" w:styleId="Footer">
    <w:name w:val="footer"/>
    <w:basedOn w:val="Normal"/>
    <w:link w:val="FooterChar"/>
    <w:uiPriority w:val="99"/>
    <w:unhideWhenUsed/>
    <w:rsid w:val="00E14C2A"/>
    <w:pPr>
      <w:tabs>
        <w:tab w:val="center" w:pos="4680"/>
        <w:tab w:val="right" w:pos="9360"/>
      </w:tabs>
    </w:pPr>
  </w:style>
  <w:style w:type="character" w:customStyle="1" w:styleId="FooterChar">
    <w:name w:val="Footer Char"/>
    <w:basedOn w:val="DefaultParagraphFont"/>
    <w:link w:val="Footer"/>
    <w:uiPriority w:val="99"/>
    <w:rsid w:val="00E14C2A"/>
    <w:rPr>
      <w:rFonts w:ascii="Arial MT" w:eastAsia="Arial MT" w:hAnsi="Arial MT" w:cs="Arial MT"/>
    </w:rPr>
  </w:style>
  <w:style w:type="character" w:styleId="Hyperlink">
    <w:name w:val="Hyperlink"/>
    <w:basedOn w:val="DefaultParagraphFont"/>
    <w:uiPriority w:val="99"/>
    <w:unhideWhenUsed/>
    <w:rsid w:val="00E14C2A"/>
    <w:rPr>
      <w:color w:val="0000FF" w:themeColor="hyperlink"/>
      <w:u w:val="single"/>
    </w:rPr>
  </w:style>
  <w:style w:type="paragraph" w:styleId="FootnoteText">
    <w:name w:val="footnote text"/>
    <w:basedOn w:val="Normal"/>
    <w:link w:val="FootnoteTextChar"/>
    <w:uiPriority w:val="99"/>
    <w:semiHidden/>
    <w:unhideWhenUsed/>
    <w:rsid w:val="00427E10"/>
    <w:rPr>
      <w:sz w:val="20"/>
      <w:szCs w:val="20"/>
    </w:rPr>
  </w:style>
  <w:style w:type="character" w:customStyle="1" w:styleId="FootnoteTextChar">
    <w:name w:val="Footnote Text Char"/>
    <w:basedOn w:val="DefaultParagraphFont"/>
    <w:link w:val="FootnoteText"/>
    <w:uiPriority w:val="99"/>
    <w:semiHidden/>
    <w:rsid w:val="00427E10"/>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427E10"/>
    <w:rPr>
      <w:vertAlign w:val="superscript"/>
    </w:rPr>
  </w:style>
  <w:style w:type="paragraph" w:styleId="TOCHeading">
    <w:name w:val="TOC Heading"/>
    <w:basedOn w:val="Heading1"/>
    <w:next w:val="Normal"/>
    <w:uiPriority w:val="39"/>
    <w:unhideWhenUsed/>
    <w:qFormat/>
    <w:rsid w:val="00B669E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5885F-EEBE-49E9-987E-44986D51C00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C135507-65AF-4577-8F70-2B15A4145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DA5A-2C08-4308-A8BD-A132D0FEFE93}">
  <ds:schemaRefs>
    <ds:schemaRef ds:uri="http://schemas.openxmlformats.org/officeDocument/2006/bibliography"/>
  </ds:schemaRefs>
</ds:datastoreItem>
</file>

<file path=customXml/itemProps4.xml><?xml version="1.0" encoding="utf-8"?>
<ds:datastoreItem xmlns:ds="http://schemas.openxmlformats.org/officeDocument/2006/customXml" ds:itemID="{96B0C60F-01FA-4F42-B02A-F00549502975}">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5379</Words>
  <Characters>30665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2026-04-08T12:14:00Z</dcterms:created>
  <dcterms:modified xsi:type="dcterms:W3CDTF">2026-07-08T09:18:00Z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