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CA1A4" w14:textId="77777777" w:rsidR="00C90D38" w:rsidRPr="001C1B93" w:rsidRDefault="00C90D38" w:rsidP="00C90D38">
      <w:pPr>
        <w:spacing w:after="0" w:line="240" w:lineRule="auto"/>
        <w:jc w:val="center"/>
        <w:rPr>
          <w:rFonts w:ascii="Times New Roman" w:hAnsi="Times New Roman"/>
        </w:rPr>
      </w:pPr>
      <w:r w:rsidRPr="00811D1A">
        <w:rPr>
          <w:rFonts w:ascii="Times New Roman" w:hAnsi="Times New Roman"/>
        </w:rPr>
        <w:t>Republic of Latvia</w:t>
      </w:r>
    </w:p>
    <w:p w14:paraId="14F74895" w14:textId="77777777" w:rsidR="00C90D38" w:rsidRDefault="00C90D38" w:rsidP="00246272">
      <w:pPr>
        <w:spacing w:after="0" w:line="240" w:lineRule="auto"/>
        <w:jc w:val="center"/>
        <w:rPr>
          <w:rFonts w:ascii="Times New Roman" w:hAnsi="Times New Roman"/>
        </w:rPr>
      </w:pPr>
    </w:p>
    <w:p w14:paraId="14EF3F7C" w14:textId="6A5689F4" w:rsidR="00246272" w:rsidRPr="00246272" w:rsidRDefault="00136A25" w:rsidP="00246272">
      <w:pPr>
        <w:spacing w:after="0" w:line="240" w:lineRule="auto"/>
        <w:jc w:val="center"/>
        <w:rPr>
          <w:rFonts w:ascii="Times New Roman" w:hAnsi="Times New Roman"/>
          <w:noProof/>
          <w:kern w:val="0"/>
        </w:rPr>
      </w:pPr>
      <w:r>
        <w:rPr>
          <w:rFonts w:ascii="Times New Roman" w:hAnsi="Times New Roman"/>
        </w:rPr>
        <w:t>Cabinet</w:t>
      </w:r>
    </w:p>
    <w:p w14:paraId="15CF7397" w14:textId="77D3D715" w:rsidR="0075014C" w:rsidRPr="00246272" w:rsidRDefault="00136A25" w:rsidP="00246272">
      <w:pPr>
        <w:spacing w:after="0" w:line="240" w:lineRule="auto"/>
        <w:jc w:val="center"/>
        <w:rPr>
          <w:rFonts w:ascii="Times New Roman" w:hAnsi="Times New Roman"/>
          <w:noProof/>
          <w:kern w:val="0"/>
        </w:rPr>
      </w:pPr>
      <w:r>
        <w:rPr>
          <w:rFonts w:ascii="Times New Roman" w:hAnsi="Times New Roman"/>
        </w:rPr>
        <w:t>Order No. 691</w:t>
      </w:r>
    </w:p>
    <w:p w14:paraId="22C2BF9E" w14:textId="07AD8941" w:rsidR="00136A25" w:rsidRPr="00246272" w:rsidRDefault="00136A25" w:rsidP="00246272">
      <w:pPr>
        <w:spacing w:after="0" w:line="240" w:lineRule="auto"/>
        <w:jc w:val="center"/>
        <w:rPr>
          <w:rFonts w:ascii="Times New Roman" w:hAnsi="Times New Roman"/>
          <w:noProof/>
          <w:kern w:val="0"/>
        </w:rPr>
      </w:pPr>
      <w:r>
        <w:rPr>
          <w:rFonts w:ascii="Times New Roman" w:hAnsi="Times New Roman"/>
        </w:rPr>
        <w:t>Adopted 22 October 2025</w:t>
      </w:r>
    </w:p>
    <w:p w14:paraId="220CD16B" w14:textId="77777777" w:rsidR="00246272" w:rsidRDefault="00246272" w:rsidP="00122210">
      <w:pPr>
        <w:spacing w:after="0" w:line="240" w:lineRule="auto"/>
        <w:jc w:val="both"/>
        <w:rPr>
          <w:rFonts w:ascii="Times New Roman" w:hAnsi="Times New Roman"/>
          <w:noProof/>
          <w:kern w:val="0"/>
          <w:lang w:val="lv-LV"/>
        </w:rPr>
      </w:pPr>
    </w:p>
    <w:p w14:paraId="5E3EF9EB" w14:textId="77777777" w:rsidR="00246272" w:rsidRPr="00B10F87" w:rsidRDefault="00246272" w:rsidP="00122210">
      <w:pPr>
        <w:spacing w:after="0" w:line="240" w:lineRule="auto"/>
        <w:jc w:val="both"/>
        <w:rPr>
          <w:rFonts w:ascii="Times New Roman" w:hAnsi="Times New Roman"/>
          <w:noProof/>
          <w:kern w:val="0"/>
          <w:lang w:val="lv-LV"/>
        </w:rPr>
      </w:pPr>
    </w:p>
    <w:p w14:paraId="243DDBC7" w14:textId="77777777" w:rsidR="00136A25" w:rsidRPr="00246272" w:rsidRDefault="00136A25" w:rsidP="00246272">
      <w:pPr>
        <w:spacing w:after="0" w:line="240" w:lineRule="auto"/>
        <w:jc w:val="center"/>
        <w:rPr>
          <w:rFonts w:ascii="Times New Roman" w:hAnsi="Times New Roman"/>
          <w:b/>
          <w:bCs/>
          <w:noProof/>
          <w:kern w:val="0"/>
          <w:sz w:val="28"/>
          <w:szCs w:val="28"/>
        </w:rPr>
      </w:pPr>
      <w:r>
        <w:rPr>
          <w:rFonts w:ascii="Times New Roman" w:hAnsi="Times New Roman"/>
          <w:b/>
          <w:sz w:val="28"/>
        </w:rPr>
        <w:t>On the Action Plan for the Reduction of the Increasing Prevalence of Overweight and Obesity 2025–2029</w:t>
      </w:r>
    </w:p>
    <w:p w14:paraId="658AD26E" w14:textId="77777777" w:rsidR="00246272" w:rsidRDefault="00246272" w:rsidP="00122210">
      <w:pPr>
        <w:spacing w:after="0" w:line="240" w:lineRule="auto"/>
        <w:jc w:val="both"/>
        <w:rPr>
          <w:rFonts w:ascii="Times New Roman" w:hAnsi="Times New Roman"/>
          <w:b/>
          <w:bCs/>
          <w:noProof/>
          <w:kern w:val="0"/>
          <w:lang w:val="lv-LV"/>
        </w:rPr>
      </w:pPr>
    </w:p>
    <w:p w14:paraId="369F5472" w14:textId="77777777" w:rsidR="00246272" w:rsidRPr="00B10F87" w:rsidRDefault="00246272" w:rsidP="00122210">
      <w:pPr>
        <w:spacing w:after="0" w:line="240" w:lineRule="auto"/>
        <w:jc w:val="both"/>
        <w:rPr>
          <w:rFonts w:ascii="Times New Roman" w:hAnsi="Times New Roman"/>
          <w:b/>
          <w:bCs/>
          <w:noProof/>
          <w:kern w:val="0"/>
          <w:lang w:val="lv-LV"/>
        </w:rPr>
      </w:pPr>
    </w:p>
    <w:p w14:paraId="742530CA" w14:textId="77777777" w:rsidR="00136A25" w:rsidRDefault="00136A25" w:rsidP="00122210">
      <w:pPr>
        <w:spacing w:after="0" w:line="240" w:lineRule="auto"/>
        <w:jc w:val="both"/>
        <w:rPr>
          <w:rFonts w:ascii="Times New Roman" w:hAnsi="Times New Roman"/>
          <w:noProof/>
          <w:kern w:val="0"/>
        </w:rPr>
      </w:pPr>
      <w:bookmarkStart w:id="0" w:name="p1"/>
      <w:bookmarkStart w:id="1" w:name="p-1459779"/>
      <w:bookmarkEnd w:id="0"/>
      <w:bookmarkEnd w:id="1"/>
      <w:r>
        <w:rPr>
          <w:rFonts w:ascii="Times New Roman" w:hAnsi="Times New Roman"/>
        </w:rPr>
        <w:t>1. The Action Plan for the Reduction of the Increasing Prevalence of Overweight and Obesity 2025–2029 (hereinafter – the Plan) shall be approved.</w:t>
      </w:r>
    </w:p>
    <w:p w14:paraId="13825956" w14:textId="77777777" w:rsidR="00246272" w:rsidRPr="00B10F87" w:rsidRDefault="00246272" w:rsidP="00122210">
      <w:pPr>
        <w:spacing w:after="0" w:line="240" w:lineRule="auto"/>
        <w:jc w:val="both"/>
        <w:rPr>
          <w:rFonts w:ascii="Times New Roman" w:hAnsi="Times New Roman"/>
          <w:noProof/>
          <w:kern w:val="0"/>
          <w:lang w:val="lv-LV"/>
        </w:rPr>
      </w:pPr>
    </w:p>
    <w:p w14:paraId="51CDAADF" w14:textId="77777777" w:rsidR="00136A25" w:rsidRDefault="00136A25" w:rsidP="00122210">
      <w:pPr>
        <w:spacing w:after="0" w:line="240" w:lineRule="auto"/>
        <w:jc w:val="both"/>
        <w:rPr>
          <w:rFonts w:ascii="Times New Roman" w:hAnsi="Times New Roman"/>
          <w:noProof/>
          <w:kern w:val="0"/>
        </w:rPr>
      </w:pPr>
      <w:bookmarkStart w:id="2" w:name="p2"/>
      <w:bookmarkStart w:id="3" w:name="p-1459780"/>
      <w:bookmarkEnd w:id="2"/>
      <w:bookmarkEnd w:id="3"/>
      <w:r>
        <w:rPr>
          <w:rFonts w:ascii="Times New Roman" w:hAnsi="Times New Roman"/>
        </w:rPr>
        <w:t>2. The Ministry of Health shall ensure the management and coordination of the implementation of the Plan.</w:t>
      </w:r>
    </w:p>
    <w:p w14:paraId="69A6FB11" w14:textId="77777777" w:rsidR="00246272" w:rsidRPr="00B10F87" w:rsidRDefault="00246272" w:rsidP="00122210">
      <w:pPr>
        <w:spacing w:after="0" w:line="240" w:lineRule="auto"/>
        <w:jc w:val="both"/>
        <w:rPr>
          <w:rFonts w:ascii="Times New Roman" w:hAnsi="Times New Roman"/>
          <w:noProof/>
          <w:kern w:val="0"/>
          <w:lang w:val="lv-LV"/>
        </w:rPr>
      </w:pPr>
    </w:p>
    <w:p w14:paraId="5A20FFA8" w14:textId="77777777" w:rsidR="00136A25" w:rsidRDefault="00136A25" w:rsidP="00122210">
      <w:pPr>
        <w:spacing w:after="0" w:line="240" w:lineRule="auto"/>
        <w:jc w:val="both"/>
        <w:rPr>
          <w:rFonts w:ascii="Times New Roman" w:hAnsi="Times New Roman"/>
          <w:noProof/>
          <w:kern w:val="0"/>
        </w:rPr>
      </w:pPr>
      <w:bookmarkStart w:id="4" w:name="p3"/>
      <w:bookmarkStart w:id="5" w:name="p-1459781"/>
      <w:bookmarkEnd w:id="4"/>
      <w:bookmarkEnd w:id="5"/>
      <w:r>
        <w:rPr>
          <w:rFonts w:ascii="Times New Roman" w:hAnsi="Times New Roman"/>
        </w:rPr>
        <w:t>3. In 2025 and 2026, the authorities involved shall ensure the implementation of the measures provided for in the Plan in conformity with the allocated State budget funds. Allocation of additional State budget funds in 2027 and in each subsequent year for the implementation of the measures provided for in the Plan shall be addressed in the Cabinet within the process of preparing and reviewing the draft law on the annual State budget and the medium-term budget framework, along with the applications for priority measures submitted by all ministries and central State institutions, in conformity with the financial possibilities of the State budget. If, during the process of preparing the draft law on the annual State budget and the medium-term budget framework, additional State budget funding for the implementation of the measures provided for in the Plan is not allocated or is allocated partially, the relevant authorities responsible for the implementation of the measures of the Plan shall ensure the implementation of those measures provided for in the Plan which can be ensured within the scope of the allocated State budget funds.</w:t>
      </w:r>
    </w:p>
    <w:p w14:paraId="3E0D5442" w14:textId="77777777" w:rsidR="00246272" w:rsidRDefault="00246272" w:rsidP="00122210">
      <w:pPr>
        <w:spacing w:after="0" w:line="240" w:lineRule="auto"/>
        <w:jc w:val="both"/>
        <w:rPr>
          <w:rFonts w:ascii="Times New Roman" w:hAnsi="Times New Roman"/>
          <w:noProof/>
          <w:kern w:val="0"/>
          <w:lang w:val="lv-LV"/>
        </w:rPr>
      </w:pPr>
    </w:p>
    <w:p w14:paraId="0B909C47" w14:textId="77777777" w:rsidR="00246272" w:rsidRPr="00B10F87" w:rsidRDefault="00246272" w:rsidP="00122210">
      <w:pPr>
        <w:spacing w:after="0" w:line="240" w:lineRule="auto"/>
        <w:jc w:val="both"/>
        <w:rPr>
          <w:rFonts w:ascii="Times New Roman" w:hAnsi="Times New Roman"/>
          <w:noProof/>
          <w:kern w:val="0"/>
          <w:lang w:val="lv-LV"/>
        </w:rPr>
      </w:pPr>
    </w:p>
    <w:p w14:paraId="4D5EDE8C" w14:textId="48F7B552" w:rsidR="0075014C" w:rsidRPr="00122210" w:rsidRDefault="00136A25" w:rsidP="00C1446E">
      <w:pPr>
        <w:tabs>
          <w:tab w:val="left" w:pos="8222"/>
        </w:tabs>
        <w:spacing w:after="0" w:line="240" w:lineRule="auto"/>
        <w:jc w:val="both"/>
        <w:rPr>
          <w:rFonts w:ascii="Times New Roman" w:hAnsi="Times New Roman"/>
          <w:noProof/>
          <w:kern w:val="0"/>
        </w:rPr>
      </w:pPr>
      <w:r>
        <w:rPr>
          <w:rFonts w:ascii="Times New Roman" w:hAnsi="Times New Roman"/>
        </w:rPr>
        <w:t>Prime Minister</w:t>
      </w:r>
      <w:r w:rsidR="008504B3">
        <w:rPr>
          <w:rFonts w:ascii="Times New Roman" w:hAnsi="Times New Roman"/>
        </w:rPr>
        <w:tab/>
      </w:r>
      <w:r>
        <w:rPr>
          <w:rFonts w:ascii="Times New Roman" w:hAnsi="Times New Roman"/>
        </w:rPr>
        <w:t>E. Siliņa</w:t>
      </w:r>
    </w:p>
    <w:p w14:paraId="66887F7E" w14:textId="77777777" w:rsidR="0075014C" w:rsidRPr="00122210" w:rsidRDefault="0075014C" w:rsidP="00122210">
      <w:pPr>
        <w:spacing w:after="0" w:line="240" w:lineRule="auto"/>
        <w:jc w:val="both"/>
        <w:rPr>
          <w:rFonts w:ascii="Times New Roman" w:hAnsi="Times New Roman"/>
          <w:noProof/>
          <w:kern w:val="0"/>
          <w:lang w:val="lv-LV"/>
        </w:rPr>
      </w:pPr>
    </w:p>
    <w:p w14:paraId="3EFCB748" w14:textId="664312E3" w:rsidR="00246272" w:rsidRDefault="00136A25" w:rsidP="00C1446E">
      <w:pPr>
        <w:tabs>
          <w:tab w:val="left" w:pos="7797"/>
        </w:tabs>
        <w:spacing w:after="0" w:line="240" w:lineRule="auto"/>
        <w:jc w:val="both"/>
        <w:rPr>
          <w:rFonts w:ascii="Times New Roman" w:hAnsi="Times New Roman"/>
          <w:noProof/>
          <w:kern w:val="0"/>
        </w:rPr>
      </w:pPr>
      <w:r>
        <w:rPr>
          <w:rFonts w:ascii="Times New Roman" w:hAnsi="Times New Roman"/>
        </w:rPr>
        <w:t>Minister for Health</w:t>
      </w:r>
      <w:r w:rsidR="008504B3">
        <w:rPr>
          <w:rFonts w:ascii="Times New Roman" w:hAnsi="Times New Roman"/>
        </w:rPr>
        <w:tab/>
      </w:r>
      <w:r>
        <w:rPr>
          <w:rFonts w:ascii="Times New Roman" w:hAnsi="Times New Roman"/>
        </w:rPr>
        <w:t>H. Abu Meri</w:t>
      </w:r>
    </w:p>
    <w:p w14:paraId="3BEE7184" w14:textId="77777777" w:rsidR="00246272" w:rsidRDefault="00246272">
      <w:pPr>
        <w:rPr>
          <w:rFonts w:ascii="Times New Roman" w:hAnsi="Times New Roman"/>
          <w:noProof/>
          <w:kern w:val="0"/>
        </w:rPr>
      </w:pPr>
      <w:r>
        <w:br w:type="page"/>
      </w:r>
    </w:p>
    <w:p w14:paraId="250FC14B" w14:textId="77777777" w:rsidR="00136A25" w:rsidRPr="00B10F87" w:rsidRDefault="00136A25" w:rsidP="003672CB">
      <w:pPr>
        <w:spacing w:after="0" w:line="240" w:lineRule="auto"/>
        <w:jc w:val="right"/>
        <w:rPr>
          <w:rFonts w:ascii="Times New Roman" w:hAnsi="Times New Roman"/>
          <w:noProof/>
          <w:kern w:val="0"/>
          <w:lang w:val="lv-LV"/>
        </w:rPr>
      </w:pPr>
    </w:p>
    <w:p w14:paraId="50F04DE8" w14:textId="77777777" w:rsidR="009E4F5C" w:rsidRDefault="00136A25" w:rsidP="003672CB">
      <w:pPr>
        <w:spacing w:after="0" w:line="240" w:lineRule="auto"/>
        <w:jc w:val="right"/>
        <w:rPr>
          <w:rFonts w:ascii="Times New Roman" w:hAnsi="Times New Roman"/>
        </w:rPr>
      </w:pPr>
      <w:r>
        <w:rPr>
          <w:rFonts w:ascii="Times New Roman" w:hAnsi="Times New Roman"/>
        </w:rPr>
        <w:t>(Cabinet</w:t>
      </w:r>
      <w:r w:rsidR="009E4F5C">
        <w:rPr>
          <w:rFonts w:ascii="Times New Roman" w:hAnsi="Times New Roman"/>
        </w:rPr>
        <w:t xml:space="preserve"> </w:t>
      </w:r>
      <w:r>
        <w:rPr>
          <w:rFonts w:ascii="Times New Roman" w:hAnsi="Times New Roman"/>
        </w:rPr>
        <w:t>Regulation</w:t>
      </w:r>
    </w:p>
    <w:p w14:paraId="00102A8A" w14:textId="3B80A2BF" w:rsidR="00136A25" w:rsidRDefault="00136A25" w:rsidP="003672CB">
      <w:pPr>
        <w:spacing w:after="0" w:line="240" w:lineRule="auto"/>
        <w:jc w:val="right"/>
        <w:rPr>
          <w:rFonts w:ascii="Times New Roman" w:hAnsi="Times New Roman"/>
          <w:noProof/>
          <w:kern w:val="0"/>
        </w:rPr>
      </w:pPr>
      <w:r>
        <w:rPr>
          <w:rFonts w:ascii="Times New Roman" w:hAnsi="Times New Roman"/>
        </w:rPr>
        <w:t>No. 691 of 22 October 2025)</w:t>
      </w:r>
      <w:bookmarkStart w:id="6" w:name="piel-1460166"/>
      <w:bookmarkEnd w:id="6"/>
    </w:p>
    <w:p w14:paraId="31E3276E" w14:textId="77777777" w:rsidR="002B5E5A" w:rsidRDefault="002B5E5A" w:rsidP="00122210">
      <w:pPr>
        <w:spacing w:after="0" w:line="240" w:lineRule="auto"/>
        <w:jc w:val="both"/>
        <w:rPr>
          <w:rFonts w:ascii="Times New Roman" w:hAnsi="Times New Roman"/>
          <w:noProof/>
          <w:kern w:val="0"/>
          <w:lang w:val="lv-LV"/>
        </w:rPr>
      </w:pPr>
    </w:p>
    <w:p w14:paraId="47B88898" w14:textId="77777777" w:rsidR="002B5E5A" w:rsidRPr="00B10F87" w:rsidRDefault="002B5E5A" w:rsidP="00122210">
      <w:pPr>
        <w:spacing w:after="0" w:line="240" w:lineRule="auto"/>
        <w:jc w:val="both"/>
        <w:rPr>
          <w:rFonts w:ascii="Times New Roman" w:hAnsi="Times New Roman"/>
          <w:noProof/>
          <w:kern w:val="0"/>
          <w:lang w:val="lv-LV"/>
        </w:rPr>
      </w:pPr>
    </w:p>
    <w:p w14:paraId="073C9A65" w14:textId="77777777" w:rsidR="00136A25" w:rsidRPr="003672CB" w:rsidRDefault="00136A25" w:rsidP="003672CB">
      <w:pPr>
        <w:spacing w:after="0" w:line="240" w:lineRule="auto"/>
        <w:jc w:val="center"/>
        <w:rPr>
          <w:rFonts w:ascii="Times New Roman" w:hAnsi="Times New Roman"/>
          <w:b/>
          <w:bCs/>
          <w:noProof/>
          <w:kern w:val="0"/>
          <w:sz w:val="28"/>
          <w:szCs w:val="28"/>
        </w:rPr>
      </w:pPr>
      <w:bookmarkStart w:id="7" w:name="1460167"/>
      <w:bookmarkStart w:id="8" w:name="n-1460167"/>
      <w:bookmarkEnd w:id="7"/>
      <w:bookmarkEnd w:id="8"/>
      <w:r>
        <w:rPr>
          <w:rFonts w:ascii="Times New Roman" w:hAnsi="Times New Roman"/>
          <w:b/>
          <w:sz w:val="28"/>
        </w:rPr>
        <w:t>Action Plan for the Reduction of the Increasing Prevalence of Overweight and Obesity 2025–2029</w:t>
      </w:r>
    </w:p>
    <w:p w14:paraId="437C69C7" w14:textId="77777777" w:rsidR="002B5E5A" w:rsidRDefault="002B5E5A" w:rsidP="00122210">
      <w:pPr>
        <w:spacing w:after="0" w:line="240" w:lineRule="auto"/>
        <w:jc w:val="both"/>
        <w:rPr>
          <w:rFonts w:ascii="Times New Roman" w:hAnsi="Times New Roman"/>
          <w:b/>
          <w:bCs/>
          <w:noProof/>
          <w:kern w:val="0"/>
          <w:lang w:val="lv-LV"/>
        </w:rPr>
      </w:pPr>
    </w:p>
    <w:p w14:paraId="7E1F8212" w14:textId="77777777" w:rsidR="002B5E5A" w:rsidRPr="00B10F87" w:rsidRDefault="002B5E5A" w:rsidP="00122210">
      <w:pPr>
        <w:spacing w:after="0" w:line="240" w:lineRule="auto"/>
        <w:jc w:val="both"/>
        <w:rPr>
          <w:rFonts w:ascii="Times New Roman" w:hAnsi="Times New Roman"/>
          <w:b/>
          <w:bCs/>
          <w:noProof/>
          <w:kern w:val="0"/>
          <w:lang w:val="lv-LV"/>
        </w:rPr>
      </w:pPr>
    </w:p>
    <w:p w14:paraId="3AFBD941" w14:textId="77777777" w:rsidR="00136A25" w:rsidRDefault="00136A25" w:rsidP="00257028">
      <w:pPr>
        <w:spacing w:after="0" w:line="240" w:lineRule="auto"/>
        <w:jc w:val="center"/>
        <w:rPr>
          <w:rFonts w:ascii="Times New Roman" w:hAnsi="Times New Roman"/>
          <w:b/>
          <w:bCs/>
          <w:noProof/>
          <w:kern w:val="0"/>
        </w:rPr>
      </w:pPr>
      <w:r>
        <w:rPr>
          <w:rFonts w:ascii="Times New Roman" w:hAnsi="Times New Roman"/>
          <w:b/>
        </w:rPr>
        <w:t>Table of Contents</w:t>
      </w:r>
    </w:p>
    <w:p w14:paraId="688F307C" w14:textId="77777777" w:rsidR="00257028" w:rsidRPr="00B10F87" w:rsidRDefault="00257028" w:rsidP="00122210">
      <w:pPr>
        <w:spacing w:after="0" w:line="240" w:lineRule="auto"/>
        <w:jc w:val="both"/>
        <w:rPr>
          <w:rFonts w:ascii="Times New Roman" w:hAnsi="Times New Roman"/>
          <w:b/>
          <w:bCs/>
          <w:noProof/>
          <w:kern w:val="0"/>
          <w:lang w:val="lv-LV"/>
        </w:rPr>
      </w:pPr>
    </w:p>
    <w:p w14:paraId="6ACA5B76"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1. Summary</w:t>
      </w:r>
    </w:p>
    <w:p w14:paraId="7023A51E"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2. Alignment with Other Policy Planning Documents</w:t>
      </w:r>
    </w:p>
    <w:p w14:paraId="2282556E"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3. Background</w:t>
      </w:r>
    </w:p>
    <w:p w14:paraId="7D14153B"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3.1. Prevalence of Overweight and Obesity, and Its Consequences</w:t>
      </w:r>
    </w:p>
    <w:p w14:paraId="067F6216"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3.2. Improvement of Dietary Habits and Physical Activity among the Latvian Population to Prevent the Development of Overweight (Primary Prevention)</w:t>
      </w:r>
    </w:p>
    <w:p w14:paraId="5FE29DF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3.2.1. Change of Dietary Habits</w:t>
      </w:r>
    </w:p>
    <w:p w14:paraId="13D2DA8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3.2.2. Change of Physical Activity Habits</w:t>
      </w:r>
    </w:p>
    <w:p w14:paraId="1B15758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3.2.3. Comprehensive Measures for the Prevention of Overweight</w:t>
      </w:r>
    </w:p>
    <w:p w14:paraId="214AC71D"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3.3. Reduction of Overweight and Prevention of Obesity (Secondary Prevention)</w:t>
      </w:r>
    </w:p>
    <w:p w14:paraId="4CC55BCE"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3.4. Diagnosis and Treatment of Obesity (Tertiary Prevention)</w:t>
      </w:r>
    </w:p>
    <w:p w14:paraId="4A5FD77C"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3.5. Effectiveness of Measures for the Reduction of the Increasing Prevalence of Overweight and Obesity</w:t>
      </w:r>
    </w:p>
    <w:p w14:paraId="59DA8E3B"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4. Objective and Tasks to be Performed</w:t>
      </w:r>
    </w:p>
    <w:p w14:paraId="308F53A3" w14:textId="77777777" w:rsidR="00136A25" w:rsidRDefault="00136A25" w:rsidP="00122210">
      <w:pPr>
        <w:spacing w:after="0" w:line="240" w:lineRule="auto"/>
        <w:jc w:val="both"/>
        <w:rPr>
          <w:rFonts w:ascii="Times New Roman" w:hAnsi="Times New Roman"/>
          <w:b/>
          <w:bCs/>
          <w:noProof/>
          <w:kern w:val="0"/>
        </w:rPr>
      </w:pPr>
      <w:r>
        <w:rPr>
          <w:rFonts w:ascii="Times New Roman" w:hAnsi="Times New Roman"/>
          <w:b/>
        </w:rPr>
        <w:t>5. Assessment of the Impact on State and Local Government Budgets</w:t>
      </w:r>
    </w:p>
    <w:p w14:paraId="44B2781C" w14:textId="77777777" w:rsidR="00257028" w:rsidRPr="00B10F87" w:rsidRDefault="00257028" w:rsidP="00122210">
      <w:pPr>
        <w:spacing w:after="0" w:line="240" w:lineRule="auto"/>
        <w:jc w:val="both"/>
        <w:rPr>
          <w:rFonts w:ascii="Times New Roman" w:hAnsi="Times New Roman"/>
          <w:b/>
          <w:bCs/>
          <w:noProof/>
          <w:kern w:val="0"/>
          <w:lang w:val="lv-LV"/>
        </w:rPr>
      </w:pPr>
    </w:p>
    <w:p w14:paraId="058864C4" w14:textId="77777777" w:rsidR="00136A25" w:rsidRDefault="00136A25" w:rsidP="00257028">
      <w:pPr>
        <w:spacing w:after="0" w:line="240" w:lineRule="auto"/>
        <w:jc w:val="center"/>
        <w:rPr>
          <w:rFonts w:ascii="Times New Roman" w:hAnsi="Times New Roman"/>
          <w:b/>
          <w:bCs/>
          <w:noProof/>
          <w:kern w:val="0"/>
        </w:rPr>
      </w:pPr>
      <w:r>
        <w:rPr>
          <w:rFonts w:ascii="Times New Roman" w:hAnsi="Times New Roman"/>
          <w:b/>
        </w:rPr>
        <w:t>Abbreviations</w:t>
      </w:r>
    </w:p>
    <w:p w14:paraId="3587B8B1" w14:textId="77777777" w:rsidR="00257028" w:rsidRPr="00B10F87" w:rsidRDefault="00257028" w:rsidP="00122210">
      <w:pPr>
        <w:spacing w:after="0" w:line="240" w:lineRule="auto"/>
        <w:jc w:val="both"/>
        <w:rPr>
          <w:rFonts w:ascii="Times New Roman" w:hAnsi="Times New Roman"/>
          <w:b/>
          <w:bCs/>
          <w:noProof/>
          <w:kern w:val="0"/>
          <w:lang w:val="lv-LV"/>
        </w:rPr>
      </w:pPr>
    </w:p>
    <w:p w14:paraId="5C8E70C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BIOR – Scientific Institute of Food Safety, Animal Health and Environment</w:t>
      </w:r>
    </w:p>
    <w:p w14:paraId="5F8A016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CCUH – Childrenʼs Clinical University Hospital</w:t>
      </w:r>
    </w:p>
    <w:p w14:paraId="4C6578B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IOSEH – Institute of Occupational Safety and Environmental Health</w:t>
      </w:r>
    </w:p>
    <w:p w14:paraId="6BD5785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MoE – Ministry of Economics</w:t>
      </w:r>
    </w:p>
    <w:p w14:paraId="7777B79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EU – European Union</w:t>
      </w:r>
    </w:p>
    <w:p w14:paraId="46CA149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MoF – Ministry of Finance</w:t>
      </w:r>
    </w:p>
    <w:p w14:paraId="518583E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GDP – gross domestic product</w:t>
      </w:r>
    </w:p>
    <w:p w14:paraId="0A222FF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MoES – Ministry of Education and Science</w:t>
      </w:r>
    </w:p>
    <w:p w14:paraId="5C9660D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BMI – Body Mass Index (ratio of weight to height squared)</w:t>
      </w:r>
    </w:p>
    <w:p w14:paraId="100E9AC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LAB – Latvian Anti-doping Bureau</w:t>
      </w:r>
    </w:p>
    <w:p w14:paraId="1B53DF3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LMA – Latvian Medical Association</w:t>
      </w:r>
    </w:p>
    <w:p w14:paraId="7BA7198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UPOMPL – Union of Professional Organisations of Medical Practitioners of Latvia</w:t>
      </w:r>
    </w:p>
    <w:p w14:paraId="548BDE2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LANABP – Latvian Association of Non-alcoholic Beverage Producers</w:t>
      </w:r>
    </w:p>
    <w:p w14:paraId="14D69DB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LAD – Latvian Association of Dietitians</w:t>
      </w:r>
    </w:p>
    <w:p w14:paraId="086C5E2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ECL – Employers’ Confederation of Latvia</w:t>
      </w:r>
    </w:p>
    <w:p w14:paraId="4063CEC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LADN – Latvian Association of Dietitians and Nutritionists</w:t>
      </w:r>
    </w:p>
    <w:p w14:paraId="4FFFE03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LAE – Latvian Association of Endocrinology</w:t>
      </w:r>
    </w:p>
    <w:p w14:paraId="26495B8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LAC – Latvian Association of Caterers</w:t>
      </w:r>
    </w:p>
    <w:p w14:paraId="6747F5D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LAFP – Latvian Association of Family Physicians</w:t>
      </w:r>
    </w:p>
    <w:p w14:paraId="4EAF501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LAGO – Latvian Association of Gynaecologists and Obstetricians</w:t>
      </w:r>
    </w:p>
    <w:p w14:paraId="36A0360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LAEIC – Latvian Association of Educational Institution Caterers</w:t>
      </w:r>
    </w:p>
    <w:p w14:paraId="3B469DA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LARFP – Latvian Association of Rural Family Physicians</w:t>
      </w:r>
    </w:p>
    <w:p w14:paraId="1F1B4FC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LRATC – Latvian Rural Advisory and Training Centre</w:t>
      </w:r>
    </w:p>
    <w:p w14:paraId="75D0A15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lastRenderedPageBreak/>
        <w:t>MoW – Ministry of Welfare</w:t>
      </w:r>
    </w:p>
    <w:p w14:paraId="5FCB7AB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LPA – Latvian Paediatric Association</w:t>
      </w:r>
    </w:p>
    <w:p w14:paraId="1C2F001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LAP – Latvian Association of Psychotherapists</w:t>
      </w:r>
    </w:p>
    <w:p w14:paraId="52225A4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LFFC – Latvian Federation of Food Companies</w:t>
      </w:r>
    </w:p>
    <w:p w14:paraId="0AED2D6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LAA – Latvian Advertising Association</w:t>
      </w:r>
    </w:p>
    <w:p w14:paraId="47F4A92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LHRA – Latvian Hotel and Restaurant Association</w:t>
      </w:r>
    </w:p>
    <w:p w14:paraId="100B29D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LSFC – Latvian Sports Federation Council</w:t>
      </w:r>
    </w:p>
    <w:p w14:paraId="17511F0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LSMA – Latvian Sports Medicine Association</w:t>
      </w:r>
    </w:p>
    <w:p w14:paraId="1E204E6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LPHA – Latvian Public Health Association</w:t>
      </w:r>
    </w:p>
    <w:p w14:paraId="586C666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LTA – Latvian Traders’ Association</w:t>
      </w:r>
    </w:p>
    <w:p w14:paraId="51A0BAC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LCCI – Latvian Chamber of Commerce and Industry</w:t>
      </w:r>
    </w:p>
    <w:p w14:paraId="1E2B5EA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LSAA – Latvian Sport for All Association</w:t>
      </w:r>
    </w:p>
    <w:p w14:paraId="00DC1DF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LAN – Latvian Association of Nutritionists</w:t>
      </w:r>
    </w:p>
    <w:p w14:paraId="1777588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LMA – Association of Midwives of Latvia</w:t>
      </w:r>
    </w:p>
    <w:p w14:paraId="588B7F1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LHFA – Latvian Health and Fitness Association</w:t>
      </w:r>
    </w:p>
    <w:p w14:paraId="7A988BF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LNLC – Latvian Network of Lactation Consultants</w:t>
      </w:r>
    </w:p>
    <w:p w14:paraId="493E274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Cabinet – Cabinet of the Republic of Latvia</w:t>
      </w:r>
    </w:p>
    <w:p w14:paraId="70765AA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NDP2027 – National Development Plan 2021–2027</w:t>
      </w:r>
    </w:p>
    <w:p w14:paraId="0780ED4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NHS – National Health Service</w:t>
      </w:r>
    </w:p>
    <w:p w14:paraId="781A5A6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NGOs – non-governmental organisations</w:t>
      </w:r>
    </w:p>
    <w:p w14:paraId="260C384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NNHLG – National Network of Healthy Local Governments</w:t>
      </w:r>
    </w:p>
    <w:p w14:paraId="3DD7E19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NNHPS – National Network of Health Promoting Schools</w:t>
      </w:r>
    </w:p>
    <w:p w14:paraId="1DF764D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OECD – Organisation for Economic Co-operation and Development</w:t>
      </w:r>
    </w:p>
    <w:p w14:paraId="36E41193" w14:textId="1EA2358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Guidelines – Public Health Guidelines 2021–2027</w:t>
      </w:r>
    </w:p>
    <w:p w14:paraId="6683183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PEI – pre-school educational institution</w:t>
      </w:r>
    </w:p>
    <w:p w14:paraId="4E4480F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CRPC – Consumer Rights Protection Centre</w:t>
      </w:r>
    </w:p>
    <w:p w14:paraId="3515850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FVS – Food and Veterinary Service</w:t>
      </w:r>
    </w:p>
    <w:p w14:paraId="159C9DC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WHO – World Health Organization</w:t>
      </w:r>
    </w:p>
    <w:p w14:paraId="345DC56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RSU – Rīga Stradiņš University</w:t>
      </w:r>
    </w:p>
    <w:p w14:paraId="0C6A6EF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CDPC – Centre for Disease Prevention and Control</w:t>
      </w:r>
    </w:p>
    <w:p w14:paraId="6A2FA0D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MoSARD – Ministry of Smart Administration and Regional Development</w:t>
      </w:r>
    </w:p>
    <w:p w14:paraId="403A514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SEDA – State Education Development Agency</w:t>
      </w:r>
    </w:p>
    <w:p w14:paraId="184C6C8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MoH – Ministry of Health</w:t>
      </w:r>
    </w:p>
    <w:p w14:paraId="46EC542E" w14:textId="77777777" w:rsidR="00136A25" w:rsidRDefault="00136A25" w:rsidP="00122210">
      <w:pPr>
        <w:spacing w:after="0" w:line="240" w:lineRule="auto"/>
        <w:jc w:val="both"/>
        <w:rPr>
          <w:rFonts w:ascii="Times New Roman" w:hAnsi="Times New Roman"/>
          <w:noProof/>
          <w:kern w:val="0"/>
        </w:rPr>
      </w:pPr>
      <w:r>
        <w:rPr>
          <w:rFonts w:ascii="Times New Roman" w:hAnsi="Times New Roman"/>
        </w:rPr>
        <w:t>MoA – Ministry of Agriculture</w:t>
      </w:r>
    </w:p>
    <w:p w14:paraId="375B94C3" w14:textId="77777777" w:rsidR="0059557A" w:rsidRPr="00B10F87" w:rsidRDefault="0059557A" w:rsidP="00122210">
      <w:pPr>
        <w:spacing w:after="0" w:line="240" w:lineRule="auto"/>
        <w:jc w:val="both"/>
        <w:rPr>
          <w:rFonts w:ascii="Times New Roman" w:hAnsi="Times New Roman"/>
          <w:noProof/>
          <w:kern w:val="0"/>
          <w:lang w:val="lv-LV"/>
        </w:rPr>
      </w:pPr>
    </w:p>
    <w:p w14:paraId="73663A15" w14:textId="77777777" w:rsidR="00136A25" w:rsidRDefault="00136A25" w:rsidP="00160420">
      <w:pPr>
        <w:spacing w:after="0" w:line="240" w:lineRule="auto"/>
        <w:jc w:val="center"/>
        <w:rPr>
          <w:rFonts w:ascii="Times New Roman" w:hAnsi="Times New Roman"/>
          <w:b/>
          <w:bCs/>
          <w:noProof/>
          <w:kern w:val="0"/>
        </w:rPr>
      </w:pPr>
      <w:r>
        <w:rPr>
          <w:rFonts w:ascii="Times New Roman" w:hAnsi="Times New Roman"/>
          <w:b/>
        </w:rPr>
        <w:t>1. Summary</w:t>
      </w:r>
    </w:p>
    <w:p w14:paraId="3497AD42" w14:textId="77777777" w:rsidR="0059557A" w:rsidRPr="00B10F87" w:rsidRDefault="0059557A" w:rsidP="00122210">
      <w:pPr>
        <w:spacing w:after="0" w:line="240" w:lineRule="auto"/>
        <w:jc w:val="both"/>
        <w:rPr>
          <w:rFonts w:ascii="Times New Roman" w:hAnsi="Times New Roman"/>
          <w:b/>
          <w:bCs/>
          <w:noProof/>
          <w:kern w:val="0"/>
          <w:lang w:val="lv-LV"/>
        </w:rPr>
      </w:pPr>
    </w:p>
    <w:p w14:paraId="33CF1B82" w14:textId="267B21F7" w:rsidR="00136A25" w:rsidRDefault="00136A25" w:rsidP="009A0AB1">
      <w:pPr>
        <w:spacing w:after="0" w:line="240" w:lineRule="auto"/>
        <w:ind w:firstLine="709"/>
        <w:jc w:val="both"/>
        <w:rPr>
          <w:rFonts w:ascii="Times New Roman" w:hAnsi="Times New Roman"/>
          <w:noProof/>
          <w:kern w:val="0"/>
        </w:rPr>
      </w:pPr>
      <w:r>
        <w:rPr>
          <w:rFonts w:ascii="Times New Roman" w:hAnsi="Times New Roman"/>
        </w:rPr>
        <w:t>In accordance with Cabinet Order No. 359 of 26 May 2022, the Cabinet approved the Public Health Guidelines 2021–2027 (hereinafter – the Guidelines) the aim of which is to improve the health of the Latvian population by increasing the life expectancy in good health, preventing premature mortality, and reducing health inequalities. The action direction “Healthy and active lifestyle” of the Guidelines states that, although the situation is gradually improving, unhealthy lifestyle, including unhealthy dietary habits and sedentary lifestyle, remains widespread in Latvia, leading to overweight issues for the population.</w:t>
      </w:r>
    </w:p>
    <w:p w14:paraId="536D4CF3" w14:textId="77777777" w:rsidR="009A0AB1" w:rsidRPr="00B10F87" w:rsidRDefault="009A0AB1" w:rsidP="009A0AB1">
      <w:pPr>
        <w:spacing w:after="0" w:line="240" w:lineRule="auto"/>
        <w:ind w:firstLine="709"/>
        <w:jc w:val="both"/>
        <w:rPr>
          <w:rFonts w:ascii="Times New Roman" w:hAnsi="Times New Roman"/>
          <w:noProof/>
          <w:kern w:val="0"/>
          <w:lang w:val="lv-LV"/>
        </w:rPr>
      </w:pPr>
    </w:p>
    <w:p w14:paraId="2B5F2903" w14:textId="77777777" w:rsidR="00136A25" w:rsidRDefault="00136A25" w:rsidP="009A0AB1">
      <w:pPr>
        <w:spacing w:after="0" w:line="240" w:lineRule="auto"/>
        <w:ind w:firstLine="709"/>
        <w:jc w:val="both"/>
        <w:rPr>
          <w:rFonts w:ascii="Times New Roman" w:hAnsi="Times New Roman"/>
          <w:noProof/>
          <w:kern w:val="0"/>
        </w:rPr>
      </w:pPr>
      <w:r>
        <w:rPr>
          <w:rFonts w:ascii="Times New Roman" w:hAnsi="Times New Roman"/>
        </w:rPr>
        <w:t>The prevalence of excess body weight</w:t>
      </w:r>
      <w:r>
        <w:rPr>
          <w:rFonts w:ascii="Times New Roman" w:hAnsi="Times New Roman"/>
          <w:vertAlign w:val="superscript"/>
        </w:rPr>
        <w:t>1</w:t>
      </w:r>
      <w:r>
        <w:rPr>
          <w:rFonts w:ascii="Times New Roman" w:hAnsi="Times New Roman"/>
        </w:rPr>
        <w:t xml:space="preserve"> in Latvia is considerably </w:t>
      </w:r>
      <w:r>
        <w:rPr>
          <w:rFonts w:ascii="Times New Roman" w:hAnsi="Times New Roman"/>
          <w:b/>
          <w:bCs/>
        </w:rPr>
        <w:t>higher than the EU average</w:t>
      </w:r>
      <w:r>
        <w:rPr>
          <w:rFonts w:ascii="Times New Roman" w:hAnsi="Times New Roman"/>
        </w:rPr>
        <w:t xml:space="preserve"> (59.2 % in Latvia and 50.6 % in the EU)</w:t>
      </w:r>
      <w:r>
        <w:rPr>
          <w:rFonts w:ascii="Times New Roman" w:hAnsi="Times New Roman"/>
          <w:vertAlign w:val="superscript"/>
        </w:rPr>
        <w:t>2</w:t>
      </w:r>
      <w:r>
        <w:rPr>
          <w:rFonts w:ascii="Times New Roman" w:hAnsi="Times New Roman"/>
        </w:rPr>
        <w:t xml:space="preserve"> and has </w:t>
      </w:r>
      <w:r>
        <w:rPr>
          <w:rFonts w:ascii="Times New Roman" w:hAnsi="Times New Roman"/>
          <w:b/>
          <w:bCs/>
        </w:rPr>
        <w:t>significantly increased</w:t>
      </w:r>
      <w:r>
        <w:rPr>
          <w:rFonts w:ascii="Times New Roman" w:hAnsi="Times New Roman"/>
        </w:rPr>
        <w:t xml:space="preserve"> in recent years.</w:t>
      </w:r>
    </w:p>
    <w:p w14:paraId="34CA503D" w14:textId="77777777" w:rsidR="009A0AB1" w:rsidRPr="00B10F87" w:rsidRDefault="009A0AB1" w:rsidP="009A0AB1">
      <w:pPr>
        <w:spacing w:after="0" w:line="240" w:lineRule="auto"/>
        <w:ind w:firstLine="709"/>
        <w:jc w:val="both"/>
        <w:rPr>
          <w:rFonts w:ascii="Times New Roman" w:hAnsi="Times New Roman"/>
          <w:noProof/>
          <w:kern w:val="0"/>
          <w:lang w:val="lv-LV"/>
        </w:rPr>
      </w:pPr>
    </w:p>
    <w:p w14:paraId="7CB5294F" w14:textId="77777777" w:rsidR="00136A25" w:rsidRPr="00B10F87" w:rsidRDefault="00136A25" w:rsidP="009A0AB1">
      <w:pPr>
        <w:spacing w:after="0" w:line="240" w:lineRule="auto"/>
        <w:ind w:firstLine="709"/>
        <w:jc w:val="both"/>
        <w:rPr>
          <w:rFonts w:ascii="Times New Roman" w:hAnsi="Times New Roman"/>
          <w:noProof/>
          <w:kern w:val="0"/>
        </w:rPr>
      </w:pPr>
      <w:r>
        <w:rPr>
          <w:rFonts w:ascii="Times New Roman" w:hAnsi="Times New Roman"/>
        </w:rPr>
        <w:t>Obesity is a complex, multifactorial disease leading to various health disorders, including:</w:t>
      </w:r>
    </w:p>
    <w:p w14:paraId="4CFEB801" w14:textId="77777777" w:rsidR="00136A25" w:rsidRPr="00B10F87" w:rsidRDefault="00136A25" w:rsidP="009A0AB1">
      <w:pPr>
        <w:spacing w:after="0" w:line="240" w:lineRule="auto"/>
        <w:ind w:firstLine="709"/>
        <w:jc w:val="both"/>
        <w:rPr>
          <w:rFonts w:ascii="Times New Roman" w:hAnsi="Times New Roman"/>
          <w:noProof/>
          <w:kern w:val="0"/>
        </w:rPr>
      </w:pPr>
      <w:r>
        <w:rPr>
          <w:rFonts w:ascii="Times New Roman" w:hAnsi="Times New Roman"/>
        </w:rPr>
        <w:t>• cardiovascular diseases;</w:t>
      </w:r>
    </w:p>
    <w:p w14:paraId="62E5E563" w14:textId="77777777" w:rsidR="00136A25" w:rsidRPr="00B10F87" w:rsidRDefault="00136A25" w:rsidP="009A0AB1">
      <w:pPr>
        <w:spacing w:after="0" w:line="240" w:lineRule="auto"/>
        <w:ind w:firstLine="709"/>
        <w:jc w:val="both"/>
        <w:rPr>
          <w:rFonts w:ascii="Times New Roman" w:hAnsi="Times New Roman"/>
          <w:noProof/>
          <w:kern w:val="0"/>
        </w:rPr>
      </w:pPr>
      <w:r>
        <w:rPr>
          <w:rFonts w:ascii="Times New Roman" w:hAnsi="Times New Roman"/>
        </w:rPr>
        <w:lastRenderedPageBreak/>
        <w:t>• oncological diseases (including breast cancer, colorectal cancer, kidney cancer, liver cancer, and ovarian cancer);</w:t>
      </w:r>
    </w:p>
    <w:p w14:paraId="289DFDCE" w14:textId="77777777" w:rsidR="00136A25" w:rsidRPr="00B10F87" w:rsidRDefault="00136A25" w:rsidP="009A0AB1">
      <w:pPr>
        <w:spacing w:after="0" w:line="240" w:lineRule="auto"/>
        <w:ind w:firstLine="709"/>
        <w:jc w:val="both"/>
        <w:rPr>
          <w:rFonts w:ascii="Times New Roman" w:hAnsi="Times New Roman"/>
          <w:noProof/>
          <w:kern w:val="0"/>
        </w:rPr>
      </w:pPr>
      <w:r>
        <w:rPr>
          <w:rFonts w:ascii="Times New Roman" w:hAnsi="Times New Roman"/>
        </w:rPr>
        <w:t>• metabolic disorders (including type 2 diabetes);</w:t>
      </w:r>
    </w:p>
    <w:p w14:paraId="501E7E75" w14:textId="77777777" w:rsidR="00136A25" w:rsidRPr="00B10F87" w:rsidRDefault="00136A25" w:rsidP="009A0AB1">
      <w:pPr>
        <w:spacing w:after="0" w:line="240" w:lineRule="auto"/>
        <w:ind w:firstLine="709"/>
        <w:jc w:val="both"/>
        <w:rPr>
          <w:rFonts w:ascii="Times New Roman" w:hAnsi="Times New Roman"/>
          <w:noProof/>
          <w:kern w:val="0"/>
        </w:rPr>
      </w:pPr>
      <w:r>
        <w:rPr>
          <w:rFonts w:ascii="Times New Roman" w:hAnsi="Times New Roman"/>
        </w:rPr>
        <w:t>• musculoskeletal diseases;</w:t>
      </w:r>
    </w:p>
    <w:p w14:paraId="3CE6384E" w14:textId="77777777" w:rsidR="00136A25" w:rsidRPr="00B10F87" w:rsidRDefault="00136A25" w:rsidP="009A0AB1">
      <w:pPr>
        <w:spacing w:after="0" w:line="240" w:lineRule="auto"/>
        <w:ind w:firstLine="709"/>
        <w:jc w:val="both"/>
        <w:rPr>
          <w:rFonts w:ascii="Times New Roman" w:hAnsi="Times New Roman"/>
          <w:noProof/>
          <w:kern w:val="0"/>
        </w:rPr>
      </w:pPr>
      <w:r>
        <w:rPr>
          <w:rFonts w:ascii="Times New Roman" w:hAnsi="Times New Roman"/>
        </w:rPr>
        <w:t>• chronic respiratory diseases (including obstructive sleep apnoea);</w:t>
      </w:r>
    </w:p>
    <w:p w14:paraId="670ACE18" w14:textId="77777777" w:rsidR="00136A25" w:rsidRDefault="00136A25" w:rsidP="009A0AB1">
      <w:pPr>
        <w:spacing w:after="0" w:line="240" w:lineRule="auto"/>
        <w:ind w:firstLine="709"/>
        <w:jc w:val="both"/>
        <w:rPr>
          <w:rFonts w:ascii="Times New Roman" w:hAnsi="Times New Roman"/>
          <w:noProof/>
          <w:kern w:val="0"/>
        </w:rPr>
      </w:pPr>
      <w:r>
        <w:rPr>
          <w:rFonts w:ascii="Times New Roman" w:hAnsi="Times New Roman"/>
        </w:rPr>
        <w:t>• depression and other mental health disorders.</w:t>
      </w:r>
      <w:r>
        <w:rPr>
          <w:rFonts w:ascii="Times New Roman" w:hAnsi="Times New Roman"/>
          <w:vertAlign w:val="superscript"/>
        </w:rPr>
        <w:t>3</w:t>
      </w:r>
    </w:p>
    <w:p w14:paraId="1289CA9D" w14:textId="77777777" w:rsidR="009A0AB1" w:rsidRPr="00B10F87" w:rsidRDefault="009A0AB1" w:rsidP="009A0AB1">
      <w:pPr>
        <w:spacing w:after="0" w:line="240" w:lineRule="auto"/>
        <w:ind w:firstLine="709"/>
        <w:jc w:val="both"/>
        <w:rPr>
          <w:rFonts w:ascii="Times New Roman" w:hAnsi="Times New Roman"/>
          <w:noProof/>
          <w:kern w:val="0"/>
          <w:lang w:val="lv-LV"/>
        </w:rPr>
      </w:pPr>
    </w:p>
    <w:p w14:paraId="24914CAE" w14:textId="77777777" w:rsidR="00136A25" w:rsidRDefault="00136A25" w:rsidP="00530BC1">
      <w:pPr>
        <w:spacing w:after="0" w:line="240" w:lineRule="auto"/>
        <w:ind w:firstLine="709"/>
        <w:jc w:val="both"/>
        <w:rPr>
          <w:rFonts w:ascii="Times New Roman" w:hAnsi="Times New Roman"/>
          <w:noProof/>
          <w:kern w:val="0"/>
          <w:vertAlign w:val="superscript"/>
        </w:rPr>
      </w:pPr>
      <w:r>
        <w:rPr>
          <w:rFonts w:ascii="Times New Roman" w:hAnsi="Times New Roman"/>
        </w:rPr>
        <w:t xml:space="preserve">Obesity is associated with various reproductive sequelae, including anovulation, infertility, and increased risk of miscarriage. There is a direct correlation between a higher BMI and </w:t>
      </w:r>
      <w:r>
        <w:rPr>
          <w:rFonts w:ascii="Times New Roman" w:hAnsi="Times New Roman"/>
          <w:b/>
          <w:bCs/>
        </w:rPr>
        <w:t>risk of infertility</w:t>
      </w:r>
      <w:r>
        <w:rPr>
          <w:rFonts w:ascii="Times New Roman" w:hAnsi="Times New Roman"/>
        </w:rPr>
        <w:t>.</w:t>
      </w:r>
      <w:r>
        <w:rPr>
          <w:rFonts w:ascii="Times New Roman" w:hAnsi="Times New Roman"/>
          <w:vertAlign w:val="superscript"/>
        </w:rPr>
        <w:t>4</w:t>
      </w:r>
      <w:r>
        <w:rPr>
          <w:rFonts w:ascii="Times New Roman" w:hAnsi="Times New Roman"/>
        </w:rPr>
        <w:t xml:space="preserve"> At the onset of pregnancy, excess body weight increases health risks in women, is associated with higher birth weight in infants (&gt; 4 kg), and also increases the child’s risk of excess body weight later in life by 46 %.</w:t>
      </w:r>
      <w:r>
        <w:rPr>
          <w:rFonts w:ascii="Times New Roman" w:hAnsi="Times New Roman"/>
          <w:vertAlign w:val="superscript"/>
        </w:rPr>
        <w:t>5</w:t>
      </w:r>
      <w:r>
        <w:rPr>
          <w:rFonts w:ascii="Times New Roman" w:hAnsi="Times New Roman"/>
        </w:rPr>
        <w:t xml:space="preserve"> The likelihood of the child developing obesity in adulthood increases by 8 % for each additional kilogram the mother gains above the recommended weight during pregnancy.</w:t>
      </w:r>
      <w:r>
        <w:rPr>
          <w:rFonts w:ascii="Times New Roman" w:hAnsi="Times New Roman"/>
          <w:vertAlign w:val="superscript"/>
        </w:rPr>
        <w:t>6</w:t>
      </w:r>
      <w:r>
        <w:rPr>
          <w:rFonts w:ascii="Times New Roman" w:hAnsi="Times New Roman"/>
        </w:rPr>
        <w:t xml:space="preserve"> However, an even greater risk is posed by high maternal BMI before pregnancy.</w:t>
      </w:r>
      <w:r>
        <w:rPr>
          <w:rFonts w:ascii="Times New Roman" w:hAnsi="Times New Roman"/>
          <w:vertAlign w:val="superscript"/>
        </w:rPr>
        <w:t>7</w:t>
      </w:r>
      <w:r>
        <w:rPr>
          <w:rFonts w:ascii="Times New Roman" w:hAnsi="Times New Roman"/>
        </w:rPr>
        <w:t xml:space="preserve"> Obesity is also associated with negative attitude both from the individual towards themselves and from others. Weight stigma can lead to exclusion and inequalities, have a negative impact on the quality of healthcare, patient adherence during the treatment process, etc.</w:t>
      </w:r>
      <w:r>
        <w:rPr>
          <w:rFonts w:ascii="Times New Roman" w:hAnsi="Times New Roman"/>
          <w:vertAlign w:val="superscript"/>
        </w:rPr>
        <w:t>8</w:t>
      </w:r>
    </w:p>
    <w:p w14:paraId="0484A886" w14:textId="77777777" w:rsidR="00530BC1" w:rsidRPr="00B10F87" w:rsidRDefault="00530BC1" w:rsidP="00530BC1">
      <w:pPr>
        <w:spacing w:after="0" w:line="240" w:lineRule="auto"/>
        <w:ind w:firstLine="709"/>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36A25" w:rsidRPr="00B10F87" w14:paraId="6D49D823" w14:textId="77777777" w:rsidTr="00625260">
        <w:tc>
          <w:tcPr>
            <w:tcW w:w="5000" w:type="pct"/>
            <w:tcBorders>
              <w:top w:val="outset" w:sz="6" w:space="0" w:color="414142"/>
              <w:left w:val="outset" w:sz="6" w:space="0" w:color="414142"/>
              <w:bottom w:val="outset" w:sz="6" w:space="0" w:color="414142"/>
              <w:right w:val="outset" w:sz="6" w:space="0" w:color="414142"/>
            </w:tcBorders>
            <w:hideMark/>
          </w:tcPr>
          <w:p w14:paraId="7537808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xml:space="preserve">Obesity is a global public health problem and a significant factor contributing to </w:t>
            </w:r>
            <w:r>
              <w:rPr>
                <w:rFonts w:ascii="Times New Roman" w:hAnsi="Times New Roman"/>
                <w:b/>
                <w:bCs/>
              </w:rPr>
              <w:t>disability and mortality</w:t>
            </w:r>
            <w:r>
              <w:rPr>
                <w:rFonts w:ascii="Times New Roman" w:hAnsi="Times New Roman"/>
              </w:rPr>
              <w:t xml:space="preserve">. According to the OECD, by 2050, overweight and obesity-related diseases are expected to reduce life expectancy in the member countries by an average of three years (and even more in Latvia). At the same time, Latvia has been identified as one of those countries where the financial consequences arising from the problems caused by overweight and obesity will result in the </w:t>
            </w:r>
            <w:r>
              <w:rPr>
                <w:rFonts w:ascii="Times New Roman" w:hAnsi="Times New Roman"/>
                <w:b/>
                <w:bCs/>
              </w:rPr>
              <w:t>greatest decrease in GDP – over 4 %</w:t>
            </w:r>
            <w:r>
              <w:rPr>
                <w:rFonts w:ascii="Times New Roman" w:hAnsi="Times New Roman"/>
              </w:rPr>
              <w:t xml:space="preserve">. It is also expected that around </w:t>
            </w:r>
            <w:r>
              <w:rPr>
                <w:rFonts w:ascii="Times New Roman" w:hAnsi="Times New Roman"/>
                <w:b/>
                <w:bCs/>
              </w:rPr>
              <w:t>6 % of the total State funding allocated to the health sector</w:t>
            </w:r>
            <w:r>
              <w:rPr>
                <w:rFonts w:ascii="Times New Roman" w:hAnsi="Times New Roman"/>
              </w:rPr>
              <w:t xml:space="preserve"> will be spent on treating diseases associated with excess body weight.</w:t>
            </w:r>
            <w:r>
              <w:rPr>
                <w:rFonts w:ascii="Times New Roman" w:hAnsi="Times New Roman"/>
                <w:vertAlign w:val="superscript"/>
              </w:rPr>
              <w:t>9</w:t>
            </w:r>
          </w:p>
        </w:tc>
      </w:tr>
    </w:tbl>
    <w:p w14:paraId="05492EE7" w14:textId="77777777" w:rsidR="00AF6B0A" w:rsidRDefault="00AF6B0A" w:rsidP="00122210">
      <w:pPr>
        <w:spacing w:after="0" w:line="240" w:lineRule="auto"/>
        <w:jc w:val="both"/>
        <w:rPr>
          <w:rFonts w:ascii="Times New Roman" w:hAnsi="Times New Roman"/>
          <w:noProof/>
          <w:kern w:val="0"/>
          <w:lang w:val="lv-LV"/>
        </w:rPr>
      </w:pPr>
    </w:p>
    <w:p w14:paraId="44F5998C" w14:textId="3E5CB2EE" w:rsidR="00136A25" w:rsidRDefault="00136A25" w:rsidP="00625260">
      <w:pPr>
        <w:spacing w:after="0" w:line="240" w:lineRule="auto"/>
        <w:ind w:firstLine="709"/>
        <w:jc w:val="both"/>
        <w:rPr>
          <w:rFonts w:ascii="Times New Roman" w:hAnsi="Times New Roman"/>
          <w:noProof/>
          <w:kern w:val="0"/>
          <w:vertAlign w:val="superscript"/>
        </w:rPr>
      </w:pPr>
      <w:r>
        <w:rPr>
          <w:rFonts w:ascii="Times New Roman" w:hAnsi="Times New Roman"/>
        </w:rPr>
        <w:t>According to OECD estimates, for each USD 1 invested in the prevention of obesity, an economic benefit of approximately USD 5.6 will be generated. The most significant economic benefit and therefore the most rapidly visible result are achieved through restrictions on unhealthy food marketing,</w:t>
      </w:r>
      <w:r>
        <w:rPr>
          <w:rFonts w:ascii="Times New Roman" w:hAnsi="Times New Roman"/>
          <w:vertAlign w:val="superscript"/>
        </w:rPr>
        <w:t>10</w:t>
      </w:r>
      <w:r>
        <w:rPr>
          <w:rFonts w:ascii="Times New Roman" w:hAnsi="Times New Roman"/>
        </w:rPr>
        <w:t xml:space="preserve"> menu labelling in catering establishments, public awareness campaigns, and the promotion of physical activity at the workplace.</w:t>
      </w:r>
      <w:r>
        <w:rPr>
          <w:rFonts w:ascii="Times New Roman" w:hAnsi="Times New Roman"/>
          <w:vertAlign w:val="superscript"/>
        </w:rPr>
        <w:t>11</w:t>
      </w:r>
    </w:p>
    <w:p w14:paraId="7BDE789B" w14:textId="77777777" w:rsidR="00625260" w:rsidRPr="00B10F87" w:rsidRDefault="00625260" w:rsidP="00625260">
      <w:pPr>
        <w:spacing w:after="0" w:line="240" w:lineRule="auto"/>
        <w:ind w:firstLine="709"/>
        <w:jc w:val="both"/>
        <w:rPr>
          <w:rFonts w:ascii="Times New Roman" w:hAnsi="Times New Roman"/>
          <w:noProof/>
          <w:kern w:val="0"/>
          <w:lang w:val="lv-LV"/>
        </w:rPr>
      </w:pPr>
    </w:p>
    <w:p w14:paraId="1D1059D1" w14:textId="77777777" w:rsidR="00136A25" w:rsidRPr="00B10F87" w:rsidRDefault="00136A25" w:rsidP="00625260">
      <w:pPr>
        <w:spacing w:after="0" w:line="240" w:lineRule="auto"/>
        <w:ind w:firstLine="709"/>
        <w:jc w:val="both"/>
        <w:rPr>
          <w:rFonts w:ascii="Times New Roman" w:hAnsi="Times New Roman"/>
          <w:noProof/>
          <w:kern w:val="0"/>
        </w:rPr>
      </w:pPr>
      <w:r>
        <w:rPr>
          <w:rFonts w:ascii="Times New Roman" w:hAnsi="Times New Roman"/>
        </w:rPr>
        <w:t xml:space="preserve">In order to improve the economic growth rate of Latvia from the perspective of human capital component, it is important to reduce premature mortality among the working-age population, and also to improve the health of the working population. The likelihood of dying in the most economically active age group (30 to 45 years) in Latvia is nearly four times higher than in countries like Finland, Sweden, or Denmark. Premature mortality among the Latvian population results from an interaction of several factors, such as relatively low healthcare funding, inefficient use of that funding, and also unhealthy lifestyle. Although not all of those factors can be addressed at once, reducing age-specific mortality rates in each cohort to the average level of more developed EU countries (Sweden, Finland, Ireland, Belgium, the Netherlands, Denmark) would </w:t>
      </w:r>
      <w:r>
        <w:rPr>
          <w:rFonts w:ascii="Times New Roman" w:hAnsi="Times New Roman"/>
          <w:b/>
          <w:bCs/>
        </w:rPr>
        <w:t>allow Latvia to save more than four thousand lives each year</w:t>
      </w:r>
      <w:r>
        <w:rPr>
          <w:rFonts w:ascii="Times New Roman" w:hAnsi="Times New Roman"/>
        </w:rPr>
        <w:t>.</w:t>
      </w:r>
      <w:r>
        <w:rPr>
          <w:rFonts w:ascii="Times New Roman" w:hAnsi="Times New Roman"/>
          <w:b/>
        </w:rPr>
        <w:t> </w:t>
      </w:r>
      <w:r>
        <w:rPr>
          <w:rFonts w:ascii="Times New Roman" w:hAnsi="Times New Roman"/>
        </w:rPr>
        <w:t>Applying the number of the lives saved to the age-specific employment rate results in around 3000 additional employees per year. Such a large number of additional employees could accelerate the annual GDP growth rate of Latvia.</w:t>
      </w:r>
    </w:p>
    <w:p w14:paraId="5CBFE4A6" w14:textId="77777777" w:rsidR="00625260" w:rsidRDefault="00625260" w:rsidP="00122210">
      <w:pPr>
        <w:spacing w:after="0" w:line="240" w:lineRule="auto"/>
        <w:jc w:val="both"/>
        <w:rPr>
          <w:rFonts w:ascii="Times New Roman" w:hAnsi="Times New Roman"/>
          <w:noProof/>
          <w:kern w:val="0"/>
          <w:lang w:val="lv-LV"/>
        </w:rPr>
      </w:pPr>
    </w:p>
    <w:p w14:paraId="1752651E" w14:textId="20C5BBBC" w:rsidR="00136A25" w:rsidRPr="00B10F87" w:rsidRDefault="00136A25" w:rsidP="007C68C5">
      <w:pPr>
        <w:spacing w:after="0" w:line="240" w:lineRule="auto"/>
        <w:ind w:firstLine="709"/>
        <w:jc w:val="both"/>
        <w:rPr>
          <w:rFonts w:ascii="Times New Roman" w:hAnsi="Times New Roman"/>
          <w:noProof/>
          <w:kern w:val="0"/>
        </w:rPr>
      </w:pPr>
      <w:r>
        <w:rPr>
          <w:rFonts w:ascii="Times New Roman" w:hAnsi="Times New Roman"/>
        </w:rPr>
        <w:t>The most significant causes of overweight and obesity include:</w:t>
      </w:r>
    </w:p>
    <w:p w14:paraId="4EFE0098" w14:textId="77777777" w:rsidR="00136A25" w:rsidRPr="00B10F87" w:rsidRDefault="00136A25" w:rsidP="007C68C5">
      <w:pPr>
        <w:spacing w:after="0" w:line="240" w:lineRule="auto"/>
        <w:ind w:firstLine="709"/>
        <w:jc w:val="both"/>
        <w:rPr>
          <w:rFonts w:ascii="Times New Roman" w:hAnsi="Times New Roman"/>
          <w:noProof/>
          <w:kern w:val="0"/>
        </w:rPr>
      </w:pPr>
      <w:r>
        <w:rPr>
          <w:rFonts w:ascii="Times New Roman" w:hAnsi="Times New Roman"/>
        </w:rPr>
        <w:t xml:space="preserve">• </w:t>
      </w:r>
      <w:r>
        <w:rPr>
          <w:rFonts w:ascii="Times New Roman" w:hAnsi="Times New Roman"/>
          <w:b/>
          <w:bCs/>
        </w:rPr>
        <w:t>unhealthy dietary habits</w:t>
      </w:r>
      <w:r>
        <w:rPr>
          <w:rFonts w:ascii="Times New Roman" w:hAnsi="Times New Roman"/>
        </w:rPr>
        <w:t xml:space="preserve"> (insufficient consumption of fruits and vegetables, excessive consumption of sugar, fatty and energy-dense food, replacement of water with sweetened beverages on a daily basis);</w:t>
      </w:r>
    </w:p>
    <w:p w14:paraId="0169B91D" w14:textId="77777777" w:rsidR="00136A25" w:rsidRPr="00B10F87" w:rsidRDefault="00136A25" w:rsidP="007C68C5">
      <w:pPr>
        <w:spacing w:after="0" w:line="240" w:lineRule="auto"/>
        <w:ind w:firstLine="709"/>
        <w:jc w:val="both"/>
        <w:rPr>
          <w:rFonts w:ascii="Times New Roman" w:hAnsi="Times New Roman"/>
          <w:noProof/>
          <w:kern w:val="0"/>
        </w:rPr>
      </w:pPr>
      <w:r>
        <w:rPr>
          <w:rFonts w:ascii="Times New Roman" w:hAnsi="Times New Roman"/>
        </w:rPr>
        <w:lastRenderedPageBreak/>
        <w:t xml:space="preserve">• </w:t>
      </w:r>
      <w:r>
        <w:rPr>
          <w:rFonts w:ascii="Times New Roman" w:hAnsi="Times New Roman"/>
          <w:b/>
        </w:rPr>
        <w:t>sedentary lifestyle;</w:t>
      </w:r>
    </w:p>
    <w:p w14:paraId="4FEF449B" w14:textId="77777777" w:rsidR="00136A25" w:rsidRPr="00B10F87" w:rsidRDefault="00136A25" w:rsidP="007C68C5">
      <w:pPr>
        <w:spacing w:after="0" w:line="240" w:lineRule="auto"/>
        <w:ind w:firstLine="709"/>
        <w:jc w:val="both"/>
        <w:rPr>
          <w:rFonts w:ascii="Times New Roman" w:hAnsi="Times New Roman"/>
          <w:noProof/>
          <w:kern w:val="0"/>
        </w:rPr>
      </w:pPr>
      <w:r>
        <w:rPr>
          <w:rFonts w:ascii="Times New Roman" w:hAnsi="Times New Roman"/>
        </w:rPr>
        <w:t>• mental health disorders, including insufficient sleep;</w:t>
      </w:r>
    </w:p>
    <w:p w14:paraId="2927DB8F" w14:textId="77777777" w:rsidR="00136A25" w:rsidRPr="00B10F87" w:rsidRDefault="00136A25" w:rsidP="007C68C5">
      <w:pPr>
        <w:spacing w:after="0" w:line="240" w:lineRule="auto"/>
        <w:ind w:firstLine="709"/>
        <w:jc w:val="both"/>
        <w:rPr>
          <w:rFonts w:ascii="Times New Roman" w:hAnsi="Times New Roman"/>
          <w:noProof/>
          <w:kern w:val="0"/>
        </w:rPr>
      </w:pPr>
      <w:r>
        <w:rPr>
          <w:rFonts w:ascii="Times New Roman" w:hAnsi="Times New Roman"/>
        </w:rPr>
        <w:t>• environmental and societal impacts, including the socio-economic status, weight stigma and its negative consequences.</w:t>
      </w:r>
    </w:p>
    <w:p w14:paraId="791EB571" w14:textId="77777777" w:rsidR="00136A25" w:rsidRDefault="00136A25" w:rsidP="007C68C5">
      <w:pPr>
        <w:spacing w:after="0" w:line="240" w:lineRule="auto"/>
        <w:ind w:firstLine="709"/>
        <w:jc w:val="both"/>
        <w:rPr>
          <w:rFonts w:ascii="Times New Roman" w:hAnsi="Times New Roman"/>
          <w:noProof/>
          <w:kern w:val="0"/>
        </w:rPr>
      </w:pPr>
      <w:r>
        <w:rPr>
          <w:rFonts w:ascii="Times New Roman" w:hAnsi="Times New Roman"/>
        </w:rPr>
        <w:t>In order to maintain a healthy body weight, dietary habits must be balanced with daily physical activity;</w:t>
      </w:r>
      <w:r>
        <w:rPr>
          <w:rFonts w:ascii="Times New Roman" w:hAnsi="Times New Roman"/>
          <w:vertAlign w:val="superscript"/>
        </w:rPr>
        <w:t>12</w:t>
      </w:r>
      <w:r>
        <w:rPr>
          <w:rFonts w:ascii="Times New Roman" w:hAnsi="Times New Roman"/>
        </w:rPr>
        <w:t xml:space="preserve"> therefore, it is important to develop the skills of the population regarding healthy diet and proper physical activity and to reduce the impact of stigmatising factors and obstacles caused by them.</w:t>
      </w:r>
    </w:p>
    <w:p w14:paraId="7147AC47" w14:textId="77777777" w:rsidR="00625260" w:rsidRPr="00B10F87" w:rsidRDefault="00625260" w:rsidP="00122210">
      <w:pPr>
        <w:spacing w:after="0" w:line="240" w:lineRule="auto"/>
        <w:jc w:val="both"/>
        <w:rPr>
          <w:rFonts w:ascii="Times New Roman" w:hAnsi="Times New Roman"/>
          <w:noProof/>
          <w:kern w:val="0"/>
          <w:lang w:val="lv-LV"/>
        </w:rPr>
      </w:pPr>
    </w:p>
    <w:p w14:paraId="2A23AE9B" w14:textId="77777777" w:rsidR="00136A25" w:rsidRDefault="00136A25" w:rsidP="005D1633">
      <w:pPr>
        <w:spacing w:after="0" w:line="240" w:lineRule="auto"/>
        <w:ind w:firstLine="709"/>
        <w:jc w:val="both"/>
        <w:rPr>
          <w:rFonts w:ascii="Times New Roman" w:hAnsi="Times New Roman"/>
          <w:noProof/>
          <w:kern w:val="0"/>
          <w:vertAlign w:val="superscript"/>
        </w:rPr>
      </w:pPr>
      <w:r>
        <w:rPr>
          <w:rFonts w:ascii="Times New Roman" w:hAnsi="Times New Roman"/>
        </w:rPr>
        <w:t xml:space="preserve">Nearly </w:t>
      </w:r>
      <w:r>
        <w:rPr>
          <w:rFonts w:ascii="Times New Roman" w:hAnsi="Times New Roman"/>
          <w:b/>
          <w:bCs/>
        </w:rPr>
        <w:t>one quarter of deaths in Latvia is attributable to unhealthy dietary habits</w:t>
      </w:r>
      <w:r>
        <w:rPr>
          <w:rFonts w:ascii="Times New Roman" w:hAnsi="Times New Roman"/>
        </w:rPr>
        <w:t xml:space="preserve"> (24 %), followed by risks associated with tobacco and alcohol consumption, air pollution, and sedentary lifestyle (4 %).</w:t>
      </w:r>
      <w:r>
        <w:rPr>
          <w:rFonts w:ascii="Times New Roman" w:hAnsi="Times New Roman"/>
          <w:vertAlign w:val="superscript"/>
        </w:rPr>
        <w:t>13</w:t>
      </w:r>
      <w:r>
        <w:rPr>
          <w:rFonts w:ascii="Times New Roman" w:hAnsi="Times New Roman"/>
        </w:rPr>
        <w:t xml:space="preserve"> In 2023, obesity was identified as the underlying cause of death in 16 cases, while in 206 cases, obesity was associated with death but was not identified as the underlying cause.</w:t>
      </w:r>
      <w:r>
        <w:rPr>
          <w:rFonts w:ascii="Times New Roman" w:hAnsi="Times New Roman"/>
          <w:vertAlign w:val="superscript"/>
        </w:rPr>
        <w:t>14</w:t>
      </w:r>
    </w:p>
    <w:p w14:paraId="55CF65DB" w14:textId="77777777" w:rsidR="00B9104E" w:rsidRPr="00B10F87" w:rsidRDefault="00B9104E" w:rsidP="00122210">
      <w:pPr>
        <w:spacing w:after="0" w:line="240" w:lineRule="auto"/>
        <w:jc w:val="both"/>
        <w:rPr>
          <w:rFonts w:ascii="Times New Roman" w:hAnsi="Times New Roman"/>
          <w:noProof/>
          <w:kern w:val="0"/>
          <w:lang w:val="lv-LV"/>
        </w:rPr>
      </w:pPr>
    </w:p>
    <w:p w14:paraId="35EE4235" w14:textId="77777777" w:rsidR="00136A25" w:rsidRDefault="00136A25" w:rsidP="0049528D">
      <w:pPr>
        <w:spacing w:after="0" w:line="240" w:lineRule="auto"/>
        <w:ind w:firstLine="709"/>
        <w:jc w:val="both"/>
        <w:rPr>
          <w:rFonts w:ascii="Times New Roman" w:hAnsi="Times New Roman"/>
          <w:noProof/>
          <w:kern w:val="0"/>
        </w:rPr>
      </w:pPr>
      <w:r>
        <w:rPr>
          <w:rFonts w:ascii="Times New Roman" w:hAnsi="Times New Roman"/>
          <w:b/>
          <w:bCs/>
        </w:rPr>
        <w:t>Physically inactive individuals have a 20–30 % higher risk of death</w:t>
      </w:r>
      <w:r>
        <w:rPr>
          <w:rFonts w:ascii="Times New Roman" w:hAnsi="Times New Roman"/>
        </w:rPr>
        <w:t xml:space="preserve"> compared to individuals who engage in sufficient physical activity.</w:t>
      </w:r>
      <w:r>
        <w:rPr>
          <w:rFonts w:ascii="Times New Roman" w:hAnsi="Times New Roman"/>
          <w:vertAlign w:val="superscript"/>
        </w:rPr>
        <w:t>15</w:t>
      </w:r>
      <w:r>
        <w:rPr>
          <w:rFonts w:ascii="Times New Roman" w:hAnsi="Times New Roman"/>
        </w:rPr>
        <w:t xml:space="preserve"> Increasing physical activity among the Latvian population would have several positive effects. Firstly, it would significantly contribute to public health, reducing healthcare costs, shaping a healthier and more resilient society, improving mental health and social contacts, and also supporting the sports sector. At the same time, these policies can have a positive environmental impact by promoting active transport, reducing emissions, and increasing green space.</w:t>
      </w:r>
      <w:r>
        <w:rPr>
          <w:rFonts w:ascii="Times New Roman" w:hAnsi="Times New Roman"/>
          <w:vertAlign w:val="superscript"/>
        </w:rPr>
        <w:t>16</w:t>
      </w:r>
    </w:p>
    <w:p w14:paraId="184AAB7B" w14:textId="77777777" w:rsidR="005D1633" w:rsidRPr="00B10F87" w:rsidRDefault="005D1633" w:rsidP="0049528D">
      <w:pPr>
        <w:spacing w:after="0" w:line="240" w:lineRule="auto"/>
        <w:ind w:firstLine="709"/>
        <w:jc w:val="both"/>
        <w:rPr>
          <w:rFonts w:ascii="Times New Roman" w:hAnsi="Times New Roman"/>
          <w:noProof/>
          <w:kern w:val="0"/>
          <w:lang w:val="lv-LV"/>
        </w:rPr>
      </w:pPr>
    </w:p>
    <w:p w14:paraId="106EB330" w14:textId="77777777"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 xml:space="preserve">However, it is important to emphasize that obesity is caused by a </w:t>
      </w:r>
      <w:r>
        <w:rPr>
          <w:rFonts w:ascii="Times New Roman" w:hAnsi="Times New Roman"/>
          <w:b/>
          <w:bCs/>
        </w:rPr>
        <w:t>combination of several risk factors</w:t>
      </w:r>
      <w:r>
        <w:rPr>
          <w:rFonts w:ascii="Times New Roman" w:hAnsi="Times New Roman"/>
        </w:rPr>
        <w:t>, including obesogenic environments, psycho-social factors, and genetics; however, in a subgroup of patients, single major etiological factors can be identified, e.g., medications, diseases, immobilisation, genetic syndromes.</w:t>
      </w:r>
      <w:r>
        <w:rPr>
          <w:rFonts w:ascii="Times New Roman" w:hAnsi="Times New Roman"/>
          <w:vertAlign w:val="superscript"/>
        </w:rPr>
        <w:t>17</w:t>
      </w:r>
    </w:p>
    <w:p w14:paraId="5F0AF402" w14:textId="77777777" w:rsidR="005D1633" w:rsidRDefault="005D1633" w:rsidP="0049528D">
      <w:pPr>
        <w:spacing w:after="0" w:line="240" w:lineRule="auto"/>
        <w:ind w:firstLine="709"/>
        <w:jc w:val="both"/>
        <w:rPr>
          <w:rFonts w:ascii="Times New Roman" w:hAnsi="Times New Roman"/>
          <w:noProof/>
          <w:kern w:val="0"/>
          <w:lang w:val="lv-LV"/>
        </w:rPr>
      </w:pPr>
    </w:p>
    <w:p w14:paraId="01DCFA4E" w14:textId="03A15372" w:rsidR="00136A25" w:rsidRDefault="00136A25" w:rsidP="0049528D">
      <w:pPr>
        <w:spacing w:after="0" w:line="240" w:lineRule="auto"/>
        <w:ind w:firstLine="709"/>
        <w:jc w:val="both"/>
        <w:rPr>
          <w:rFonts w:ascii="Times New Roman" w:hAnsi="Times New Roman"/>
          <w:noProof/>
          <w:kern w:val="0"/>
        </w:rPr>
      </w:pPr>
      <w:r>
        <w:rPr>
          <w:rFonts w:ascii="Times New Roman" w:hAnsi="Times New Roman"/>
        </w:rPr>
        <w:t xml:space="preserve">Given that obesity is a multifactorial disease mostly influenced by the environment where an individual lives, </w:t>
      </w:r>
      <w:r>
        <w:rPr>
          <w:rFonts w:ascii="Times New Roman" w:hAnsi="Times New Roman"/>
          <w:b/>
          <w:bCs/>
        </w:rPr>
        <w:t>intersectoral cooperation is crucial in addressing this issue</w:t>
      </w:r>
      <w:r>
        <w:rPr>
          <w:rFonts w:ascii="Times New Roman" w:hAnsi="Times New Roman"/>
        </w:rPr>
        <w:t>. Local governments, educational institutions, NGOs, employers, food producers and caterers, providers of physical activity services, and other stakeholders play a special role in promoting the health of the population. Various public authorities and NGOs are already implementing measures for limiting the prevalence of overweight and obesity; however, despite previous efforts in health promotion and healthcare, the prevalence of overweight and obesity in Latvia continues to increase, and the lifestyle of the Latvian population overall can be described as sedentary.</w:t>
      </w:r>
    </w:p>
    <w:p w14:paraId="217D244C" w14:textId="77777777" w:rsidR="0049528D" w:rsidRPr="00B10F87" w:rsidRDefault="0049528D" w:rsidP="0049528D">
      <w:pPr>
        <w:spacing w:after="0" w:line="240" w:lineRule="auto"/>
        <w:ind w:firstLine="709"/>
        <w:jc w:val="both"/>
        <w:rPr>
          <w:rFonts w:ascii="Times New Roman" w:hAnsi="Times New Roman"/>
          <w:noProof/>
          <w:kern w:val="0"/>
          <w:lang w:val="lv-LV"/>
        </w:rPr>
      </w:pPr>
    </w:p>
    <w:p w14:paraId="157B28DA" w14:textId="77777777" w:rsidR="00136A25" w:rsidRDefault="00136A25" w:rsidP="0049528D">
      <w:pPr>
        <w:spacing w:after="0" w:line="240" w:lineRule="auto"/>
        <w:ind w:firstLine="709"/>
        <w:jc w:val="both"/>
        <w:rPr>
          <w:rFonts w:ascii="Times New Roman" w:hAnsi="Times New Roman"/>
          <w:noProof/>
          <w:kern w:val="0"/>
        </w:rPr>
      </w:pPr>
      <w:r>
        <w:rPr>
          <w:rFonts w:ascii="Times New Roman" w:hAnsi="Times New Roman"/>
        </w:rPr>
        <w:t>The long-term vision is to reduce the prevalence of overweight and obesity in adults to 45.1 % by 2060 (currently 59.4 %). The overarching goal is to increase healthy life expectancy to 72.8 years (currently the lowest in the EU – 54.2 years),</w:t>
      </w:r>
      <w:r>
        <w:rPr>
          <w:rFonts w:ascii="Times New Roman" w:hAnsi="Times New Roman"/>
          <w:vertAlign w:val="superscript"/>
        </w:rPr>
        <w:t>18</w:t>
      </w:r>
      <w:r>
        <w:rPr>
          <w:rFonts w:ascii="Times New Roman" w:hAnsi="Times New Roman"/>
        </w:rPr>
        <w:t xml:space="preserve"> ensuring that every Latvian resident has knowledge, skills, opportunities, motivation, and support to maintain and improve their own health and the health of their family members. A healthy population is </w:t>
      </w:r>
      <w:r>
        <w:rPr>
          <w:rFonts w:ascii="Times New Roman" w:hAnsi="Times New Roman"/>
          <w:b/>
          <w:bCs/>
        </w:rPr>
        <w:t>able to work, is socially and economically active</w:t>
      </w:r>
      <w:r>
        <w:rPr>
          <w:rFonts w:ascii="Times New Roman" w:hAnsi="Times New Roman"/>
        </w:rPr>
        <w:t xml:space="preserve">, and contributes to the </w:t>
      </w:r>
      <w:r>
        <w:rPr>
          <w:rFonts w:ascii="Times New Roman" w:hAnsi="Times New Roman"/>
          <w:b/>
          <w:bCs/>
        </w:rPr>
        <w:t>development</w:t>
      </w:r>
      <w:r>
        <w:rPr>
          <w:rFonts w:ascii="Times New Roman" w:hAnsi="Times New Roman"/>
        </w:rPr>
        <w:t xml:space="preserve"> and promotion of </w:t>
      </w:r>
      <w:r>
        <w:rPr>
          <w:rFonts w:ascii="Times New Roman" w:hAnsi="Times New Roman"/>
          <w:b/>
          <w:bCs/>
        </w:rPr>
        <w:t>well-being</w:t>
      </w:r>
      <w:r>
        <w:rPr>
          <w:rFonts w:ascii="Times New Roman" w:hAnsi="Times New Roman"/>
        </w:rPr>
        <w:t xml:space="preserve"> of the society. In order to achieve the overarching goal, it is necessary to ensure that every Latvian resident has healthy dietary habits, and also engages in sufficient physical activity.</w:t>
      </w:r>
    </w:p>
    <w:p w14:paraId="157F2995" w14:textId="77777777" w:rsidR="0049528D" w:rsidRPr="00B10F87" w:rsidRDefault="0049528D" w:rsidP="0049528D">
      <w:pPr>
        <w:spacing w:after="0" w:line="240" w:lineRule="auto"/>
        <w:ind w:firstLine="709"/>
        <w:jc w:val="both"/>
        <w:rPr>
          <w:rFonts w:ascii="Times New Roman" w:hAnsi="Times New Roman"/>
          <w:noProof/>
          <w:kern w:val="0"/>
          <w:lang w:val="lv-LV"/>
        </w:rPr>
      </w:pPr>
    </w:p>
    <w:p w14:paraId="30DAF49C" w14:textId="77777777"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 xml:space="preserve">To progress towards the objective and to promote public health, and also to address the issues related to overweight and obesity, it is necessary to develop and implement a cross-sectoral </w:t>
      </w:r>
      <w:r>
        <w:rPr>
          <w:rFonts w:ascii="Times New Roman" w:hAnsi="Times New Roman"/>
          <w:b/>
          <w:bCs/>
        </w:rPr>
        <w:t>action plan for the reduction of the increasing prevalence of overweight and obesity 2025–2029</w:t>
      </w:r>
      <w:r>
        <w:rPr>
          <w:rFonts w:ascii="Times New Roman" w:hAnsi="Times New Roman"/>
        </w:rPr>
        <w:t xml:space="preserve"> (hereinafter – the Plan). The development of the Plan is provided for in the </w:t>
      </w:r>
      <w:r>
        <w:rPr>
          <w:rFonts w:ascii="Times New Roman" w:hAnsi="Times New Roman"/>
        </w:rPr>
        <w:lastRenderedPageBreak/>
        <w:t>Government Action Plan for the Implementation of the Declaration on the Intended Activities of the Cabinet led by Evika Siliņa</w:t>
      </w:r>
      <w:r>
        <w:rPr>
          <w:rFonts w:ascii="Times New Roman" w:hAnsi="Times New Roman"/>
          <w:vertAlign w:val="superscript"/>
        </w:rPr>
        <w:t>19</w:t>
      </w:r>
      <w:r>
        <w:rPr>
          <w:rFonts w:ascii="Times New Roman" w:hAnsi="Times New Roman"/>
        </w:rPr>
        <w:t xml:space="preserve"> (measure 15.1). The implementation period of the Plan has been selected, taking into account the alignment with the attraction of the European Union funds for the implementation of health promotion measures.</w:t>
      </w:r>
    </w:p>
    <w:p w14:paraId="06370320" w14:textId="77777777" w:rsidR="0049528D" w:rsidRDefault="0049528D" w:rsidP="0049528D">
      <w:pPr>
        <w:spacing w:after="0" w:line="240" w:lineRule="auto"/>
        <w:ind w:firstLine="709"/>
        <w:jc w:val="both"/>
        <w:rPr>
          <w:rFonts w:ascii="Times New Roman" w:hAnsi="Times New Roman"/>
          <w:noProof/>
          <w:kern w:val="0"/>
          <w:lang w:val="lv-LV"/>
        </w:rPr>
      </w:pPr>
    </w:p>
    <w:p w14:paraId="5AE6E51A" w14:textId="4A6B01F5" w:rsidR="00136A25" w:rsidRDefault="00136A25" w:rsidP="0049528D">
      <w:pPr>
        <w:spacing w:after="0" w:line="240" w:lineRule="auto"/>
        <w:ind w:firstLine="709"/>
        <w:jc w:val="both"/>
        <w:rPr>
          <w:rFonts w:ascii="Times New Roman" w:hAnsi="Times New Roman"/>
          <w:noProof/>
          <w:kern w:val="0"/>
        </w:rPr>
      </w:pPr>
      <w:r>
        <w:rPr>
          <w:rFonts w:ascii="Times New Roman" w:hAnsi="Times New Roman"/>
        </w:rPr>
        <w:t xml:space="preserve">A substantial reduction of the prevalence of excess body weight requires the implementation of a long-term strategy for health promotion and disease prevention aimed at </w:t>
      </w:r>
      <w:r>
        <w:rPr>
          <w:rFonts w:ascii="Times New Roman" w:hAnsi="Times New Roman"/>
          <w:b/>
          <w:bCs/>
        </w:rPr>
        <w:t>changing health-related habits</w:t>
      </w:r>
      <w:r>
        <w:rPr>
          <w:rFonts w:ascii="Times New Roman" w:hAnsi="Times New Roman"/>
        </w:rPr>
        <w:t xml:space="preserve"> among the Latvian population, preventing overweight and obesity, and ensuring patient support measures.</w:t>
      </w:r>
    </w:p>
    <w:p w14:paraId="46D33C6A" w14:textId="77777777" w:rsidR="0049528D" w:rsidRPr="00B10F87" w:rsidRDefault="0049528D"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36A25" w:rsidRPr="00B10F87" w14:paraId="27950445" w14:textId="77777777" w:rsidTr="0049528D">
        <w:tc>
          <w:tcPr>
            <w:tcW w:w="5000" w:type="pct"/>
            <w:tcBorders>
              <w:top w:val="outset" w:sz="6" w:space="0" w:color="414142"/>
              <w:left w:val="outset" w:sz="6" w:space="0" w:color="414142"/>
              <w:bottom w:val="outset" w:sz="6" w:space="0" w:color="414142"/>
              <w:right w:val="outset" w:sz="6" w:space="0" w:color="414142"/>
            </w:tcBorders>
            <w:hideMark/>
          </w:tcPr>
          <w:p w14:paraId="66F00DE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The strategic framework of the Plan was developed, taking into account the following principles:</w:t>
            </w:r>
          </w:p>
          <w:p w14:paraId="22515F1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life-course approach – specific health promotion and disease prevention measures for target groups from pregnancy to old age;</w:t>
            </w:r>
          </w:p>
          <w:p w14:paraId="26BA7E0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interventions at both societal and individual levels;</w:t>
            </w:r>
          </w:p>
          <w:p w14:paraId="5B80B51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social change theory, including:</w:t>
            </w:r>
          </w:p>
          <w:p w14:paraId="73B1280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o improvement of knowledge and skills;</w:t>
            </w:r>
          </w:p>
          <w:p w14:paraId="6E5A40A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o support and strengthening of motivation;</w:t>
            </w:r>
          </w:p>
          <w:p w14:paraId="176E4C7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o an environment that makes the change of habits easy and convenient;</w:t>
            </w:r>
            <w:r>
              <w:rPr>
                <w:rFonts w:ascii="Times New Roman" w:hAnsi="Times New Roman"/>
                <w:vertAlign w:val="superscript"/>
              </w:rPr>
              <w:t>20,21</w:t>
            </w:r>
          </w:p>
          <w:p w14:paraId="7D781AF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three levels of prevention</w:t>
            </w:r>
            <w:r>
              <w:rPr>
                <w:rFonts w:ascii="Times New Roman" w:hAnsi="Times New Roman"/>
                <w:vertAlign w:val="superscript"/>
              </w:rPr>
              <w:t>22,23</w:t>
            </w:r>
            <w:r>
              <w:rPr>
                <w:rFonts w:ascii="Times New Roman" w:hAnsi="Times New Roman"/>
              </w:rPr>
              <w:t xml:space="preserve"> based on the “traffic light principle”:</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04"/>
              <w:gridCol w:w="3202"/>
              <w:gridCol w:w="2873"/>
            </w:tblGrid>
            <w:tr w:rsidR="00136A25" w:rsidRPr="00B10F87" w14:paraId="71A1BBA5" w14:textId="77777777" w:rsidTr="00335C97">
              <w:tc>
                <w:tcPr>
                  <w:tcW w:w="0" w:type="auto"/>
                  <w:tcBorders>
                    <w:top w:val="outset" w:sz="6" w:space="0" w:color="414142"/>
                    <w:left w:val="outset" w:sz="6" w:space="0" w:color="414142"/>
                    <w:bottom w:val="outset" w:sz="6" w:space="0" w:color="414142"/>
                    <w:right w:val="outset" w:sz="6" w:space="0" w:color="414142"/>
                  </w:tcBorders>
                  <w:shd w:val="clear" w:color="auto" w:fill="00CC00"/>
                  <w:vAlign w:val="center"/>
                  <w:hideMark/>
                </w:tcPr>
                <w:p w14:paraId="03AF563E" w14:textId="77777777" w:rsidR="00136A25" w:rsidRPr="00B10F87" w:rsidRDefault="00136A25" w:rsidP="00FB1843">
                  <w:pPr>
                    <w:spacing w:after="0" w:line="240" w:lineRule="auto"/>
                    <w:jc w:val="center"/>
                    <w:rPr>
                      <w:rFonts w:ascii="Times New Roman" w:hAnsi="Times New Roman"/>
                      <w:b/>
                      <w:bCs/>
                      <w:noProof/>
                      <w:kern w:val="0"/>
                    </w:rPr>
                  </w:pPr>
                  <w:r>
                    <w:rPr>
                      <w:rFonts w:ascii="Times New Roman" w:hAnsi="Times New Roman"/>
                      <w:b/>
                    </w:rPr>
                    <w:t>Primary prevention</w:t>
                  </w:r>
                </w:p>
              </w:tc>
              <w:tc>
                <w:tcPr>
                  <w:tcW w:w="0" w:type="auto"/>
                  <w:tcBorders>
                    <w:top w:val="outset" w:sz="6" w:space="0" w:color="414142"/>
                    <w:left w:val="outset" w:sz="6" w:space="0" w:color="414142"/>
                    <w:bottom w:val="outset" w:sz="6" w:space="0" w:color="414142"/>
                    <w:right w:val="outset" w:sz="6" w:space="0" w:color="414142"/>
                  </w:tcBorders>
                  <w:shd w:val="clear" w:color="auto" w:fill="FF9900"/>
                  <w:vAlign w:val="center"/>
                  <w:hideMark/>
                </w:tcPr>
                <w:p w14:paraId="788C3A33" w14:textId="77777777" w:rsidR="00136A25" w:rsidRPr="00B10F87" w:rsidRDefault="00136A25" w:rsidP="00FB1843">
                  <w:pPr>
                    <w:spacing w:after="0" w:line="240" w:lineRule="auto"/>
                    <w:jc w:val="center"/>
                    <w:rPr>
                      <w:rFonts w:ascii="Times New Roman" w:hAnsi="Times New Roman"/>
                      <w:b/>
                      <w:bCs/>
                      <w:noProof/>
                      <w:kern w:val="0"/>
                    </w:rPr>
                  </w:pPr>
                  <w:r>
                    <w:rPr>
                      <w:rFonts w:ascii="Times New Roman" w:hAnsi="Times New Roman"/>
                      <w:b/>
                    </w:rPr>
                    <w:t>Secondary prevention</w:t>
                  </w:r>
                </w:p>
              </w:tc>
              <w:tc>
                <w:tcPr>
                  <w:tcW w:w="0" w:type="auto"/>
                  <w:tcBorders>
                    <w:top w:val="outset" w:sz="6" w:space="0" w:color="414142"/>
                    <w:left w:val="outset" w:sz="6" w:space="0" w:color="414142"/>
                    <w:bottom w:val="outset" w:sz="6" w:space="0" w:color="414142"/>
                    <w:right w:val="outset" w:sz="6" w:space="0" w:color="414142"/>
                  </w:tcBorders>
                  <w:shd w:val="clear" w:color="auto" w:fill="FF3300"/>
                  <w:vAlign w:val="center"/>
                  <w:hideMark/>
                </w:tcPr>
                <w:p w14:paraId="36A1A0C7" w14:textId="77777777" w:rsidR="00136A25" w:rsidRPr="00B10F87" w:rsidRDefault="00136A25" w:rsidP="00FB1843">
                  <w:pPr>
                    <w:spacing w:after="0" w:line="240" w:lineRule="auto"/>
                    <w:jc w:val="center"/>
                    <w:rPr>
                      <w:rFonts w:ascii="Times New Roman" w:hAnsi="Times New Roman"/>
                      <w:b/>
                      <w:bCs/>
                      <w:noProof/>
                      <w:kern w:val="0"/>
                    </w:rPr>
                  </w:pPr>
                  <w:r>
                    <w:rPr>
                      <w:rFonts w:ascii="Times New Roman" w:hAnsi="Times New Roman"/>
                      <w:b/>
                    </w:rPr>
                    <w:t>Tertiary prevention</w:t>
                  </w:r>
                </w:p>
              </w:tc>
            </w:tr>
            <w:tr w:rsidR="00136A25" w:rsidRPr="00B10F87" w14:paraId="6E21630E" w14:textId="77777777" w:rsidTr="00335C97">
              <w:tc>
                <w:tcPr>
                  <w:tcW w:w="0" w:type="auto"/>
                  <w:tcBorders>
                    <w:top w:val="outset" w:sz="6" w:space="0" w:color="414142"/>
                    <w:left w:val="outset" w:sz="6" w:space="0" w:color="414142"/>
                    <w:bottom w:val="outset" w:sz="6" w:space="0" w:color="414142"/>
                    <w:right w:val="outset" w:sz="6" w:space="0" w:color="414142"/>
                  </w:tcBorders>
                  <w:shd w:val="clear" w:color="auto" w:fill="00CC00"/>
                  <w:vAlign w:val="center"/>
                  <w:hideMark/>
                </w:tcPr>
                <w:p w14:paraId="64A8A279" w14:textId="77777777" w:rsidR="00136A25" w:rsidRPr="00B10F87" w:rsidRDefault="00136A25" w:rsidP="00FB1843">
                  <w:pPr>
                    <w:spacing w:after="0" w:line="240" w:lineRule="auto"/>
                    <w:jc w:val="center"/>
                    <w:rPr>
                      <w:rFonts w:ascii="Times New Roman" w:hAnsi="Times New Roman"/>
                      <w:noProof/>
                      <w:kern w:val="0"/>
                    </w:rPr>
                  </w:pPr>
                  <w:r>
                    <w:rPr>
                      <w:rFonts w:ascii="Times New Roman" w:hAnsi="Times New Roman"/>
                    </w:rPr>
                    <w:t>Normal body weight</w:t>
                  </w:r>
                </w:p>
              </w:tc>
              <w:tc>
                <w:tcPr>
                  <w:tcW w:w="0" w:type="auto"/>
                  <w:tcBorders>
                    <w:top w:val="outset" w:sz="6" w:space="0" w:color="414142"/>
                    <w:left w:val="outset" w:sz="6" w:space="0" w:color="414142"/>
                    <w:bottom w:val="outset" w:sz="6" w:space="0" w:color="414142"/>
                    <w:right w:val="outset" w:sz="6" w:space="0" w:color="414142"/>
                  </w:tcBorders>
                  <w:shd w:val="clear" w:color="auto" w:fill="FF9900"/>
                  <w:vAlign w:val="center"/>
                  <w:hideMark/>
                </w:tcPr>
                <w:p w14:paraId="346DEDC6" w14:textId="77777777" w:rsidR="00136A25" w:rsidRPr="00B10F87" w:rsidRDefault="00136A25" w:rsidP="00FB1843">
                  <w:pPr>
                    <w:spacing w:after="0" w:line="240" w:lineRule="auto"/>
                    <w:jc w:val="center"/>
                    <w:rPr>
                      <w:rFonts w:ascii="Times New Roman" w:hAnsi="Times New Roman"/>
                      <w:noProof/>
                      <w:kern w:val="0"/>
                    </w:rPr>
                  </w:pPr>
                  <w:r>
                    <w:rPr>
                      <w:rFonts w:ascii="Times New Roman" w:hAnsi="Times New Roman"/>
                    </w:rPr>
                    <w:t>Overweight</w:t>
                  </w:r>
                </w:p>
              </w:tc>
              <w:tc>
                <w:tcPr>
                  <w:tcW w:w="0" w:type="auto"/>
                  <w:tcBorders>
                    <w:top w:val="outset" w:sz="6" w:space="0" w:color="414142"/>
                    <w:left w:val="outset" w:sz="6" w:space="0" w:color="414142"/>
                    <w:bottom w:val="outset" w:sz="6" w:space="0" w:color="414142"/>
                    <w:right w:val="outset" w:sz="6" w:space="0" w:color="414142"/>
                  </w:tcBorders>
                  <w:shd w:val="clear" w:color="auto" w:fill="FF3300"/>
                  <w:vAlign w:val="center"/>
                  <w:hideMark/>
                </w:tcPr>
                <w:p w14:paraId="78479B65" w14:textId="77777777" w:rsidR="00136A25" w:rsidRPr="00B10F87" w:rsidRDefault="00136A25" w:rsidP="00FB1843">
                  <w:pPr>
                    <w:spacing w:after="0" w:line="240" w:lineRule="auto"/>
                    <w:jc w:val="center"/>
                    <w:rPr>
                      <w:rFonts w:ascii="Times New Roman" w:hAnsi="Times New Roman"/>
                      <w:noProof/>
                      <w:kern w:val="0"/>
                    </w:rPr>
                  </w:pPr>
                  <w:r>
                    <w:rPr>
                      <w:rFonts w:ascii="Times New Roman" w:hAnsi="Times New Roman"/>
                    </w:rPr>
                    <w:t>Obesity</w:t>
                  </w:r>
                </w:p>
              </w:tc>
            </w:tr>
          </w:tbl>
          <w:p w14:paraId="11E2098C" w14:textId="77777777" w:rsidR="00136A25" w:rsidRPr="00B10F87" w:rsidRDefault="00136A25" w:rsidP="00122210">
            <w:pPr>
              <w:spacing w:after="0" w:line="240" w:lineRule="auto"/>
              <w:jc w:val="both"/>
              <w:rPr>
                <w:rFonts w:ascii="Times New Roman" w:hAnsi="Times New Roman"/>
                <w:noProof/>
                <w:kern w:val="0"/>
                <w:lang w:val="lv-LV"/>
              </w:rPr>
            </w:pPr>
          </w:p>
        </w:tc>
      </w:tr>
    </w:tbl>
    <w:p w14:paraId="07E96433" w14:textId="77777777" w:rsidR="0049528D" w:rsidRDefault="0049528D" w:rsidP="00122210">
      <w:pPr>
        <w:spacing w:after="0" w:line="240" w:lineRule="auto"/>
        <w:jc w:val="both"/>
        <w:rPr>
          <w:rFonts w:ascii="Times New Roman" w:hAnsi="Times New Roman"/>
          <w:b/>
          <w:bCs/>
          <w:noProof/>
          <w:kern w:val="0"/>
          <w:lang w:val="lv-LV"/>
        </w:rPr>
      </w:pPr>
    </w:p>
    <w:p w14:paraId="1AD19EB0" w14:textId="6B507019"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 xml:space="preserve">The </w:t>
      </w:r>
      <w:r>
        <w:rPr>
          <w:rFonts w:ascii="Times New Roman" w:hAnsi="Times New Roman"/>
          <w:b/>
          <w:bCs/>
        </w:rPr>
        <w:t>objective of the Plan</w:t>
      </w:r>
      <w:r>
        <w:rPr>
          <w:rFonts w:ascii="Times New Roman" w:hAnsi="Times New Roman"/>
        </w:rPr>
        <w:t xml:space="preserve"> is to stop the increasing prevalence of overweight and obesity among the population through a coordinated cross-sectoral and interinstitutional cooperation, thereby reducing the development risk of non-communicable diseases among the Latvian population.</w:t>
      </w:r>
    </w:p>
    <w:p w14:paraId="170A7A3F" w14:textId="77777777" w:rsidR="0049528D" w:rsidRDefault="0049528D" w:rsidP="00122210">
      <w:pPr>
        <w:spacing w:after="0" w:line="240" w:lineRule="auto"/>
        <w:jc w:val="both"/>
        <w:rPr>
          <w:rFonts w:ascii="Times New Roman" w:hAnsi="Times New Roman"/>
          <w:b/>
          <w:bCs/>
          <w:noProof/>
          <w:kern w:val="0"/>
          <w:lang w:val="lv-LV"/>
        </w:rPr>
      </w:pPr>
    </w:p>
    <w:p w14:paraId="76C194AF" w14:textId="1FB5A869" w:rsidR="00136A25" w:rsidRPr="00B10F87" w:rsidRDefault="00136A25" w:rsidP="0049528D">
      <w:pPr>
        <w:spacing w:after="0" w:line="240" w:lineRule="auto"/>
        <w:ind w:firstLine="709"/>
        <w:jc w:val="both"/>
        <w:rPr>
          <w:rFonts w:ascii="Times New Roman" w:hAnsi="Times New Roman"/>
          <w:b/>
          <w:bCs/>
          <w:noProof/>
          <w:kern w:val="0"/>
        </w:rPr>
      </w:pPr>
      <w:r>
        <w:rPr>
          <w:rFonts w:ascii="Times New Roman" w:hAnsi="Times New Roman"/>
          <w:b/>
        </w:rPr>
        <w:t>The main issues to be addressed within the scope of the Plan include:</w:t>
      </w:r>
    </w:p>
    <w:p w14:paraId="7B71FA1A" w14:textId="08007BE9"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1. prevalence of overweight and obesity in children and adults;</w:t>
      </w:r>
    </w:p>
    <w:p w14:paraId="5E94B373" w14:textId="77777777"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2. unhealthy dietary habits among the population;</w:t>
      </w:r>
    </w:p>
    <w:p w14:paraId="09B5344C" w14:textId="77777777"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3. insufficient physical activity in society;</w:t>
      </w:r>
    </w:p>
    <w:p w14:paraId="07A40235" w14:textId="77777777"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4. inadequate diagnosis of obesity, lack of unified guidelines for prescribing healthcare services in cases of obesity diagnosis, and limited availability of State-funded healthcare services for obesity treatment;</w:t>
      </w:r>
    </w:p>
    <w:p w14:paraId="39F56061" w14:textId="77777777" w:rsidR="00136A25" w:rsidRPr="00B10F87" w:rsidRDefault="00136A25" w:rsidP="0049528D">
      <w:pPr>
        <w:spacing w:after="0" w:line="240" w:lineRule="auto"/>
        <w:ind w:firstLine="709"/>
        <w:jc w:val="both"/>
        <w:rPr>
          <w:rFonts w:ascii="Times New Roman" w:hAnsi="Times New Roman"/>
          <w:noProof/>
          <w:kern w:val="0"/>
        </w:rPr>
      </w:pPr>
      <w:r>
        <w:rPr>
          <w:rFonts w:ascii="Times New Roman" w:hAnsi="Times New Roman"/>
        </w:rPr>
        <w:t>5. lack of information and understanding of weight stigma, its prevalence, and the role in the context of obesity, and also the lack of skills to prevent it among the population and professionals.</w:t>
      </w:r>
    </w:p>
    <w:p w14:paraId="2C743828" w14:textId="77777777" w:rsidR="0049528D" w:rsidRDefault="0049528D" w:rsidP="00122210">
      <w:pPr>
        <w:spacing w:after="0" w:line="240" w:lineRule="auto"/>
        <w:jc w:val="both"/>
        <w:rPr>
          <w:rFonts w:ascii="Times New Roman" w:hAnsi="Times New Roman"/>
          <w:noProof/>
          <w:kern w:val="0"/>
          <w:lang w:val="lv-LV"/>
        </w:rPr>
      </w:pPr>
    </w:p>
    <w:p w14:paraId="157F3AC3" w14:textId="761F5E5E" w:rsidR="00136A25" w:rsidRDefault="00136A25" w:rsidP="00FB1843">
      <w:pPr>
        <w:spacing w:after="0" w:line="240" w:lineRule="auto"/>
        <w:ind w:firstLine="709"/>
        <w:jc w:val="both"/>
        <w:rPr>
          <w:rFonts w:ascii="Times New Roman" w:hAnsi="Times New Roman"/>
          <w:noProof/>
          <w:kern w:val="0"/>
        </w:rPr>
      </w:pPr>
      <w:r>
        <w:rPr>
          <w:rFonts w:ascii="Times New Roman" w:hAnsi="Times New Roman"/>
        </w:rPr>
        <w:t>Mental health aspects also play an important role in the development of excess body weight; however, the Plan does not address them, considering that the MoH has developed the Plan for Improving the Organisation of Mental Health Care 2023–2025</w:t>
      </w:r>
      <w:r>
        <w:rPr>
          <w:rFonts w:ascii="Times New Roman" w:hAnsi="Times New Roman"/>
          <w:vertAlign w:val="superscript"/>
        </w:rPr>
        <w:t>24</w:t>
      </w:r>
      <w:r>
        <w:rPr>
          <w:rFonts w:ascii="Times New Roman" w:hAnsi="Times New Roman"/>
        </w:rPr>
        <w:t xml:space="preserve"> which provides for measures aimed at improving mental health among the Latvian population.</w:t>
      </w:r>
    </w:p>
    <w:p w14:paraId="6B4D3594" w14:textId="77777777" w:rsidR="0049528D" w:rsidRPr="00B10F87" w:rsidRDefault="0049528D" w:rsidP="00122210">
      <w:pPr>
        <w:spacing w:after="0" w:line="240" w:lineRule="auto"/>
        <w:jc w:val="both"/>
        <w:rPr>
          <w:rFonts w:ascii="Times New Roman" w:hAnsi="Times New Roman"/>
          <w:noProof/>
          <w:kern w:val="0"/>
          <w:lang w:val="lv-LV"/>
        </w:rPr>
      </w:pPr>
    </w:p>
    <w:p w14:paraId="4CFE164B" w14:textId="77777777" w:rsidR="00136A25" w:rsidRPr="00B10F87" w:rsidRDefault="00136A25" w:rsidP="00A022E4">
      <w:pPr>
        <w:spacing w:after="0" w:line="240" w:lineRule="auto"/>
        <w:ind w:firstLine="709"/>
        <w:jc w:val="both"/>
        <w:rPr>
          <w:rFonts w:ascii="Times New Roman" w:hAnsi="Times New Roman"/>
          <w:b/>
          <w:bCs/>
          <w:noProof/>
          <w:kern w:val="0"/>
        </w:rPr>
      </w:pPr>
      <w:r>
        <w:rPr>
          <w:rFonts w:ascii="Times New Roman" w:hAnsi="Times New Roman"/>
          <w:b/>
        </w:rPr>
        <w:t>Action directions of the Plan:</w:t>
      </w:r>
    </w:p>
    <w:p w14:paraId="4AAA11B7" w14:textId="77777777" w:rsidR="00136A25" w:rsidRPr="00B10F87" w:rsidRDefault="00136A25" w:rsidP="00A022E4">
      <w:pPr>
        <w:spacing w:after="0" w:line="240" w:lineRule="auto"/>
        <w:ind w:firstLine="709"/>
        <w:jc w:val="both"/>
        <w:rPr>
          <w:rFonts w:ascii="Times New Roman" w:hAnsi="Times New Roman"/>
          <w:noProof/>
          <w:kern w:val="0"/>
        </w:rPr>
      </w:pPr>
      <w:r>
        <w:rPr>
          <w:rFonts w:ascii="Times New Roman" w:hAnsi="Times New Roman"/>
        </w:rPr>
        <w:t>1. Improvement of physical activity and dietary habits among the Latvian population to prevent the development of overweight (primary prevention);</w:t>
      </w:r>
    </w:p>
    <w:p w14:paraId="7976647B" w14:textId="77777777" w:rsidR="00136A25" w:rsidRPr="00B10F87" w:rsidRDefault="00136A25" w:rsidP="00A022E4">
      <w:pPr>
        <w:spacing w:after="0" w:line="240" w:lineRule="auto"/>
        <w:ind w:firstLine="709"/>
        <w:jc w:val="both"/>
        <w:rPr>
          <w:rFonts w:ascii="Times New Roman" w:hAnsi="Times New Roman"/>
          <w:noProof/>
          <w:kern w:val="0"/>
        </w:rPr>
      </w:pPr>
      <w:r>
        <w:rPr>
          <w:rFonts w:ascii="Times New Roman" w:hAnsi="Times New Roman"/>
        </w:rPr>
        <w:t>2. Reduction of overweight and prevention of obesity (secondary prevention);</w:t>
      </w:r>
    </w:p>
    <w:p w14:paraId="4DF9BC11" w14:textId="77777777" w:rsidR="00136A25" w:rsidRPr="00B10F87" w:rsidRDefault="00136A25" w:rsidP="00A022E4">
      <w:pPr>
        <w:spacing w:after="0" w:line="240" w:lineRule="auto"/>
        <w:ind w:firstLine="709"/>
        <w:jc w:val="both"/>
        <w:rPr>
          <w:rFonts w:ascii="Times New Roman" w:hAnsi="Times New Roman"/>
          <w:noProof/>
          <w:kern w:val="0"/>
        </w:rPr>
      </w:pPr>
      <w:r>
        <w:rPr>
          <w:rFonts w:ascii="Times New Roman" w:hAnsi="Times New Roman"/>
        </w:rPr>
        <w:t>3. Diagnosis and treatment of obesity (tertiary prevention);</w:t>
      </w:r>
    </w:p>
    <w:p w14:paraId="00B0BBE9" w14:textId="77777777" w:rsidR="00136A25" w:rsidRDefault="00136A25" w:rsidP="00A022E4">
      <w:pPr>
        <w:spacing w:after="0" w:line="240" w:lineRule="auto"/>
        <w:ind w:firstLine="709"/>
        <w:jc w:val="both"/>
        <w:rPr>
          <w:rFonts w:ascii="Times New Roman" w:hAnsi="Times New Roman"/>
          <w:noProof/>
          <w:kern w:val="0"/>
        </w:rPr>
      </w:pPr>
      <w:r>
        <w:rPr>
          <w:rFonts w:ascii="Times New Roman" w:hAnsi="Times New Roman"/>
        </w:rPr>
        <w:t>4. Effectiveness of measures for the reduction of the increasing prevalence of overweight and obesity.</w:t>
      </w:r>
    </w:p>
    <w:p w14:paraId="7A36141C" w14:textId="77777777" w:rsidR="0049528D" w:rsidRPr="00B10F87" w:rsidRDefault="0049528D" w:rsidP="00122210">
      <w:pPr>
        <w:spacing w:after="0" w:line="240" w:lineRule="auto"/>
        <w:jc w:val="both"/>
        <w:rPr>
          <w:rFonts w:ascii="Times New Roman" w:hAnsi="Times New Roman"/>
          <w:noProof/>
          <w:kern w:val="0"/>
          <w:lang w:val="lv-LV"/>
        </w:rPr>
      </w:pPr>
    </w:p>
    <w:p w14:paraId="1725840F" w14:textId="77777777" w:rsidR="00136A25" w:rsidRDefault="00136A25" w:rsidP="00122210">
      <w:pPr>
        <w:spacing w:after="0" w:line="240" w:lineRule="auto"/>
        <w:jc w:val="both"/>
        <w:rPr>
          <w:rFonts w:ascii="Times New Roman" w:hAnsi="Times New Roman"/>
          <w:b/>
          <w:bCs/>
          <w:noProof/>
          <w:kern w:val="0"/>
        </w:rPr>
      </w:pPr>
      <w:r>
        <w:rPr>
          <w:rFonts w:ascii="Times New Roman" w:hAnsi="Times New Roman"/>
          <w:b/>
        </w:rPr>
        <w:t>Additional funding required for the implementation of the Plan (EUR):</w:t>
      </w:r>
    </w:p>
    <w:p w14:paraId="4C05A6ED" w14:textId="77777777" w:rsidR="0049528D" w:rsidRPr="00B10F87" w:rsidRDefault="0049528D" w:rsidP="00122210">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85"/>
        <w:gridCol w:w="1154"/>
        <w:gridCol w:w="1154"/>
        <w:gridCol w:w="1154"/>
        <w:gridCol w:w="1154"/>
        <w:gridCol w:w="1154"/>
      </w:tblGrid>
      <w:tr w:rsidR="00136A25" w:rsidRPr="00B10F87" w14:paraId="6B32329B" w14:textId="77777777" w:rsidTr="00A022E4">
        <w:tc>
          <w:tcPr>
            <w:tcW w:w="1814" w:type="pct"/>
            <w:vMerge w:val="restart"/>
            <w:tcBorders>
              <w:top w:val="outset" w:sz="6" w:space="0" w:color="414142"/>
              <w:left w:val="outset" w:sz="6" w:space="0" w:color="414142"/>
              <w:bottom w:val="outset" w:sz="6" w:space="0" w:color="414142"/>
              <w:right w:val="outset" w:sz="6" w:space="0" w:color="414142"/>
            </w:tcBorders>
            <w:vAlign w:val="center"/>
            <w:hideMark/>
          </w:tcPr>
          <w:p w14:paraId="1547DF96"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Total required additional funding:</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01593BF3" w14:textId="77777777"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2025</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575D88D1" w14:textId="77777777"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2026</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3A56B094" w14:textId="77777777"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2027</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2AC0E1A7" w14:textId="77777777"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2028</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449D8CDF" w14:textId="77777777"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2029</w:t>
            </w:r>
          </w:p>
        </w:tc>
      </w:tr>
      <w:tr w:rsidR="00136A25" w:rsidRPr="00B10F87" w14:paraId="1D472A20" w14:textId="77777777" w:rsidTr="00A022E4">
        <w:tc>
          <w:tcPr>
            <w:tcW w:w="1814" w:type="pct"/>
            <w:vMerge/>
            <w:tcBorders>
              <w:top w:val="outset" w:sz="6" w:space="0" w:color="414142"/>
              <w:left w:val="outset" w:sz="6" w:space="0" w:color="414142"/>
              <w:bottom w:val="outset" w:sz="6" w:space="0" w:color="414142"/>
              <w:right w:val="outset" w:sz="6" w:space="0" w:color="414142"/>
            </w:tcBorders>
            <w:vAlign w:val="center"/>
            <w:hideMark/>
          </w:tcPr>
          <w:p w14:paraId="7FCC5E37" w14:textId="77777777" w:rsidR="00136A25" w:rsidRPr="00B10F87" w:rsidRDefault="00136A25" w:rsidP="00122210">
            <w:pPr>
              <w:spacing w:after="0" w:line="240" w:lineRule="auto"/>
              <w:jc w:val="both"/>
              <w:rPr>
                <w:rFonts w:ascii="Times New Roman" w:hAnsi="Times New Roman"/>
                <w:b/>
                <w:bCs/>
                <w:noProof/>
                <w:kern w:val="0"/>
                <w:lang w:val="lv-LV"/>
              </w:rPr>
            </w:pP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5E475233"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1 630 309</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71294FDB"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205 525</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58E982E3"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1 834 379</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114F21E6"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2 718 603</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23D42975"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2 655 082</w:t>
            </w:r>
          </w:p>
        </w:tc>
      </w:tr>
      <w:tr w:rsidR="00136A25" w:rsidRPr="00B10F87" w14:paraId="18350961" w14:textId="77777777" w:rsidTr="00A022E4">
        <w:tc>
          <w:tcPr>
            <w:tcW w:w="1814" w:type="pct"/>
            <w:tcBorders>
              <w:top w:val="outset" w:sz="6" w:space="0" w:color="414142"/>
              <w:left w:val="outset" w:sz="6" w:space="0" w:color="414142"/>
              <w:bottom w:val="outset" w:sz="6" w:space="0" w:color="414142"/>
              <w:right w:val="outset" w:sz="6" w:space="0" w:color="414142"/>
            </w:tcBorders>
            <w:hideMark/>
          </w:tcPr>
          <w:p w14:paraId="4E27BF14"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Funding for the implementation of the core functions of the State:</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65DA379B"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0</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7F94313D"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124 335</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7331DBA1"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1 494 374</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5AC3B409"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1 953 082</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20DEA38D"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1 953 082</w:t>
            </w:r>
          </w:p>
        </w:tc>
      </w:tr>
      <w:tr w:rsidR="00136A25" w:rsidRPr="00B10F87" w14:paraId="22806F7A" w14:textId="77777777" w:rsidTr="00A022E4">
        <w:tc>
          <w:tcPr>
            <w:tcW w:w="1814" w:type="pct"/>
            <w:tcBorders>
              <w:top w:val="outset" w:sz="6" w:space="0" w:color="414142"/>
              <w:left w:val="outset" w:sz="6" w:space="0" w:color="414142"/>
              <w:bottom w:val="outset" w:sz="6" w:space="0" w:color="414142"/>
              <w:right w:val="outset" w:sz="6" w:space="0" w:color="414142"/>
            </w:tcBorders>
            <w:hideMark/>
          </w:tcPr>
          <w:p w14:paraId="45B587B5"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Funding for the implementation of projects and measures co-financed and financed by the EU policy instruments and other FFA sources:*</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602410CE"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1 630 309</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62A597CF"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81 190</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05BDCC66"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340 005</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5D57239E"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765 521</w:t>
            </w:r>
          </w:p>
        </w:tc>
        <w:tc>
          <w:tcPr>
            <w:tcW w:w="637" w:type="pct"/>
            <w:tcBorders>
              <w:top w:val="outset" w:sz="6" w:space="0" w:color="414142"/>
              <w:left w:val="outset" w:sz="6" w:space="0" w:color="414142"/>
              <w:bottom w:val="outset" w:sz="6" w:space="0" w:color="414142"/>
              <w:right w:val="outset" w:sz="6" w:space="0" w:color="414142"/>
            </w:tcBorders>
            <w:noWrap/>
            <w:vAlign w:val="center"/>
            <w:hideMark/>
          </w:tcPr>
          <w:p w14:paraId="72FE57EF" w14:textId="77777777" w:rsidR="00136A25" w:rsidRPr="00B10F87" w:rsidRDefault="00136A25" w:rsidP="003833D4">
            <w:pPr>
              <w:spacing w:after="0" w:line="240" w:lineRule="auto"/>
              <w:jc w:val="center"/>
              <w:rPr>
                <w:rFonts w:ascii="Times New Roman" w:hAnsi="Times New Roman"/>
                <w:noProof/>
                <w:kern w:val="0"/>
              </w:rPr>
            </w:pPr>
            <w:r>
              <w:rPr>
                <w:rFonts w:ascii="Times New Roman" w:hAnsi="Times New Roman"/>
              </w:rPr>
              <w:t>702 000</w:t>
            </w:r>
          </w:p>
        </w:tc>
      </w:tr>
    </w:tbl>
    <w:p w14:paraId="1301DC93" w14:textId="77777777" w:rsidR="00A022E4" w:rsidRDefault="00A022E4" w:rsidP="00122210">
      <w:pPr>
        <w:spacing w:after="0" w:line="240" w:lineRule="auto"/>
        <w:jc w:val="both"/>
        <w:rPr>
          <w:rFonts w:ascii="Times New Roman" w:hAnsi="Times New Roman"/>
          <w:noProof/>
          <w:kern w:val="0"/>
          <w:lang w:val="lv-LV"/>
        </w:rPr>
      </w:pPr>
    </w:p>
    <w:p w14:paraId="34415457" w14:textId="77777777" w:rsidR="00136A25" w:rsidRDefault="00136A25" w:rsidP="00114699">
      <w:pPr>
        <w:spacing w:after="0" w:line="240" w:lineRule="auto"/>
        <w:ind w:firstLine="709"/>
        <w:jc w:val="both"/>
        <w:rPr>
          <w:rFonts w:ascii="Times New Roman" w:hAnsi="Times New Roman"/>
          <w:noProof/>
          <w:kern w:val="0"/>
        </w:rPr>
      </w:pPr>
      <w:r>
        <w:rPr>
          <w:rFonts w:ascii="Times New Roman" w:hAnsi="Times New Roman"/>
        </w:rPr>
        <w:t>*Additional required funding is to be requested in accordance with the procedures laid down in laws and regulations under programme 80.00.00 “Undivided Funding for the Implementation of Projects and Measures Co-financed by the European Union Policy Instruments and Other Foreign Financial Assistance” of budget unit 74 “Funding to be Reallocated During the Implementation Process of the Annual State Budget”, without exceeding the funding available for the specific objective and its measure under the European Union Cohesion Policy Programme 2021–2027, and also for investments under the Recovery and Resilience Facility plan.</w:t>
      </w:r>
    </w:p>
    <w:p w14:paraId="170BE852" w14:textId="77777777" w:rsidR="00114699" w:rsidRPr="00B10F87" w:rsidRDefault="00114699" w:rsidP="00114699">
      <w:pPr>
        <w:spacing w:after="0" w:line="240" w:lineRule="auto"/>
        <w:ind w:firstLine="709"/>
        <w:jc w:val="both"/>
        <w:rPr>
          <w:rFonts w:ascii="Times New Roman" w:hAnsi="Times New Roman"/>
          <w:noProof/>
          <w:kern w:val="0"/>
          <w:lang w:val="lv-LV"/>
        </w:rPr>
      </w:pPr>
    </w:p>
    <w:p w14:paraId="494D7036" w14:textId="77777777" w:rsidR="00136A25" w:rsidRDefault="00136A25" w:rsidP="00230B8E">
      <w:pPr>
        <w:spacing w:after="0" w:line="240" w:lineRule="auto"/>
        <w:ind w:firstLine="709"/>
        <w:jc w:val="both"/>
        <w:rPr>
          <w:rFonts w:ascii="Times New Roman" w:hAnsi="Times New Roman"/>
          <w:noProof/>
          <w:kern w:val="0"/>
        </w:rPr>
      </w:pPr>
      <w:r>
        <w:rPr>
          <w:rFonts w:ascii="Times New Roman" w:hAnsi="Times New Roman"/>
        </w:rPr>
        <w:t>In 2025, the implementation of the measures provided for in the Plan shall be ensured in conformity with the allocated State budget funds. Allocation of additional State budget funds in 2026 and in each subsequent year shall be addressed in the Cabinet within the process of preparing and reviewing the draft law on the annual State budget and the medium-term budget framework, along with the applications for priority measures submitted by all ministries and central State institutions, in conformity with the financial possibilities of the State budget. If, during the process of preparing the draft law on the annual State budget and the medium-term budget framework, additional State budget funding for the implementation of the measures provided for in the Plan is not allocated or is allocated partially, the authorities responsible for the implementation of the measures of the Plan shall ensure the implementation of those measures provided for in the Plan which can be ensured within the scope of the allocated State budget funds.</w:t>
      </w:r>
    </w:p>
    <w:p w14:paraId="239F1046" w14:textId="77777777" w:rsidR="00114699" w:rsidRPr="00B10F87" w:rsidRDefault="00114699" w:rsidP="00230B8E">
      <w:pPr>
        <w:spacing w:after="0" w:line="240" w:lineRule="auto"/>
        <w:ind w:firstLine="709"/>
        <w:jc w:val="both"/>
        <w:rPr>
          <w:rFonts w:ascii="Times New Roman" w:hAnsi="Times New Roman"/>
          <w:noProof/>
          <w:kern w:val="0"/>
          <w:lang w:val="lv-LV"/>
        </w:rPr>
      </w:pPr>
    </w:p>
    <w:p w14:paraId="3AD6A2F5" w14:textId="173C7C6B"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rPr>
        <w:t>When planning and introducing support measures, they will be evaluated in the context of control of aid for commercial activity, and if all criteria referred to in Section 5 of the Law on Control of Aid for Commercial Activity are met, the measures will be introduced, applying the conditions of the relevant regulatory framework on aid for commercial activity.</w:t>
      </w:r>
    </w:p>
    <w:p w14:paraId="3CCB3ACC" w14:textId="77777777" w:rsidR="00114699" w:rsidRDefault="00114699" w:rsidP="00122210">
      <w:pPr>
        <w:spacing w:after="0" w:line="240" w:lineRule="auto"/>
        <w:jc w:val="both"/>
        <w:rPr>
          <w:rFonts w:ascii="Times New Roman" w:hAnsi="Times New Roman"/>
          <w:b/>
          <w:bCs/>
          <w:noProof/>
          <w:kern w:val="0"/>
          <w:lang w:val="lv-LV"/>
        </w:rPr>
      </w:pPr>
    </w:p>
    <w:p w14:paraId="57365497" w14:textId="284010A4"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2. Alignment with Other Policy Planning Documents</w:t>
      </w:r>
    </w:p>
    <w:p w14:paraId="73F44AB6" w14:textId="77777777" w:rsidR="00114699" w:rsidRDefault="00114699" w:rsidP="00122210">
      <w:pPr>
        <w:spacing w:after="0" w:line="240" w:lineRule="auto"/>
        <w:jc w:val="both"/>
        <w:rPr>
          <w:rFonts w:ascii="Times New Roman" w:hAnsi="Times New Roman"/>
          <w:b/>
          <w:bCs/>
          <w:noProof/>
          <w:kern w:val="0"/>
          <w:lang w:val="lv-LV"/>
        </w:rPr>
      </w:pPr>
    </w:p>
    <w:p w14:paraId="5A57F88D" w14:textId="5B9B6811" w:rsidR="00136A25"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It is emphasised in the </w:t>
      </w:r>
      <w:r>
        <w:rPr>
          <w:rFonts w:ascii="Times New Roman" w:hAnsi="Times New Roman"/>
          <w:b/>
          <w:bCs/>
        </w:rPr>
        <w:t>National Development Plan 2021–2027</w:t>
      </w:r>
      <w:r>
        <w:rPr>
          <w:rFonts w:ascii="Times New Roman" w:hAnsi="Times New Roman"/>
          <w:vertAlign w:val="superscript"/>
        </w:rPr>
        <w:t>25</w:t>
      </w:r>
      <w:r>
        <w:rPr>
          <w:rFonts w:ascii="Times New Roman" w:hAnsi="Times New Roman"/>
        </w:rPr>
        <w:t xml:space="preserve"> that the prevention of non-communicable diseases is a priority; therefore, various health policies shall be implemented, including for the control of obesity of the population. One of the action directions includes the task of raising awareness among the population, particularly the less active segment, and engaging it in cultural, sports, and physical activities, including active tourism activities, by offering and implementing diverse non-formal education, cultural policy, and physical activity initiatives. As for the improvement of access to State-funded healthcare </w:t>
      </w:r>
      <w:r>
        <w:rPr>
          <w:rFonts w:ascii="Times New Roman" w:hAnsi="Times New Roman"/>
        </w:rPr>
        <w:lastRenderedPageBreak/>
        <w:t>services, the task is to ensure financial and geographical accessibility, and also to improve the existing services and develop new ones.</w:t>
      </w:r>
    </w:p>
    <w:p w14:paraId="39CF678D" w14:textId="77777777" w:rsidR="00230B8E" w:rsidRPr="00B10F87" w:rsidRDefault="00230B8E" w:rsidP="00230B8E">
      <w:pPr>
        <w:spacing w:after="0" w:line="240" w:lineRule="auto"/>
        <w:ind w:firstLine="709"/>
        <w:jc w:val="both"/>
        <w:rPr>
          <w:rFonts w:ascii="Times New Roman" w:hAnsi="Times New Roman"/>
          <w:noProof/>
          <w:kern w:val="0"/>
          <w:lang w:val="lv-LV"/>
        </w:rPr>
      </w:pPr>
    </w:p>
    <w:p w14:paraId="7BE70EF0" w14:textId="77777777"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b/>
          <w:bCs/>
        </w:rPr>
        <w:t>It is indicated in the Guidelines</w:t>
      </w:r>
      <w:r>
        <w:rPr>
          <w:rFonts w:ascii="Times New Roman" w:hAnsi="Times New Roman"/>
          <w:vertAlign w:val="superscript"/>
        </w:rPr>
        <w:t>26</w:t>
      </w:r>
      <w:r>
        <w:rPr>
          <w:rFonts w:ascii="Times New Roman" w:hAnsi="Times New Roman"/>
        </w:rPr>
        <w:t xml:space="preserve"> that the risk of developing non-communicable diseases is largely attributable to the factors related to the lifestyle, including unhealthy diet and insufficient physical activity. The Guidelines include the action direction “Healthy and active lifestyle” which outlines the tasks for promoting healthy and balanced diet and increasing physical activity among the population, and also the action direction “People-centred and integrated healthcare”.</w:t>
      </w:r>
    </w:p>
    <w:p w14:paraId="5EC2B784" w14:textId="77777777" w:rsidR="00230B8E" w:rsidRDefault="00230B8E" w:rsidP="00230B8E">
      <w:pPr>
        <w:spacing w:after="0" w:line="240" w:lineRule="auto"/>
        <w:ind w:firstLine="709"/>
        <w:jc w:val="both"/>
        <w:rPr>
          <w:rFonts w:ascii="Times New Roman" w:hAnsi="Times New Roman"/>
          <w:b/>
          <w:bCs/>
          <w:noProof/>
          <w:kern w:val="0"/>
          <w:lang w:val="lv-LV"/>
        </w:rPr>
      </w:pPr>
    </w:p>
    <w:p w14:paraId="6A350598" w14:textId="64C46E27"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Action direction 2.1 “Future skills for future society” of the </w:t>
      </w:r>
      <w:r>
        <w:rPr>
          <w:rFonts w:ascii="Times New Roman" w:hAnsi="Times New Roman"/>
          <w:b/>
          <w:bCs/>
        </w:rPr>
        <w:t>Education Development Guidelines 2021–2027</w:t>
      </w:r>
      <w:r>
        <w:rPr>
          <w:rFonts w:ascii="Times New Roman" w:hAnsi="Times New Roman"/>
          <w:vertAlign w:val="superscript"/>
        </w:rPr>
        <w:t>27</w:t>
      </w:r>
      <w:r>
        <w:rPr>
          <w:rFonts w:ascii="Times New Roman" w:hAnsi="Times New Roman"/>
        </w:rPr>
        <w:t xml:space="preserve"> emphasises that the updated curriculum comprises knowledge and basic skills in various fields of learning, virtues, and transversal skills that must be reinforced in different fields of learning to promote the comprehensive (intellectual, socio-emotional, and physical) development of pupils and to build understanding of a healthy and safe lifestyle, including healthy diet and physical activity.</w:t>
      </w:r>
    </w:p>
    <w:p w14:paraId="01218FD1" w14:textId="77777777" w:rsidR="00230B8E" w:rsidRDefault="00230B8E" w:rsidP="00230B8E">
      <w:pPr>
        <w:spacing w:after="0" w:line="240" w:lineRule="auto"/>
        <w:ind w:firstLine="709"/>
        <w:jc w:val="both"/>
        <w:rPr>
          <w:rFonts w:ascii="Times New Roman" w:hAnsi="Times New Roman"/>
          <w:b/>
          <w:bCs/>
          <w:noProof/>
          <w:kern w:val="0"/>
          <w:lang w:val="lv-LV"/>
        </w:rPr>
      </w:pPr>
    </w:p>
    <w:p w14:paraId="0F249487" w14:textId="6F072BA0"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It is indicated in the </w:t>
      </w:r>
      <w:r>
        <w:rPr>
          <w:rFonts w:ascii="Times New Roman" w:hAnsi="Times New Roman"/>
          <w:b/>
          <w:bCs/>
        </w:rPr>
        <w:t>Plan for Improving Healthcare Services in Oncology 2022–2024</w:t>
      </w:r>
      <w:r>
        <w:rPr>
          <w:rFonts w:ascii="Times New Roman" w:hAnsi="Times New Roman"/>
          <w:vertAlign w:val="superscript"/>
        </w:rPr>
        <w:t>28</w:t>
      </w:r>
      <w:r>
        <w:rPr>
          <w:rFonts w:ascii="Times New Roman" w:hAnsi="Times New Roman"/>
        </w:rPr>
        <w:t xml:space="preserve"> that malignant tumours are the second most common cause of death among the Latvian population, accounting for around one fifth of all deaths. The most significant risk factors for oncological diseases include excess body weight, unhealthy dietary habits, sedentary lifestyle, smoking, and alcohol consumption. One of the objectives of the plan is to promote habits of healthy lifestyle among the population by improving its knowledge and understanding of risk factors for oncological diseases.</w:t>
      </w:r>
    </w:p>
    <w:p w14:paraId="5C266BB6" w14:textId="77777777" w:rsidR="00230B8E" w:rsidRDefault="00230B8E" w:rsidP="00230B8E">
      <w:pPr>
        <w:spacing w:after="0" w:line="240" w:lineRule="auto"/>
        <w:ind w:firstLine="709"/>
        <w:jc w:val="both"/>
        <w:rPr>
          <w:rFonts w:ascii="Times New Roman" w:hAnsi="Times New Roman"/>
          <w:b/>
          <w:bCs/>
          <w:noProof/>
          <w:kern w:val="0"/>
          <w:lang w:val="lv-LV"/>
        </w:rPr>
      </w:pPr>
    </w:p>
    <w:p w14:paraId="0962BFA3" w14:textId="7F96ED9C"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It is indicated in the </w:t>
      </w:r>
      <w:r>
        <w:rPr>
          <w:rFonts w:ascii="Times New Roman" w:hAnsi="Times New Roman"/>
          <w:b/>
          <w:bCs/>
        </w:rPr>
        <w:t>Plan for Improving the Organisation of Mental Health Care 2023–2025</w:t>
      </w:r>
      <w:r>
        <w:rPr>
          <w:rFonts w:ascii="Times New Roman" w:hAnsi="Times New Roman"/>
          <w:vertAlign w:val="superscript"/>
        </w:rPr>
        <w:t>29</w:t>
      </w:r>
      <w:r>
        <w:rPr>
          <w:rFonts w:ascii="Times New Roman" w:hAnsi="Times New Roman"/>
        </w:rPr>
        <w:t xml:space="preserve"> that eating disorders are common among adolescents. Algorithms for mental health professionals and family physicians were developed within the scope of the plan in 2021, including for diagnosis of eating disorders and appropriate assessment of treatment. It is also planned to develop and introduce a specialised eating disorder treatment programme in inpatient setting, specifically, in day hospitals, in order to ensure the continuity of healthcare services for patients with eating disorders.</w:t>
      </w:r>
    </w:p>
    <w:p w14:paraId="7DE31C7E" w14:textId="77777777" w:rsidR="00230B8E" w:rsidRDefault="00230B8E" w:rsidP="00230B8E">
      <w:pPr>
        <w:spacing w:after="0" w:line="240" w:lineRule="auto"/>
        <w:ind w:firstLine="709"/>
        <w:jc w:val="both"/>
        <w:rPr>
          <w:rFonts w:ascii="Times New Roman" w:hAnsi="Times New Roman"/>
          <w:b/>
          <w:bCs/>
          <w:noProof/>
          <w:kern w:val="0"/>
          <w:lang w:val="lv-LV"/>
        </w:rPr>
      </w:pPr>
    </w:p>
    <w:p w14:paraId="2C5E735C" w14:textId="48FF1C07"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The </w:t>
      </w:r>
      <w:r>
        <w:rPr>
          <w:rFonts w:ascii="Times New Roman" w:hAnsi="Times New Roman"/>
          <w:b/>
          <w:bCs/>
        </w:rPr>
        <w:t>Sports Policy Guidelines 2022–2027</w:t>
      </w:r>
      <w:r>
        <w:rPr>
          <w:rFonts w:ascii="Times New Roman" w:hAnsi="Times New Roman"/>
          <w:vertAlign w:val="superscript"/>
        </w:rPr>
        <w:t>30</w:t>
      </w:r>
      <w:r>
        <w:rPr>
          <w:rFonts w:ascii="Times New Roman" w:hAnsi="Times New Roman"/>
        </w:rPr>
        <w:t xml:space="preserve"> provide for action directions aimed at promoting the accessibility of and opportunities for physical activity among the Latvian population, namely, the action direction 2 “Development of sports infrastructure” and action direction 3 “Sports and physical activity for an active and healthy society”. “Development of sports for children and youth” has been identified as the priority action direction of sports policy.</w:t>
      </w:r>
    </w:p>
    <w:p w14:paraId="6FFC6ECF" w14:textId="77777777" w:rsidR="00230B8E" w:rsidRDefault="00230B8E" w:rsidP="00122210">
      <w:pPr>
        <w:spacing w:after="0" w:line="240" w:lineRule="auto"/>
        <w:jc w:val="both"/>
        <w:rPr>
          <w:rFonts w:ascii="Times New Roman" w:hAnsi="Times New Roman"/>
          <w:b/>
          <w:bCs/>
          <w:noProof/>
          <w:kern w:val="0"/>
          <w:lang w:val="lv-LV"/>
        </w:rPr>
      </w:pPr>
    </w:p>
    <w:p w14:paraId="3E7C4B2B" w14:textId="76A69704" w:rsidR="00136A25"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The </w:t>
      </w:r>
      <w:r>
        <w:rPr>
          <w:rFonts w:ascii="Times New Roman" w:hAnsi="Times New Roman"/>
          <w:b/>
          <w:bCs/>
        </w:rPr>
        <w:t>European Programme of Work 2020–2025: United Action for Better Health</w:t>
      </w:r>
      <w:r>
        <w:rPr>
          <w:rFonts w:ascii="Times New Roman" w:hAnsi="Times New Roman"/>
          <w:vertAlign w:val="superscript"/>
        </w:rPr>
        <w:t>31</w:t>
      </w:r>
      <w:r>
        <w:rPr>
          <w:rFonts w:ascii="Times New Roman" w:hAnsi="Times New Roman"/>
        </w:rPr>
        <w:t xml:space="preserve"> sets out as its third priority the promotion of health and well-being, including support to ministries in their efforts to reduce risk factors for non-communicable diseases, including obesity. It also provides for support to health-related institutions in motivating the population to engage in physical activity and to adopt healthy dietary habits, including also educational and healthcare institutions.</w:t>
      </w:r>
    </w:p>
    <w:p w14:paraId="5D12C941" w14:textId="77777777" w:rsidR="00230B8E" w:rsidRPr="00B10F87" w:rsidRDefault="00230B8E" w:rsidP="00230B8E">
      <w:pPr>
        <w:spacing w:after="0" w:line="240" w:lineRule="auto"/>
        <w:ind w:firstLine="709"/>
        <w:jc w:val="both"/>
        <w:rPr>
          <w:rFonts w:ascii="Times New Roman" w:hAnsi="Times New Roman"/>
          <w:noProof/>
          <w:kern w:val="0"/>
          <w:lang w:val="lv-LV"/>
        </w:rPr>
      </w:pPr>
    </w:p>
    <w:p w14:paraId="415C73AF" w14:textId="77777777"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The </w:t>
      </w:r>
      <w:r>
        <w:rPr>
          <w:rFonts w:ascii="Times New Roman" w:hAnsi="Times New Roman"/>
          <w:b/>
          <w:bCs/>
        </w:rPr>
        <w:t>WHO Global Action Plan on Physical Activity 2018–2030: More Active People for a Healthier World</w:t>
      </w:r>
      <w:r>
        <w:rPr>
          <w:rFonts w:ascii="Times New Roman" w:hAnsi="Times New Roman"/>
          <w:vertAlign w:val="superscript"/>
        </w:rPr>
        <w:t>32</w:t>
      </w:r>
      <w:r>
        <w:rPr>
          <w:rFonts w:ascii="Times New Roman" w:hAnsi="Times New Roman"/>
        </w:rPr>
        <w:t xml:space="preserve"> includes several guiding principles which are recommended to be incorporated into the policy framework of Member States to ensure their effectiveness, e.g., human rights, addressing of inequalities, science-based practice, proportionality of needs and possibilities, interinstitutional cooperation, and public engagement.</w:t>
      </w:r>
    </w:p>
    <w:p w14:paraId="35F03F2B" w14:textId="77777777" w:rsidR="00230B8E" w:rsidRDefault="00230B8E" w:rsidP="00230B8E">
      <w:pPr>
        <w:spacing w:after="0" w:line="240" w:lineRule="auto"/>
        <w:ind w:firstLine="709"/>
        <w:jc w:val="both"/>
        <w:rPr>
          <w:rFonts w:ascii="Times New Roman" w:hAnsi="Times New Roman"/>
          <w:b/>
          <w:bCs/>
          <w:noProof/>
          <w:kern w:val="0"/>
          <w:lang w:val="lv-LV"/>
        </w:rPr>
      </w:pPr>
    </w:p>
    <w:p w14:paraId="12CEC9DB" w14:textId="34BF9CD4" w:rsidR="00136A25" w:rsidRPr="00B10F87" w:rsidRDefault="00136A25" w:rsidP="00230B8E">
      <w:pPr>
        <w:spacing w:after="0" w:line="240" w:lineRule="auto"/>
        <w:ind w:firstLine="709"/>
        <w:jc w:val="both"/>
        <w:rPr>
          <w:rFonts w:ascii="Times New Roman" w:hAnsi="Times New Roman"/>
          <w:noProof/>
          <w:kern w:val="0"/>
        </w:rPr>
      </w:pPr>
      <w:r>
        <w:rPr>
          <w:rFonts w:ascii="Times New Roman" w:hAnsi="Times New Roman"/>
        </w:rPr>
        <w:t xml:space="preserve">The </w:t>
      </w:r>
      <w:r>
        <w:rPr>
          <w:rFonts w:ascii="Times New Roman" w:hAnsi="Times New Roman"/>
          <w:b/>
          <w:bCs/>
        </w:rPr>
        <w:t>Physical Activity Strategy for the WHO European Region 2016–2025</w:t>
      </w:r>
      <w:r>
        <w:rPr>
          <w:rFonts w:ascii="Times New Roman" w:hAnsi="Times New Roman"/>
          <w:vertAlign w:val="superscript"/>
        </w:rPr>
        <w:t>33</w:t>
      </w:r>
      <w:r>
        <w:rPr>
          <w:rFonts w:ascii="Times New Roman" w:hAnsi="Times New Roman"/>
        </w:rPr>
        <w:t xml:space="preserve"> sets out five priority areas: providing leadership and coordination for the promotion of physical activity; supporting the development of children and adolescents; promoting physical activity for all adults as part of daily life, including during transport, leisure time, at the workplace and through the health-care system; promoting physical activity among older people; supporting action through monitoring, surveillance, research, and evaluation of the tools introduced.</w:t>
      </w:r>
    </w:p>
    <w:p w14:paraId="043F7AE2" w14:textId="77777777" w:rsidR="00230B8E" w:rsidRDefault="00230B8E" w:rsidP="00122210">
      <w:pPr>
        <w:spacing w:after="0" w:line="240" w:lineRule="auto"/>
        <w:jc w:val="both"/>
        <w:rPr>
          <w:rFonts w:ascii="Times New Roman" w:hAnsi="Times New Roman"/>
          <w:b/>
          <w:bCs/>
          <w:noProof/>
          <w:kern w:val="0"/>
          <w:lang w:val="lv-LV"/>
        </w:rPr>
      </w:pPr>
    </w:p>
    <w:p w14:paraId="2222A2C3" w14:textId="5CB41967"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3. Background</w:t>
      </w:r>
    </w:p>
    <w:p w14:paraId="1E7C4AEE" w14:textId="77777777" w:rsidR="00230B8E" w:rsidRDefault="00230B8E" w:rsidP="003833D4">
      <w:pPr>
        <w:spacing w:after="0" w:line="240" w:lineRule="auto"/>
        <w:jc w:val="center"/>
        <w:rPr>
          <w:rFonts w:ascii="Times New Roman" w:hAnsi="Times New Roman"/>
          <w:b/>
          <w:bCs/>
          <w:noProof/>
          <w:kern w:val="0"/>
          <w:lang w:val="lv-LV"/>
        </w:rPr>
      </w:pPr>
    </w:p>
    <w:p w14:paraId="25CAE244" w14:textId="1259EA40" w:rsidR="00136A25" w:rsidRPr="00B10F87" w:rsidRDefault="00136A25" w:rsidP="003833D4">
      <w:pPr>
        <w:spacing w:after="0" w:line="240" w:lineRule="auto"/>
        <w:jc w:val="center"/>
        <w:rPr>
          <w:rFonts w:ascii="Times New Roman" w:hAnsi="Times New Roman"/>
          <w:b/>
          <w:bCs/>
          <w:noProof/>
          <w:kern w:val="0"/>
        </w:rPr>
      </w:pPr>
      <w:r>
        <w:rPr>
          <w:rFonts w:ascii="Times New Roman" w:hAnsi="Times New Roman"/>
          <w:b/>
        </w:rPr>
        <w:t>3.1. Prevalence of Overweight and Obesity, and Its Consequences</w:t>
      </w:r>
    </w:p>
    <w:p w14:paraId="143E2F8A" w14:textId="77777777" w:rsidR="00230B8E" w:rsidRDefault="00230B8E" w:rsidP="00122210">
      <w:pPr>
        <w:spacing w:after="0" w:line="240" w:lineRule="auto"/>
        <w:jc w:val="both"/>
        <w:rPr>
          <w:rFonts w:ascii="Times New Roman" w:hAnsi="Times New Roman"/>
          <w:noProof/>
          <w:kern w:val="0"/>
          <w:lang w:val="lv-LV"/>
        </w:rPr>
      </w:pPr>
    </w:p>
    <w:p w14:paraId="735712DB" w14:textId="21535059" w:rsidR="00136A25" w:rsidRDefault="00136A25" w:rsidP="00230B8E">
      <w:pPr>
        <w:spacing w:after="0" w:line="240" w:lineRule="auto"/>
        <w:ind w:firstLine="709"/>
        <w:jc w:val="both"/>
        <w:rPr>
          <w:rFonts w:ascii="Times New Roman" w:hAnsi="Times New Roman"/>
        </w:rPr>
      </w:pPr>
      <w:r>
        <w:rPr>
          <w:rFonts w:ascii="Times New Roman" w:hAnsi="Times New Roman"/>
        </w:rPr>
        <w:t>It is referred to in the Country Health Profile 2023 for Latvia</w:t>
      </w:r>
      <w:r>
        <w:rPr>
          <w:rFonts w:ascii="Times New Roman" w:hAnsi="Times New Roman"/>
          <w:vertAlign w:val="superscript"/>
        </w:rPr>
        <w:t>34</w:t>
      </w:r>
      <w:r>
        <w:rPr>
          <w:rFonts w:ascii="Times New Roman" w:hAnsi="Times New Roman"/>
        </w:rPr>
        <w:t xml:space="preserve"> that the obesity rate in Latvia remains far above the EU average. </w:t>
      </w:r>
      <w:r>
        <w:rPr>
          <w:rFonts w:ascii="Times New Roman" w:hAnsi="Times New Roman"/>
          <w:b/>
          <w:bCs/>
        </w:rPr>
        <w:t>43 % of all deaths in Latvia are attributed to a combination of lifestyle-related risk factors</w:t>
      </w:r>
      <w:r>
        <w:rPr>
          <w:rFonts w:ascii="Times New Roman" w:hAnsi="Times New Roman"/>
        </w:rPr>
        <w:t xml:space="preserve"> (unhealthy dietary habits, tobacco smoking, alcohol consumption, and low physical activity).</w:t>
      </w:r>
      <w:r>
        <w:rPr>
          <w:rFonts w:ascii="Times New Roman" w:hAnsi="Times New Roman"/>
          <w:b/>
        </w:rPr>
        <w:t> </w:t>
      </w:r>
      <w:r>
        <w:rPr>
          <w:rFonts w:ascii="Times New Roman" w:hAnsi="Times New Roman"/>
        </w:rPr>
        <w:t>Among the Latvian population, overweight and obesity emerge in early childhood and become more common with age (see Figure 1).</w:t>
      </w:r>
    </w:p>
    <w:p w14:paraId="2E516E79" w14:textId="77777777" w:rsidR="008F43D0" w:rsidRDefault="008F43D0" w:rsidP="00230B8E">
      <w:pPr>
        <w:spacing w:after="0" w:line="240" w:lineRule="auto"/>
        <w:ind w:firstLine="709"/>
        <w:jc w:val="both"/>
        <w:rPr>
          <w:rFonts w:ascii="Times New Roman" w:hAnsi="Times New Roman"/>
          <w:noProof/>
          <w:kern w:val="0"/>
        </w:rPr>
      </w:pPr>
    </w:p>
    <w:p w14:paraId="5B6AED68" w14:textId="3B29CAD3" w:rsidR="008F43D0" w:rsidRPr="008F43D0" w:rsidRDefault="00304690" w:rsidP="008F43D0">
      <w:pPr>
        <w:pStyle w:val="ListParagraph"/>
        <w:spacing w:after="0" w:line="240" w:lineRule="auto"/>
        <w:ind w:left="1069"/>
        <w:jc w:val="both"/>
        <w:rPr>
          <w:rFonts w:ascii="Times New Roman" w:hAnsi="Times New Roman"/>
          <w:b/>
          <w:bCs/>
          <w:noProof/>
          <w:kern w:val="0"/>
        </w:rPr>
      </w:pPr>
      <w:r>
        <w:rPr>
          <w:rFonts w:ascii="Times New Roman" w:hAnsi="Times New Roman"/>
        </w:rPr>
        <w:t xml:space="preserve">Figure 1. </w:t>
      </w:r>
      <w:r w:rsidRPr="008F43D0">
        <w:rPr>
          <w:rFonts w:ascii="Times New Roman" w:hAnsi="Times New Roman"/>
          <w:b/>
          <w:bCs/>
        </w:rPr>
        <w:t>Prevalence of excess body weight across different age groups</w:t>
      </w:r>
    </w:p>
    <w:p w14:paraId="6E7B58B0" w14:textId="5C0F8B96" w:rsidR="00136A25" w:rsidRPr="00B10F87" w:rsidRDefault="00136A25" w:rsidP="00122210">
      <w:pPr>
        <w:spacing w:after="0" w:line="240" w:lineRule="auto"/>
        <w:jc w:val="both"/>
        <w:rPr>
          <w:rFonts w:ascii="Times New Roman" w:hAnsi="Times New Roman"/>
          <w:noProof/>
          <w:kern w:val="0"/>
        </w:rPr>
      </w:pPr>
      <w:r>
        <w:rPr>
          <w:rFonts w:ascii="Times New Roman" w:hAnsi="Times New Roman"/>
          <w:noProof/>
        </w:rPr>
        <w:drawing>
          <wp:inline distT="0" distB="0" distL="0" distR="0" wp14:anchorId="654E84FD" wp14:editId="76C41967">
            <wp:extent cx="5731510" cy="2852475"/>
            <wp:effectExtent l="0" t="0" r="2540" b="5080"/>
            <wp:docPr id="7106862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0">
                      <a:extLst>
                        <a:ext uri="{28A0092B-C50C-407E-A947-70E740481C1C}">
                          <a14:useLocalDpi xmlns:a14="http://schemas.microsoft.com/office/drawing/2010/main" val="0"/>
                        </a:ext>
                      </a:extLst>
                    </a:blip>
                    <a:srcRect t="10481"/>
                    <a:stretch>
                      <a:fillRect/>
                    </a:stretch>
                  </pic:blipFill>
                  <pic:spPr bwMode="auto">
                    <a:xfrm>
                      <a:off x="0" y="0"/>
                      <a:ext cx="5731510" cy="2852475"/>
                    </a:xfrm>
                    <a:prstGeom prst="rect">
                      <a:avLst/>
                    </a:prstGeom>
                    <a:noFill/>
                    <a:ln>
                      <a:noFill/>
                    </a:ln>
                    <a:extLst>
                      <a:ext uri="{53640926-AAD7-44D8-BBD7-CCE9431645EC}">
                        <a14:shadowObscured xmlns:a14="http://schemas.microsoft.com/office/drawing/2010/main"/>
                      </a:ext>
                    </a:extLst>
                  </pic:spPr>
                </pic:pic>
              </a:graphicData>
            </a:graphic>
          </wp:inline>
        </w:drawing>
      </w:r>
    </w:p>
    <w:p w14:paraId="1CFDC60A" w14:textId="77777777" w:rsidR="00DF27E5" w:rsidRDefault="00DF27E5" w:rsidP="00122210">
      <w:pPr>
        <w:spacing w:after="0" w:line="240" w:lineRule="auto"/>
        <w:jc w:val="both"/>
        <w:rPr>
          <w:rFonts w:ascii="Times New Roman" w:hAnsi="Times New Roman"/>
          <w:noProof/>
          <w:kern w:val="0"/>
          <w:lang w:val="lv-LV"/>
        </w:rPr>
      </w:pPr>
    </w:p>
    <w:p w14:paraId="0D063EF8" w14:textId="1CBD15E5" w:rsidR="00136A25" w:rsidRDefault="00136A25" w:rsidP="0071194B">
      <w:pPr>
        <w:spacing w:after="0" w:line="240" w:lineRule="auto"/>
        <w:ind w:firstLine="709"/>
        <w:jc w:val="both"/>
        <w:rPr>
          <w:rFonts w:ascii="Times New Roman" w:hAnsi="Times New Roman"/>
          <w:noProof/>
          <w:kern w:val="0"/>
        </w:rPr>
      </w:pPr>
      <w:r>
        <w:rPr>
          <w:rFonts w:ascii="Times New Roman" w:hAnsi="Times New Roman"/>
        </w:rPr>
        <w:t xml:space="preserve">Overweight and obesity problems in children may cause various health disorders, including </w:t>
      </w:r>
      <w:r>
        <w:rPr>
          <w:rFonts w:ascii="Times New Roman" w:hAnsi="Times New Roman"/>
          <w:b/>
          <w:bCs/>
        </w:rPr>
        <w:t>cardiovascular and metabolic disorders</w:t>
      </w:r>
      <w:r>
        <w:rPr>
          <w:rFonts w:ascii="Times New Roman" w:hAnsi="Times New Roman"/>
        </w:rPr>
        <w:t xml:space="preserve">, that may lead to </w:t>
      </w:r>
      <w:r>
        <w:rPr>
          <w:rFonts w:ascii="Times New Roman" w:hAnsi="Times New Roman"/>
          <w:b/>
          <w:bCs/>
        </w:rPr>
        <w:t>early infarction</w:t>
      </w:r>
      <w:r>
        <w:rPr>
          <w:rFonts w:ascii="Times New Roman" w:hAnsi="Times New Roman"/>
        </w:rPr>
        <w:t xml:space="preserve">, gallstone diseases, </w:t>
      </w:r>
      <w:r>
        <w:rPr>
          <w:rFonts w:ascii="Times New Roman" w:hAnsi="Times New Roman"/>
          <w:b/>
          <w:bCs/>
        </w:rPr>
        <w:t>type 2 diabetes</w:t>
      </w:r>
      <w:r>
        <w:rPr>
          <w:rFonts w:ascii="Times New Roman" w:hAnsi="Times New Roman"/>
        </w:rPr>
        <w:t xml:space="preserve">, and other chronic diseases. They can also contribute to </w:t>
      </w:r>
      <w:r>
        <w:rPr>
          <w:rFonts w:ascii="Times New Roman" w:hAnsi="Times New Roman"/>
          <w:b/>
          <w:bCs/>
        </w:rPr>
        <w:t>respiratory</w:t>
      </w:r>
      <w:r>
        <w:rPr>
          <w:rFonts w:ascii="Times New Roman" w:hAnsi="Times New Roman"/>
        </w:rPr>
        <w:t xml:space="preserve"> and </w:t>
      </w:r>
      <w:r>
        <w:rPr>
          <w:rFonts w:ascii="Times New Roman" w:hAnsi="Times New Roman"/>
          <w:b/>
          <w:bCs/>
        </w:rPr>
        <w:t>liver dysfunctions</w:t>
      </w:r>
      <w:r>
        <w:rPr>
          <w:rFonts w:ascii="Times New Roman" w:hAnsi="Times New Roman"/>
        </w:rPr>
        <w:t xml:space="preserve">, and also deep vein thrombosis, while girls may experience </w:t>
      </w:r>
      <w:r>
        <w:rPr>
          <w:rFonts w:ascii="Times New Roman" w:hAnsi="Times New Roman"/>
          <w:b/>
          <w:bCs/>
        </w:rPr>
        <w:t>impairment of ovarian function</w:t>
      </w:r>
      <w:r>
        <w:rPr>
          <w:rFonts w:ascii="Times New Roman" w:hAnsi="Times New Roman"/>
        </w:rPr>
        <w:t xml:space="preserve">. Excess body weight also affects the </w:t>
      </w:r>
      <w:r>
        <w:rPr>
          <w:rFonts w:ascii="Times New Roman" w:hAnsi="Times New Roman"/>
          <w:b/>
          <w:bCs/>
        </w:rPr>
        <w:t>musculoskeletal system</w:t>
      </w:r>
      <w:r>
        <w:rPr>
          <w:rFonts w:ascii="Times New Roman" w:hAnsi="Times New Roman"/>
        </w:rPr>
        <w:t xml:space="preserve"> of children, causing orthopaedic problems, such as pain, potential femoral neck fracture, and flat feet. Obesity has a negative impact on </w:t>
      </w:r>
      <w:r>
        <w:rPr>
          <w:rFonts w:ascii="Times New Roman" w:hAnsi="Times New Roman"/>
          <w:b/>
          <w:bCs/>
        </w:rPr>
        <w:t>mental health</w:t>
      </w:r>
      <w:r>
        <w:rPr>
          <w:rFonts w:ascii="Times New Roman" w:hAnsi="Times New Roman"/>
        </w:rPr>
        <w:t xml:space="preserve">, causing serious </w:t>
      </w:r>
      <w:r>
        <w:rPr>
          <w:rFonts w:ascii="Times New Roman" w:hAnsi="Times New Roman"/>
          <w:b/>
          <w:bCs/>
        </w:rPr>
        <w:t>mental and neurological disorders</w:t>
      </w:r>
      <w:r>
        <w:rPr>
          <w:rFonts w:ascii="Times New Roman" w:hAnsi="Times New Roman"/>
        </w:rPr>
        <w:t xml:space="preserve">, including low self-esteem and risk of depression. Additionally, children with obesity may also experience </w:t>
      </w:r>
      <w:r>
        <w:rPr>
          <w:rFonts w:ascii="Times New Roman" w:hAnsi="Times New Roman"/>
          <w:b/>
          <w:bCs/>
        </w:rPr>
        <w:t>difficulties in social life</w:t>
      </w:r>
      <w:r>
        <w:rPr>
          <w:rFonts w:ascii="Times New Roman" w:hAnsi="Times New Roman"/>
        </w:rPr>
        <w:t>, develop various behavioural disorders, learning difficulties, and also problems with social adaptation.</w:t>
      </w:r>
      <w:r>
        <w:rPr>
          <w:rFonts w:ascii="Times New Roman" w:hAnsi="Times New Roman"/>
          <w:vertAlign w:val="superscript"/>
        </w:rPr>
        <w:t>35</w:t>
      </w:r>
      <w:r>
        <w:rPr>
          <w:rFonts w:ascii="Times New Roman" w:hAnsi="Times New Roman"/>
        </w:rPr>
        <w:t xml:space="preserve"> According to the WHO and the World Obesity Federation, children with overweight and obesity, compared to children with normal body weight, more frequently present poorer health indicators (including elevated blood pressure and metabolic disorders), low self-esteem, risk of experiencing bullying, and also poorer school attendance levels and poorer school achievements accordingly.</w:t>
      </w:r>
    </w:p>
    <w:p w14:paraId="679EB91B" w14:textId="77777777" w:rsidR="0071194B" w:rsidRPr="00B10F87" w:rsidRDefault="0071194B" w:rsidP="0071194B">
      <w:pPr>
        <w:spacing w:after="0" w:line="240" w:lineRule="auto"/>
        <w:ind w:firstLine="709"/>
        <w:jc w:val="both"/>
        <w:rPr>
          <w:rFonts w:ascii="Times New Roman" w:hAnsi="Times New Roman"/>
          <w:noProof/>
          <w:kern w:val="0"/>
          <w:lang w:val="lv-LV"/>
        </w:rPr>
      </w:pPr>
    </w:p>
    <w:p w14:paraId="43AA5A47" w14:textId="77777777" w:rsidR="00136A25" w:rsidRDefault="00136A25" w:rsidP="0071194B">
      <w:pPr>
        <w:spacing w:after="0" w:line="240" w:lineRule="auto"/>
        <w:ind w:firstLine="709"/>
        <w:jc w:val="both"/>
        <w:rPr>
          <w:rFonts w:ascii="Times New Roman" w:hAnsi="Times New Roman"/>
          <w:noProof/>
          <w:kern w:val="0"/>
        </w:rPr>
      </w:pPr>
      <w:r>
        <w:rPr>
          <w:rFonts w:ascii="Times New Roman" w:hAnsi="Times New Roman"/>
        </w:rPr>
        <w:lastRenderedPageBreak/>
        <w:t>Furthermore, they have poorer health indicators in adulthood, including a higher risk of cardiovascular diseases, and also poorer employment prospects and a lower-paid job.</w:t>
      </w:r>
      <w:r>
        <w:rPr>
          <w:rFonts w:ascii="Times New Roman" w:hAnsi="Times New Roman"/>
          <w:vertAlign w:val="superscript"/>
        </w:rPr>
        <w:t>36</w:t>
      </w:r>
      <w:r>
        <w:rPr>
          <w:rFonts w:ascii="Times New Roman" w:hAnsi="Times New Roman"/>
        </w:rPr>
        <w:t xml:space="preserve"> Thus, excess body weight in childhood </w:t>
      </w:r>
      <w:r>
        <w:rPr>
          <w:rFonts w:ascii="Times New Roman" w:hAnsi="Times New Roman"/>
          <w:b/>
          <w:bCs/>
        </w:rPr>
        <w:t>leads to long-term consequences in adulthood and contributes to increased State expenditures</w:t>
      </w:r>
      <w:r>
        <w:rPr>
          <w:rFonts w:ascii="Times New Roman" w:hAnsi="Times New Roman"/>
        </w:rPr>
        <w:t xml:space="preserve"> on the healthcare system and on the State in general.</w:t>
      </w:r>
    </w:p>
    <w:p w14:paraId="05750D38" w14:textId="77777777" w:rsidR="0071194B" w:rsidRPr="00B10F87" w:rsidRDefault="0071194B" w:rsidP="0071194B">
      <w:pPr>
        <w:spacing w:after="0" w:line="240" w:lineRule="auto"/>
        <w:ind w:firstLine="709"/>
        <w:jc w:val="both"/>
        <w:rPr>
          <w:rFonts w:ascii="Times New Roman" w:hAnsi="Times New Roman"/>
          <w:noProof/>
          <w:kern w:val="0"/>
          <w:lang w:val="lv-LV"/>
        </w:rPr>
      </w:pPr>
    </w:p>
    <w:p w14:paraId="795639BE" w14:textId="77777777" w:rsidR="00136A25" w:rsidRPr="00B10F87" w:rsidRDefault="00136A25" w:rsidP="0071194B">
      <w:pPr>
        <w:spacing w:after="0" w:line="240" w:lineRule="auto"/>
        <w:ind w:firstLine="709"/>
        <w:jc w:val="both"/>
        <w:rPr>
          <w:rFonts w:ascii="Times New Roman" w:hAnsi="Times New Roman"/>
          <w:noProof/>
          <w:kern w:val="0"/>
        </w:rPr>
      </w:pPr>
      <w:r>
        <w:rPr>
          <w:rFonts w:ascii="Times New Roman" w:hAnsi="Times New Roman"/>
        </w:rPr>
        <w:t>Physical activity is one of the most important measures which may be taken by an individual to maintain and improve their health. Health benefits of regular physical activity include:</w:t>
      </w:r>
    </w:p>
    <w:p w14:paraId="7BF23A10" w14:textId="77777777" w:rsidR="00136A25" w:rsidRPr="00B10F87" w:rsidRDefault="00136A25" w:rsidP="0071194B">
      <w:pPr>
        <w:spacing w:after="0" w:line="240" w:lineRule="auto"/>
        <w:ind w:firstLine="709"/>
        <w:jc w:val="both"/>
        <w:rPr>
          <w:rFonts w:ascii="Times New Roman" w:hAnsi="Times New Roman"/>
          <w:noProof/>
          <w:kern w:val="0"/>
        </w:rPr>
      </w:pPr>
      <w:r>
        <w:rPr>
          <w:rFonts w:ascii="Times New Roman" w:hAnsi="Times New Roman"/>
        </w:rPr>
        <w:t>• reduced risk of developing chronic diseases, and also prevention of their progression;</w:t>
      </w:r>
    </w:p>
    <w:p w14:paraId="16AA6463" w14:textId="77777777" w:rsidR="00136A25" w:rsidRPr="00B10F87" w:rsidRDefault="00136A25" w:rsidP="0071194B">
      <w:pPr>
        <w:spacing w:after="0" w:line="240" w:lineRule="auto"/>
        <w:ind w:firstLine="709"/>
        <w:jc w:val="both"/>
        <w:rPr>
          <w:rFonts w:ascii="Times New Roman" w:hAnsi="Times New Roman"/>
          <w:noProof/>
          <w:kern w:val="0"/>
        </w:rPr>
      </w:pPr>
      <w:r>
        <w:rPr>
          <w:rFonts w:ascii="Times New Roman" w:hAnsi="Times New Roman"/>
        </w:rPr>
        <w:t>• body weight control;</w:t>
      </w:r>
    </w:p>
    <w:p w14:paraId="21D9E516" w14:textId="77777777" w:rsidR="00136A25" w:rsidRPr="00B10F87" w:rsidRDefault="00136A25" w:rsidP="0071194B">
      <w:pPr>
        <w:spacing w:after="0" w:line="240" w:lineRule="auto"/>
        <w:ind w:firstLine="709"/>
        <w:jc w:val="both"/>
        <w:rPr>
          <w:rFonts w:ascii="Times New Roman" w:hAnsi="Times New Roman"/>
          <w:noProof/>
          <w:kern w:val="0"/>
        </w:rPr>
      </w:pPr>
      <w:r>
        <w:rPr>
          <w:rFonts w:ascii="Times New Roman" w:hAnsi="Times New Roman"/>
        </w:rPr>
        <w:t>• reduced risk of falls and bone fractures;</w:t>
      </w:r>
    </w:p>
    <w:p w14:paraId="3F363C88" w14:textId="77777777" w:rsidR="00136A25" w:rsidRPr="00B10F87" w:rsidRDefault="00136A25" w:rsidP="0071194B">
      <w:pPr>
        <w:spacing w:after="0" w:line="240" w:lineRule="auto"/>
        <w:ind w:firstLine="709"/>
        <w:jc w:val="both"/>
        <w:rPr>
          <w:rFonts w:ascii="Times New Roman" w:hAnsi="Times New Roman"/>
          <w:noProof/>
          <w:kern w:val="0"/>
        </w:rPr>
      </w:pPr>
      <w:r>
        <w:rPr>
          <w:rFonts w:ascii="Times New Roman" w:hAnsi="Times New Roman"/>
        </w:rPr>
        <w:t>• reduced stress levels and symptoms of depression;</w:t>
      </w:r>
    </w:p>
    <w:p w14:paraId="1EBD0872" w14:textId="77777777" w:rsidR="00136A25" w:rsidRPr="00B10F87" w:rsidRDefault="00136A25" w:rsidP="0071194B">
      <w:pPr>
        <w:spacing w:after="0" w:line="240" w:lineRule="auto"/>
        <w:ind w:firstLine="709"/>
        <w:jc w:val="both"/>
        <w:rPr>
          <w:rFonts w:ascii="Times New Roman" w:hAnsi="Times New Roman"/>
          <w:noProof/>
          <w:kern w:val="0"/>
        </w:rPr>
      </w:pPr>
      <w:r>
        <w:rPr>
          <w:rFonts w:ascii="Times New Roman" w:hAnsi="Times New Roman"/>
        </w:rPr>
        <w:t>• reduced risk of developing neurodegenerative diseases and dementia;</w:t>
      </w:r>
    </w:p>
    <w:p w14:paraId="54F9CB7D" w14:textId="77777777" w:rsidR="00136A25" w:rsidRPr="00B10F87" w:rsidRDefault="00136A25" w:rsidP="0071194B">
      <w:pPr>
        <w:spacing w:after="0" w:line="240" w:lineRule="auto"/>
        <w:ind w:firstLine="709"/>
        <w:jc w:val="both"/>
        <w:rPr>
          <w:rFonts w:ascii="Times New Roman" w:hAnsi="Times New Roman"/>
          <w:noProof/>
          <w:kern w:val="0"/>
        </w:rPr>
      </w:pPr>
      <w:r>
        <w:rPr>
          <w:rFonts w:ascii="Times New Roman" w:hAnsi="Times New Roman"/>
        </w:rPr>
        <w:t>• prevention of risk of anxiety and depression.</w:t>
      </w:r>
    </w:p>
    <w:p w14:paraId="2381AC7A" w14:textId="77777777" w:rsidR="0071194B" w:rsidRDefault="0071194B" w:rsidP="00122210">
      <w:pPr>
        <w:spacing w:after="0" w:line="240" w:lineRule="auto"/>
        <w:jc w:val="both"/>
        <w:rPr>
          <w:rFonts w:ascii="Times New Roman" w:hAnsi="Times New Roman"/>
          <w:noProof/>
          <w:kern w:val="0"/>
          <w:lang w:val="lv-LV"/>
        </w:rPr>
      </w:pPr>
    </w:p>
    <w:p w14:paraId="0E005E98" w14:textId="48BD5C10" w:rsidR="00136A25" w:rsidRPr="00B10F87" w:rsidRDefault="00136A25" w:rsidP="00ED787D">
      <w:pPr>
        <w:spacing w:after="0" w:line="240" w:lineRule="auto"/>
        <w:ind w:firstLine="709"/>
        <w:jc w:val="both"/>
        <w:rPr>
          <w:rFonts w:ascii="Times New Roman" w:hAnsi="Times New Roman"/>
          <w:noProof/>
          <w:kern w:val="0"/>
        </w:rPr>
      </w:pPr>
      <w:r>
        <w:rPr>
          <w:rFonts w:ascii="Times New Roman" w:hAnsi="Times New Roman"/>
        </w:rPr>
        <w:t>To gain health benefits, engaging in physical activity of any intensity and duration is better than being physically inactive. Physical activity tailored to an individual is recommended for everyone, regardless of their age, gender, physiological and functional condition.</w:t>
      </w:r>
      <w:r>
        <w:rPr>
          <w:rFonts w:ascii="Times New Roman" w:hAnsi="Times New Roman"/>
          <w:vertAlign w:val="superscript"/>
        </w:rPr>
        <w:t>37</w:t>
      </w:r>
    </w:p>
    <w:p w14:paraId="6293066B" w14:textId="77777777" w:rsidR="00ED787D" w:rsidRDefault="00ED787D" w:rsidP="00122210">
      <w:pPr>
        <w:spacing w:after="0" w:line="240" w:lineRule="auto"/>
        <w:jc w:val="both"/>
        <w:rPr>
          <w:rFonts w:ascii="Times New Roman" w:hAnsi="Times New Roman"/>
          <w:noProof/>
          <w:kern w:val="0"/>
          <w:lang w:val="lv-LV"/>
        </w:rPr>
      </w:pPr>
    </w:p>
    <w:p w14:paraId="3F399B13" w14:textId="3C5D4E56" w:rsidR="00136A25" w:rsidRPr="00B10F87" w:rsidRDefault="00136A25" w:rsidP="00ED787D">
      <w:pPr>
        <w:spacing w:after="0" w:line="240" w:lineRule="auto"/>
        <w:ind w:firstLine="709"/>
        <w:jc w:val="both"/>
        <w:rPr>
          <w:rFonts w:ascii="Times New Roman" w:hAnsi="Times New Roman"/>
          <w:noProof/>
          <w:kern w:val="0"/>
        </w:rPr>
      </w:pPr>
      <w:r>
        <w:rPr>
          <w:rFonts w:ascii="Times New Roman" w:hAnsi="Times New Roman"/>
        </w:rPr>
        <w:t xml:space="preserve">Conversely, sedentary behaviour has significant negative health effects, such as </w:t>
      </w:r>
      <w:r>
        <w:rPr>
          <w:rFonts w:ascii="Times New Roman" w:hAnsi="Times New Roman"/>
          <w:b/>
          <w:bCs/>
        </w:rPr>
        <w:t>reduced bone mineral density</w:t>
      </w:r>
      <w:r>
        <w:rPr>
          <w:rFonts w:ascii="Times New Roman" w:hAnsi="Times New Roman"/>
        </w:rPr>
        <w:t xml:space="preserve">, </w:t>
      </w:r>
      <w:r>
        <w:rPr>
          <w:rFonts w:ascii="Times New Roman" w:hAnsi="Times New Roman"/>
          <w:b/>
          <w:bCs/>
        </w:rPr>
        <w:t>hypertension</w:t>
      </w:r>
      <w:r>
        <w:rPr>
          <w:rFonts w:ascii="Times New Roman" w:hAnsi="Times New Roman"/>
        </w:rPr>
        <w:t xml:space="preserve">, </w:t>
      </w:r>
      <w:r>
        <w:rPr>
          <w:rFonts w:ascii="Times New Roman" w:hAnsi="Times New Roman"/>
          <w:b/>
          <w:bCs/>
        </w:rPr>
        <w:t>dyslipidemia</w:t>
      </w:r>
      <w:r>
        <w:rPr>
          <w:rFonts w:ascii="Times New Roman" w:hAnsi="Times New Roman"/>
        </w:rPr>
        <w:t xml:space="preserve">, and </w:t>
      </w:r>
      <w:r>
        <w:rPr>
          <w:rFonts w:ascii="Times New Roman" w:hAnsi="Times New Roman"/>
          <w:b/>
          <w:bCs/>
        </w:rPr>
        <w:t>elevated risk of chronic diseases</w:t>
      </w:r>
      <w:r>
        <w:rPr>
          <w:rFonts w:ascii="Times New Roman" w:hAnsi="Times New Roman"/>
        </w:rPr>
        <w:t>.</w:t>
      </w:r>
      <w:r>
        <w:rPr>
          <w:rFonts w:ascii="Times New Roman" w:hAnsi="Times New Roman"/>
          <w:b/>
        </w:rPr>
        <w:t> </w:t>
      </w:r>
      <w:r>
        <w:rPr>
          <w:rFonts w:ascii="Times New Roman" w:hAnsi="Times New Roman"/>
        </w:rPr>
        <w:t>Sedentary behaviour is associated with excess body weight and non-communicable diseases, including coronary artery diseases, stroke, diabetes, obesity, and also certain oncological diseases. The total sedentary time has been proven to be associated with risks of all-cause mortality. In a study comparing people with more than10 hours of sitting time per day and those with less than five hours of sitting time per day, the sitting time was significantly correlated with all-cause mortality.</w:t>
      </w:r>
      <w:r>
        <w:rPr>
          <w:rFonts w:ascii="Times New Roman" w:hAnsi="Times New Roman"/>
          <w:vertAlign w:val="superscript"/>
        </w:rPr>
        <w:t>38</w:t>
      </w:r>
    </w:p>
    <w:p w14:paraId="4E4855A6" w14:textId="77777777" w:rsidR="00ED787D" w:rsidRDefault="00ED787D" w:rsidP="00122210">
      <w:pPr>
        <w:spacing w:after="0" w:line="240" w:lineRule="auto"/>
        <w:jc w:val="both"/>
        <w:rPr>
          <w:rFonts w:ascii="Times New Roman" w:hAnsi="Times New Roman"/>
          <w:noProof/>
          <w:kern w:val="0"/>
          <w:lang w:val="lv-LV"/>
        </w:rPr>
      </w:pPr>
    </w:p>
    <w:p w14:paraId="1FFF080A" w14:textId="65E2F11A" w:rsidR="00136A25" w:rsidRDefault="00136A25" w:rsidP="00ED787D">
      <w:pPr>
        <w:spacing w:after="0" w:line="240" w:lineRule="auto"/>
        <w:ind w:firstLine="709"/>
        <w:jc w:val="both"/>
        <w:rPr>
          <w:rFonts w:ascii="Times New Roman" w:hAnsi="Times New Roman"/>
          <w:noProof/>
          <w:kern w:val="0"/>
        </w:rPr>
      </w:pPr>
      <w:r>
        <w:rPr>
          <w:rFonts w:ascii="Times New Roman" w:hAnsi="Times New Roman"/>
        </w:rPr>
        <w:t>A study</w:t>
      </w:r>
      <w:r>
        <w:rPr>
          <w:rFonts w:ascii="Times New Roman" w:hAnsi="Times New Roman"/>
          <w:vertAlign w:val="superscript"/>
        </w:rPr>
        <w:t>39</w:t>
      </w:r>
      <w:r>
        <w:rPr>
          <w:rFonts w:ascii="Times New Roman" w:hAnsi="Times New Roman"/>
        </w:rPr>
        <w:t xml:space="preserve"> shows that a lack of physical activity has also a direct economic impact, namely, it has been estimated that Latvia loses more than 966 904 working days annually due to employees who engage in insufficient physical activity. Each physically inactive employee costs the Latvian economy EUR 814.21 annually, and decreased productivity caused by lack of activity results in a </w:t>
      </w:r>
      <w:r>
        <w:rPr>
          <w:rFonts w:ascii="Times New Roman" w:hAnsi="Times New Roman"/>
          <w:b/>
          <w:bCs/>
        </w:rPr>
        <w:t>negative impact on the State budget revenue, reducing it by EUR 41.5 million</w:t>
      </w:r>
      <w:r>
        <w:rPr>
          <w:rFonts w:ascii="Times New Roman" w:hAnsi="Times New Roman"/>
        </w:rPr>
        <w:t>; therefore, both employers and the State in general are interested in motivating the population to be active not only in terms of health but also economically.</w:t>
      </w:r>
    </w:p>
    <w:p w14:paraId="3BA6E4C5" w14:textId="77777777" w:rsidR="00340C5F" w:rsidRPr="00B10F87" w:rsidRDefault="00340C5F" w:rsidP="00ED787D">
      <w:pPr>
        <w:spacing w:after="0" w:line="240" w:lineRule="auto"/>
        <w:ind w:firstLine="709"/>
        <w:jc w:val="both"/>
        <w:rPr>
          <w:rFonts w:ascii="Times New Roman" w:hAnsi="Times New Roman"/>
          <w:noProof/>
          <w:kern w:val="0"/>
          <w:lang w:val="lv-LV"/>
        </w:rPr>
      </w:pPr>
    </w:p>
    <w:p w14:paraId="15E41CD6" w14:textId="77777777" w:rsidR="00136A25" w:rsidRDefault="00136A25" w:rsidP="00340C5F">
      <w:pPr>
        <w:tabs>
          <w:tab w:val="left" w:pos="709"/>
        </w:tabs>
        <w:spacing w:after="0" w:line="240" w:lineRule="auto"/>
        <w:ind w:firstLine="709"/>
        <w:jc w:val="both"/>
        <w:rPr>
          <w:rFonts w:ascii="Times New Roman" w:hAnsi="Times New Roman"/>
          <w:b/>
          <w:bCs/>
          <w:noProof/>
          <w:kern w:val="0"/>
          <w:vertAlign w:val="superscript"/>
        </w:rPr>
      </w:pPr>
      <w:r>
        <w:rPr>
          <w:rFonts w:ascii="Times New Roman" w:hAnsi="Times New Roman"/>
        </w:rPr>
        <w:t>Employees suffering from chronic diseases in Latvia (with all other factors remaining unchanged) earn 8 % less than healthy employees. Gradual improvement of the health status of the Latvian population to the average level of the EU countries with a high employment rate can accelerate the annual GDP growth rate of Latvia. </w:t>
      </w:r>
      <w:r>
        <w:rPr>
          <w:rFonts w:ascii="Times New Roman" w:hAnsi="Times New Roman"/>
          <w:b/>
        </w:rPr>
        <w:t>Improvement of the health status plays a key role in both reducing premature mortality and activating internal labour force reserves.</w:t>
      </w:r>
      <w:r>
        <w:rPr>
          <w:rFonts w:ascii="Times New Roman" w:hAnsi="Times New Roman"/>
          <w:b/>
          <w:vertAlign w:val="superscript"/>
        </w:rPr>
        <w:t>40</w:t>
      </w:r>
    </w:p>
    <w:p w14:paraId="6AC45C4A" w14:textId="77777777" w:rsidR="00340C5F" w:rsidRPr="00B10F87" w:rsidRDefault="00340C5F" w:rsidP="00340C5F">
      <w:pPr>
        <w:tabs>
          <w:tab w:val="left" w:pos="709"/>
        </w:tabs>
        <w:spacing w:after="0" w:line="240" w:lineRule="auto"/>
        <w:ind w:firstLine="709"/>
        <w:jc w:val="both"/>
        <w:rPr>
          <w:rFonts w:ascii="Times New Roman" w:hAnsi="Times New Roman"/>
          <w:noProof/>
          <w:kern w:val="0"/>
          <w:lang w:val="lv-LV"/>
        </w:rPr>
      </w:pPr>
    </w:p>
    <w:p w14:paraId="6B32EFDE" w14:textId="77777777" w:rsidR="00136A25" w:rsidRDefault="00136A25" w:rsidP="00340C5F">
      <w:pPr>
        <w:tabs>
          <w:tab w:val="left" w:pos="709"/>
        </w:tabs>
        <w:spacing w:after="0" w:line="240" w:lineRule="auto"/>
        <w:ind w:firstLine="709"/>
        <w:jc w:val="both"/>
        <w:rPr>
          <w:rFonts w:ascii="Times New Roman" w:hAnsi="Times New Roman"/>
          <w:noProof/>
          <w:kern w:val="0"/>
        </w:rPr>
      </w:pPr>
      <w:r>
        <w:rPr>
          <w:rFonts w:ascii="Times New Roman" w:hAnsi="Times New Roman"/>
        </w:rPr>
        <w:t>Studies have proven the impact of alcohol consumption on the development of overweight and general and abdominal obesity.</w:t>
      </w:r>
      <w:r>
        <w:rPr>
          <w:rFonts w:ascii="Times New Roman" w:hAnsi="Times New Roman"/>
          <w:vertAlign w:val="superscript"/>
        </w:rPr>
        <w:t>41</w:t>
      </w:r>
      <w:r>
        <w:rPr>
          <w:rFonts w:ascii="Times New Roman" w:hAnsi="Times New Roman"/>
        </w:rPr>
        <w:t xml:space="preserve"> This is associated with excess calorie intake and the impact of alcohol on hormones that stimulate appetite and inhibit the fat oxidation processes, thereby increasing fat reserves in the body.</w:t>
      </w:r>
      <w:r>
        <w:rPr>
          <w:rFonts w:ascii="Times New Roman" w:hAnsi="Times New Roman"/>
          <w:vertAlign w:val="superscript"/>
        </w:rPr>
        <w:t>42</w:t>
      </w:r>
      <w:r>
        <w:rPr>
          <w:rFonts w:ascii="Times New Roman" w:hAnsi="Times New Roman"/>
        </w:rPr>
        <w:t xml:space="preserve"> The reported alcohol consumption in Latvia is the highest among EU and OECD countries.</w:t>
      </w:r>
      <w:r>
        <w:rPr>
          <w:rFonts w:ascii="Times New Roman" w:hAnsi="Times New Roman"/>
          <w:vertAlign w:val="superscript"/>
        </w:rPr>
        <w:t>43</w:t>
      </w:r>
      <w:r>
        <w:rPr>
          <w:rFonts w:ascii="Times New Roman" w:hAnsi="Times New Roman"/>
        </w:rPr>
        <w:t xml:space="preserve"> In order to reduce alcohol consumption, both the Guidelines and the Plan for the Improvement of Preventive Measures and Healthcare Services to Reduce the Prevalence of Alcohol Consumption and Drug Use 2023–2025</w:t>
      </w:r>
      <w:r>
        <w:rPr>
          <w:rFonts w:ascii="Times New Roman" w:hAnsi="Times New Roman"/>
          <w:vertAlign w:val="superscript"/>
        </w:rPr>
        <w:t>44</w:t>
      </w:r>
      <w:r>
        <w:rPr>
          <w:rFonts w:ascii="Times New Roman" w:hAnsi="Times New Roman"/>
        </w:rPr>
        <w:t xml:space="preserve"> provide for measures aimed at promoting the change of habits and treating alcoholism.</w:t>
      </w:r>
    </w:p>
    <w:p w14:paraId="7358F6EF" w14:textId="77777777" w:rsidR="00340C5F" w:rsidRPr="00B10F87" w:rsidRDefault="00340C5F" w:rsidP="00122210">
      <w:pPr>
        <w:spacing w:after="0" w:line="240" w:lineRule="auto"/>
        <w:jc w:val="both"/>
        <w:rPr>
          <w:rFonts w:ascii="Times New Roman" w:hAnsi="Times New Roman"/>
          <w:noProof/>
          <w:kern w:val="0"/>
          <w:lang w:val="lv-LV"/>
        </w:rPr>
      </w:pPr>
    </w:p>
    <w:p w14:paraId="1C290559" w14:textId="77777777" w:rsidR="00136A25" w:rsidRDefault="00136A25" w:rsidP="003833D4">
      <w:pPr>
        <w:spacing w:after="0" w:line="240" w:lineRule="auto"/>
        <w:jc w:val="center"/>
        <w:rPr>
          <w:rFonts w:ascii="Times New Roman" w:hAnsi="Times New Roman"/>
          <w:b/>
          <w:bCs/>
          <w:noProof/>
          <w:kern w:val="0"/>
        </w:rPr>
      </w:pPr>
      <w:r>
        <w:rPr>
          <w:rFonts w:ascii="Times New Roman" w:hAnsi="Times New Roman"/>
          <w:b/>
        </w:rPr>
        <w:t>3.2. Improvement of Dietary Habits and Physical Activity among the Latvian Population to Prevent the Development of Overweight (Primary Prevention)</w:t>
      </w:r>
    </w:p>
    <w:p w14:paraId="0024F54D" w14:textId="77777777" w:rsidR="00340C5F" w:rsidRPr="00B10F87" w:rsidRDefault="00340C5F" w:rsidP="00122210">
      <w:pPr>
        <w:spacing w:after="0" w:line="240" w:lineRule="auto"/>
        <w:jc w:val="both"/>
        <w:rPr>
          <w:rFonts w:ascii="Times New Roman" w:hAnsi="Times New Roman"/>
          <w:b/>
          <w:bCs/>
          <w:noProof/>
          <w:kern w:val="0"/>
          <w:lang w:val="lv-LV"/>
        </w:rPr>
      </w:pPr>
    </w:p>
    <w:p w14:paraId="6CBED7CF" w14:textId="77777777" w:rsidR="00136A25" w:rsidRDefault="00136A25" w:rsidP="00340C5F">
      <w:pPr>
        <w:spacing w:after="0" w:line="240" w:lineRule="auto"/>
        <w:ind w:firstLine="709"/>
        <w:jc w:val="both"/>
        <w:rPr>
          <w:rFonts w:ascii="Times New Roman" w:hAnsi="Times New Roman"/>
          <w:noProof/>
          <w:kern w:val="0"/>
        </w:rPr>
      </w:pPr>
      <w:r>
        <w:rPr>
          <w:rFonts w:ascii="Times New Roman" w:hAnsi="Times New Roman"/>
        </w:rPr>
        <w:t>Unhealthy dietary habits and insufficient physical activity are the most significant causes of overweight and obesity; therefore, in order to effectively limit the prevalence of excess body weight among the Latvian population, it is necessary to implement targeted measures to change daily habits, promoting increased physical activity and the adoption of healthy dietary habits.</w:t>
      </w:r>
    </w:p>
    <w:p w14:paraId="3CA3362B" w14:textId="77777777" w:rsidR="00340C5F" w:rsidRPr="00B10F87" w:rsidRDefault="00340C5F" w:rsidP="00122210">
      <w:pPr>
        <w:spacing w:after="0" w:line="240" w:lineRule="auto"/>
        <w:jc w:val="both"/>
        <w:rPr>
          <w:rFonts w:ascii="Times New Roman" w:hAnsi="Times New Roman"/>
          <w:noProof/>
          <w:kern w:val="0"/>
          <w:lang w:val="lv-LV"/>
        </w:rPr>
      </w:pPr>
    </w:p>
    <w:p w14:paraId="706A0E0B" w14:textId="77777777" w:rsidR="00136A25" w:rsidRDefault="00136A25" w:rsidP="003833D4">
      <w:pPr>
        <w:spacing w:after="0" w:line="240" w:lineRule="auto"/>
        <w:jc w:val="center"/>
        <w:rPr>
          <w:rFonts w:ascii="Times New Roman" w:hAnsi="Times New Roman"/>
          <w:b/>
          <w:bCs/>
          <w:noProof/>
          <w:kern w:val="0"/>
        </w:rPr>
      </w:pPr>
      <w:r>
        <w:rPr>
          <w:rFonts w:ascii="Times New Roman" w:hAnsi="Times New Roman"/>
          <w:b/>
        </w:rPr>
        <w:t>3.2.1. Change of Dietary Habits</w:t>
      </w:r>
    </w:p>
    <w:p w14:paraId="31159EC2" w14:textId="77777777" w:rsidR="00340C5F" w:rsidRPr="00B10F87" w:rsidRDefault="00340C5F" w:rsidP="00122210">
      <w:pPr>
        <w:spacing w:after="0" w:line="240" w:lineRule="auto"/>
        <w:jc w:val="both"/>
        <w:rPr>
          <w:rFonts w:ascii="Times New Roman" w:hAnsi="Times New Roman"/>
          <w:b/>
          <w:bCs/>
          <w:noProof/>
          <w:kern w:val="0"/>
          <w:lang w:val="lv-LV"/>
        </w:rPr>
      </w:pPr>
    </w:p>
    <w:p w14:paraId="2FA9A0ED" w14:textId="77777777" w:rsidR="00136A25" w:rsidRDefault="00136A25" w:rsidP="00340C5F">
      <w:pPr>
        <w:spacing w:after="0" w:line="240" w:lineRule="auto"/>
        <w:ind w:firstLine="709"/>
        <w:jc w:val="both"/>
        <w:rPr>
          <w:rFonts w:ascii="Times New Roman" w:hAnsi="Times New Roman"/>
          <w:noProof/>
          <w:kern w:val="0"/>
        </w:rPr>
      </w:pPr>
      <w:r>
        <w:rPr>
          <w:rFonts w:ascii="Times New Roman" w:hAnsi="Times New Roman"/>
        </w:rPr>
        <w:t>Skipping breakfast leads to snacking during the day and contributes to excess body weight in the long term.</w:t>
      </w:r>
      <w:r>
        <w:rPr>
          <w:rFonts w:ascii="Times New Roman" w:hAnsi="Times New Roman"/>
          <w:vertAlign w:val="superscript"/>
        </w:rPr>
        <w:t>45</w:t>
      </w:r>
      <w:r>
        <w:rPr>
          <w:rFonts w:ascii="Times New Roman" w:hAnsi="Times New Roman"/>
        </w:rPr>
        <w:t xml:space="preserve"> In recent years, the proportion of adolescents who regularly eat breakfast on weekdays keeps decreasing (see Figure 2). Accordingly, nearly half of children who do not include breakfast in their daily routine expose themselves to a significant risk factor for overweight and obesity.</w:t>
      </w:r>
    </w:p>
    <w:p w14:paraId="53396525" w14:textId="77777777" w:rsidR="00340C5F" w:rsidRDefault="00340C5F" w:rsidP="00340C5F">
      <w:pPr>
        <w:spacing w:after="0" w:line="240" w:lineRule="auto"/>
        <w:ind w:firstLine="709"/>
        <w:jc w:val="both"/>
        <w:rPr>
          <w:rFonts w:ascii="Times New Roman" w:hAnsi="Times New Roman"/>
          <w:noProof/>
          <w:kern w:val="0"/>
          <w:lang w:val="lv-LV"/>
        </w:rPr>
      </w:pPr>
    </w:p>
    <w:p w14:paraId="6D96961E" w14:textId="43135523" w:rsidR="00A95088" w:rsidRPr="00A95088" w:rsidRDefault="00CA3F62" w:rsidP="00A95088">
      <w:pPr>
        <w:spacing w:after="0" w:line="240" w:lineRule="auto"/>
        <w:jc w:val="center"/>
        <w:rPr>
          <w:rFonts w:ascii="Times New Roman" w:hAnsi="Times New Roman"/>
          <w:noProof/>
          <w:kern w:val="0"/>
        </w:rPr>
      </w:pPr>
      <w:r>
        <w:rPr>
          <w:rFonts w:ascii="Times New Roman" w:hAnsi="Times New Roman"/>
        </w:rPr>
        <w:t xml:space="preserve">Figure 2. </w:t>
      </w:r>
      <w:r w:rsidRPr="00A95088">
        <w:rPr>
          <w:rFonts w:ascii="Times New Roman" w:hAnsi="Times New Roman"/>
          <w:b/>
          <w:bCs/>
        </w:rPr>
        <w:t>Trends in breakfast consumption</w:t>
      </w:r>
    </w:p>
    <w:p w14:paraId="198F715A" w14:textId="43D8C1FB" w:rsidR="00136A25" w:rsidRPr="00B10F87" w:rsidRDefault="00A95088" w:rsidP="00122210">
      <w:pPr>
        <w:spacing w:after="0" w:line="240" w:lineRule="auto"/>
        <w:jc w:val="both"/>
        <w:rPr>
          <w:rFonts w:ascii="Times New Roman" w:hAnsi="Times New Roman"/>
          <w:noProof/>
          <w:kern w:val="0"/>
        </w:rPr>
      </w:pPr>
      <w:r w:rsidRPr="00A95088">
        <w:rPr>
          <w:rFonts w:ascii="Times New Roman" w:hAnsi="Times New Roman"/>
          <w:noProof/>
        </w:rPr>
        <w:drawing>
          <wp:inline distT="0" distB="0" distL="0" distR="0" wp14:anchorId="32E04DBC" wp14:editId="74783D68">
            <wp:extent cx="5591174" cy="2387131"/>
            <wp:effectExtent l="0" t="0" r="0" b="0"/>
            <wp:docPr id="183572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2907" name=""/>
                    <pic:cNvPicPr/>
                  </pic:nvPicPr>
                  <pic:blipFill rotWithShape="1">
                    <a:blip r:embed="rId11"/>
                    <a:srcRect l="-11" t="10173" r="11"/>
                    <a:stretch>
                      <a:fillRect/>
                    </a:stretch>
                  </pic:blipFill>
                  <pic:spPr bwMode="auto">
                    <a:xfrm>
                      <a:off x="0" y="0"/>
                      <a:ext cx="5591955" cy="2387464"/>
                    </a:xfrm>
                    <a:prstGeom prst="rect">
                      <a:avLst/>
                    </a:prstGeom>
                    <a:ln>
                      <a:noFill/>
                    </a:ln>
                    <a:extLst>
                      <a:ext uri="{53640926-AAD7-44D8-BBD7-CCE9431645EC}">
                        <a14:shadowObscured xmlns:a14="http://schemas.microsoft.com/office/drawing/2010/main"/>
                      </a:ext>
                    </a:extLst>
                  </pic:spPr>
                </pic:pic>
              </a:graphicData>
            </a:graphic>
          </wp:inline>
        </w:drawing>
      </w:r>
    </w:p>
    <w:p w14:paraId="3AE4700C" w14:textId="77777777" w:rsidR="00204F60" w:rsidRDefault="00204F60" w:rsidP="00122210">
      <w:pPr>
        <w:spacing w:after="0" w:line="240" w:lineRule="auto"/>
        <w:jc w:val="both"/>
        <w:rPr>
          <w:rFonts w:ascii="Times New Roman" w:hAnsi="Times New Roman"/>
          <w:noProof/>
          <w:kern w:val="0"/>
          <w:lang w:val="lv-LV"/>
        </w:rPr>
      </w:pPr>
    </w:p>
    <w:p w14:paraId="2EFC4796" w14:textId="15821821" w:rsidR="00136A25" w:rsidRDefault="00136A25" w:rsidP="00CC5A9C">
      <w:pPr>
        <w:spacing w:after="0" w:line="240" w:lineRule="auto"/>
        <w:ind w:firstLine="709"/>
        <w:jc w:val="both"/>
        <w:rPr>
          <w:rFonts w:ascii="Times New Roman" w:hAnsi="Times New Roman"/>
          <w:noProof/>
          <w:kern w:val="0"/>
        </w:rPr>
      </w:pPr>
      <w:r>
        <w:rPr>
          <w:rFonts w:ascii="Times New Roman" w:hAnsi="Times New Roman"/>
        </w:rPr>
        <w:t>For health promotion, it is recommended to include at least five portions of fruits, berries, and vegetables in the daily diet;</w:t>
      </w:r>
      <w:r>
        <w:rPr>
          <w:rFonts w:ascii="Times New Roman" w:hAnsi="Times New Roman"/>
          <w:vertAlign w:val="superscript"/>
        </w:rPr>
        <w:t>46</w:t>
      </w:r>
      <w:r>
        <w:rPr>
          <w:rFonts w:ascii="Times New Roman" w:hAnsi="Times New Roman"/>
        </w:rPr>
        <w:t xml:space="preserve"> however, in Latvia, both children and adults </w:t>
      </w:r>
      <w:r>
        <w:rPr>
          <w:rFonts w:ascii="Times New Roman" w:hAnsi="Times New Roman"/>
          <w:b/>
          <w:bCs/>
        </w:rPr>
        <w:t>consume insufficient amounts of fruits, berries, and vegetables</w:t>
      </w:r>
      <w:r>
        <w:rPr>
          <w:rFonts w:ascii="Times New Roman" w:hAnsi="Times New Roman"/>
        </w:rPr>
        <w:t>, significantly lagging behind the average consumption indicators of European countries.</w:t>
      </w:r>
      <w:r>
        <w:rPr>
          <w:rFonts w:ascii="Times New Roman" w:hAnsi="Times New Roman"/>
          <w:vertAlign w:val="superscript"/>
        </w:rPr>
        <w:t>47</w:t>
      </w:r>
      <w:r>
        <w:rPr>
          <w:rFonts w:ascii="Times New Roman" w:hAnsi="Times New Roman"/>
        </w:rPr>
        <w:t xml:space="preserve"> Nevertheless, a positive long-term trend can be observed, namely, adolescents are increasingly less likely to consume sweets and sweetened, non-alcoholic beverages.</w:t>
      </w:r>
      <w:r>
        <w:rPr>
          <w:rFonts w:ascii="Times New Roman" w:hAnsi="Times New Roman"/>
          <w:vertAlign w:val="superscript"/>
        </w:rPr>
        <w:t>48</w:t>
      </w:r>
      <w:r>
        <w:rPr>
          <w:rFonts w:ascii="Times New Roman" w:hAnsi="Times New Roman"/>
        </w:rPr>
        <w:t xml:space="preserve"> The impact of the COVID-19 pandemic contributed to a deterioration of habits in 2022 compared to 2018 (see Figure 3).</w:t>
      </w:r>
    </w:p>
    <w:p w14:paraId="369B883C" w14:textId="77777777" w:rsidR="00CC5A9C" w:rsidRDefault="00CC5A9C" w:rsidP="00CC5A9C">
      <w:pPr>
        <w:spacing w:after="0" w:line="240" w:lineRule="auto"/>
        <w:ind w:firstLine="709"/>
        <w:jc w:val="both"/>
        <w:rPr>
          <w:rFonts w:ascii="Times New Roman" w:hAnsi="Times New Roman"/>
          <w:noProof/>
          <w:kern w:val="0"/>
          <w:lang w:val="lv-LV"/>
        </w:rPr>
      </w:pPr>
    </w:p>
    <w:p w14:paraId="19F9BEF4" w14:textId="4690CF69" w:rsidR="0043771B" w:rsidRPr="0043771B" w:rsidRDefault="00C27D95" w:rsidP="002A3FA6">
      <w:pPr>
        <w:keepNext/>
        <w:keepLines/>
        <w:spacing w:after="0" w:line="240" w:lineRule="auto"/>
        <w:ind w:firstLine="709"/>
        <w:jc w:val="center"/>
        <w:rPr>
          <w:rFonts w:ascii="Times New Roman" w:hAnsi="Times New Roman"/>
          <w:b/>
          <w:bCs/>
          <w:noProof/>
          <w:kern w:val="0"/>
        </w:rPr>
      </w:pPr>
      <w:r>
        <w:rPr>
          <w:rFonts w:ascii="Times New Roman" w:hAnsi="Times New Roman"/>
        </w:rPr>
        <w:lastRenderedPageBreak/>
        <w:t xml:space="preserve">Figure 3. </w:t>
      </w:r>
      <w:r w:rsidRPr="0043771B">
        <w:rPr>
          <w:rFonts w:ascii="Times New Roman" w:hAnsi="Times New Roman"/>
          <w:b/>
          <w:bCs/>
        </w:rPr>
        <w:t>Dietary habits (food consumption at least once a day) of adolescents (aged 11–15)</w:t>
      </w:r>
    </w:p>
    <w:p w14:paraId="1F5320AF" w14:textId="60723F78" w:rsidR="00136A25" w:rsidRPr="00B10F87" w:rsidRDefault="0043771B" w:rsidP="002A3FA6">
      <w:pPr>
        <w:keepNext/>
        <w:keepLines/>
        <w:spacing w:after="0" w:line="240" w:lineRule="auto"/>
        <w:jc w:val="both"/>
        <w:rPr>
          <w:rFonts w:ascii="Times New Roman" w:hAnsi="Times New Roman"/>
          <w:noProof/>
          <w:kern w:val="0"/>
        </w:rPr>
      </w:pPr>
      <w:r w:rsidRPr="0043771B">
        <w:rPr>
          <w:rFonts w:ascii="Times New Roman" w:hAnsi="Times New Roman"/>
          <w:noProof/>
        </w:rPr>
        <w:drawing>
          <wp:inline distT="0" distB="0" distL="0" distR="0" wp14:anchorId="65176134" wp14:editId="6463B70C">
            <wp:extent cx="5600701" cy="2683731"/>
            <wp:effectExtent l="0" t="0" r="0" b="2540"/>
            <wp:docPr id="238421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21914" name=""/>
                    <pic:cNvPicPr/>
                  </pic:nvPicPr>
                  <pic:blipFill rotWithShape="1">
                    <a:blip r:embed="rId12"/>
                    <a:srcRect t="13571"/>
                    <a:stretch>
                      <a:fillRect/>
                    </a:stretch>
                  </pic:blipFill>
                  <pic:spPr bwMode="auto">
                    <a:xfrm>
                      <a:off x="0" y="0"/>
                      <a:ext cx="5601482" cy="2684105"/>
                    </a:xfrm>
                    <a:prstGeom prst="rect">
                      <a:avLst/>
                    </a:prstGeom>
                    <a:ln>
                      <a:noFill/>
                    </a:ln>
                    <a:extLst>
                      <a:ext uri="{53640926-AAD7-44D8-BBD7-CCE9431645EC}">
                        <a14:shadowObscured xmlns:a14="http://schemas.microsoft.com/office/drawing/2010/main"/>
                      </a:ext>
                    </a:extLst>
                  </pic:spPr>
                </pic:pic>
              </a:graphicData>
            </a:graphic>
          </wp:inline>
        </w:drawing>
      </w:r>
      <w:r w:rsidRPr="0043771B">
        <w:rPr>
          <w:rFonts w:ascii="Times New Roman" w:hAnsi="Times New Roman"/>
          <w:noProof/>
        </w:rPr>
        <w:t xml:space="preserve"> </w:t>
      </w:r>
    </w:p>
    <w:p w14:paraId="3702DE05" w14:textId="77777777" w:rsidR="00DF402C" w:rsidRDefault="00DF402C" w:rsidP="00122210">
      <w:pPr>
        <w:spacing w:after="0" w:line="240" w:lineRule="auto"/>
        <w:jc w:val="both"/>
        <w:rPr>
          <w:rFonts w:ascii="Times New Roman" w:hAnsi="Times New Roman"/>
          <w:b/>
          <w:bCs/>
          <w:noProof/>
          <w:kern w:val="0"/>
          <w:lang w:val="lv-LV"/>
        </w:rPr>
      </w:pPr>
    </w:p>
    <w:p w14:paraId="53198F39" w14:textId="34B24B63" w:rsidR="00136A25" w:rsidRDefault="00136A25" w:rsidP="00D554DB">
      <w:pPr>
        <w:spacing w:after="0" w:line="240" w:lineRule="auto"/>
        <w:ind w:firstLine="709"/>
        <w:jc w:val="both"/>
        <w:rPr>
          <w:rFonts w:ascii="Times New Roman" w:hAnsi="Times New Roman"/>
          <w:noProof/>
          <w:kern w:val="0"/>
          <w:vertAlign w:val="superscript"/>
        </w:rPr>
      </w:pPr>
      <w:r>
        <w:rPr>
          <w:rFonts w:ascii="Times New Roman" w:hAnsi="Times New Roman"/>
          <w:b/>
          <w:bCs/>
        </w:rPr>
        <w:t>Although the dietary habits of adults are generally unhealthy</w:t>
      </w:r>
      <w:r>
        <w:rPr>
          <w:rFonts w:ascii="Times New Roman" w:hAnsi="Times New Roman"/>
        </w:rPr>
        <w:t>, positive trends have been observed in the recent years, namely, an increased consumption of fresh vegetables, fruits, and berries. However, the consumption of biscuits, cakes, and sweets has increased slightly in daily nutrition (see Figure 4).</w:t>
      </w:r>
      <w:r>
        <w:rPr>
          <w:rFonts w:ascii="Times New Roman" w:hAnsi="Times New Roman"/>
          <w:vertAlign w:val="superscript"/>
        </w:rPr>
        <w:t>49</w:t>
      </w:r>
    </w:p>
    <w:p w14:paraId="3EAC052D" w14:textId="77777777" w:rsidR="00E12F8A" w:rsidRDefault="00E12F8A" w:rsidP="00122210">
      <w:pPr>
        <w:spacing w:after="0" w:line="240" w:lineRule="auto"/>
        <w:jc w:val="both"/>
        <w:rPr>
          <w:rFonts w:ascii="Times New Roman" w:hAnsi="Times New Roman"/>
          <w:noProof/>
          <w:kern w:val="0"/>
          <w:lang w:val="lv-LV"/>
        </w:rPr>
      </w:pPr>
    </w:p>
    <w:p w14:paraId="40B275DD" w14:textId="4F35F8FD" w:rsidR="002B420B" w:rsidRPr="002B420B" w:rsidRDefault="00D554DB" w:rsidP="002B420B">
      <w:pPr>
        <w:spacing w:after="0" w:line="240" w:lineRule="auto"/>
        <w:jc w:val="center"/>
        <w:rPr>
          <w:rFonts w:ascii="Times New Roman" w:hAnsi="Times New Roman"/>
          <w:noProof/>
          <w:kern w:val="0"/>
        </w:rPr>
      </w:pPr>
      <w:r>
        <w:rPr>
          <w:rFonts w:ascii="Times New Roman" w:hAnsi="Times New Roman"/>
        </w:rPr>
        <w:t xml:space="preserve">Figure 4. </w:t>
      </w:r>
      <w:r w:rsidRPr="0043771B">
        <w:rPr>
          <w:rFonts w:ascii="Times New Roman" w:hAnsi="Times New Roman"/>
          <w:b/>
          <w:bCs/>
        </w:rPr>
        <w:t>Dietary habits (food consumption at least once a day) of the working-age population and population above the working age (aged 15–74)</w:t>
      </w:r>
    </w:p>
    <w:p w14:paraId="169859A6" w14:textId="2E4C5054" w:rsidR="00136A25" w:rsidRPr="00B10F87" w:rsidRDefault="002B420B" w:rsidP="00122210">
      <w:pPr>
        <w:spacing w:after="0" w:line="240" w:lineRule="auto"/>
        <w:jc w:val="both"/>
        <w:rPr>
          <w:rFonts w:ascii="Times New Roman" w:hAnsi="Times New Roman"/>
          <w:noProof/>
          <w:kern w:val="0"/>
        </w:rPr>
      </w:pPr>
      <w:r w:rsidRPr="002B420B">
        <w:rPr>
          <w:rFonts w:ascii="Times New Roman" w:hAnsi="Times New Roman"/>
          <w:noProof/>
        </w:rPr>
        <w:drawing>
          <wp:inline distT="0" distB="0" distL="0" distR="0" wp14:anchorId="119BF72A" wp14:editId="7AA530C1">
            <wp:extent cx="5524501" cy="2544086"/>
            <wp:effectExtent l="0" t="0" r="0" b="8890"/>
            <wp:docPr id="1175847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47506" name=""/>
                    <pic:cNvPicPr/>
                  </pic:nvPicPr>
                  <pic:blipFill rotWithShape="1">
                    <a:blip r:embed="rId13"/>
                    <a:srcRect t="13280"/>
                    <a:stretch>
                      <a:fillRect/>
                    </a:stretch>
                  </pic:blipFill>
                  <pic:spPr bwMode="auto">
                    <a:xfrm>
                      <a:off x="0" y="0"/>
                      <a:ext cx="5525271" cy="2544441"/>
                    </a:xfrm>
                    <a:prstGeom prst="rect">
                      <a:avLst/>
                    </a:prstGeom>
                    <a:ln>
                      <a:noFill/>
                    </a:ln>
                    <a:extLst>
                      <a:ext uri="{53640926-AAD7-44D8-BBD7-CCE9431645EC}">
                        <a14:shadowObscured xmlns:a14="http://schemas.microsoft.com/office/drawing/2010/main"/>
                      </a:ext>
                    </a:extLst>
                  </pic:spPr>
                </pic:pic>
              </a:graphicData>
            </a:graphic>
          </wp:inline>
        </w:drawing>
      </w:r>
      <w:r w:rsidRPr="002B420B">
        <w:rPr>
          <w:rFonts w:ascii="Times New Roman" w:hAnsi="Times New Roman"/>
          <w:noProof/>
        </w:rPr>
        <w:t xml:space="preserve"> </w:t>
      </w:r>
    </w:p>
    <w:p w14:paraId="371C819F" w14:textId="77777777" w:rsidR="00864FC1" w:rsidRDefault="00864FC1" w:rsidP="00122210">
      <w:pPr>
        <w:spacing w:after="0" w:line="240" w:lineRule="auto"/>
        <w:jc w:val="both"/>
        <w:rPr>
          <w:rFonts w:ascii="Times New Roman" w:hAnsi="Times New Roman"/>
          <w:noProof/>
          <w:kern w:val="0"/>
          <w:lang w:val="lv-LV"/>
        </w:rPr>
      </w:pPr>
    </w:p>
    <w:p w14:paraId="6DB3E3E8" w14:textId="52378600" w:rsidR="00136A25" w:rsidRDefault="00136A25" w:rsidP="00864FC1">
      <w:pPr>
        <w:spacing w:after="0" w:line="240" w:lineRule="auto"/>
        <w:ind w:firstLine="709"/>
        <w:jc w:val="both"/>
        <w:rPr>
          <w:rFonts w:ascii="Times New Roman" w:hAnsi="Times New Roman"/>
          <w:noProof/>
          <w:kern w:val="0"/>
        </w:rPr>
      </w:pPr>
      <w:r>
        <w:rPr>
          <w:rFonts w:ascii="Times New Roman" w:hAnsi="Times New Roman"/>
        </w:rPr>
        <w:t>Although dietary habits have improved over the long term, it is important to continue to implement measures aimed at promoting the adoption of healthy dietary habits in the daily routine and providing the population with the necessary skills by educating it on healthy food choices, eating patterns, and cooking, as studies show that the current level of health literacy among the Latvian population remains insufficient. For instance, individuals lack skills to objectively assess the amount of salt consumed through food and frequently use semi-processed food for home-cooked meals.</w:t>
      </w:r>
      <w:r>
        <w:rPr>
          <w:rFonts w:ascii="Times New Roman" w:hAnsi="Times New Roman"/>
          <w:vertAlign w:val="superscript"/>
        </w:rPr>
        <w:t>50</w:t>
      </w:r>
      <w:r>
        <w:rPr>
          <w:rFonts w:ascii="Times New Roman" w:hAnsi="Times New Roman"/>
        </w:rPr>
        <w:t xml:space="preserve"> They also tend to opt for industrially produced products that are energy-dense and high in saturated fatty acids, salt, and sugar, which is why it is crucial to educate the population on the benefits of home-cooked meals from the health, financial, and other perspectives. As part of the Plan, it is necessary to implement measures aimed at </w:t>
      </w:r>
      <w:r>
        <w:rPr>
          <w:rFonts w:ascii="Times New Roman" w:hAnsi="Times New Roman"/>
        </w:rPr>
        <w:lastRenderedPageBreak/>
        <w:t xml:space="preserve">promoting </w:t>
      </w:r>
      <w:r>
        <w:rPr>
          <w:rFonts w:ascii="Times New Roman" w:hAnsi="Times New Roman"/>
          <w:b/>
          <w:bCs/>
        </w:rPr>
        <w:t>healthy food choices</w:t>
      </w:r>
      <w:r>
        <w:rPr>
          <w:rFonts w:ascii="Times New Roman" w:hAnsi="Times New Roman"/>
        </w:rPr>
        <w:t xml:space="preserve">, the </w:t>
      </w:r>
      <w:r>
        <w:rPr>
          <w:rFonts w:ascii="Times New Roman" w:hAnsi="Times New Roman"/>
          <w:b/>
          <w:bCs/>
        </w:rPr>
        <w:t>change of dietary habits</w:t>
      </w:r>
      <w:r>
        <w:rPr>
          <w:rFonts w:ascii="Times New Roman" w:hAnsi="Times New Roman"/>
        </w:rPr>
        <w:t xml:space="preserve"> in the long term, and the </w:t>
      </w:r>
      <w:r>
        <w:rPr>
          <w:rFonts w:ascii="Times New Roman" w:hAnsi="Times New Roman"/>
          <w:b/>
          <w:bCs/>
        </w:rPr>
        <w:t>preparation of healthy meals</w:t>
      </w:r>
      <w:r>
        <w:rPr>
          <w:rFonts w:ascii="Times New Roman" w:hAnsi="Times New Roman"/>
        </w:rPr>
        <w:t>.</w:t>
      </w:r>
    </w:p>
    <w:p w14:paraId="77199AC1" w14:textId="77777777" w:rsidR="00864FC1" w:rsidRPr="00B10F87" w:rsidRDefault="00864FC1" w:rsidP="00864FC1">
      <w:pPr>
        <w:spacing w:after="0" w:line="240" w:lineRule="auto"/>
        <w:ind w:firstLine="709"/>
        <w:jc w:val="both"/>
        <w:rPr>
          <w:rFonts w:ascii="Times New Roman" w:hAnsi="Times New Roman"/>
          <w:noProof/>
          <w:kern w:val="0"/>
          <w:lang w:val="lv-LV"/>
        </w:rPr>
      </w:pPr>
    </w:p>
    <w:p w14:paraId="293B3ABC" w14:textId="77777777" w:rsidR="00136A25" w:rsidRPr="00B10F87" w:rsidRDefault="00136A25" w:rsidP="00864FC1">
      <w:pPr>
        <w:spacing w:after="0" w:line="240" w:lineRule="auto"/>
        <w:ind w:firstLine="709"/>
        <w:jc w:val="both"/>
        <w:rPr>
          <w:rFonts w:ascii="Times New Roman" w:hAnsi="Times New Roman"/>
          <w:noProof/>
          <w:kern w:val="0"/>
        </w:rPr>
      </w:pPr>
      <w:r>
        <w:rPr>
          <w:rFonts w:ascii="Times New Roman" w:hAnsi="Times New Roman"/>
        </w:rPr>
        <w:t>In the recent years, there has been a significant increase in the number of pregnant women with obesity (from 574 in 2013 to 1232 in 2023) and gestational diabetes (from 0.9 % in 2010 to 10.1 % in 2023).</w:t>
      </w:r>
      <w:r>
        <w:rPr>
          <w:rFonts w:ascii="Times New Roman" w:hAnsi="Times New Roman"/>
          <w:vertAlign w:val="superscript"/>
        </w:rPr>
        <w:t>51</w:t>
      </w:r>
      <w:r>
        <w:rPr>
          <w:rFonts w:ascii="Times New Roman" w:hAnsi="Times New Roman"/>
        </w:rPr>
        <w:t xml:space="preserve"> In light of the above, it is important to raise awareness about a healthy lifestyle (sufficient sleep, stress reduction, balance between a healthy diet and energy expenditure through physical activity) among </w:t>
      </w:r>
      <w:r>
        <w:rPr>
          <w:rFonts w:ascii="Times New Roman" w:hAnsi="Times New Roman"/>
          <w:b/>
          <w:bCs/>
        </w:rPr>
        <w:t>women of childbearing age and pregnant women</w:t>
      </w:r>
      <w:r>
        <w:rPr>
          <w:rFonts w:ascii="Times New Roman" w:hAnsi="Times New Roman"/>
        </w:rPr>
        <w:t>.</w:t>
      </w:r>
    </w:p>
    <w:p w14:paraId="0180E2AD" w14:textId="77777777" w:rsidR="00864FC1" w:rsidRDefault="00864FC1" w:rsidP="00122210">
      <w:pPr>
        <w:spacing w:after="0" w:line="240" w:lineRule="auto"/>
        <w:jc w:val="both"/>
        <w:rPr>
          <w:rFonts w:ascii="Times New Roman" w:hAnsi="Times New Roman"/>
          <w:noProof/>
          <w:kern w:val="0"/>
          <w:lang w:val="lv-LV"/>
        </w:rPr>
      </w:pPr>
    </w:p>
    <w:p w14:paraId="60491716" w14:textId="2C52D9F9" w:rsidR="00136A25" w:rsidRPr="00B10F87" w:rsidRDefault="00136A25" w:rsidP="00864FC1">
      <w:pPr>
        <w:spacing w:after="0" w:line="240" w:lineRule="auto"/>
        <w:ind w:firstLine="709"/>
        <w:jc w:val="both"/>
        <w:rPr>
          <w:rFonts w:ascii="Times New Roman" w:hAnsi="Times New Roman"/>
          <w:noProof/>
          <w:kern w:val="0"/>
        </w:rPr>
      </w:pPr>
      <w:r>
        <w:rPr>
          <w:rFonts w:ascii="Times New Roman" w:hAnsi="Times New Roman"/>
        </w:rPr>
        <w:t>For the prevention of excess body weight in children, exclusive breastfeeding</w:t>
      </w:r>
      <w:r>
        <w:rPr>
          <w:rFonts w:ascii="Times New Roman" w:hAnsi="Times New Roman"/>
          <w:vertAlign w:val="superscript"/>
        </w:rPr>
        <w:t>52</w:t>
      </w:r>
      <w:r>
        <w:rPr>
          <w:rFonts w:ascii="Times New Roman" w:hAnsi="Times New Roman"/>
        </w:rPr>
        <w:t xml:space="preserve"> in the first four to six months of life is crucial.</w:t>
      </w:r>
      <w:r>
        <w:rPr>
          <w:rFonts w:ascii="Times New Roman" w:hAnsi="Times New Roman"/>
          <w:vertAlign w:val="superscript"/>
        </w:rPr>
        <w:t>53</w:t>
      </w:r>
      <w:r>
        <w:rPr>
          <w:rFonts w:ascii="Times New Roman" w:hAnsi="Times New Roman"/>
        </w:rPr>
        <w:t xml:space="preserve"> Although the majority (74.3 %) of parents of preschool children report that their children were exclusively breastfed during infancy, the average duration of breastfeeding was very short – 3.7 months. It is recommended to continue breastfeeding (also following the introduction of complementary feeding) for at least the first year of life, given its positive impact on the health of the child and the mother, their bond, and the dietary habits and body weight of the child later in life; however, a study shows that in Latvia, nearly one fifth (19.2 %) of five-year old children were not breastfed during infancy or received breast milk for less than one month.</w:t>
      </w:r>
      <w:r>
        <w:rPr>
          <w:rFonts w:ascii="Times New Roman" w:hAnsi="Times New Roman"/>
          <w:vertAlign w:val="superscript"/>
        </w:rPr>
        <w:t>54</w:t>
      </w:r>
      <w:r>
        <w:rPr>
          <w:rFonts w:ascii="Times New Roman" w:hAnsi="Times New Roman"/>
        </w:rPr>
        <w:t xml:space="preserve"> Therefore, it is necessary to continue to raise awareness about the </w:t>
      </w:r>
      <w:r>
        <w:rPr>
          <w:rFonts w:ascii="Times New Roman" w:hAnsi="Times New Roman"/>
          <w:b/>
          <w:bCs/>
        </w:rPr>
        <w:t>importance of breastfeeding</w:t>
      </w:r>
      <w:r>
        <w:rPr>
          <w:rFonts w:ascii="Times New Roman" w:hAnsi="Times New Roman"/>
        </w:rPr>
        <w:t xml:space="preserve"> for the health of the child and the mother among </w:t>
      </w:r>
      <w:r>
        <w:rPr>
          <w:rFonts w:ascii="Times New Roman" w:hAnsi="Times New Roman"/>
          <w:b/>
          <w:bCs/>
        </w:rPr>
        <w:t>expectant and new parents</w:t>
      </w:r>
      <w:r>
        <w:rPr>
          <w:rFonts w:ascii="Times New Roman" w:hAnsi="Times New Roman"/>
        </w:rPr>
        <w:t xml:space="preserve">, and also to develop proper breastfeeding skills to promote the initiation and continuation of breastfeeding. In order to achieve this goal, an informative booklet </w:t>
      </w:r>
      <w:r>
        <w:rPr>
          <w:rFonts w:ascii="Times New Roman" w:hAnsi="Times New Roman"/>
          <w:i/>
          <w:iCs/>
        </w:rPr>
        <w:t>Zīdīšanas ABC</w:t>
      </w:r>
      <w:r>
        <w:rPr>
          <w:rFonts w:ascii="Times New Roman" w:hAnsi="Times New Roman"/>
        </w:rPr>
        <w:t xml:space="preserve"> [Breastfeeding ABC]</w:t>
      </w:r>
      <w:r>
        <w:rPr>
          <w:rFonts w:ascii="Times New Roman" w:hAnsi="Times New Roman"/>
          <w:vertAlign w:val="superscript"/>
        </w:rPr>
        <w:t>55</w:t>
      </w:r>
      <w:r>
        <w:rPr>
          <w:rFonts w:ascii="Times New Roman" w:hAnsi="Times New Roman"/>
        </w:rPr>
        <w:t xml:space="preserve"> and nutritional recommendations for women during pregnancy and lactation have been developed.</w:t>
      </w:r>
      <w:r>
        <w:rPr>
          <w:rFonts w:ascii="Times New Roman" w:hAnsi="Times New Roman"/>
          <w:vertAlign w:val="superscript"/>
        </w:rPr>
        <w:t>56,57</w:t>
      </w:r>
      <w:r>
        <w:rPr>
          <w:rFonts w:ascii="Times New Roman" w:hAnsi="Times New Roman"/>
        </w:rPr>
        <w:t xml:space="preserve"> Within the scope of the Plan, it is necessary to further expand the use and accessibility of these materials, and also to ensure that the information provided is relevant, engaging, easy to understand, and accessible to pregnant women and new parents.</w:t>
      </w:r>
    </w:p>
    <w:p w14:paraId="293A1951" w14:textId="77777777" w:rsidR="00864FC1" w:rsidRDefault="00864FC1" w:rsidP="00864FC1">
      <w:pPr>
        <w:spacing w:after="0" w:line="240" w:lineRule="auto"/>
        <w:ind w:firstLine="709"/>
        <w:jc w:val="both"/>
        <w:rPr>
          <w:rFonts w:ascii="Times New Roman" w:hAnsi="Times New Roman"/>
          <w:noProof/>
          <w:kern w:val="0"/>
          <w:lang w:val="lv-LV"/>
        </w:rPr>
      </w:pPr>
    </w:p>
    <w:p w14:paraId="6F078A32" w14:textId="4884C9AF" w:rsidR="00136A25" w:rsidRPr="00B10F87" w:rsidRDefault="00136A25" w:rsidP="00864FC1">
      <w:pPr>
        <w:spacing w:after="0" w:line="240" w:lineRule="auto"/>
        <w:ind w:firstLine="709"/>
        <w:jc w:val="both"/>
        <w:rPr>
          <w:rFonts w:ascii="Times New Roman" w:hAnsi="Times New Roman"/>
          <w:noProof/>
          <w:kern w:val="0"/>
        </w:rPr>
      </w:pPr>
      <w:r>
        <w:rPr>
          <w:rFonts w:ascii="Times New Roman" w:hAnsi="Times New Roman"/>
        </w:rPr>
        <w:t>In order to facilitate the implementation of healthy diet policy and to ensure higher-quality food in public authorities, and also to improve the possibilities of the population to become familiar with the composition of various products and make healthier food choices, it is planned to create a list of food products available on the Latvian market which would allow to select food products in accordance with the WHO nutrient profiling model, thereby facilitating the comparability of products in terms of healthiness.</w:t>
      </w:r>
      <w:r>
        <w:rPr>
          <w:rFonts w:ascii="Times New Roman" w:hAnsi="Times New Roman"/>
          <w:vertAlign w:val="superscript"/>
        </w:rPr>
        <w:t>58</w:t>
      </w:r>
      <w:r>
        <w:rPr>
          <w:rFonts w:ascii="Times New Roman" w:hAnsi="Times New Roman"/>
        </w:rPr>
        <w:t xml:space="preserve"> Additionally, considering the assessment carried out within the scope of task 1.1.3 of the Guidelines, it is planned to pilot a consumer-friendly and sustainable </w:t>
      </w:r>
      <w:r>
        <w:rPr>
          <w:rFonts w:ascii="Times New Roman" w:hAnsi="Times New Roman"/>
          <w:b/>
          <w:bCs/>
        </w:rPr>
        <w:t>front-of-pack nutrition labelling scheme</w:t>
      </w:r>
      <w:r>
        <w:rPr>
          <w:rFonts w:ascii="Times New Roman" w:hAnsi="Times New Roman"/>
        </w:rPr>
        <w:t xml:space="preserve"> in Latvia to facilitate healthy food choices for consumers.</w:t>
      </w:r>
    </w:p>
    <w:p w14:paraId="0E92BD01" w14:textId="77777777" w:rsidR="00864FC1" w:rsidRDefault="00864FC1" w:rsidP="00864FC1">
      <w:pPr>
        <w:spacing w:after="0" w:line="240" w:lineRule="auto"/>
        <w:ind w:firstLine="709"/>
        <w:jc w:val="both"/>
        <w:rPr>
          <w:rFonts w:ascii="Times New Roman" w:hAnsi="Times New Roman"/>
          <w:noProof/>
          <w:kern w:val="0"/>
          <w:lang w:val="lv-LV"/>
        </w:rPr>
      </w:pPr>
    </w:p>
    <w:p w14:paraId="0F4D8CE3" w14:textId="34E9F618" w:rsidR="00136A25" w:rsidRPr="00B10F87" w:rsidRDefault="00136A25" w:rsidP="00864FC1">
      <w:pPr>
        <w:spacing w:after="0" w:line="240" w:lineRule="auto"/>
        <w:ind w:firstLine="709"/>
        <w:jc w:val="both"/>
        <w:rPr>
          <w:rFonts w:ascii="Times New Roman" w:hAnsi="Times New Roman"/>
          <w:noProof/>
          <w:kern w:val="0"/>
        </w:rPr>
      </w:pPr>
      <w:r>
        <w:rPr>
          <w:rFonts w:ascii="Times New Roman" w:hAnsi="Times New Roman"/>
        </w:rPr>
        <w:t>At the same time, it is important to continue the reformulation of food products to ensure that healthy food products are more available in retail. Changes in food production, urbanisation, and changing lifestyles have led to a considerable shift in dietary habits, namely, people tend to choose energy-dense meals high in fats, free sugars and salt, and consume fewer fruit, vegetables, and also food rich in fibre.</w:t>
      </w:r>
      <w:r>
        <w:rPr>
          <w:rFonts w:ascii="Times New Roman" w:hAnsi="Times New Roman"/>
          <w:vertAlign w:val="superscript"/>
        </w:rPr>
        <w:t>59</w:t>
      </w:r>
      <w:r>
        <w:rPr>
          <w:rFonts w:ascii="Times New Roman" w:hAnsi="Times New Roman"/>
        </w:rPr>
        <w:t xml:space="preserve"> Therefore, in order to reduce the risks of overweight and obesity, action is necessary also in the food sector to ensure that the population has access to high-quality, safe, and nutrient-rich food. In order to promote a variety of healthier food products, a Memorandum of Cooperation between the MoH, the LFFC, and the LCCI on Reformulation of Food Products was concluded in 2022.</w:t>
      </w:r>
      <w:r>
        <w:rPr>
          <w:rFonts w:ascii="Times New Roman" w:hAnsi="Times New Roman"/>
          <w:vertAlign w:val="superscript"/>
        </w:rPr>
        <w:t>60</w:t>
      </w:r>
      <w:r>
        <w:rPr>
          <w:rFonts w:ascii="Times New Roman" w:hAnsi="Times New Roman"/>
        </w:rPr>
        <w:t xml:space="preserve"> The objective of the memorandum is to promote a variety of food products with reduced saturated fatty acids, added sugar, and salt. In order to support active involvement of food producers in the memorandum and to expand the range of reformulated food products on the market, the Plan provides for the </w:t>
      </w:r>
      <w:r>
        <w:rPr>
          <w:rFonts w:ascii="Times New Roman" w:hAnsi="Times New Roman"/>
          <w:b/>
          <w:bCs/>
        </w:rPr>
        <w:t>implementation of measures for food producers</w:t>
      </w:r>
      <w:r>
        <w:rPr>
          <w:rFonts w:ascii="Times New Roman" w:hAnsi="Times New Roman"/>
        </w:rPr>
        <w:t xml:space="preserve"> to promote the exchange of good practices in reformulation of food products. At the same time, given that the memorandum was concluded </w:t>
      </w:r>
      <w:r>
        <w:rPr>
          <w:rFonts w:ascii="Times New Roman" w:hAnsi="Times New Roman"/>
        </w:rPr>
        <w:lastRenderedPageBreak/>
        <w:t>relatively recently and that the reformulation of food products is a new initiative, it is necessary to inform the wider public of healthier food alternatives on the market, e.g., by publishing interviews with food producers on implemented reformulation of food products, promoting recommendations of nutritionists and practical food recipes where reformulated products can be used, creating a platform for the exchange of good practices, etc.</w:t>
      </w:r>
    </w:p>
    <w:p w14:paraId="22FAEAB1" w14:textId="77777777" w:rsidR="00864FC1" w:rsidRDefault="00864FC1" w:rsidP="00864FC1">
      <w:pPr>
        <w:spacing w:after="0" w:line="240" w:lineRule="auto"/>
        <w:ind w:firstLine="709"/>
        <w:jc w:val="both"/>
        <w:rPr>
          <w:rFonts w:ascii="Times New Roman" w:hAnsi="Times New Roman"/>
          <w:noProof/>
          <w:kern w:val="0"/>
          <w:lang w:val="lv-LV"/>
        </w:rPr>
      </w:pPr>
    </w:p>
    <w:p w14:paraId="2D22A985" w14:textId="2E699160" w:rsidR="00136A25" w:rsidRPr="00B10F87" w:rsidRDefault="00136A25" w:rsidP="00864FC1">
      <w:pPr>
        <w:spacing w:after="0" w:line="240" w:lineRule="auto"/>
        <w:ind w:firstLine="709"/>
        <w:jc w:val="both"/>
        <w:rPr>
          <w:rFonts w:ascii="Times New Roman" w:hAnsi="Times New Roman"/>
          <w:noProof/>
          <w:kern w:val="0"/>
        </w:rPr>
      </w:pPr>
      <w:r>
        <w:rPr>
          <w:rFonts w:ascii="Times New Roman" w:hAnsi="Times New Roman"/>
        </w:rPr>
        <w:t>People, especially children, heavily rely on marketing in their food choices, including on advertisements on television, radio, and in digital environments, such as social media, video games, and entertainment platforms. Marketing also extends to packaging, advertisements in magazines, outdoor advertising, sponsored media, and other forms of commercial communication. The WHO encourages Member States to monitor digital food marketing, with a particular focus on its impact on children and adolescents, and also to develop marketing restrictions.</w:t>
      </w:r>
      <w:r>
        <w:rPr>
          <w:rFonts w:ascii="Times New Roman" w:hAnsi="Times New Roman"/>
          <w:vertAlign w:val="superscript"/>
        </w:rPr>
        <w:t>61</w:t>
      </w:r>
      <w:r>
        <w:rPr>
          <w:rFonts w:ascii="Times New Roman" w:hAnsi="Times New Roman"/>
        </w:rPr>
        <w:t xml:space="preserve"> The CDPC ensured the participation of Latvia in the joint action Best-ReMap</w:t>
      </w:r>
      <w:r>
        <w:rPr>
          <w:rFonts w:ascii="Times New Roman" w:hAnsi="Times New Roman"/>
          <w:vertAlign w:val="superscript"/>
        </w:rPr>
        <w:t>62</w:t>
      </w:r>
      <w:r>
        <w:rPr>
          <w:rFonts w:ascii="Times New Roman" w:hAnsi="Times New Roman"/>
        </w:rPr>
        <w:t xml:space="preserve"> of the Commission until 2023, assessing the possibility of introducing a harmonised EU nutrient profiling model</w:t>
      </w:r>
      <w:r>
        <w:rPr>
          <w:rFonts w:ascii="Times New Roman" w:hAnsi="Times New Roman"/>
          <w:vertAlign w:val="superscript"/>
        </w:rPr>
        <w:t>63</w:t>
      </w:r>
      <w:r>
        <w:rPr>
          <w:rFonts w:ascii="Times New Roman" w:hAnsi="Times New Roman"/>
        </w:rPr>
        <w:t xml:space="preserve"> in Latvia to restrict unhealthy food marketing. As a continuation of the participation of the CDPC and the experience gained in the project, the Plan provides for the assessment of possibilities to </w:t>
      </w:r>
      <w:r>
        <w:rPr>
          <w:rFonts w:ascii="Times New Roman" w:hAnsi="Times New Roman"/>
          <w:b/>
          <w:bCs/>
        </w:rPr>
        <w:t>restrict unhealthy food marketing</w:t>
      </w:r>
      <w:r>
        <w:rPr>
          <w:rFonts w:ascii="Times New Roman" w:hAnsi="Times New Roman"/>
        </w:rPr>
        <w:t>.</w:t>
      </w:r>
      <w:r>
        <w:rPr>
          <w:rFonts w:ascii="Times New Roman" w:hAnsi="Times New Roman"/>
          <w:b/>
        </w:rPr>
        <w:t> </w:t>
      </w:r>
      <w:r>
        <w:rPr>
          <w:rFonts w:ascii="Times New Roman" w:hAnsi="Times New Roman"/>
        </w:rPr>
        <w:t>As early as 2011, the Memorandum of Cooperation between the MoH, the LFFC, and the LANABP on Changes in Advertising Non-alcoholic Beverages for Children</w:t>
      </w:r>
      <w:r>
        <w:rPr>
          <w:rFonts w:ascii="Times New Roman" w:hAnsi="Times New Roman"/>
          <w:vertAlign w:val="superscript"/>
        </w:rPr>
        <w:t>64</w:t>
      </w:r>
      <w:r>
        <w:rPr>
          <w:rFonts w:ascii="Times New Roman" w:hAnsi="Times New Roman"/>
        </w:rPr>
        <w:t xml:space="preserve"> was signed to reduce marketing aimed at children. The Memorandum of Cooperation provides for restrictions on the placement of advertising aimed at children (under the age of 12) in television, print media, and on the Internet. However, given the rapid digitalisation over the last years and the fact that children are increasingly using smartphones, are active on social media, play video games, and engage in other similar activities, the Memorandum of Cooperation has become less relevant, and its provisions are no longer effective in reducing the impact of advertising on children. Therefore, it is important to assess the possibility of reviewing the conditions of the memorandum, taking into account the current marketing trends and the habits of children regarding the use of smart devices to reduce the impact of unhealthy product advertising.</w:t>
      </w:r>
    </w:p>
    <w:p w14:paraId="177E8924" w14:textId="77777777" w:rsidR="00864FC1" w:rsidRDefault="00864FC1" w:rsidP="00864FC1">
      <w:pPr>
        <w:spacing w:after="0" w:line="240" w:lineRule="auto"/>
        <w:ind w:firstLine="709"/>
        <w:jc w:val="both"/>
        <w:rPr>
          <w:rFonts w:ascii="Times New Roman" w:hAnsi="Times New Roman"/>
          <w:noProof/>
          <w:kern w:val="0"/>
          <w:lang w:val="lv-LV"/>
        </w:rPr>
      </w:pPr>
    </w:p>
    <w:p w14:paraId="25CE30FB" w14:textId="0F0A4179" w:rsidR="00136A25" w:rsidRDefault="00136A25" w:rsidP="00864FC1">
      <w:pPr>
        <w:spacing w:after="0" w:line="240" w:lineRule="auto"/>
        <w:ind w:firstLine="709"/>
        <w:jc w:val="both"/>
        <w:rPr>
          <w:rFonts w:ascii="Times New Roman" w:hAnsi="Times New Roman"/>
          <w:noProof/>
          <w:kern w:val="0"/>
        </w:rPr>
      </w:pPr>
      <w:r>
        <w:rPr>
          <w:rFonts w:ascii="Times New Roman" w:hAnsi="Times New Roman"/>
        </w:rPr>
        <w:t xml:space="preserve">More than one third (35.1 %) of the Latvian population </w:t>
      </w:r>
      <w:r>
        <w:rPr>
          <w:rFonts w:ascii="Times New Roman" w:hAnsi="Times New Roman"/>
          <w:b/>
          <w:bCs/>
        </w:rPr>
        <w:t>eats out</w:t>
      </w:r>
      <w:r>
        <w:rPr>
          <w:rFonts w:ascii="Times New Roman" w:hAnsi="Times New Roman"/>
        </w:rPr>
        <w:t xml:space="preserve"> more than 3–4 times a week.</w:t>
      </w:r>
      <w:r>
        <w:rPr>
          <w:rFonts w:ascii="Times New Roman" w:hAnsi="Times New Roman"/>
          <w:vertAlign w:val="superscript"/>
        </w:rPr>
        <w:t>65</w:t>
      </w:r>
      <w:r>
        <w:rPr>
          <w:rFonts w:ascii="Times New Roman" w:hAnsi="Times New Roman"/>
        </w:rPr>
        <w:t xml:space="preserve"> At the same time, there has been a rapid proliferation of takeaway outlets in recent years (both in Riga and regional cities), especially due to the COVID-19 pandemic. Takeaway meals are usually more energy-dense (with more kcal), contain more fats, sugar, and salt, and are served in larger portions which encourages consumers to eat more, thereby increasing the risk of obesity and other chronic diseases. Furthermore, food delivery companies manage discount rewards that encourage more ordering and consumption.</w:t>
      </w:r>
      <w:r>
        <w:rPr>
          <w:rFonts w:ascii="Times New Roman" w:hAnsi="Times New Roman"/>
          <w:vertAlign w:val="superscript"/>
        </w:rPr>
        <w:t>66</w:t>
      </w:r>
      <w:r>
        <w:rPr>
          <w:rFonts w:ascii="Times New Roman" w:hAnsi="Times New Roman"/>
        </w:rPr>
        <w:t xml:space="preserve"> Therefore, it is important to implement measures to promote the distribution of healthy food products in cooperation with food producers, caterers, and retailers. In order to raise awareness among the population, to promote the understanding of the population about food nutritional value, and to support it in making healthier food choices, the Plan includes a measure aimed at developing proposals for the promotion of healthy dietary habits among the population in public catering establishments.</w:t>
      </w:r>
    </w:p>
    <w:p w14:paraId="36DC2288" w14:textId="77777777" w:rsidR="00864FC1" w:rsidRPr="00B10F87" w:rsidRDefault="00864FC1" w:rsidP="00864FC1">
      <w:pPr>
        <w:spacing w:after="0" w:line="240" w:lineRule="auto"/>
        <w:ind w:firstLine="709"/>
        <w:jc w:val="both"/>
        <w:rPr>
          <w:rFonts w:ascii="Times New Roman" w:hAnsi="Times New Roman"/>
          <w:noProof/>
          <w:kern w:val="0"/>
          <w:lang w:val="lv-LV"/>
        </w:rPr>
      </w:pPr>
    </w:p>
    <w:p w14:paraId="7239C29B" w14:textId="77777777" w:rsidR="00136A25" w:rsidRDefault="00136A25" w:rsidP="00864FC1">
      <w:pPr>
        <w:spacing w:after="0" w:line="240" w:lineRule="auto"/>
        <w:ind w:firstLine="709"/>
        <w:jc w:val="both"/>
        <w:rPr>
          <w:rFonts w:ascii="Times New Roman" w:hAnsi="Times New Roman"/>
          <w:noProof/>
          <w:kern w:val="0"/>
        </w:rPr>
      </w:pPr>
      <w:r>
        <w:rPr>
          <w:rFonts w:ascii="Times New Roman" w:hAnsi="Times New Roman"/>
        </w:rPr>
        <w:t>For the purpose of promoting healthy dietary habits among learners, patients of medical treatment institutions, and clients of long-term social care and rehabilitation institutions and for ensuring access to healthy food products for children, the MoH has developed Cabinet Regulation regarding nutritional norms.</w:t>
      </w:r>
      <w:r>
        <w:rPr>
          <w:rFonts w:ascii="Times New Roman" w:hAnsi="Times New Roman"/>
          <w:vertAlign w:val="superscript"/>
        </w:rPr>
        <w:t>67</w:t>
      </w:r>
      <w:r>
        <w:rPr>
          <w:rFonts w:ascii="Times New Roman" w:hAnsi="Times New Roman"/>
        </w:rPr>
        <w:t xml:space="preserve"> It prescribes the nutritional norms and quality requirements for meal preparation in institutions, including food products that may be distributed in educational institutions in addition to the menu (e.g., through snack and beverage vending machines). The restrictions imposed on the distribution of unhealthy food products in educational institutions have proven to be effective in practice; however, it is necessary to identify the latest good practices and to introduce an appropriate approach in line with the latest healthy diet guidelines, recommendations from nutritionists and dietitians, and also scientific </w:t>
      </w:r>
      <w:r>
        <w:rPr>
          <w:rFonts w:ascii="Times New Roman" w:hAnsi="Times New Roman"/>
        </w:rPr>
        <w:lastRenderedPageBreak/>
        <w:t xml:space="preserve">developments to ensure cost-efficient and modern catering services of the highest possible quality in the abovementioned institutions. Therefore, the Plan includes a measure aimed at reviewing, in cooperation with professionals in the field, the </w:t>
      </w:r>
      <w:r>
        <w:rPr>
          <w:rFonts w:ascii="Times New Roman" w:hAnsi="Times New Roman"/>
          <w:b/>
          <w:bCs/>
        </w:rPr>
        <w:t>requirements of the regulatory framework regarding catering services in educational and medical treatment institutions, in long-term social care and rehabilitation institutions</w:t>
      </w:r>
      <w:r>
        <w:rPr>
          <w:rFonts w:ascii="Times New Roman" w:hAnsi="Times New Roman"/>
        </w:rPr>
        <w:t>.</w:t>
      </w:r>
    </w:p>
    <w:p w14:paraId="5AF54265" w14:textId="77777777" w:rsidR="00864FC1" w:rsidRPr="00B10F87" w:rsidRDefault="00864FC1" w:rsidP="00864FC1">
      <w:pPr>
        <w:spacing w:after="0" w:line="240" w:lineRule="auto"/>
        <w:ind w:firstLine="709"/>
        <w:jc w:val="both"/>
        <w:rPr>
          <w:rFonts w:ascii="Times New Roman" w:hAnsi="Times New Roman"/>
          <w:noProof/>
          <w:kern w:val="0"/>
          <w:lang w:val="lv-LV"/>
        </w:rPr>
      </w:pPr>
    </w:p>
    <w:p w14:paraId="2CEBA1B5" w14:textId="77777777" w:rsidR="00136A25" w:rsidRDefault="00136A25" w:rsidP="00864FC1">
      <w:pPr>
        <w:spacing w:after="0" w:line="240" w:lineRule="auto"/>
        <w:ind w:firstLine="709"/>
        <w:jc w:val="both"/>
        <w:rPr>
          <w:rFonts w:ascii="Times New Roman" w:hAnsi="Times New Roman"/>
          <w:noProof/>
          <w:kern w:val="0"/>
        </w:rPr>
      </w:pPr>
      <w:r>
        <w:rPr>
          <w:rFonts w:ascii="Times New Roman" w:hAnsi="Times New Roman"/>
        </w:rPr>
        <w:t xml:space="preserve">Additionally, by Order of the Minister for Agriculture No. 157 of 30 November 2023, On the Establishment of a Working Group for the Development of a School Catering Concept, a working group was established with the aim of improving the school catering system in Latvia in order to provide learners with healthy and delicious meals prepared primarily from sustainable local products, while raising awareness among stakeholders involved in school catering about healthy diet, eating culture, and a sustainable lifestyle. Discussions of the working group led to the conclusion that, in order to facilitate the work of the personnel of educational institutions and providers of catering services, and also to improve the dietary habits of learners, it is necessary to develop </w:t>
      </w:r>
      <w:r>
        <w:rPr>
          <w:rFonts w:ascii="Times New Roman" w:hAnsi="Times New Roman"/>
          <w:b/>
          <w:bCs/>
        </w:rPr>
        <w:t>guidelines for sustainable organisation of school catering</w:t>
      </w:r>
      <w:r>
        <w:rPr>
          <w:rFonts w:ascii="Times New Roman" w:hAnsi="Times New Roman"/>
        </w:rPr>
        <w:t xml:space="preserve"> that would complement the regulatory framework and clarify the practical aspects of organising the school catering process, such as the optimal duration of meals for children to be able to eat their lunch without rush, the principles of food serving that provide various options, etc.</w:t>
      </w:r>
    </w:p>
    <w:p w14:paraId="561E2FA8" w14:textId="77777777" w:rsidR="00864FC1" w:rsidRPr="00B10F87" w:rsidRDefault="00864FC1"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22"/>
        <w:gridCol w:w="5033"/>
      </w:tblGrid>
      <w:tr w:rsidR="00136A25" w:rsidRPr="00B10F87" w14:paraId="3CDD2C2C" w14:textId="77777777" w:rsidTr="00864FC1">
        <w:tc>
          <w:tcPr>
            <w:tcW w:w="5000" w:type="pct"/>
            <w:gridSpan w:val="2"/>
            <w:tcBorders>
              <w:top w:val="outset" w:sz="6" w:space="0" w:color="414142"/>
              <w:left w:val="outset" w:sz="6" w:space="0" w:color="414142"/>
              <w:bottom w:val="outset" w:sz="6" w:space="0" w:color="414142"/>
              <w:right w:val="outset" w:sz="6" w:space="0" w:color="414142"/>
            </w:tcBorders>
            <w:shd w:val="clear" w:color="auto" w:fill="C0C0C0"/>
            <w:hideMark/>
          </w:tcPr>
          <w:p w14:paraId="66A757B8"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Problems identified:</w:t>
            </w:r>
          </w:p>
        </w:tc>
      </w:tr>
      <w:tr w:rsidR="00136A25" w:rsidRPr="00B10F87" w14:paraId="03E8ACC5" w14:textId="77777777" w:rsidTr="00864FC1">
        <w:tc>
          <w:tcPr>
            <w:tcW w:w="2221" w:type="pct"/>
            <w:tcBorders>
              <w:top w:val="outset" w:sz="6" w:space="0" w:color="414142"/>
              <w:left w:val="outset" w:sz="6" w:space="0" w:color="414142"/>
              <w:bottom w:val="outset" w:sz="6" w:space="0" w:color="414142"/>
              <w:right w:val="outset" w:sz="6" w:space="0" w:color="414142"/>
            </w:tcBorders>
            <w:hideMark/>
          </w:tcPr>
          <w:p w14:paraId="0BF47745"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w:t>
            </w:r>
          </w:p>
        </w:tc>
        <w:tc>
          <w:tcPr>
            <w:tcW w:w="2779" w:type="pct"/>
            <w:tcBorders>
              <w:top w:val="outset" w:sz="6" w:space="0" w:color="414142"/>
              <w:left w:val="outset" w:sz="6" w:space="0" w:color="414142"/>
              <w:bottom w:val="outset" w:sz="6" w:space="0" w:color="414142"/>
              <w:right w:val="outset" w:sz="6" w:space="0" w:color="414142"/>
            </w:tcBorders>
            <w:hideMark/>
          </w:tcPr>
          <w:p w14:paraId="3C903908"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Solution</w:t>
            </w:r>
          </w:p>
        </w:tc>
      </w:tr>
      <w:tr w:rsidR="00136A25" w:rsidRPr="00B10F87" w14:paraId="36C2C550" w14:textId="77777777" w:rsidTr="00864FC1">
        <w:tc>
          <w:tcPr>
            <w:tcW w:w="2221" w:type="pct"/>
            <w:tcBorders>
              <w:top w:val="outset" w:sz="6" w:space="0" w:color="414142"/>
              <w:left w:val="outset" w:sz="6" w:space="0" w:color="414142"/>
              <w:bottom w:val="outset" w:sz="6" w:space="0" w:color="414142"/>
              <w:right w:val="outset" w:sz="6" w:space="0" w:color="414142"/>
            </w:tcBorders>
            <w:hideMark/>
          </w:tcPr>
          <w:p w14:paraId="1038B24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People are increasingly choosing ready-made, industrially produced food and eating meals in public catering establishments, leading to excessive intake of calories, sugar, and saturated fats, which contributes to overweight and obesity in the long term.</w:t>
            </w:r>
          </w:p>
        </w:tc>
        <w:tc>
          <w:tcPr>
            <w:tcW w:w="2779" w:type="pct"/>
            <w:tcBorders>
              <w:top w:val="outset" w:sz="6" w:space="0" w:color="414142"/>
              <w:left w:val="outset" w:sz="6" w:space="0" w:color="414142"/>
              <w:bottom w:val="outset" w:sz="6" w:space="0" w:color="414142"/>
              <w:right w:val="outset" w:sz="6" w:space="0" w:color="414142"/>
            </w:tcBorders>
            <w:hideMark/>
          </w:tcPr>
          <w:p w14:paraId="6A1BDD7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promote healthy home-cooked meal choices, and also to develop proposals for improving public catering.</w:t>
            </w:r>
          </w:p>
          <w:p w14:paraId="4A0B838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improve food reformulation initiatives and to attract new cooperation partners to expand the variety of reformulated products, while allowing people to develop skills necessary to make healthy food choices. To facilitate health food choices by introducing easy-to-use and convenient tools for consumers (such as labelling).</w:t>
            </w:r>
          </w:p>
        </w:tc>
      </w:tr>
      <w:tr w:rsidR="00136A25" w:rsidRPr="00B10F87" w14:paraId="5D2CE09A" w14:textId="77777777" w:rsidTr="00864FC1">
        <w:tc>
          <w:tcPr>
            <w:tcW w:w="2221" w:type="pct"/>
            <w:tcBorders>
              <w:top w:val="outset" w:sz="6" w:space="0" w:color="414142"/>
              <w:left w:val="outset" w:sz="6" w:space="0" w:color="414142"/>
              <w:bottom w:val="outset" w:sz="6" w:space="0" w:color="414142"/>
              <w:right w:val="outset" w:sz="6" w:space="0" w:color="414142"/>
            </w:tcBorders>
            <w:hideMark/>
          </w:tcPr>
          <w:p w14:paraId="6918690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As science develops, the knowledge base and understanding of good practice in catering in public institutions increase.</w:t>
            </w:r>
          </w:p>
        </w:tc>
        <w:tc>
          <w:tcPr>
            <w:tcW w:w="2779" w:type="pct"/>
            <w:tcBorders>
              <w:top w:val="outset" w:sz="6" w:space="0" w:color="414142"/>
              <w:left w:val="outset" w:sz="6" w:space="0" w:color="414142"/>
              <w:bottom w:val="outset" w:sz="6" w:space="0" w:color="414142"/>
              <w:right w:val="outset" w:sz="6" w:space="0" w:color="414142"/>
            </w:tcBorders>
            <w:hideMark/>
          </w:tcPr>
          <w:p w14:paraId="6881F8A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Possibilities of reviewing the regulatory framework for nutritional norms in educational, medical treatment, social care, and social rehabilitation institutions have been assessed, and also guidelines for organising sustainable school catering have been developed.</w:t>
            </w:r>
          </w:p>
        </w:tc>
      </w:tr>
      <w:tr w:rsidR="00136A25" w:rsidRPr="00B10F87" w14:paraId="1941B576" w14:textId="77777777" w:rsidTr="00864FC1">
        <w:tc>
          <w:tcPr>
            <w:tcW w:w="2221" w:type="pct"/>
            <w:tcBorders>
              <w:top w:val="outset" w:sz="6" w:space="0" w:color="414142"/>
              <w:left w:val="outset" w:sz="6" w:space="0" w:color="414142"/>
              <w:bottom w:val="outset" w:sz="6" w:space="0" w:color="414142"/>
              <w:right w:val="outset" w:sz="6" w:space="0" w:color="414142"/>
            </w:tcBorders>
            <w:hideMark/>
          </w:tcPr>
          <w:p w14:paraId="1DB16E2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Infants are not sufficiently exclusively breastfed. Expectant and new parents lack knowledge about the importance of breastfeeding and skills necessary to ensure a proper breastfeeding technique.</w:t>
            </w:r>
          </w:p>
        </w:tc>
        <w:tc>
          <w:tcPr>
            <w:tcW w:w="2779" w:type="pct"/>
            <w:tcBorders>
              <w:top w:val="outset" w:sz="6" w:space="0" w:color="414142"/>
              <w:left w:val="outset" w:sz="6" w:space="0" w:color="414142"/>
              <w:bottom w:val="outset" w:sz="6" w:space="0" w:color="414142"/>
              <w:right w:val="outset" w:sz="6" w:space="0" w:color="414142"/>
            </w:tcBorders>
            <w:hideMark/>
          </w:tcPr>
          <w:p w14:paraId="3ADBB1D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Measures for expectant and new parents to raise their awareness about the importance of breastfeeding in health promotion and a proper breastfeeding technique.</w:t>
            </w:r>
          </w:p>
        </w:tc>
      </w:tr>
      <w:tr w:rsidR="00136A25" w:rsidRPr="00B10F87" w14:paraId="23CF7BAC" w14:textId="77777777" w:rsidTr="00864FC1">
        <w:tc>
          <w:tcPr>
            <w:tcW w:w="2221" w:type="pct"/>
            <w:tcBorders>
              <w:top w:val="outset" w:sz="6" w:space="0" w:color="414142"/>
              <w:left w:val="outset" w:sz="6" w:space="0" w:color="414142"/>
              <w:bottom w:val="outset" w:sz="6" w:space="0" w:color="414142"/>
              <w:right w:val="outset" w:sz="6" w:space="0" w:color="414142"/>
            </w:tcBorders>
            <w:hideMark/>
          </w:tcPr>
          <w:p w14:paraId="08DB202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Restrictions imposed on unhealthy food marketing so far have not proven to be sufficiently effective.</w:t>
            </w:r>
          </w:p>
        </w:tc>
        <w:tc>
          <w:tcPr>
            <w:tcW w:w="2779" w:type="pct"/>
            <w:tcBorders>
              <w:top w:val="outset" w:sz="6" w:space="0" w:color="414142"/>
              <w:left w:val="outset" w:sz="6" w:space="0" w:color="414142"/>
              <w:bottom w:val="outset" w:sz="6" w:space="0" w:color="414142"/>
              <w:right w:val="outset" w:sz="6" w:space="0" w:color="414142"/>
            </w:tcBorders>
            <w:hideMark/>
          </w:tcPr>
          <w:p w14:paraId="596C1E3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Measures aiming at restricting unhealthy food marketing more effectively have been implemented.</w:t>
            </w:r>
          </w:p>
        </w:tc>
      </w:tr>
    </w:tbl>
    <w:p w14:paraId="5238D4E8" w14:textId="77777777" w:rsidR="00864FC1" w:rsidRDefault="00864FC1" w:rsidP="00122210">
      <w:pPr>
        <w:spacing w:after="0" w:line="240" w:lineRule="auto"/>
        <w:jc w:val="both"/>
        <w:rPr>
          <w:rFonts w:ascii="Times New Roman" w:hAnsi="Times New Roman"/>
          <w:b/>
          <w:bCs/>
          <w:noProof/>
          <w:kern w:val="0"/>
          <w:lang w:val="lv-LV"/>
        </w:rPr>
      </w:pPr>
    </w:p>
    <w:p w14:paraId="69C83399" w14:textId="5801A58C" w:rsidR="00136A25" w:rsidRPr="00B10F87" w:rsidRDefault="00136A25" w:rsidP="0017735C">
      <w:pPr>
        <w:keepNext/>
        <w:keepLines/>
        <w:spacing w:after="0" w:line="240" w:lineRule="auto"/>
        <w:jc w:val="center"/>
        <w:rPr>
          <w:rFonts w:ascii="Times New Roman" w:hAnsi="Times New Roman"/>
          <w:b/>
          <w:bCs/>
          <w:noProof/>
          <w:kern w:val="0"/>
        </w:rPr>
      </w:pPr>
      <w:r>
        <w:rPr>
          <w:rFonts w:ascii="Times New Roman" w:hAnsi="Times New Roman"/>
          <w:b/>
        </w:rPr>
        <w:lastRenderedPageBreak/>
        <w:t>3.2.2. Change of Physical Activity Habits</w:t>
      </w:r>
    </w:p>
    <w:p w14:paraId="3FBFE539" w14:textId="77777777" w:rsidR="00864FC1" w:rsidRDefault="00864FC1" w:rsidP="0017735C">
      <w:pPr>
        <w:keepNext/>
        <w:keepLines/>
        <w:spacing w:after="0" w:line="240" w:lineRule="auto"/>
        <w:jc w:val="both"/>
        <w:rPr>
          <w:rFonts w:ascii="Times New Roman" w:hAnsi="Times New Roman"/>
          <w:noProof/>
          <w:kern w:val="0"/>
          <w:lang w:val="lv-LV"/>
        </w:rPr>
      </w:pPr>
    </w:p>
    <w:p w14:paraId="407064AD" w14:textId="694CBB72" w:rsidR="00136A25" w:rsidRDefault="00136A25" w:rsidP="0017735C">
      <w:pPr>
        <w:keepNext/>
        <w:keepLines/>
        <w:spacing w:after="0" w:line="240" w:lineRule="auto"/>
        <w:ind w:firstLine="709"/>
        <w:jc w:val="both"/>
        <w:rPr>
          <w:rFonts w:ascii="Times New Roman" w:hAnsi="Times New Roman"/>
          <w:noProof/>
          <w:kern w:val="0"/>
          <w:vertAlign w:val="superscript"/>
        </w:rPr>
      </w:pPr>
      <w:r>
        <w:rPr>
          <w:rFonts w:ascii="Times New Roman" w:hAnsi="Times New Roman"/>
        </w:rPr>
        <w:t>Physical activity is defined as any bodily movements produced by skeletal muscles and requiring energy expenditure. They include exercises and other activities related to bodily movement, such as sports games, walking, cycling, household chores or gardening, swimming, active leisure activities, etc. Sufficient physical activity for adults is considered 150–300 minutes of moderate-intensity activity or 75–150 minutes of vigorous-intensity activity per week, while children should do at least an average of 60 minutes of moderate- to vigorous-intensity physical activity daily.</w:t>
      </w:r>
      <w:r>
        <w:rPr>
          <w:rFonts w:ascii="Times New Roman" w:hAnsi="Times New Roman"/>
          <w:vertAlign w:val="superscript"/>
        </w:rPr>
        <w:t>68,69</w:t>
      </w:r>
    </w:p>
    <w:p w14:paraId="7BB83398" w14:textId="77777777" w:rsidR="008B235C" w:rsidRPr="00B10F87" w:rsidRDefault="008B235C" w:rsidP="008B235C">
      <w:pPr>
        <w:spacing w:after="0" w:line="240" w:lineRule="auto"/>
        <w:ind w:firstLine="709"/>
        <w:jc w:val="both"/>
        <w:rPr>
          <w:rFonts w:ascii="Times New Roman" w:hAnsi="Times New Roman"/>
          <w:noProof/>
          <w:kern w:val="0"/>
          <w:lang w:val="lv-LV"/>
        </w:rPr>
      </w:pPr>
    </w:p>
    <w:p w14:paraId="32D3107F" w14:textId="77777777" w:rsidR="00136A25" w:rsidRPr="00B10F87" w:rsidRDefault="00136A25" w:rsidP="008B235C">
      <w:pPr>
        <w:spacing w:after="0" w:line="240" w:lineRule="auto"/>
        <w:ind w:firstLine="709"/>
        <w:jc w:val="both"/>
        <w:rPr>
          <w:rFonts w:ascii="Times New Roman" w:hAnsi="Times New Roman"/>
          <w:noProof/>
          <w:kern w:val="0"/>
        </w:rPr>
      </w:pPr>
      <w:r>
        <w:rPr>
          <w:rFonts w:ascii="Times New Roman" w:hAnsi="Times New Roman"/>
        </w:rPr>
        <w:t>Meanwhile, sedentary behaviour refers to any waking behaviour characterised by a low energy expenditure, such as desk-based office work, travelling by public transport, playing of video games, etc. The causes of a sedentary lifestyle include:</w:t>
      </w:r>
    </w:p>
    <w:p w14:paraId="662CB532" w14:textId="77777777" w:rsidR="00136A25" w:rsidRPr="00B10F87" w:rsidRDefault="00136A25" w:rsidP="008B235C">
      <w:pPr>
        <w:spacing w:after="0" w:line="240" w:lineRule="auto"/>
        <w:ind w:firstLine="709"/>
        <w:jc w:val="both"/>
        <w:rPr>
          <w:rFonts w:ascii="Times New Roman" w:hAnsi="Times New Roman"/>
          <w:noProof/>
          <w:kern w:val="0"/>
        </w:rPr>
      </w:pPr>
      <w:r>
        <w:rPr>
          <w:rFonts w:ascii="Times New Roman" w:hAnsi="Times New Roman"/>
        </w:rPr>
        <w:t>• environmental factors (e.g., lack of sidewalks, intensive traffic, lack of active leisure opportunities);</w:t>
      </w:r>
    </w:p>
    <w:p w14:paraId="5C302FEE" w14:textId="77777777" w:rsidR="00136A25" w:rsidRPr="00B10F87" w:rsidRDefault="00136A25" w:rsidP="008B235C">
      <w:pPr>
        <w:spacing w:after="0" w:line="240" w:lineRule="auto"/>
        <w:ind w:firstLine="709"/>
        <w:jc w:val="both"/>
        <w:rPr>
          <w:rFonts w:ascii="Times New Roman" w:hAnsi="Times New Roman"/>
          <w:noProof/>
          <w:kern w:val="0"/>
        </w:rPr>
      </w:pPr>
      <w:r>
        <w:rPr>
          <w:rFonts w:ascii="Times New Roman" w:hAnsi="Times New Roman"/>
        </w:rPr>
        <w:t>• increased use of modern technologies;</w:t>
      </w:r>
    </w:p>
    <w:p w14:paraId="3FABA576" w14:textId="77777777" w:rsidR="00136A25" w:rsidRPr="00B10F87" w:rsidRDefault="00136A25" w:rsidP="008B235C">
      <w:pPr>
        <w:spacing w:after="0" w:line="240" w:lineRule="auto"/>
        <w:ind w:firstLine="709"/>
        <w:jc w:val="both"/>
        <w:rPr>
          <w:rFonts w:ascii="Times New Roman" w:hAnsi="Times New Roman"/>
          <w:noProof/>
          <w:kern w:val="0"/>
        </w:rPr>
      </w:pPr>
      <w:r>
        <w:rPr>
          <w:rFonts w:ascii="Times New Roman" w:hAnsi="Times New Roman"/>
        </w:rPr>
        <w:t>• social factors (e.g., health-related restrictions, lack of like-minded peers, material deprivation);</w:t>
      </w:r>
    </w:p>
    <w:p w14:paraId="36F77E34" w14:textId="77777777" w:rsidR="00136A25" w:rsidRPr="00B10F87" w:rsidRDefault="00136A25" w:rsidP="008B235C">
      <w:pPr>
        <w:spacing w:after="0" w:line="240" w:lineRule="auto"/>
        <w:ind w:firstLine="709"/>
        <w:jc w:val="both"/>
        <w:rPr>
          <w:rFonts w:ascii="Times New Roman" w:hAnsi="Times New Roman"/>
          <w:noProof/>
          <w:kern w:val="0"/>
        </w:rPr>
      </w:pPr>
      <w:r>
        <w:rPr>
          <w:rFonts w:ascii="Times New Roman" w:hAnsi="Times New Roman"/>
        </w:rPr>
        <w:t>• cultural factors.</w:t>
      </w:r>
      <w:r>
        <w:rPr>
          <w:rFonts w:ascii="Times New Roman" w:hAnsi="Times New Roman"/>
          <w:vertAlign w:val="superscript"/>
        </w:rPr>
        <w:t>70</w:t>
      </w:r>
    </w:p>
    <w:p w14:paraId="03C1891B" w14:textId="77777777" w:rsidR="008B235C" w:rsidRDefault="008B235C" w:rsidP="00122210">
      <w:pPr>
        <w:spacing w:after="0" w:line="240" w:lineRule="auto"/>
        <w:jc w:val="both"/>
        <w:rPr>
          <w:rFonts w:ascii="Times New Roman" w:hAnsi="Times New Roman"/>
          <w:noProof/>
          <w:kern w:val="0"/>
          <w:lang w:val="lv-LV"/>
        </w:rPr>
      </w:pPr>
    </w:p>
    <w:p w14:paraId="4FB15EAA" w14:textId="6EF3383E" w:rsidR="00136A25" w:rsidRDefault="00136A25" w:rsidP="008B235C">
      <w:pPr>
        <w:spacing w:after="0" w:line="240" w:lineRule="auto"/>
        <w:ind w:firstLine="709"/>
        <w:jc w:val="both"/>
        <w:rPr>
          <w:rFonts w:ascii="Times New Roman" w:hAnsi="Times New Roman"/>
          <w:noProof/>
          <w:kern w:val="0"/>
        </w:rPr>
      </w:pPr>
      <w:r>
        <w:rPr>
          <w:rFonts w:ascii="Times New Roman" w:hAnsi="Times New Roman"/>
        </w:rPr>
        <w:t xml:space="preserve">Overall, the lifestyle of the Latvian population can be described as </w:t>
      </w:r>
      <w:r>
        <w:rPr>
          <w:rFonts w:ascii="Times New Roman" w:hAnsi="Times New Roman"/>
          <w:b/>
          <w:bCs/>
        </w:rPr>
        <w:t>sedentary</w:t>
      </w:r>
      <w:r>
        <w:rPr>
          <w:rFonts w:ascii="Times New Roman" w:hAnsi="Times New Roman"/>
        </w:rPr>
        <w:t>, and physical activity decreases with age (see Figure 5).</w:t>
      </w:r>
    </w:p>
    <w:p w14:paraId="11724A85" w14:textId="77777777" w:rsidR="008B235C" w:rsidRDefault="008B235C" w:rsidP="008B235C">
      <w:pPr>
        <w:spacing w:after="0" w:line="240" w:lineRule="auto"/>
        <w:ind w:firstLine="709"/>
        <w:jc w:val="both"/>
        <w:rPr>
          <w:rFonts w:ascii="Times New Roman" w:hAnsi="Times New Roman"/>
          <w:noProof/>
          <w:kern w:val="0"/>
          <w:lang w:val="lv-LV"/>
        </w:rPr>
      </w:pPr>
    </w:p>
    <w:p w14:paraId="5AD6D48D" w14:textId="54B457F8" w:rsidR="00164E0D" w:rsidRPr="008B6A6D" w:rsidRDefault="00164E0D" w:rsidP="008B235C">
      <w:pPr>
        <w:spacing w:after="0" w:line="240" w:lineRule="auto"/>
        <w:ind w:firstLine="709"/>
        <w:jc w:val="both"/>
        <w:rPr>
          <w:rFonts w:ascii="Times New Roman" w:hAnsi="Times New Roman"/>
          <w:b/>
          <w:bCs/>
          <w:noProof/>
          <w:kern w:val="0"/>
        </w:rPr>
      </w:pPr>
      <w:r>
        <w:rPr>
          <w:rFonts w:ascii="Times New Roman" w:hAnsi="Times New Roman"/>
        </w:rPr>
        <w:t xml:space="preserve">Figure 5. </w:t>
      </w:r>
      <w:r w:rsidRPr="008B6A6D">
        <w:rPr>
          <w:rFonts w:ascii="Times New Roman" w:hAnsi="Times New Roman"/>
          <w:b/>
          <w:bCs/>
        </w:rPr>
        <w:t>Proportion of the population with sufficient physical activity by age group</w:t>
      </w:r>
    </w:p>
    <w:p w14:paraId="62898E6D" w14:textId="71A68382" w:rsidR="00136A25" w:rsidRPr="00B10F87" w:rsidRDefault="008B6A6D" w:rsidP="00122210">
      <w:pPr>
        <w:spacing w:after="0" w:line="240" w:lineRule="auto"/>
        <w:jc w:val="both"/>
        <w:rPr>
          <w:rFonts w:ascii="Times New Roman" w:hAnsi="Times New Roman"/>
          <w:noProof/>
          <w:kern w:val="0"/>
        </w:rPr>
      </w:pPr>
      <w:r w:rsidRPr="008B6A6D">
        <w:rPr>
          <w:rFonts w:ascii="Times New Roman" w:hAnsi="Times New Roman"/>
          <w:noProof/>
        </w:rPr>
        <w:drawing>
          <wp:inline distT="0" distB="0" distL="0" distR="0" wp14:anchorId="559D7E29" wp14:editId="592EC0C7">
            <wp:extent cx="5542915" cy="2161174"/>
            <wp:effectExtent l="0" t="0" r="635" b="0"/>
            <wp:docPr id="770114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14860" name=""/>
                    <pic:cNvPicPr/>
                  </pic:nvPicPr>
                  <pic:blipFill rotWithShape="1">
                    <a:blip r:embed="rId14"/>
                    <a:srcRect t="16573" b="-1"/>
                    <a:stretch>
                      <a:fillRect/>
                    </a:stretch>
                  </pic:blipFill>
                  <pic:spPr bwMode="auto">
                    <a:xfrm>
                      <a:off x="0" y="0"/>
                      <a:ext cx="5544324" cy="2161723"/>
                    </a:xfrm>
                    <a:prstGeom prst="rect">
                      <a:avLst/>
                    </a:prstGeom>
                    <a:ln>
                      <a:noFill/>
                    </a:ln>
                    <a:extLst>
                      <a:ext uri="{53640926-AAD7-44D8-BBD7-CCE9431645EC}">
                        <a14:shadowObscured xmlns:a14="http://schemas.microsoft.com/office/drawing/2010/main"/>
                      </a:ext>
                    </a:extLst>
                  </pic:spPr>
                </pic:pic>
              </a:graphicData>
            </a:graphic>
          </wp:inline>
        </w:drawing>
      </w:r>
    </w:p>
    <w:p w14:paraId="3CD4FAE1" w14:textId="77777777" w:rsidR="00164E0D" w:rsidRDefault="00164E0D" w:rsidP="00122210">
      <w:pPr>
        <w:spacing w:after="0" w:line="240" w:lineRule="auto"/>
        <w:jc w:val="both"/>
        <w:rPr>
          <w:rFonts w:ascii="Times New Roman" w:hAnsi="Times New Roman"/>
          <w:noProof/>
          <w:kern w:val="0"/>
          <w:lang w:val="lv-LV"/>
        </w:rPr>
      </w:pPr>
    </w:p>
    <w:p w14:paraId="5229D04D" w14:textId="1D681406" w:rsidR="00136A25" w:rsidRDefault="00136A25" w:rsidP="00455F1D">
      <w:pPr>
        <w:spacing w:after="0" w:line="240" w:lineRule="auto"/>
        <w:ind w:firstLine="709"/>
        <w:jc w:val="both"/>
        <w:rPr>
          <w:rFonts w:ascii="Times New Roman" w:hAnsi="Times New Roman"/>
          <w:noProof/>
          <w:kern w:val="0"/>
        </w:rPr>
      </w:pPr>
      <w:r>
        <w:rPr>
          <w:rFonts w:ascii="Times New Roman" w:hAnsi="Times New Roman"/>
        </w:rPr>
        <w:t>In recent years, the level of physical activity among the Latvian population has increased (see Figure 6). Sedentary behaviour among children is also associated with exemptions from sports classes issued by medical practitioners for extended periods, without adapting the level of physical activity to the capabilities and health status of the pupil. A study conducted in Latvia</w:t>
      </w:r>
      <w:r>
        <w:rPr>
          <w:rFonts w:ascii="Times New Roman" w:hAnsi="Times New Roman"/>
          <w:vertAlign w:val="superscript"/>
        </w:rPr>
        <w:t>71</w:t>
      </w:r>
      <w:r>
        <w:rPr>
          <w:rFonts w:ascii="Times New Roman" w:hAnsi="Times New Roman"/>
        </w:rPr>
        <w:t xml:space="preserve"> shows that children who reach a sufficient level of physical activity tend to consume more fruits and vegetables and eat breakfast more frequently.</w:t>
      </w:r>
    </w:p>
    <w:p w14:paraId="06D6D68A" w14:textId="77777777" w:rsidR="00455F1D" w:rsidRDefault="00455F1D" w:rsidP="00455F1D">
      <w:pPr>
        <w:spacing w:after="0" w:line="240" w:lineRule="auto"/>
        <w:ind w:firstLine="709"/>
        <w:jc w:val="both"/>
        <w:rPr>
          <w:rFonts w:ascii="Times New Roman" w:hAnsi="Times New Roman"/>
          <w:noProof/>
          <w:kern w:val="0"/>
          <w:lang w:val="lv-LV"/>
        </w:rPr>
      </w:pPr>
    </w:p>
    <w:p w14:paraId="0D28CE70" w14:textId="5D085973" w:rsidR="00455F1D" w:rsidRPr="009F4729" w:rsidRDefault="00455F1D" w:rsidP="0017735C">
      <w:pPr>
        <w:keepNext/>
        <w:keepLines/>
        <w:spacing w:after="0" w:line="240" w:lineRule="auto"/>
        <w:ind w:firstLine="709"/>
        <w:jc w:val="center"/>
        <w:rPr>
          <w:rFonts w:ascii="Times New Roman" w:hAnsi="Times New Roman"/>
          <w:b/>
          <w:bCs/>
          <w:noProof/>
          <w:kern w:val="0"/>
        </w:rPr>
      </w:pPr>
      <w:r>
        <w:rPr>
          <w:rFonts w:ascii="Times New Roman" w:hAnsi="Times New Roman"/>
        </w:rPr>
        <w:lastRenderedPageBreak/>
        <w:t xml:space="preserve">Figure 6. </w:t>
      </w:r>
      <w:r w:rsidRPr="009F4729">
        <w:rPr>
          <w:rFonts w:ascii="Times New Roman" w:hAnsi="Times New Roman"/>
          <w:b/>
          <w:bCs/>
        </w:rPr>
        <w:t>Changes in the proportion of the Latvian population with sufficient physical activity by year</w:t>
      </w:r>
    </w:p>
    <w:p w14:paraId="2928F89C" w14:textId="0482BE27" w:rsidR="00136A25" w:rsidRPr="00B10F87" w:rsidRDefault="009F4729" w:rsidP="0017735C">
      <w:pPr>
        <w:keepNext/>
        <w:keepLines/>
        <w:spacing w:after="0" w:line="240" w:lineRule="auto"/>
        <w:jc w:val="both"/>
        <w:rPr>
          <w:rFonts w:ascii="Times New Roman" w:hAnsi="Times New Roman"/>
          <w:noProof/>
          <w:kern w:val="0"/>
        </w:rPr>
      </w:pPr>
      <w:r w:rsidRPr="009F4729">
        <w:rPr>
          <w:rFonts w:ascii="Times New Roman" w:hAnsi="Times New Roman"/>
          <w:noProof/>
        </w:rPr>
        <w:drawing>
          <wp:inline distT="0" distB="0" distL="0" distR="0" wp14:anchorId="7A12194C" wp14:editId="749147F7">
            <wp:extent cx="5570945" cy="2187796"/>
            <wp:effectExtent l="0" t="0" r="0" b="3175"/>
            <wp:docPr id="1764267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67072" name=""/>
                    <pic:cNvPicPr/>
                  </pic:nvPicPr>
                  <pic:blipFill rotWithShape="1">
                    <a:blip r:embed="rId15"/>
                    <a:srcRect t="16151"/>
                    <a:stretch>
                      <a:fillRect/>
                    </a:stretch>
                  </pic:blipFill>
                  <pic:spPr bwMode="auto">
                    <a:xfrm>
                      <a:off x="0" y="0"/>
                      <a:ext cx="5578638" cy="2190817"/>
                    </a:xfrm>
                    <a:prstGeom prst="rect">
                      <a:avLst/>
                    </a:prstGeom>
                    <a:ln>
                      <a:noFill/>
                    </a:ln>
                    <a:extLst>
                      <a:ext uri="{53640926-AAD7-44D8-BBD7-CCE9431645EC}">
                        <a14:shadowObscured xmlns:a14="http://schemas.microsoft.com/office/drawing/2010/main"/>
                      </a:ext>
                    </a:extLst>
                  </pic:spPr>
                </pic:pic>
              </a:graphicData>
            </a:graphic>
          </wp:inline>
        </w:drawing>
      </w:r>
    </w:p>
    <w:p w14:paraId="0B1F224B" w14:textId="77777777" w:rsidR="00220F49" w:rsidRDefault="00220F49" w:rsidP="00122210">
      <w:pPr>
        <w:spacing w:after="0" w:line="240" w:lineRule="auto"/>
        <w:jc w:val="both"/>
        <w:rPr>
          <w:rFonts w:ascii="Times New Roman" w:hAnsi="Times New Roman"/>
          <w:noProof/>
          <w:kern w:val="0"/>
          <w:lang w:val="lv-LV"/>
        </w:rPr>
      </w:pPr>
    </w:p>
    <w:p w14:paraId="23D63BF6" w14:textId="245C7C74"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The Latvian population is mainly active for health and fitness reasons, and also motivated by opportunities to relax, engage in entertaining activities, control weight, and improve visual appearance. At the same time, the most common reasons for not engaging in physical activity include lack of motivation and interest, disability or illness, costs, unwillingness to compete with others, and fear of injury.</w:t>
      </w:r>
      <w:r>
        <w:rPr>
          <w:rFonts w:ascii="Times New Roman" w:hAnsi="Times New Roman"/>
          <w:vertAlign w:val="superscript"/>
        </w:rPr>
        <w:t>72</w:t>
      </w:r>
      <w:r>
        <w:rPr>
          <w:rFonts w:ascii="Times New Roman" w:hAnsi="Times New Roman"/>
        </w:rPr>
        <w:t xml:space="preserve"> In order to promote changes in physical activity habits among the population, it is necessary to strengthen the perception that physical activity is a value and an important part of the daily routine, and also to provide opportunities to engage in physical activity free of charge, as close as possible to the home and workplace of the population in order to motivate them to adopt a more active lifestyle.</w:t>
      </w:r>
    </w:p>
    <w:p w14:paraId="187350F2" w14:textId="77777777" w:rsidR="00220F49" w:rsidRDefault="00220F49" w:rsidP="00260895">
      <w:pPr>
        <w:spacing w:after="0" w:line="240" w:lineRule="auto"/>
        <w:ind w:firstLine="709"/>
        <w:jc w:val="both"/>
        <w:rPr>
          <w:rFonts w:ascii="Times New Roman" w:hAnsi="Times New Roman"/>
          <w:noProof/>
          <w:kern w:val="0"/>
          <w:lang w:val="lv-LV"/>
        </w:rPr>
      </w:pPr>
    </w:p>
    <w:p w14:paraId="6CC70430" w14:textId="44735AE8"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 xml:space="preserve">The Plan also seeks to address the issue of </w:t>
      </w:r>
      <w:r>
        <w:rPr>
          <w:rFonts w:ascii="Times New Roman" w:hAnsi="Times New Roman"/>
          <w:b/>
          <w:bCs/>
        </w:rPr>
        <w:t>exempting learners from participation in “Sports and Health” classes</w:t>
      </w:r>
      <w:r>
        <w:rPr>
          <w:rFonts w:ascii="Times New Roman" w:hAnsi="Times New Roman"/>
        </w:rPr>
        <w:t xml:space="preserve"> for extended periods, without providing any indications on engagement in physical activity appropriate and adapted to the health status of the learner during the period of exemption. In order to ensure optimal physical load even when the amount or type of movement is restricted, it is important to educate medical practitioners in providing clear guidance to educational institutions and educators on the adaptation of physical activity to the health status and capabilities of the learner.</w:t>
      </w:r>
    </w:p>
    <w:p w14:paraId="49ACE503" w14:textId="77777777" w:rsidR="00220F49" w:rsidRDefault="00220F49" w:rsidP="00260895">
      <w:pPr>
        <w:spacing w:after="0" w:line="240" w:lineRule="auto"/>
        <w:ind w:firstLine="709"/>
        <w:jc w:val="both"/>
        <w:rPr>
          <w:rFonts w:ascii="Times New Roman" w:hAnsi="Times New Roman"/>
          <w:noProof/>
          <w:kern w:val="0"/>
          <w:lang w:val="lv-LV"/>
        </w:rPr>
      </w:pPr>
    </w:p>
    <w:p w14:paraId="29F88BA4" w14:textId="1AF52583"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An audit implemented by the State Audit Office</w:t>
      </w:r>
      <w:r>
        <w:rPr>
          <w:rFonts w:ascii="Times New Roman" w:hAnsi="Times New Roman"/>
          <w:vertAlign w:val="superscript"/>
        </w:rPr>
        <w:t>73</w:t>
      </w:r>
      <w:r>
        <w:rPr>
          <w:rFonts w:ascii="Times New Roman" w:hAnsi="Times New Roman"/>
        </w:rPr>
        <w:t xml:space="preserve"> led to the conclusion that different population groups have different capabilities and access to sports and other physical activities in local governments. The promotion of physical activity in local governments is primarily characterised by the engagement of children and young people (4–5 % of the population) in physical education activities offered by vocational education and interest-based sports education programmes and the maintenance of infrastructure in line with capacity indicators – primarily for activities aimed at children and young people and professional sports. Information on opportunities for engaging in physical activity published by local governments does not generally target a specific population group, therefore the less active segment of the population is not proactively encouraged to engage in physical activities. Taking into account the conclusions and recommendations of the State Audit Office, it is provided for in the Plan to promote </w:t>
      </w:r>
      <w:r>
        <w:rPr>
          <w:rFonts w:ascii="Times New Roman" w:hAnsi="Times New Roman"/>
          <w:b/>
          <w:bCs/>
        </w:rPr>
        <w:t>more active engagement of the population in physical activities offered by local governments</w:t>
      </w:r>
      <w:r>
        <w:rPr>
          <w:rFonts w:ascii="Times New Roman" w:hAnsi="Times New Roman"/>
        </w:rPr>
        <w:t xml:space="preserve"> by identifying the needs of individuals and purposefully directing funding for the promotion of physical activity in the local community.</w:t>
      </w:r>
    </w:p>
    <w:p w14:paraId="3FFE7211" w14:textId="77777777" w:rsidR="00220F49" w:rsidRDefault="00220F49" w:rsidP="00260895">
      <w:pPr>
        <w:spacing w:after="0" w:line="240" w:lineRule="auto"/>
        <w:ind w:firstLine="709"/>
        <w:jc w:val="both"/>
        <w:rPr>
          <w:rFonts w:ascii="Times New Roman" w:hAnsi="Times New Roman"/>
          <w:noProof/>
          <w:kern w:val="0"/>
          <w:lang w:val="lv-LV"/>
        </w:rPr>
      </w:pPr>
    </w:p>
    <w:p w14:paraId="3F11E320" w14:textId="08DA7671" w:rsidR="00136A25" w:rsidRDefault="00136A25" w:rsidP="00260895">
      <w:pPr>
        <w:spacing w:after="0" w:line="240" w:lineRule="auto"/>
        <w:ind w:firstLine="709"/>
        <w:jc w:val="both"/>
        <w:rPr>
          <w:rFonts w:ascii="Times New Roman" w:hAnsi="Times New Roman"/>
          <w:noProof/>
          <w:kern w:val="0"/>
        </w:rPr>
      </w:pPr>
      <w:r>
        <w:rPr>
          <w:rFonts w:ascii="Times New Roman" w:hAnsi="Times New Roman"/>
        </w:rPr>
        <w:t xml:space="preserve">Sports clubs play an important role in promoting the engagement of the population in physical activity, as they provide active leisure opportunities for the population. According to the information provided by the LHFA, around 160 000 Latvian residents use the services provided by sports clubs. Within the scope of the Plan, it is intended to develop </w:t>
      </w:r>
      <w:r>
        <w:rPr>
          <w:rFonts w:ascii="Times New Roman" w:hAnsi="Times New Roman"/>
          <w:b/>
          <w:bCs/>
        </w:rPr>
        <w:lastRenderedPageBreak/>
        <w:t>recommendations for sports clubs</w:t>
      </w:r>
      <w:r>
        <w:rPr>
          <w:rFonts w:ascii="Times New Roman" w:hAnsi="Times New Roman"/>
        </w:rPr>
        <w:t xml:space="preserve"> on the creation and implementation of health-promoting physical activities for different target groups (e.g., seniors, pregnant women, and children) to ensure that more residents use physical activity opportunities offered by the sports and fitness industry. At the same time, it is planned to promote </w:t>
      </w:r>
      <w:r>
        <w:rPr>
          <w:rFonts w:ascii="Times New Roman" w:hAnsi="Times New Roman"/>
          <w:b/>
          <w:bCs/>
        </w:rPr>
        <w:t>cooperation between sports organisations</w:t>
      </w:r>
      <w:r>
        <w:rPr>
          <w:rFonts w:ascii="Times New Roman" w:hAnsi="Times New Roman"/>
        </w:rPr>
        <w:t xml:space="preserve"> to improve local access to physical activities in the regions and participation of residents in such activities.</w:t>
      </w:r>
    </w:p>
    <w:p w14:paraId="5E2E4CF8" w14:textId="77777777" w:rsidR="00220F49" w:rsidRPr="00B10F87" w:rsidRDefault="00220F49"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80"/>
        <w:gridCol w:w="4075"/>
      </w:tblGrid>
      <w:tr w:rsidR="00136A25" w:rsidRPr="00B10F87" w14:paraId="272BE172"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hideMark/>
          </w:tcPr>
          <w:p w14:paraId="2C432695"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Problems identified:</w:t>
            </w:r>
          </w:p>
        </w:tc>
      </w:tr>
      <w:tr w:rsidR="00136A25" w:rsidRPr="00B10F87" w14:paraId="34C3FFAA"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5974988C"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w:t>
            </w:r>
          </w:p>
        </w:tc>
        <w:tc>
          <w:tcPr>
            <w:tcW w:w="0" w:type="auto"/>
            <w:tcBorders>
              <w:top w:val="outset" w:sz="6" w:space="0" w:color="414142"/>
              <w:left w:val="outset" w:sz="6" w:space="0" w:color="414142"/>
              <w:bottom w:val="outset" w:sz="6" w:space="0" w:color="414142"/>
              <w:right w:val="outset" w:sz="6" w:space="0" w:color="414142"/>
            </w:tcBorders>
            <w:hideMark/>
          </w:tcPr>
          <w:p w14:paraId="690D0D4C"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Solution</w:t>
            </w:r>
          </w:p>
        </w:tc>
      </w:tr>
      <w:tr w:rsidR="00136A25" w:rsidRPr="00B10F87" w14:paraId="10FE6CCA"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5E33FB8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Insufficient physical activity across different population groups.</w:t>
            </w:r>
          </w:p>
        </w:tc>
        <w:tc>
          <w:tcPr>
            <w:tcW w:w="0" w:type="auto"/>
            <w:tcBorders>
              <w:top w:val="outset" w:sz="6" w:space="0" w:color="414142"/>
              <w:left w:val="outset" w:sz="6" w:space="0" w:color="414142"/>
              <w:bottom w:val="outset" w:sz="6" w:space="0" w:color="414142"/>
              <w:right w:val="outset" w:sz="6" w:space="0" w:color="414142"/>
            </w:tcBorders>
            <w:hideMark/>
          </w:tcPr>
          <w:p w14:paraId="0B45D4B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implement measures aimed at engaging sedentary individuals in physical activity.</w:t>
            </w:r>
          </w:p>
        </w:tc>
      </w:tr>
      <w:tr w:rsidR="00136A25" w:rsidRPr="00B10F87" w14:paraId="5BEADC79"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0BA041F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Exemptions from participation in “Sports and Health” classes for extended periods issued by medical practitioners to learners often do not provide guidance on physical activity in which a learner may participate, thereby limiting the possibilities of educators of educational institutions to adapt physical activity to the health condition and capabilities of the learner.</w:t>
            </w:r>
          </w:p>
        </w:tc>
        <w:tc>
          <w:tcPr>
            <w:tcW w:w="0" w:type="auto"/>
            <w:tcBorders>
              <w:top w:val="outset" w:sz="6" w:space="0" w:color="414142"/>
              <w:left w:val="outset" w:sz="6" w:space="0" w:color="414142"/>
              <w:bottom w:val="outset" w:sz="6" w:space="0" w:color="414142"/>
              <w:right w:val="outset" w:sz="6" w:space="0" w:color="414142"/>
            </w:tcBorders>
            <w:hideMark/>
          </w:tcPr>
          <w:p w14:paraId="1E0FB6F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educate medical practitioners in providing recommendations on physical activity for learners with long-term health issues to ensure optimal participation in “Sports and Health” classes according to the health status.</w:t>
            </w:r>
          </w:p>
        </w:tc>
      </w:tr>
      <w:tr w:rsidR="00136A25" w:rsidRPr="00B10F87" w14:paraId="0EEE314F"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5C18F76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Insufficient engagement of professionals from different sectors (educators, medical practitioners, employers, sports coaches, etc.) and institutions in promoting physical activity among the population.</w:t>
            </w:r>
          </w:p>
        </w:tc>
        <w:tc>
          <w:tcPr>
            <w:tcW w:w="0" w:type="auto"/>
            <w:tcBorders>
              <w:top w:val="outset" w:sz="6" w:space="0" w:color="414142"/>
              <w:left w:val="outset" w:sz="6" w:space="0" w:color="414142"/>
              <w:bottom w:val="outset" w:sz="6" w:space="0" w:color="414142"/>
              <w:right w:val="outset" w:sz="6" w:space="0" w:color="414142"/>
            </w:tcBorders>
            <w:hideMark/>
          </w:tcPr>
          <w:p w14:paraId="44D733E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Measures for motivating and engaging professionals from different sectors in promoting physical activity among the Latvian population.</w:t>
            </w:r>
          </w:p>
        </w:tc>
      </w:tr>
    </w:tbl>
    <w:p w14:paraId="41EF2FB2" w14:textId="77777777" w:rsidR="00220F49" w:rsidRDefault="00220F49" w:rsidP="00122210">
      <w:pPr>
        <w:spacing w:after="0" w:line="240" w:lineRule="auto"/>
        <w:jc w:val="both"/>
        <w:rPr>
          <w:rFonts w:ascii="Times New Roman" w:hAnsi="Times New Roman"/>
          <w:b/>
          <w:bCs/>
          <w:noProof/>
          <w:kern w:val="0"/>
          <w:lang w:val="lv-LV"/>
        </w:rPr>
      </w:pPr>
    </w:p>
    <w:p w14:paraId="62E64CC2" w14:textId="314BBF1B" w:rsidR="00136A25" w:rsidRPr="00B10F87" w:rsidRDefault="00136A25" w:rsidP="00260895">
      <w:pPr>
        <w:spacing w:after="0" w:line="240" w:lineRule="auto"/>
        <w:jc w:val="center"/>
        <w:rPr>
          <w:rFonts w:ascii="Times New Roman" w:hAnsi="Times New Roman"/>
          <w:b/>
          <w:bCs/>
          <w:noProof/>
          <w:kern w:val="0"/>
        </w:rPr>
      </w:pPr>
      <w:r>
        <w:rPr>
          <w:rFonts w:ascii="Times New Roman" w:hAnsi="Times New Roman"/>
          <w:b/>
        </w:rPr>
        <w:t>3.2.3. Comprehensive Measures for the Reduction of Overweight</w:t>
      </w:r>
    </w:p>
    <w:p w14:paraId="4399679E" w14:textId="77777777" w:rsidR="00220F49" w:rsidRDefault="00220F49" w:rsidP="00122210">
      <w:pPr>
        <w:spacing w:after="0" w:line="240" w:lineRule="auto"/>
        <w:jc w:val="both"/>
        <w:rPr>
          <w:rFonts w:ascii="Times New Roman" w:hAnsi="Times New Roman"/>
          <w:noProof/>
          <w:kern w:val="0"/>
          <w:lang w:val="lv-LV"/>
        </w:rPr>
      </w:pPr>
    </w:p>
    <w:p w14:paraId="381B9CFF" w14:textId="1005A50C"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 xml:space="preserve">Health literacy is the ability of a person to obtain, process, and understand information on health and healthcare services, including medical treatment, in order to take appropriate and health-relevant decisions. Action sub-direction 3.3 “Engagement of a patient and his or her family in healthcare” of the Guidelines includes task 3.3.2 “Promoting the improvement of health communication and health literacy among the population, thereby increasing care of people for their health”. Within the scope of the Plan, it is also necessary to implement the cross-sectoral objective, namely, to </w:t>
      </w:r>
      <w:r>
        <w:rPr>
          <w:rFonts w:ascii="Times New Roman" w:hAnsi="Times New Roman"/>
          <w:b/>
          <w:bCs/>
        </w:rPr>
        <w:t>improve health literacy among the Latvian population</w:t>
      </w:r>
      <w:r>
        <w:rPr>
          <w:rFonts w:ascii="Times New Roman" w:hAnsi="Times New Roman"/>
        </w:rPr>
        <w:t xml:space="preserve"> by ensuring more active engagement of people in maintaining their health status and preventing and treating diseases, including obesity.</w:t>
      </w:r>
    </w:p>
    <w:p w14:paraId="1A159A6A" w14:textId="77777777" w:rsidR="005605E9" w:rsidRDefault="005605E9" w:rsidP="00260895">
      <w:pPr>
        <w:spacing w:after="0" w:line="240" w:lineRule="auto"/>
        <w:ind w:firstLine="709"/>
        <w:jc w:val="both"/>
        <w:rPr>
          <w:rFonts w:ascii="Times New Roman" w:hAnsi="Times New Roman"/>
          <w:noProof/>
          <w:kern w:val="0"/>
          <w:lang w:val="lv-LV"/>
        </w:rPr>
      </w:pPr>
    </w:p>
    <w:p w14:paraId="1662B968" w14:textId="604033F1"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 xml:space="preserve">It should be noted that the body weight of a person is affected not only by their dietary habits and physical activity but also by other important factors, such as sleep, mental health, environment in which a person lives, studies, or works, and, in some cases, by a </w:t>
      </w:r>
      <w:r>
        <w:rPr>
          <w:rFonts w:ascii="Times New Roman" w:hAnsi="Times New Roman"/>
          <w:b/>
          <w:bCs/>
        </w:rPr>
        <w:t>combination of several risk factors</w:t>
      </w:r>
      <w:r>
        <w:rPr>
          <w:rFonts w:ascii="Times New Roman" w:hAnsi="Times New Roman"/>
        </w:rPr>
        <w:t>. Therefore, intersectoral cooperation is of significance for the solving of this problem, raising awareness of health as a value and improving health literacy among the population in general. So far, the MoH, in cooperation with the CDPC and other cooperation partners, including NGOs representing medical practitioners, has developed and updated nutritional recommendations for various population groups, and also informative materials to facilitate the perceptibility of the fundamental principles of healthy diet and their introduction in daily life;</w:t>
      </w:r>
      <w:r>
        <w:rPr>
          <w:rFonts w:ascii="Times New Roman" w:hAnsi="Times New Roman"/>
          <w:vertAlign w:val="superscript"/>
        </w:rPr>
        <w:t>74</w:t>
      </w:r>
      <w:r>
        <w:rPr>
          <w:rFonts w:ascii="Times New Roman" w:hAnsi="Times New Roman"/>
        </w:rPr>
        <w:t xml:space="preserve"> although individuals and NGOs have reported that the developed materials are of high quality and visually appealing, they are difficult to find and are therefore not used sufficiently. During the period of the Plan, it is necessary to </w:t>
      </w:r>
      <w:r>
        <w:rPr>
          <w:rFonts w:ascii="Times New Roman" w:hAnsi="Times New Roman"/>
          <w:b/>
          <w:bCs/>
        </w:rPr>
        <w:t>improve accessibility and popularity of informative materials</w:t>
      </w:r>
      <w:r>
        <w:rPr>
          <w:rFonts w:ascii="Times New Roman" w:hAnsi="Times New Roman"/>
        </w:rPr>
        <w:t xml:space="preserve">, to update them, and also to promote the recognisability </w:t>
      </w:r>
      <w:r>
        <w:rPr>
          <w:rFonts w:ascii="Times New Roman" w:hAnsi="Times New Roman"/>
        </w:rPr>
        <w:lastRenderedPageBreak/>
        <w:t>and use of the websites administered by the MoH and the CDPC among the Latvian population, particularly among specific target groups (e.g., seniors, patients, pregnant women, etc.).</w:t>
      </w:r>
    </w:p>
    <w:p w14:paraId="0A7F5080" w14:textId="77777777" w:rsidR="005605E9" w:rsidRDefault="005605E9" w:rsidP="00260895">
      <w:pPr>
        <w:spacing w:after="0" w:line="240" w:lineRule="auto"/>
        <w:ind w:firstLine="709"/>
        <w:jc w:val="both"/>
        <w:rPr>
          <w:rFonts w:ascii="Times New Roman" w:hAnsi="Times New Roman"/>
          <w:noProof/>
          <w:kern w:val="0"/>
          <w:lang w:val="lv-LV"/>
        </w:rPr>
      </w:pPr>
    </w:p>
    <w:p w14:paraId="646F8B4B" w14:textId="49D1A3A2"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According to population surveys</w:t>
      </w:r>
      <w:r>
        <w:rPr>
          <w:rFonts w:ascii="Times New Roman" w:hAnsi="Times New Roman"/>
          <w:vertAlign w:val="superscript"/>
        </w:rPr>
        <w:t>75</w:t>
      </w:r>
      <w:r>
        <w:rPr>
          <w:rFonts w:ascii="Times New Roman" w:hAnsi="Times New Roman"/>
        </w:rPr>
        <w:t xml:space="preserve"> and professionals from the sports sector, individuals do not engage in physical activity due to financial reasons, given that, for instance, participation fees for sports events have increased significantly in recent years. Therefore, both the Sports Policy Guidelines 2022–2027 and the Plan provide for the possibility of exploring opportunities and introducing a financial compensation mechanism to cover the expenses related to physical activity. At the same time, it is also necessary to evaluate the possibility of using </w:t>
      </w:r>
      <w:r>
        <w:rPr>
          <w:rFonts w:ascii="Times New Roman" w:hAnsi="Times New Roman"/>
          <w:b/>
          <w:bCs/>
        </w:rPr>
        <w:t>fiscal policy instruments</w:t>
      </w:r>
      <w:r>
        <w:rPr>
          <w:rFonts w:ascii="Times New Roman" w:hAnsi="Times New Roman"/>
        </w:rPr>
        <w:t xml:space="preserve"> for the promotion of healthy food consumption, taking into account that population groups with a lower socio-economic status are more likely to adopt unhealthy dietary habits due to external factors, such as physical accessibility, financial capacity, targeted marketing, food quality.</w:t>
      </w:r>
      <w:r>
        <w:rPr>
          <w:rFonts w:ascii="Times New Roman" w:hAnsi="Times New Roman"/>
          <w:vertAlign w:val="superscript"/>
        </w:rPr>
        <w:t>76</w:t>
      </w:r>
    </w:p>
    <w:p w14:paraId="4AFC9B4E" w14:textId="77777777" w:rsidR="00F66B67" w:rsidRDefault="00F66B67" w:rsidP="00260895">
      <w:pPr>
        <w:spacing w:after="0" w:line="240" w:lineRule="auto"/>
        <w:ind w:firstLine="709"/>
        <w:jc w:val="both"/>
        <w:rPr>
          <w:rFonts w:ascii="Times New Roman" w:hAnsi="Times New Roman"/>
          <w:noProof/>
          <w:kern w:val="0"/>
          <w:lang w:val="lv-LV"/>
        </w:rPr>
      </w:pPr>
    </w:p>
    <w:p w14:paraId="263FA526" w14:textId="125E695C"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With the support from the MoW, the Guidelines for Health Promotion at Workplace were developed in 2014;</w:t>
      </w:r>
      <w:r>
        <w:rPr>
          <w:rFonts w:ascii="Times New Roman" w:hAnsi="Times New Roman"/>
          <w:vertAlign w:val="superscript"/>
        </w:rPr>
        <w:t>77</w:t>
      </w:r>
      <w:r>
        <w:rPr>
          <w:rFonts w:ascii="Times New Roman" w:hAnsi="Times New Roman"/>
        </w:rPr>
        <w:t xml:space="preserve"> however, given that new recommendations for promoting a healthy lifestyle have been published in recent years, and also working conditions have changed (remote work has become more relevant), it is necessary to review and update the </w:t>
      </w:r>
      <w:r>
        <w:rPr>
          <w:rFonts w:ascii="Times New Roman" w:hAnsi="Times New Roman"/>
          <w:b/>
          <w:bCs/>
        </w:rPr>
        <w:t>guidelines for workplaces</w:t>
      </w:r>
      <w:r>
        <w:rPr>
          <w:rFonts w:ascii="Times New Roman" w:hAnsi="Times New Roman"/>
        </w:rPr>
        <w:t>. In addition, considering the current habits among the population and its increasing preference for digital solutions, it is necessary to develop interactive educational materials, video lectures, practical tasks, compiling examples of good practice and other information for workplaces to promote a healthy lifestyle.</w:t>
      </w:r>
    </w:p>
    <w:p w14:paraId="1A1C1216" w14:textId="77777777" w:rsidR="00F66B67" w:rsidRDefault="00F66B67" w:rsidP="00260895">
      <w:pPr>
        <w:spacing w:after="0" w:line="240" w:lineRule="auto"/>
        <w:ind w:firstLine="709"/>
        <w:jc w:val="both"/>
        <w:rPr>
          <w:rFonts w:ascii="Times New Roman" w:hAnsi="Times New Roman"/>
          <w:noProof/>
          <w:kern w:val="0"/>
          <w:lang w:val="lv-LV"/>
        </w:rPr>
      </w:pPr>
    </w:p>
    <w:p w14:paraId="72AF61AB" w14:textId="57DED19B"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 xml:space="preserve">A large proportion of children start to attend PEIs from around the age of one and a half years, therefore health promotion measures in educational institutions can be initiated at an early age. Within the scope of the Plan, it is necessary to develop practical materials on healthy diet and physical activity, and to provide </w:t>
      </w:r>
      <w:r>
        <w:rPr>
          <w:rFonts w:ascii="Times New Roman" w:hAnsi="Times New Roman"/>
          <w:b/>
          <w:bCs/>
        </w:rPr>
        <w:t>training to pre-school education and primary education teachers</w:t>
      </w:r>
      <w:r>
        <w:rPr>
          <w:rFonts w:ascii="Times New Roman" w:hAnsi="Times New Roman"/>
        </w:rPr>
        <w:t xml:space="preserve">. In order to ensure continuity of health education throughout the educational path of a child, it is necessary to develop </w:t>
      </w:r>
      <w:r>
        <w:rPr>
          <w:rFonts w:ascii="Times New Roman" w:hAnsi="Times New Roman"/>
          <w:b/>
          <w:bCs/>
        </w:rPr>
        <w:t>methodological materials for general education institutions</w:t>
      </w:r>
      <w:r>
        <w:rPr>
          <w:rFonts w:ascii="Times New Roman" w:hAnsi="Times New Roman"/>
        </w:rPr>
        <w:t>, with a particular focus on the reduction of risk factors for overweight and obesity and the adoption of good practice examples. Educational institutions play a key role in promoting physical activity among learners as they provide an environment where learners spend a large part of their time on weekdays and it is possible to ensure safe conditions for physical activity and educator support where necessary. In addition to the activities (sports classes) implemented in educational institutions, interest-based education opportunities in sports schools and within the scope of sports organisation also contribute greatly to the promotion of physical activity among children.</w:t>
      </w:r>
    </w:p>
    <w:p w14:paraId="762DFCFF" w14:textId="77777777" w:rsidR="00F66B67" w:rsidRDefault="00F66B67" w:rsidP="00260895">
      <w:pPr>
        <w:spacing w:after="0" w:line="240" w:lineRule="auto"/>
        <w:ind w:firstLine="709"/>
        <w:jc w:val="both"/>
        <w:rPr>
          <w:rFonts w:ascii="Times New Roman" w:hAnsi="Times New Roman"/>
          <w:noProof/>
          <w:kern w:val="0"/>
          <w:lang w:val="lv-LV"/>
        </w:rPr>
      </w:pPr>
    </w:p>
    <w:p w14:paraId="4D42C62C" w14:textId="41EE8340" w:rsidR="00136A25" w:rsidRPr="00B10F87" w:rsidRDefault="00136A25" w:rsidP="00260895">
      <w:pPr>
        <w:spacing w:after="0" w:line="240" w:lineRule="auto"/>
        <w:ind w:firstLine="709"/>
        <w:jc w:val="both"/>
        <w:rPr>
          <w:rFonts w:ascii="Times New Roman" w:hAnsi="Times New Roman"/>
          <w:noProof/>
          <w:kern w:val="0"/>
        </w:rPr>
      </w:pPr>
      <w:r>
        <w:rPr>
          <w:rFonts w:ascii="Times New Roman" w:hAnsi="Times New Roman"/>
        </w:rPr>
        <w:t>As the child grows, the surrounding environment and family lifestyle, including diet, leisure activities, physical activity, stress management, attitudes towards the body, sleep patterns, and other factors, play a key role in shaping health-related habits, therefore the example set by parents is of great importance. However, only a small proportion of parents engage in various physical activities on a daily basis together with their children, most commonly in physically active games (17.1 %).</w:t>
      </w:r>
      <w:r>
        <w:rPr>
          <w:rFonts w:ascii="Times New Roman" w:hAnsi="Times New Roman"/>
          <w:vertAlign w:val="superscript"/>
        </w:rPr>
        <w:t>78</w:t>
      </w:r>
      <w:r>
        <w:rPr>
          <w:rFonts w:ascii="Times New Roman" w:hAnsi="Times New Roman"/>
        </w:rPr>
        <w:t xml:space="preserve"> For children to be able to shape their habits related to physical activity, it is important to work actively with their parents by improving their knowledge, skills, and capacities and providing support for engaging in physical activity.</w:t>
      </w:r>
    </w:p>
    <w:p w14:paraId="5765AA43" w14:textId="77777777" w:rsidR="00F66B67" w:rsidRDefault="00F66B67" w:rsidP="00260895">
      <w:pPr>
        <w:spacing w:after="0" w:line="240" w:lineRule="auto"/>
        <w:ind w:firstLine="709"/>
        <w:jc w:val="both"/>
        <w:rPr>
          <w:rFonts w:ascii="Times New Roman" w:hAnsi="Times New Roman"/>
          <w:noProof/>
          <w:kern w:val="0"/>
          <w:lang w:val="lv-LV"/>
        </w:rPr>
      </w:pPr>
    </w:p>
    <w:p w14:paraId="15B952F0" w14:textId="5D4FBF2B" w:rsidR="00136A25" w:rsidRDefault="00136A25" w:rsidP="00260895">
      <w:pPr>
        <w:spacing w:after="0" w:line="240" w:lineRule="auto"/>
        <w:ind w:firstLine="709"/>
        <w:jc w:val="both"/>
        <w:rPr>
          <w:rFonts w:ascii="Times New Roman" w:hAnsi="Times New Roman"/>
          <w:noProof/>
          <w:kern w:val="0"/>
        </w:rPr>
      </w:pPr>
      <w:r>
        <w:rPr>
          <w:rFonts w:ascii="Times New Roman" w:hAnsi="Times New Roman"/>
        </w:rPr>
        <w:t>According to studies, weight stigma and a negative attitude towards body mass present health risks regardless of the BMI of the person. People who experience weight-related stigma are 2.5 times more likely to become obese, while people with excess body weight are three times less likely to lose excess weight.</w:t>
      </w:r>
      <w:r>
        <w:rPr>
          <w:rFonts w:ascii="Times New Roman" w:hAnsi="Times New Roman"/>
          <w:vertAlign w:val="superscript"/>
        </w:rPr>
        <w:t>79</w:t>
      </w:r>
      <w:r>
        <w:rPr>
          <w:rFonts w:ascii="Times New Roman" w:hAnsi="Times New Roman"/>
        </w:rPr>
        <w:t xml:space="preserve"> Experiences involving negative attitudes increase the risk of eating disorders</w:t>
      </w:r>
      <w:r>
        <w:rPr>
          <w:rFonts w:ascii="Times New Roman" w:hAnsi="Times New Roman"/>
          <w:vertAlign w:val="superscript"/>
        </w:rPr>
        <w:t>80</w:t>
      </w:r>
      <w:r>
        <w:rPr>
          <w:rFonts w:ascii="Times New Roman" w:hAnsi="Times New Roman"/>
        </w:rPr>
        <w:t xml:space="preserve"> and mental health disorders (depression, anxiety, suicidal thoughts, </w:t>
      </w:r>
      <w:r>
        <w:rPr>
          <w:rFonts w:ascii="Times New Roman" w:hAnsi="Times New Roman"/>
        </w:rPr>
        <w:lastRenderedPageBreak/>
        <w:t>etc.).</w:t>
      </w:r>
      <w:r>
        <w:rPr>
          <w:rFonts w:ascii="Times New Roman" w:hAnsi="Times New Roman"/>
          <w:vertAlign w:val="superscript"/>
        </w:rPr>
        <w:t>81</w:t>
      </w:r>
      <w:r>
        <w:rPr>
          <w:rFonts w:ascii="Times New Roman" w:hAnsi="Times New Roman"/>
        </w:rPr>
        <w:t xml:space="preserve"> If a physician attributes the cause of a complaint to excess body weight at every appointment, patients are less likely to seek medical assistance,</w:t>
      </w:r>
      <w:r>
        <w:rPr>
          <w:rFonts w:ascii="Times New Roman" w:hAnsi="Times New Roman"/>
          <w:vertAlign w:val="superscript"/>
        </w:rPr>
        <w:t>82</w:t>
      </w:r>
      <w:r>
        <w:rPr>
          <w:rFonts w:ascii="Times New Roman" w:hAnsi="Times New Roman"/>
        </w:rPr>
        <w:t xml:space="preserve"> they become less physically active and feel embarrassed about exercising in public.</w:t>
      </w:r>
      <w:r>
        <w:rPr>
          <w:rFonts w:ascii="Times New Roman" w:hAnsi="Times New Roman"/>
          <w:vertAlign w:val="superscript"/>
        </w:rPr>
        <w:t>83</w:t>
      </w:r>
      <w:r>
        <w:rPr>
          <w:rFonts w:ascii="Times New Roman" w:hAnsi="Times New Roman"/>
        </w:rPr>
        <w:t xml:space="preserve"> Over time, weight stigma increases the mortality risk. Therefore, during the implementation of the measures of the Plan, it is necessary to raise awareness of weight stigma and to promote its elimination.</w:t>
      </w:r>
    </w:p>
    <w:p w14:paraId="5F1A7BA5" w14:textId="77777777" w:rsidR="00F66B67" w:rsidRPr="00B10F87" w:rsidRDefault="00F66B67"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48"/>
        <w:gridCol w:w="5007"/>
      </w:tblGrid>
      <w:tr w:rsidR="00136A25" w:rsidRPr="00B10F87" w14:paraId="463D6B59" w14:textId="77777777" w:rsidTr="00F66B67">
        <w:tc>
          <w:tcPr>
            <w:tcW w:w="5000" w:type="pct"/>
            <w:gridSpan w:val="2"/>
            <w:tcBorders>
              <w:top w:val="outset" w:sz="6" w:space="0" w:color="414142"/>
              <w:left w:val="outset" w:sz="6" w:space="0" w:color="414142"/>
              <w:bottom w:val="outset" w:sz="6" w:space="0" w:color="414142"/>
              <w:right w:val="outset" w:sz="6" w:space="0" w:color="414142"/>
            </w:tcBorders>
            <w:shd w:val="clear" w:color="auto" w:fill="C0C0C0"/>
            <w:hideMark/>
          </w:tcPr>
          <w:p w14:paraId="01AF8993"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Problems identified:</w:t>
            </w:r>
          </w:p>
        </w:tc>
      </w:tr>
      <w:tr w:rsidR="00136A25" w:rsidRPr="00B10F87" w14:paraId="2F8023BC" w14:textId="77777777" w:rsidTr="00F66B67">
        <w:tc>
          <w:tcPr>
            <w:tcW w:w="2235" w:type="pct"/>
            <w:tcBorders>
              <w:top w:val="outset" w:sz="6" w:space="0" w:color="414142"/>
              <w:left w:val="outset" w:sz="6" w:space="0" w:color="414142"/>
              <w:bottom w:val="outset" w:sz="6" w:space="0" w:color="414142"/>
              <w:right w:val="outset" w:sz="6" w:space="0" w:color="414142"/>
            </w:tcBorders>
            <w:hideMark/>
          </w:tcPr>
          <w:p w14:paraId="3D4C0FD9"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w:t>
            </w:r>
          </w:p>
        </w:tc>
        <w:tc>
          <w:tcPr>
            <w:tcW w:w="2765" w:type="pct"/>
            <w:tcBorders>
              <w:top w:val="outset" w:sz="6" w:space="0" w:color="414142"/>
              <w:left w:val="outset" w:sz="6" w:space="0" w:color="414142"/>
              <w:bottom w:val="outset" w:sz="6" w:space="0" w:color="414142"/>
              <w:right w:val="outset" w:sz="6" w:space="0" w:color="414142"/>
            </w:tcBorders>
            <w:hideMark/>
          </w:tcPr>
          <w:p w14:paraId="2A08D27F"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Solution</w:t>
            </w:r>
          </w:p>
        </w:tc>
      </w:tr>
      <w:tr w:rsidR="00136A25" w:rsidRPr="00B10F87" w14:paraId="724CF12D" w14:textId="77777777" w:rsidTr="00F66B67">
        <w:tc>
          <w:tcPr>
            <w:tcW w:w="2235" w:type="pct"/>
            <w:tcBorders>
              <w:top w:val="outset" w:sz="6" w:space="0" w:color="414142"/>
              <w:left w:val="outset" w:sz="6" w:space="0" w:color="414142"/>
              <w:bottom w:val="outset" w:sz="6" w:space="0" w:color="414142"/>
              <w:right w:val="outset" w:sz="6" w:space="0" w:color="414142"/>
            </w:tcBorders>
            <w:hideMark/>
          </w:tcPr>
          <w:p w14:paraId="61E7B5B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There is a lack of effective fiscal policy instruments for the promotion of physical activity and the adoption of healthy dietary habits among the Latvian population.</w:t>
            </w:r>
          </w:p>
        </w:tc>
        <w:tc>
          <w:tcPr>
            <w:tcW w:w="2765" w:type="pct"/>
            <w:tcBorders>
              <w:top w:val="outset" w:sz="6" w:space="0" w:color="414142"/>
              <w:left w:val="outset" w:sz="6" w:space="0" w:color="414142"/>
              <w:bottom w:val="outset" w:sz="6" w:space="0" w:color="414142"/>
              <w:right w:val="outset" w:sz="6" w:space="0" w:color="414142"/>
            </w:tcBorders>
            <w:hideMark/>
          </w:tcPr>
          <w:p w14:paraId="1133263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introduce effective fiscal policy instruments to promote physical activity and the adoption of healthy dietary habits among the population.</w:t>
            </w:r>
          </w:p>
        </w:tc>
      </w:tr>
      <w:tr w:rsidR="00136A25" w:rsidRPr="00B10F87" w14:paraId="210CC28B" w14:textId="77777777" w:rsidTr="00F66B67">
        <w:tc>
          <w:tcPr>
            <w:tcW w:w="2235" w:type="pct"/>
            <w:tcBorders>
              <w:top w:val="outset" w:sz="6" w:space="0" w:color="414142"/>
              <w:left w:val="outset" w:sz="6" w:space="0" w:color="414142"/>
              <w:bottom w:val="outset" w:sz="6" w:space="0" w:color="414142"/>
              <w:right w:val="outset" w:sz="6" w:space="0" w:color="414142"/>
            </w:tcBorders>
            <w:hideMark/>
          </w:tcPr>
          <w:p w14:paraId="0CCD413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The available information on healthy diet and physical activity is not used sufficiently. The knowledge and awareness of healthy diet and physical activity are continuously evolving, therefore informative materials become outdated both in terms of content and design over time.</w:t>
            </w:r>
          </w:p>
        </w:tc>
        <w:tc>
          <w:tcPr>
            <w:tcW w:w="2765" w:type="pct"/>
            <w:tcBorders>
              <w:top w:val="outset" w:sz="6" w:space="0" w:color="414142"/>
              <w:left w:val="outset" w:sz="6" w:space="0" w:color="414142"/>
              <w:bottom w:val="outset" w:sz="6" w:space="0" w:color="414142"/>
              <w:right w:val="outset" w:sz="6" w:space="0" w:color="414142"/>
            </w:tcBorders>
            <w:hideMark/>
          </w:tcPr>
          <w:p w14:paraId="394B83D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review and expand the forms of dissemination of information, responding to the societal needs and habits of using information channels to reach the target audience more effectively. To ensure relevant science-based information by developing new educational materials for the population, including on weight stigma.</w:t>
            </w:r>
          </w:p>
        </w:tc>
      </w:tr>
      <w:tr w:rsidR="00136A25" w:rsidRPr="00B10F87" w14:paraId="213D38D3" w14:textId="77777777" w:rsidTr="00F66B67">
        <w:tc>
          <w:tcPr>
            <w:tcW w:w="2235" w:type="pct"/>
            <w:tcBorders>
              <w:top w:val="outset" w:sz="6" w:space="0" w:color="414142"/>
              <w:left w:val="outset" w:sz="6" w:space="0" w:color="414142"/>
              <w:bottom w:val="outset" w:sz="6" w:space="0" w:color="414142"/>
              <w:right w:val="outset" w:sz="6" w:space="0" w:color="414142"/>
            </w:tcBorders>
            <w:hideMark/>
          </w:tcPr>
          <w:p w14:paraId="01900B4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The dietary and physical activity habits among the Latvian population are generally unhealthy, there is a lack of understanding of the importance of a healthy lifestyle for maintaining health.</w:t>
            </w:r>
          </w:p>
        </w:tc>
        <w:tc>
          <w:tcPr>
            <w:tcW w:w="2765" w:type="pct"/>
            <w:tcBorders>
              <w:top w:val="outset" w:sz="6" w:space="0" w:color="414142"/>
              <w:left w:val="outset" w:sz="6" w:space="0" w:color="414142"/>
              <w:bottom w:val="outset" w:sz="6" w:space="0" w:color="414142"/>
              <w:right w:val="outset" w:sz="6" w:space="0" w:color="414142"/>
            </w:tcBorders>
            <w:hideMark/>
          </w:tcPr>
          <w:p w14:paraId="0E0CEF1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Measures aimed at improving health literacy and changing habits among different target groups.</w:t>
            </w:r>
          </w:p>
        </w:tc>
      </w:tr>
      <w:tr w:rsidR="00136A25" w:rsidRPr="00B10F87" w14:paraId="521F8B2D" w14:textId="77777777" w:rsidTr="00F66B67">
        <w:tc>
          <w:tcPr>
            <w:tcW w:w="2235" w:type="pct"/>
            <w:tcBorders>
              <w:top w:val="outset" w:sz="6" w:space="0" w:color="414142"/>
              <w:left w:val="outset" w:sz="6" w:space="0" w:color="414142"/>
              <w:bottom w:val="outset" w:sz="6" w:space="0" w:color="414142"/>
              <w:right w:val="outset" w:sz="6" w:space="0" w:color="414142"/>
            </w:tcBorders>
            <w:hideMark/>
          </w:tcPr>
          <w:p w14:paraId="44B9B21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Insufficient involvement of professionals from different sectors (educators, medical practitioners, employers, etc.) and institutions in the prevention of risks of overweight and obesity among the population, and also insufficient knowledge and skills regarding weight stigma and its elimination.</w:t>
            </w:r>
          </w:p>
        </w:tc>
        <w:tc>
          <w:tcPr>
            <w:tcW w:w="2765" w:type="pct"/>
            <w:tcBorders>
              <w:top w:val="outset" w:sz="6" w:space="0" w:color="414142"/>
              <w:left w:val="outset" w:sz="6" w:space="0" w:color="414142"/>
              <w:bottom w:val="outset" w:sz="6" w:space="0" w:color="414142"/>
              <w:right w:val="outset" w:sz="6" w:space="0" w:color="414142"/>
            </w:tcBorders>
            <w:hideMark/>
          </w:tcPr>
          <w:p w14:paraId="22F2A7E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Measures aimed at motivating and engaging professionals from different sectors in the prevention of risks of overweight and obesity of the Latvian population, and also improving the understanding and skills related to eliminating weight stigma in daily work.</w:t>
            </w:r>
          </w:p>
        </w:tc>
      </w:tr>
    </w:tbl>
    <w:p w14:paraId="0A1CFA3F" w14:textId="77777777" w:rsidR="00F66B67" w:rsidRDefault="00F66B67" w:rsidP="00122210">
      <w:pPr>
        <w:spacing w:after="0" w:line="240" w:lineRule="auto"/>
        <w:jc w:val="both"/>
        <w:rPr>
          <w:rFonts w:ascii="Times New Roman" w:hAnsi="Times New Roman"/>
          <w:b/>
          <w:bCs/>
          <w:noProof/>
          <w:kern w:val="0"/>
          <w:lang w:val="lv-LV"/>
        </w:rPr>
      </w:pPr>
    </w:p>
    <w:p w14:paraId="1F2B23C7" w14:textId="160648A1" w:rsidR="00136A25" w:rsidRPr="00B10F87" w:rsidRDefault="00136A25" w:rsidP="00537845">
      <w:pPr>
        <w:spacing w:after="0" w:line="240" w:lineRule="auto"/>
        <w:jc w:val="center"/>
        <w:rPr>
          <w:rFonts w:ascii="Times New Roman" w:hAnsi="Times New Roman"/>
          <w:b/>
          <w:bCs/>
          <w:noProof/>
          <w:kern w:val="0"/>
        </w:rPr>
      </w:pPr>
      <w:r>
        <w:rPr>
          <w:rFonts w:ascii="Times New Roman" w:hAnsi="Times New Roman"/>
          <w:b/>
        </w:rPr>
        <w:t>3.3. Reduction of Overweight and Prevention of Obesity (Secondary Prevention)</w:t>
      </w:r>
    </w:p>
    <w:p w14:paraId="14913953" w14:textId="77777777" w:rsidR="00F66B67" w:rsidRDefault="00F66B67" w:rsidP="00122210">
      <w:pPr>
        <w:spacing w:after="0" w:line="240" w:lineRule="auto"/>
        <w:jc w:val="both"/>
        <w:rPr>
          <w:rFonts w:ascii="Times New Roman" w:hAnsi="Times New Roman"/>
          <w:noProof/>
          <w:kern w:val="0"/>
          <w:lang w:val="lv-LV"/>
        </w:rPr>
      </w:pPr>
    </w:p>
    <w:p w14:paraId="55084862" w14:textId="14B8E761"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Secondary prevention focuses on early detection and stopping the progression of diseases; therefore, targeted measures are necessary for population groups with excess body weight in order to stop body weight gain and prevent further progression of the disease, thereby preventing the development of non-communicable diseases.</w:t>
      </w:r>
    </w:p>
    <w:p w14:paraId="7D5B09C9" w14:textId="77777777" w:rsidR="00F60E35" w:rsidRDefault="00F60E35" w:rsidP="00537845">
      <w:pPr>
        <w:spacing w:after="0" w:line="240" w:lineRule="auto"/>
        <w:ind w:firstLine="709"/>
        <w:jc w:val="both"/>
        <w:rPr>
          <w:rFonts w:ascii="Times New Roman" w:hAnsi="Times New Roman"/>
          <w:noProof/>
          <w:kern w:val="0"/>
          <w:lang w:val="lv-LV"/>
        </w:rPr>
      </w:pPr>
    </w:p>
    <w:p w14:paraId="39CDAF32" w14:textId="429C32F0"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Economic investment in early childhood, including for the reduction of excess body weight in women already during pregnancy, can yield a 10-to-1 benefit to cost ratio in health, social, and economic benefits, and also reduce the risk of non-communicable diseases in later life.</w:t>
      </w:r>
      <w:r>
        <w:rPr>
          <w:rFonts w:ascii="Times New Roman" w:hAnsi="Times New Roman"/>
          <w:vertAlign w:val="superscript"/>
        </w:rPr>
        <w:t>84</w:t>
      </w:r>
      <w:r>
        <w:rPr>
          <w:rFonts w:ascii="Times New Roman" w:hAnsi="Times New Roman"/>
        </w:rPr>
        <w:t xml:space="preserve"> Within the scope of the Plan, it is intended to update the </w:t>
      </w:r>
      <w:r>
        <w:rPr>
          <w:rFonts w:ascii="Times New Roman" w:hAnsi="Times New Roman"/>
          <w:b/>
          <w:bCs/>
        </w:rPr>
        <w:t>materials for medical practitioners</w:t>
      </w:r>
      <w:r>
        <w:rPr>
          <w:rFonts w:ascii="Times New Roman" w:hAnsi="Times New Roman"/>
        </w:rPr>
        <w:t xml:space="preserve"> (including gynaecologists, family physicians, midwives, advanced practice nurses)</w:t>
      </w:r>
      <w:r>
        <w:rPr>
          <w:rFonts w:ascii="Times New Roman" w:hAnsi="Times New Roman"/>
          <w:vertAlign w:val="superscript"/>
        </w:rPr>
        <w:t>85</w:t>
      </w:r>
      <w:r>
        <w:rPr>
          <w:rFonts w:ascii="Times New Roman" w:hAnsi="Times New Roman"/>
        </w:rPr>
        <w:t xml:space="preserve"> </w:t>
      </w:r>
      <w:r>
        <w:rPr>
          <w:rFonts w:ascii="Times New Roman" w:hAnsi="Times New Roman"/>
          <w:b/>
          <w:bCs/>
        </w:rPr>
        <w:t>for work with pregnant women</w:t>
      </w:r>
      <w:r>
        <w:rPr>
          <w:rFonts w:ascii="Times New Roman" w:hAnsi="Times New Roman"/>
        </w:rPr>
        <w:t xml:space="preserve"> who are overweight and obese, with the aim of preventing further body weight gain and promoting health, and also to ensure training on these issues (including through video lectures, seminars). This would ensure that medical practitioners who most frequently consult pregnant women follow a unified approach to </w:t>
      </w:r>
      <w:r>
        <w:rPr>
          <w:rFonts w:ascii="Times New Roman" w:hAnsi="Times New Roman"/>
        </w:rPr>
        <w:lastRenderedPageBreak/>
        <w:t>medical treatment, and also maintain certain cooperation with other medical practitioners who should be involved in consulting such pregnant women.</w:t>
      </w:r>
    </w:p>
    <w:p w14:paraId="37004CE8" w14:textId="77777777" w:rsidR="00F60E35" w:rsidRDefault="00F60E35" w:rsidP="00537845">
      <w:pPr>
        <w:spacing w:after="0" w:line="240" w:lineRule="auto"/>
        <w:ind w:firstLine="709"/>
        <w:jc w:val="both"/>
        <w:rPr>
          <w:rFonts w:ascii="Times New Roman" w:hAnsi="Times New Roman"/>
          <w:noProof/>
          <w:kern w:val="0"/>
          <w:lang w:val="lv-LV"/>
        </w:rPr>
      </w:pPr>
    </w:p>
    <w:p w14:paraId="22C6D19B" w14:textId="289353BD"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A large proportion of parents are unable to objectively assess weight of their children and identify excess body weight issues.</w:t>
      </w:r>
      <w:r>
        <w:rPr>
          <w:rFonts w:ascii="Times New Roman" w:hAnsi="Times New Roman"/>
          <w:vertAlign w:val="superscript"/>
        </w:rPr>
        <w:t>86</w:t>
      </w:r>
      <w:r>
        <w:rPr>
          <w:rFonts w:ascii="Times New Roman" w:hAnsi="Times New Roman"/>
        </w:rPr>
        <w:t xml:space="preserve"> Therefore, in order to promote the health of children, to motivate parents to set a good example for their children, and to ensure that they seek medical assistance earlier, it is important to implement </w:t>
      </w:r>
      <w:r>
        <w:rPr>
          <w:rFonts w:ascii="Times New Roman" w:hAnsi="Times New Roman"/>
          <w:b/>
          <w:bCs/>
        </w:rPr>
        <w:t>educational measures for parents on early identification of overweight in children</w:t>
      </w:r>
      <w:r>
        <w:rPr>
          <w:rFonts w:ascii="Times New Roman" w:hAnsi="Times New Roman"/>
        </w:rPr>
        <w:t>, preventive measures, physical activities, and access to medical assistance. Negative attitude towards the body and excess body weight may contribute to mental health disorders, including the development of eating disorders, which, in turn, may increase the risk of obesity, therefore it is important to implement preventive measures to raise awareness among parents about positive attitudes towards the body and addressing weight stigma, while also focusing on respectful ways to communicate about the need to reduce body weight for health promotion purposes.</w:t>
      </w:r>
    </w:p>
    <w:p w14:paraId="270735FF" w14:textId="77777777" w:rsidR="00F60E35" w:rsidRDefault="00F60E35" w:rsidP="00537845">
      <w:pPr>
        <w:spacing w:after="0" w:line="240" w:lineRule="auto"/>
        <w:ind w:firstLine="709"/>
        <w:jc w:val="both"/>
        <w:rPr>
          <w:rFonts w:ascii="Times New Roman" w:hAnsi="Times New Roman"/>
          <w:noProof/>
          <w:kern w:val="0"/>
          <w:lang w:val="lv-LV"/>
        </w:rPr>
      </w:pPr>
    </w:p>
    <w:p w14:paraId="4063E2E0" w14:textId="2193328E" w:rsidR="00136A25" w:rsidRDefault="00136A25" w:rsidP="00537845">
      <w:pPr>
        <w:spacing w:after="0" w:line="240" w:lineRule="auto"/>
        <w:ind w:firstLine="709"/>
        <w:jc w:val="both"/>
        <w:rPr>
          <w:rFonts w:ascii="Times New Roman" w:hAnsi="Times New Roman"/>
          <w:noProof/>
          <w:kern w:val="0"/>
        </w:rPr>
      </w:pPr>
      <w:r>
        <w:rPr>
          <w:rFonts w:ascii="Times New Roman" w:hAnsi="Times New Roman"/>
        </w:rPr>
        <w:t>Data from a study on health-related habits among the Latvian population show that 10.5 % of respondents have increased physical activity for health reasons over the past year.</w:t>
      </w:r>
      <w:r>
        <w:rPr>
          <w:rFonts w:ascii="Times New Roman" w:hAnsi="Times New Roman"/>
          <w:vertAlign w:val="superscript"/>
        </w:rPr>
        <w:t>87</w:t>
      </w:r>
      <w:r>
        <w:rPr>
          <w:rFonts w:ascii="Times New Roman" w:hAnsi="Times New Roman"/>
        </w:rPr>
        <w:t xml:space="preserve"> At the same time, only 10.8 % of respondents reported that a healthcare professional had recommended that they increase physical activity within the last year. Given that the majority of the Latvian population is insufficiently physically active, it is necessary to strengthen the engagement of healthcare professionals in the promotion of physical activity. Therefore, the Plan seeks to implement several measures to increase the engagement of medical practitioners in the promotion of physical activity. A </w:t>
      </w:r>
      <w:r>
        <w:rPr>
          <w:rFonts w:ascii="Times New Roman" w:hAnsi="Times New Roman"/>
          <w:b/>
          <w:bCs/>
        </w:rPr>
        <w:t>physical activity prescription</w:t>
      </w:r>
      <w:r>
        <w:rPr>
          <w:rFonts w:ascii="Times New Roman" w:hAnsi="Times New Roman"/>
        </w:rPr>
        <w:t xml:space="preserve"> was introduced in Latvia in 2015; however, it is not widely used in practice as healthcare professionals lack motivation to use it and do not possess the necessary knowledge and skills to issue the prescription to patients. It is intended to update the prescription according to the latest physical activity recommendations, to develop a methodological material for healthcare professionals, and to implement training, and also to promote the use of the prescription in practice.</w:t>
      </w:r>
    </w:p>
    <w:p w14:paraId="11E6F1BB" w14:textId="77777777" w:rsidR="00F60E35" w:rsidRPr="00B10F87" w:rsidRDefault="00F60E35"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78"/>
        <w:gridCol w:w="4377"/>
      </w:tblGrid>
      <w:tr w:rsidR="00136A25" w:rsidRPr="00B10F87" w14:paraId="4B6D65E2" w14:textId="77777777" w:rsidTr="00F60E35">
        <w:tc>
          <w:tcPr>
            <w:tcW w:w="5000" w:type="pct"/>
            <w:gridSpan w:val="2"/>
            <w:tcBorders>
              <w:top w:val="outset" w:sz="6" w:space="0" w:color="414142"/>
              <w:left w:val="outset" w:sz="6" w:space="0" w:color="414142"/>
              <w:bottom w:val="outset" w:sz="6" w:space="0" w:color="414142"/>
              <w:right w:val="outset" w:sz="6" w:space="0" w:color="414142"/>
            </w:tcBorders>
            <w:shd w:val="clear" w:color="auto" w:fill="C0C0C0"/>
            <w:hideMark/>
          </w:tcPr>
          <w:p w14:paraId="530394B9"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Problems identified:</w:t>
            </w:r>
          </w:p>
        </w:tc>
      </w:tr>
      <w:tr w:rsidR="00136A25" w:rsidRPr="00B10F87" w14:paraId="173B56FC" w14:textId="77777777" w:rsidTr="00F60E35">
        <w:tc>
          <w:tcPr>
            <w:tcW w:w="2583" w:type="pct"/>
            <w:tcBorders>
              <w:top w:val="outset" w:sz="6" w:space="0" w:color="414142"/>
              <w:left w:val="outset" w:sz="6" w:space="0" w:color="414142"/>
              <w:bottom w:val="outset" w:sz="6" w:space="0" w:color="414142"/>
              <w:right w:val="outset" w:sz="6" w:space="0" w:color="414142"/>
            </w:tcBorders>
            <w:hideMark/>
          </w:tcPr>
          <w:p w14:paraId="3EEA5F6D"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w:t>
            </w:r>
          </w:p>
        </w:tc>
        <w:tc>
          <w:tcPr>
            <w:tcW w:w="2417" w:type="pct"/>
            <w:tcBorders>
              <w:top w:val="outset" w:sz="6" w:space="0" w:color="414142"/>
              <w:left w:val="outset" w:sz="6" w:space="0" w:color="414142"/>
              <w:bottom w:val="outset" w:sz="6" w:space="0" w:color="414142"/>
              <w:right w:val="outset" w:sz="6" w:space="0" w:color="414142"/>
            </w:tcBorders>
            <w:hideMark/>
          </w:tcPr>
          <w:p w14:paraId="405BA7A6"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Solution</w:t>
            </w:r>
          </w:p>
        </w:tc>
      </w:tr>
      <w:tr w:rsidR="00136A25" w:rsidRPr="00B10F87" w14:paraId="5B82E700" w14:textId="77777777" w:rsidTr="00F60E35">
        <w:tc>
          <w:tcPr>
            <w:tcW w:w="2583" w:type="pct"/>
            <w:tcBorders>
              <w:top w:val="outset" w:sz="6" w:space="0" w:color="414142"/>
              <w:left w:val="outset" w:sz="6" w:space="0" w:color="414142"/>
              <w:bottom w:val="outset" w:sz="6" w:space="0" w:color="414142"/>
              <w:right w:val="outset" w:sz="6" w:space="0" w:color="414142"/>
            </w:tcBorders>
            <w:hideMark/>
          </w:tcPr>
          <w:p w14:paraId="5A84C68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Parents are unable to objectively assess weight of their children which leads to delayed addressing of overweight and obesity issues. There is a lack of knowledge and understanding of attitudes towards the body, including body weight and its impact on the health of a child.</w:t>
            </w:r>
          </w:p>
        </w:tc>
        <w:tc>
          <w:tcPr>
            <w:tcW w:w="2417" w:type="pct"/>
            <w:tcBorders>
              <w:top w:val="outset" w:sz="6" w:space="0" w:color="414142"/>
              <w:left w:val="outset" w:sz="6" w:space="0" w:color="414142"/>
              <w:bottom w:val="outset" w:sz="6" w:space="0" w:color="414142"/>
              <w:right w:val="outset" w:sz="6" w:space="0" w:color="414142"/>
            </w:tcBorders>
            <w:hideMark/>
          </w:tcPr>
          <w:p w14:paraId="32C21A9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ensure that parents develop the skills necessary to assess weight of their children, prevent excess body weight, and seek assistance in cases of overweight and obesity, and also prevent weight stigma and the associated risks.</w:t>
            </w:r>
          </w:p>
        </w:tc>
      </w:tr>
      <w:tr w:rsidR="00136A25" w:rsidRPr="00B10F87" w14:paraId="5CB51BAA" w14:textId="77777777" w:rsidTr="00F60E35">
        <w:tc>
          <w:tcPr>
            <w:tcW w:w="2583" w:type="pct"/>
            <w:tcBorders>
              <w:top w:val="outset" w:sz="6" w:space="0" w:color="414142"/>
              <w:left w:val="outset" w:sz="6" w:space="0" w:color="414142"/>
              <w:bottom w:val="outset" w:sz="6" w:space="0" w:color="414142"/>
              <w:right w:val="outset" w:sz="6" w:space="0" w:color="414142"/>
            </w:tcBorders>
            <w:hideMark/>
          </w:tcPr>
          <w:p w14:paraId="47E4C42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Pregnant women lack understanding of the negative impact of overweight and obesity on health of the child and the mother during, and also after pregnancy.</w:t>
            </w:r>
          </w:p>
        </w:tc>
        <w:tc>
          <w:tcPr>
            <w:tcW w:w="2417" w:type="pct"/>
            <w:tcBorders>
              <w:top w:val="outset" w:sz="6" w:space="0" w:color="414142"/>
              <w:left w:val="outset" w:sz="6" w:space="0" w:color="414142"/>
              <w:bottom w:val="outset" w:sz="6" w:space="0" w:color="414142"/>
              <w:right w:val="outset" w:sz="6" w:space="0" w:color="414142"/>
            </w:tcBorders>
            <w:hideMark/>
          </w:tcPr>
          <w:p w14:paraId="2E465EF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Measures for medical practitioners involved in maternal care to promote a healthy lifestyle during and after pregnancy, encouraging active involvement of medical practitioners in health promotion for pregnant women.</w:t>
            </w:r>
          </w:p>
        </w:tc>
      </w:tr>
      <w:tr w:rsidR="00136A25" w:rsidRPr="00B10F87" w14:paraId="423DB9E4" w14:textId="77777777" w:rsidTr="00F60E35">
        <w:tc>
          <w:tcPr>
            <w:tcW w:w="2583" w:type="pct"/>
            <w:tcBorders>
              <w:top w:val="outset" w:sz="6" w:space="0" w:color="414142"/>
              <w:left w:val="outset" w:sz="6" w:space="0" w:color="414142"/>
              <w:bottom w:val="outset" w:sz="6" w:space="0" w:color="414142"/>
              <w:right w:val="outset" w:sz="6" w:space="0" w:color="414142"/>
            </w:tcBorders>
            <w:hideMark/>
          </w:tcPr>
          <w:p w14:paraId="2AF339F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The introduced physical activity prescription is not widely used as physicians lack motivation, knowledge, and skills necessary to issue the prescription.</w:t>
            </w:r>
          </w:p>
        </w:tc>
        <w:tc>
          <w:tcPr>
            <w:tcW w:w="2417" w:type="pct"/>
            <w:tcBorders>
              <w:top w:val="outset" w:sz="6" w:space="0" w:color="414142"/>
              <w:left w:val="outset" w:sz="6" w:space="0" w:color="414142"/>
              <w:bottom w:val="outset" w:sz="6" w:space="0" w:color="414142"/>
              <w:right w:val="outset" w:sz="6" w:space="0" w:color="414142"/>
            </w:tcBorders>
            <w:hideMark/>
          </w:tcPr>
          <w:p w14:paraId="5003F0E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ensure training to medical practitioners, physicians, physiotherapists, nurses, midwives, physician assistants, and other professionals on issuing physical activity prescriptions.</w:t>
            </w:r>
          </w:p>
        </w:tc>
      </w:tr>
    </w:tbl>
    <w:p w14:paraId="61112227" w14:textId="77777777" w:rsidR="00F60E35" w:rsidRDefault="00F60E35" w:rsidP="00122210">
      <w:pPr>
        <w:spacing w:after="0" w:line="240" w:lineRule="auto"/>
        <w:jc w:val="both"/>
        <w:rPr>
          <w:rFonts w:ascii="Times New Roman" w:hAnsi="Times New Roman"/>
          <w:b/>
          <w:bCs/>
          <w:noProof/>
          <w:kern w:val="0"/>
          <w:lang w:val="lv-LV"/>
        </w:rPr>
      </w:pPr>
    </w:p>
    <w:p w14:paraId="55112FDA" w14:textId="63D442BC" w:rsidR="00136A25" w:rsidRPr="00B10F87" w:rsidRDefault="00136A25" w:rsidP="0017735C">
      <w:pPr>
        <w:keepNext/>
        <w:keepLines/>
        <w:spacing w:after="0" w:line="240" w:lineRule="auto"/>
        <w:jc w:val="center"/>
        <w:rPr>
          <w:rFonts w:ascii="Times New Roman" w:hAnsi="Times New Roman"/>
          <w:b/>
          <w:bCs/>
          <w:noProof/>
          <w:kern w:val="0"/>
        </w:rPr>
      </w:pPr>
      <w:r>
        <w:rPr>
          <w:rFonts w:ascii="Times New Roman" w:hAnsi="Times New Roman"/>
          <w:b/>
        </w:rPr>
        <w:lastRenderedPageBreak/>
        <w:t>3.4. Diagnosis and Treatment of Obesity (Tertiary Prevention)</w:t>
      </w:r>
    </w:p>
    <w:p w14:paraId="734449B6" w14:textId="77777777" w:rsidR="00F60E35" w:rsidRDefault="00F60E35" w:rsidP="0017735C">
      <w:pPr>
        <w:keepNext/>
        <w:keepLines/>
        <w:spacing w:after="0" w:line="240" w:lineRule="auto"/>
        <w:jc w:val="both"/>
        <w:rPr>
          <w:rFonts w:ascii="Times New Roman" w:hAnsi="Times New Roman"/>
          <w:noProof/>
          <w:kern w:val="0"/>
          <w:lang w:val="lv-LV"/>
        </w:rPr>
      </w:pPr>
    </w:p>
    <w:p w14:paraId="0F6597BD" w14:textId="695815AC" w:rsidR="00136A25" w:rsidRPr="00B10F87" w:rsidRDefault="00136A25" w:rsidP="0017735C">
      <w:pPr>
        <w:keepNext/>
        <w:keepLines/>
        <w:spacing w:after="0" w:line="240" w:lineRule="auto"/>
        <w:ind w:firstLine="709"/>
        <w:jc w:val="both"/>
        <w:rPr>
          <w:rFonts w:ascii="Times New Roman" w:hAnsi="Times New Roman"/>
          <w:noProof/>
          <w:kern w:val="0"/>
        </w:rPr>
      </w:pPr>
      <w:r>
        <w:rPr>
          <w:rFonts w:ascii="Times New Roman" w:hAnsi="Times New Roman"/>
        </w:rPr>
        <w:t>In order to address overweight and obesity issues, it is first important to identify it and understand where to seek assistance. Although a large proportion of the Latvian population is effectively overweight, only 30.1 % of individuals identify it.</w:t>
      </w:r>
      <w:r>
        <w:rPr>
          <w:rFonts w:ascii="Times New Roman" w:hAnsi="Times New Roman"/>
          <w:vertAlign w:val="superscript"/>
        </w:rPr>
        <w:t>88</w:t>
      </w:r>
      <w:r>
        <w:rPr>
          <w:rFonts w:ascii="Times New Roman" w:hAnsi="Times New Roman"/>
        </w:rPr>
        <w:t xml:space="preserve"> It leads to the conclusion that the </w:t>
      </w:r>
      <w:r>
        <w:rPr>
          <w:rFonts w:ascii="Times New Roman" w:hAnsi="Times New Roman"/>
          <w:b/>
          <w:bCs/>
        </w:rPr>
        <w:t>opinion of adults about their body weight is not always objective</w:t>
      </w:r>
      <w:r>
        <w:rPr>
          <w:rFonts w:ascii="Times New Roman" w:hAnsi="Times New Roman"/>
        </w:rPr>
        <w:t>.</w:t>
      </w:r>
      <w:r>
        <w:rPr>
          <w:rFonts w:ascii="Times New Roman" w:hAnsi="Times New Roman"/>
          <w:b/>
        </w:rPr>
        <w:t> </w:t>
      </w:r>
      <w:r>
        <w:rPr>
          <w:rFonts w:ascii="Times New Roman" w:hAnsi="Times New Roman"/>
        </w:rPr>
        <w:t>At the same time, the WHO notes that weight bias can have a negative impact on the quality of healthcare.</w:t>
      </w:r>
      <w:r>
        <w:rPr>
          <w:rFonts w:ascii="Times New Roman" w:hAnsi="Times New Roman"/>
          <w:vertAlign w:val="superscript"/>
        </w:rPr>
        <w:t>89</w:t>
      </w:r>
      <w:r>
        <w:rPr>
          <w:rFonts w:ascii="Times New Roman" w:hAnsi="Times New Roman"/>
        </w:rPr>
        <w:t xml:space="preserve"> Therefore, in many cases, individuals with excess body weight do not to seek assistance to address their health problems.</w:t>
      </w:r>
    </w:p>
    <w:p w14:paraId="556171F2" w14:textId="77777777" w:rsidR="00F60E35" w:rsidRDefault="00F60E35" w:rsidP="00537845">
      <w:pPr>
        <w:spacing w:after="0" w:line="240" w:lineRule="auto"/>
        <w:ind w:firstLine="709"/>
        <w:jc w:val="both"/>
        <w:rPr>
          <w:rFonts w:ascii="Times New Roman" w:hAnsi="Times New Roman"/>
          <w:noProof/>
          <w:kern w:val="0"/>
          <w:lang w:val="lv-LV"/>
        </w:rPr>
      </w:pPr>
    </w:p>
    <w:p w14:paraId="477AE375" w14:textId="1DCCD058"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Healthcare professionals play a key role in the detection of excess body weight, early diagnosis, and provision of further consultations and treatment; however, obesity is not diagnosed in all individuals who present this condition based on their anthropometric parameters. According to the NHS data, in 2022, obesity was identified as the primary diagnosis in 10 182 individuals in Latvia, including 3968 children, and as the secondary diagnosis in 29 864 individuals, including 4474 children (unique cases). Currently, only one fifth of the respondents with excess body weight have </w:t>
      </w:r>
      <w:r>
        <w:rPr>
          <w:rFonts w:ascii="Times New Roman" w:hAnsi="Times New Roman"/>
          <w:b/>
          <w:bCs/>
        </w:rPr>
        <w:t>received recommendations from medical practitioners to reduce their body weight</w:t>
      </w:r>
      <w:r>
        <w:rPr>
          <w:rFonts w:ascii="Times New Roman" w:hAnsi="Times New Roman"/>
        </w:rPr>
        <w:t xml:space="preserve"> over the past year, while only 9.3 % of respondents who are insufficiently physically active reported that their physician had recommended them to increase physical activity over the past year.</w:t>
      </w:r>
    </w:p>
    <w:p w14:paraId="10211592" w14:textId="77777777" w:rsidR="00F60E35" w:rsidRDefault="00F60E35" w:rsidP="00537845">
      <w:pPr>
        <w:spacing w:after="0" w:line="240" w:lineRule="auto"/>
        <w:ind w:firstLine="709"/>
        <w:jc w:val="both"/>
        <w:rPr>
          <w:rFonts w:ascii="Times New Roman" w:hAnsi="Times New Roman"/>
          <w:noProof/>
          <w:kern w:val="0"/>
          <w:lang w:val="lv-LV"/>
        </w:rPr>
      </w:pPr>
    </w:p>
    <w:p w14:paraId="5074E960" w14:textId="165D30AD" w:rsidR="00136A25" w:rsidRDefault="00136A25" w:rsidP="00537845">
      <w:pPr>
        <w:spacing w:after="0" w:line="240" w:lineRule="auto"/>
        <w:ind w:firstLine="709"/>
        <w:jc w:val="both"/>
        <w:rPr>
          <w:rFonts w:ascii="Times New Roman" w:hAnsi="Times New Roman"/>
          <w:noProof/>
          <w:kern w:val="0"/>
        </w:rPr>
      </w:pPr>
      <w:r>
        <w:rPr>
          <w:rFonts w:ascii="Times New Roman" w:hAnsi="Times New Roman"/>
        </w:rPr>
        <w:t>In order to reduce obesity in adults, efforts should focus on the improvement of the overall health status of patients, rather than solely on the reduction of excess body weight.</w:t>
      </w:r>
      <w:r>
        <w:rPr>
          <w:rFonts w:ascii="Times New Roman" w:hAnsi="Times New Roman"/>
          <w:vertAlign w:val="superscript"/>
        </w:rPr>
        <w:t>90</w:t>
      </w:r>
      <w:r>
        <w:rPr>
          <w:rFonts w:ascii="Times New Roman" w:hAnsi="Times New Roman"/>
        </w:rPr>
        <w:t xml:space="preserve"> Similarly, it is necessary to carry out a comprehensive assessment of the health status and degree of obesity of the patient and to evaluate the likelihood of eating disorders and other mental health disorders, and also other possible causes of excess body weight. One of the examinations undergone by patients as part of the annual preventive health checks is the BMI calculation, therefore the family physician and the nurse</w:t>
      </w:r>
      <w:r>
        <w:rPr>
          <w:rFonts w:ascii="Times New Roman" w:hAnsi="Times New Roman"/>
          <w:vertAlign w:val="superscript"/>
        </w:rPr>
        <w:t>91</w:t>
      </w:r>
      <w:r>
        <w:rPr>
          <w:rFonts w:ascii="Times New Roman" w:hAnsi="Times New Roman"/>
        </w:rPr>
        <w:t xml:space="preserve"> working in a family medicine practice are among the first professionals who can identify overweight or obesity in a patient, consult on further steps and the engagement of other professionals, and also monitor progress of the patient. However, at present, there is no unified information prepared for healthcare professionals in Latvia regarding the identification of overweight and obesity, the addressing of weight bias and the obstacles created thereby, and also further steps for initiating appropriate treatment. In order to support medical practitioners in their work with patients who are obese, the Plan seeks to develop an </w:t>
      </w:r>
      <w:r>
        <w:rPr>
          <w:rFonts w:ascii="Times New Roman" w:hAnsi="Times New Roman"/>
          <w:b/>
          <w:bCs/>
        </w:rPr>
        <w:t>algorithm for family physicians and implement training on the examination of patients who are overweight and obese</w:t>
      </w:r>
      <w:r>
        <w:rPr>
          <w:rFonts w:ascii="Times New Roman" w:hAnsi="Times New Roman"/>
        </w:rPr>
        <w:t>, the diagnosis of obesity, and also the management of the treatment process. To ensure a sustainable long-term result, the measures provided for in the Plan must be focused on the reduction of weight stigma.</w:t>
      </w:r>
    </w:p>
    <w:p w14:paraId="5D059963" w14:textId="77777777" w:rsidR="00F60E35" w:rsidRPr="00B10F87" w:rsidRDefault="00F60E35" w:rsidP="00537845">
      <w:pPr>
        <w:spacing w:after="0" w:line="240" w:lineRule="auto"/>
        <w:ind w:firstLine="709"/>
        <w:jc w:val="both"/>
        <w:rPr>
          <w:rFonts w:ascii="Times New Roman" w:hAnsi="Times New Roman"/>
          <w:noProof/>
          <w:kern w:val="0"/>
          <w:lang w:val="lv-LV"/>
        </w:rPr>
      </w:pPr>
    </w:p>
    <w:p w14:paraId="3029FAF7" w14:textId="77777777"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At the same time, it is necessary to expand treatment possibilities and accessibility of services for patients. One of the most important interventions is dietary correction for the purpose of reducing weight; therefore, within the scope of the Plan, it is necessary to ensure that patients with obesity and chronic diseases have access to outpatient </w:t>
      </w:r>
      <w:r>
        <w:rPr>
          <w:rFonts w:ascii="Times New Roman" w:hAnsi="Times New Roman"/>
          <w:b/>
          <w:bCs/>
        </w:rPr>
        <w:t>consultations provided by nutritionists</w:t>
      </w:r>
      <w:r>
        <w:rPr>
          <w:rFonts w:ascii="Times New Roman" w:hAnsi="Times New Roman"/>
        </w:rPr>
        <w:t xml:space="preserve"> and funded from the State budget funds.</w:t>
      </w:r>
    </w:p>
    <w:p w14:paraId="64BEEB4A" w14:textId="77777777" w:rsidR="00F60E35" w:rsidRDefault="00F60E35" w:rsidP="00537845">
      <w:pPr>
        <w:spacing w:after="0" w:line="240" w:lineRule="auto"/>
        <w:ind w:firstLine="709"/>
        <w:jc w:val="both"/>
        <w:rPr>
          <w:rFonts w:ascii="Times New Roman" w:hAnsi="Times New Roman"/>
          <w:noProof/>
          <w:kern w:val="0"/>
          <w:lang w:val="lv-LV"/>
        </w:rPr>
      </w:pPr>
    </w:p>
    <w:p w14:paraId="558DAF92" w14:textId="3ADA536A"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In order to help reduce obesity in children and provide appropriate treatment where necessary, the CCUH has developed a </w:t>
      </w:r>
      <w:r>
        <w:rPr>
          <w:rFonts w:ascii="Times New Roman" w:hAnsi="Times New Roman"/>
          <w:b/>
          <w:bCs/>
        </w:rPr>
        <w:t>weight correction programme</w:t>
      </w:r>
      <w:r>
        <w:rPr>
          <w:rFonts w:ascii="Times New Roman" w:hAnsi="Times New Roman"/>
        </w:rPr>
        <w:t>. By the first quarter of 2023, a total of 1232 children had participated in the programme since 2014. Around 152 children are admitted to the programme annually, and the average waiting time is 90 days.</w:t>
      </w:r>
    </w:p>
    <w:p w14:paraId="631C9B29" w14:textId="77777777" w:rsidR="00F60E35" w:rsidRDefault="00F60E35" w:rsidP="00537845">
      <w:pPr>
        <w:spacing w:after="0" w:line="240" w:lineRule="auto"/>
        <w:ind w:firstLine="709"/>
        <w:jc w:val="both"/>
        <w:rPr>
          <w:rFonts w:ascii="Times New Roman" w:hAnsi="Times New Roman"/>
          <w:noProof/>
          <w:kern w:val="0"/>
          <w:lang w:val="lv-LV"/>
        </w:rPr>
      </w:pPr>
    </w:p>
    <w:p w14:paraId="379545B6" w14:textId="0B55514D"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The programme is aimed at children from approximately 10 years of age who are motivated to correct their weight and are able to engage in planning and preparing their meals. </w:t>
      </w:r>
      <w:r>
        <w:rPr>
          <w:rFonts w:ascii="Times New Roman" w:hAnsi="Times New Roman"/>
        </w:rPr>
        <w:lastRenderedPageBreak/>
        <w:t>Participation in the programme requires a referral from a paediatric endocrinologist at the CCUH or a physical and rehabilitation medicine physician (a child is referred to a physical and rehabilitation medicine physician or paediatric endocrinologist by the family physician). The programme is implemented by a multi-rehabilitation team</w:t>
      </w:r>
      <w:r>
        <w:rPr>
          <w:rFonts w:ascii="Times New Roman" w:hAnsi="Times New Roman"/>
          <w:vertAlign w:val="superscript"/>
        </w:rPr>
        <w:t>92</w:t>
      </w:r>
      <w:r>
        <w:rPr>
          <w:rFonts w:ascii="Times New Roman" w:hAnsi="Times New Roman"/>
        </w:rPr>
        <w:t>, and it involves the assessment of the general health and functional status, identification of musculoskeletal problems, tests regarding general physical capacity of the child, and also teaching various skills required to develop healthy dietary habits and physical activity. This allows to conduct a comprehensive assessment of the health status and capabilities of the child and to provide mutually coordinated recommendations.</w:t>
      </w:r>
    </w:p>
    <w:p w14:paraId="5BDDE678" w14:textId="77777777" w:rsidR="00F60E35" w:rsidRDefault="00F60E35" w:rsidP="00537845">
      <w:pPr>
        <w:spacing w:after="0" w:line="240" w:lineRule="auto"/>
        <w:ind w:firstLine="709"/>
        <w:jc w:val="both"/>
        <w:rPr>
          <w:rFonts w:ascii="Times New Roman" w:hAnsi="Times New Roman"/>
          <w:noProof/>
          <w:kern w:val="0"/>
          <w:lang w:val="lv-LV"/>
        </w:rPr>
      </w:pPr>
    </w:p>
    <w:p w14:paraId="74A03081" w14:textId="6ADF7E7B"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The programme assessment which refers to the period from 2014 to 2017 led to the conclusion that </w:t>
      </w:r>
      <w:r>
        <w:rPr>
          <w:rFonts w:ascii="Times New Roman" w:hAnsi="Times New Roman"/>
          <w:b/>
          <w:bCs/>
        </w:rPr>
        <w:t>65 % of patients who participated in the programme managed to reduce their BMI</w:t>
      </w:r>
      <w:r>
        <w:rPr>
          <w:rFonts w:ascii="Times New Roman" w:hAnsi="Times New Roman"/>
        </w:rPr>
        <w:t>.</w:t>
      </w:r>
      <w:r>
        <w:rPr>
          <w:rFonts w:ascii="Times New Roman" w:hAnsi="Times New Roman"/>
          <w:vertAlign w:val="superscript"/>
        </w:rPr>
        <w:t>93</w:t>
      </w:r>
      <w:r>
        <w:rPr>
          <w:rFonts w:ascii="Times New Roman" w:hAnsi="Times New Roman"/>
        </w:rPr>
        <w:t xml:space="preserve"> Until 2019, long-term monitoring of patients and assessment of results were performed under the programme but, due to a lack of resources, these measures are no longer implemented; therefore, it is necessary to plan resources for future assessments to enable the monitoring of the programme performance indicators.</w:t>
      </w:r>
    </w:p>
    <w:p w14:paraId="5D838229" w14:textId="77777777" w:rsidR="00F60E35" w:rsidRDefault="00F60E35" w:rsidP="00537845">
      <w:pPr>
        <w:spacing w:after="0" w:line="240" w:lineRule="auto"/>
        <w:ind w:firstLine="709"/>
        <w:jc w:val="both"/>
        <w:rPr>
          <w:rFonts w:ascii="Times New Roman" w:hAnsi="Times New Roman"/>
          <w:noProof/>
          <w:kern w:val="0"/>
          <w:lang w:val="lv-LV"/>
        </w:rPr>
      </w:pPr>
    </w:p>
    <w:p w14:paraId="4071B974" w14:textId="6672CF31"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In order to enhance the services provided by the CCUH for the reduction of overweight in children, </w:t>
      </w:r>
      <w:r>
        <w:rPr>
          <w:rFonts w:ascii="Times New Roman" w:hAnsi="Times New Roman"/>
          <w:b/>
          <w:bCs/>
        </w:rPr>
        <w:t>it is necessary to improve and expand the weight correction programme</w:t>
      </w:r>
      <w:r>
        <w:rPr>
          <w:rFonts w:ascii="Times New Roman" w:hAnsi="Times New Roman"/>
        </w:rPr>
        <w:t xml:space="preserve">. It is currently planned that, in the future, the programme could admit children aged 7–12, with a BMI above the 85th percentile. Children participate in the programme together with their families, and their eligibility and motivation for participation in the programme is previously assessed by a paediatrician/endocrinologist. </w:t>
      </w:r>
      <w:r>
        <w:rPr>
          <w:rFonts w:ascii="Times New Roman" w:hAnsi="Times New Roman"/>
          <w:b/>
          <w:bCs/>
        </w:rPr>
        <w:t>300 first-time patients</w:t>
      </w:r>
      <w:r>
        <w:rPr>
          <w:rFonts w:ascii="Times New Roman" w:hAnsi="Times New Roman"/>
        </w:rPr>
        <w:t xml:space="preserve"> could participate in the programme annually.</w:t>
      </w:r>
      <w:r>
        <w:rPr>
          <w:rFonts w:ascii="Times New Roman" w:hAnsi="Times New Roman"/>
          <w:b/>
        </w:rPr>
        <w:t> </w:t>
      </w:r>
      <w:r>
        <w:rPr>
          <w:rFonts w:ascii="Times New Roman" w:hAnsi="Times New Roman"/>
        </w:rPr>
        <w:t>Implementation of the programme could be continued by a multi-rehabilitation team comprising a paediatric endocrinologist, a paediatrician, a physiotherapist, an occupational therapist, a nutritionist, a psychologist, a child psychiatrist, and a paediatric general care nurse. For first-time patients, the weight correction programme will ensure the assessment of general health status, screening for obesity-related complications, individual consultations with specialists, group sessions, and ongoing monitoring. Ongoing monitoring is necessary to assess the progress, provide support, and, where necessary, make various adjustments according to the health status or other factors. Overall, 4 to 8 appointments would be provided to patients each year, depending on the needs of the child and family. It is intended that such intensive work with each programme participant will result in a clinically significant weight correction, with the reduction of BMI z-score</w:t>
      </w:r>
      <w:r>
        <w:rPr>
          <w:rFonts w:ascii="Times New Roman" w:hAnsi="Times New Roman"/>
          <w:vertAlign w:val="superscript"/>
        </w:rPr>
        <w:t>94</w:t>
      </w:r>
      <w:r>
        <w:rPr>
          <w:rFonts w:ascii="Times New Roman" w:hAnsi="Times New Roman"/>
        </w:rPr>
        <w:t xml:space="preserve"> by at least 0.20 units per year and 35 % of patients achieving weight correction.</w:t>
      </w:r>
    </w:p>
    <w:p w14:paraId="46069E90" w14:textId="77777777" w:rsidR="00F60E35" w:rsidRDefault="00F60E35" w:rsidP="00537845">
      <w:pPr>
        <w:spacing w:after="0" w:line="240" w:lineRule="auto"/>
        <w:ind w:firstLine="709"/>
        <w:jc w:val="both"/>
        <w:rPr>
          <w:rFonts w:ascii="Times New Roman" w:hAnsi="Times New Roman"/>
          <w:noProof/>
          <w:kern w:val="0"/>
          <w:lang w:val="lv-LV"/>
        </w:rPr>
      </w:pPr>
    </w:p>
    <w:p w14:paraId="65E462E4" w14:textId="1925464C"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According to the CCUH specialists, one of the current challenges of the multi-rehabilitation programme for weight correction is to ensure participation opportunities for all interested participants, and also to provide possibilities for parents from the regions to remain in Riga for several days which is often associated with additional expenses that are not affordable for all families. Therefore, </w:t>
      </w:r>
      <w:r>
        <w:rPr>
          <w:rFonts w:ascii="Times New Roman" w:hAnsi="Times New Roman"/>
          <w:b/>
          <w:bCs/>
        </w:rPr>
        <w:t>it is intended to develop specialised weight correction programmes also in regions</w:t>
      </w:r>
      <w:r>
        <w:rPr>
          <w:rFonts w:ascii="Times New Roman" w:hAnsi="Times New Roman"/>
        </w:rPr>
        <w:t xml:space="preserve"> which would be accessible to families with children diagnosed with mild or moderate obesity. Regional services would be provided by a paediatrician, a nutritionist, a physiotherapist, and a psychologist.</w:t>
      </w:r>
    </w:p>
    <w:p w14:paraId="5022EBF9" w14:textId="77777777" w:rsidR="00F60E35" w:rsidRDefault="00F60E35" w:rsidP="00537845">
      <w:pPr>
        <w:spacing w:after="0" w:line="240" w:lineRule="auto"/>
        <w:ind w:firstLine="709"/>
        <w:jc w:val="both"/>
        <w:rPr>
          <w:rFonts w:ascii="Times New Roman" w:hAnsi="Times New Roman"/>
          <w:noProof/>
          <w:kern w:val="0"/>
          <w:lang w:val="lv-LV"/>
        </w:rPr>
      </w:pPr>
    </w:p>
    <w:p w14:paraId="05B2B72C" w14:textId="06FDC2B2"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Unfortunately, </w:t>
      </w:r>
      <w:r>
        <w:rPr>
          <w:rFonts w:ascii="Times New Roman" w:hAnsi="Times New Roman"/>
          <w:b/>
          <w:bCs/>
        </w:rPr>
        <w:t>there are currently no specialised weight correction programmes for adults</w:t>
      </w:r>
      <w:r>
        <w:rPr>
          <w:rFonts w:ascii="Times New Roman" w:hAnsi="Times New Roman"/>
        </w:rPr>
        <w:t xml:space="preserve">, and services directly related to the reduction of overweight and obesity (e.g., services provided by a nutritionist or physiotherapist) are most often only fee-based, and also limited, especially in the regions. It is important to provide individuals with the opportunity to address excess body weight issues and the psychological consequences caused by weight stigma as early as possible to prevent progression to obesity and non-communicable diseases which </w:t>
      </w:r>
      <w:r>
        <w:rPr>
          <w:rFonts w:ascii="Times New Roman" w:hAnsi="Times New Roman"/>
        </w:rPr>
        <w:lastRenderedPageBreak/>
        <w:t>generally reduces the quality of life of an individual, and also increases the burden on the healthcare system.</w:t>
      </w:r>
    </w:p>
    <w:p w14:paraId="7690D91D" w14:textId="77777777" w:rsidR="00F60E35" w:rsidRDefault="00F60E35" w:rsidP="00537845">
      <w:pPr>
        <w:spacing w:after="0" w:line="240" w:lineRule="auto"/>
        <w:ind w:firstLine="709"/>
        <w:jc w:val="both"/>
        <w:rPr>
          <w:rFonts w:ascii="Times New Roman" w:hAnsi="Times New Roman"/>
          <w:noProof/>
          <w:kern w:val="0"/>
          <w:lang w:val="lv-LV"/>
        </w:rPr>
      </w:pPr>
    </w:p>
    <w:p w14:paraId="3429CD81" w14:textId="66C389F8"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Given that obesity has several causes, appointments with individual specialists might not provide the necessary assistance and prescription of medical treatment appropriate to the specific case. Therefore, it is intended to launch a pilot project that focuses on the </w:t>
      </w:r>
      <w:r>
        <w:rPr>
          <w:rFonts w:ascii="Times New Roman" w:hAnsi="Times New Roman"/>
          <w:b/>
          <w:bCs/>
        </w:rPr>
        <w:t>reduction of obesity in adults</w:t>
      </w:r>
      <w:r>
        <w:rPr>
          <w:rFonts w:ascii="Times New Roman" w:hAnsi="Times New Roman"/>
        </w:rPr>
        <w:t xml:space="preserve"> with or without chronic diseases. Within the scope of the programme, it is planned to engage an endocrinologist, a general care nurse who has acquired methods for training diabetes patients, an advanced practice nurse, a physiotherapist, an occupational therapist / orthopaedic technician, a clinical psychologist, and a customer services specialist. It is intended that patients would be admitted in groups (each with 6–8 participants), and assistance could be provided to a total of 250 patients throughout the year. The programme is to take place within a period of 14 weeks, including both individual consultations and group sessions. The objective of the programme is to achieve 5 % reduction in body weight compared to the initial body weight, and it is expected to be reached by 80 % of programme participants. In addition, this would allow to improve the following health indicators: fasting glucose level, triglyceride level in blood, and waist circumference.</w:t>
      </w:r>
    </w:p>
    <w:p w14:paraId="72951C0E" w14:textId="77777777" w:rsidR="00F60E35" w:rsidRDefault="00F60E35" w:rsidP="00537845">
      <w:pPr>
        <w:spacing w:after="0" w:line="240" w:lineRule="auto"/>
        <w:ind w:firstLine="709"/>
        <w:jc w:val="both"/>
        <w:rPr>
          <w:rFonts w:ascii="Times New Roman" w:hAnsi="Times New Roman"/>
          <w:noProof/>
          <w:kern w:val="0"/>
          <w:lang w:val="lv-LV"/>
        </w:rPr>
      </w:pPr>
    </w:p>
    <w:p w14:paraId="42BDA262" w14:textId="2DE62E90"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 xml:space="preserve">At the same time, pharmacotherapy may be prescribed for severely obese patients who have made long-term attempts to reduce excess body weight by changing their lifestyle habits without success. According to the LAE specialists, body weight reduction prior to endoprosthesis is particularly important for men with a BMI &gt; 35 and women with a BMI &gt; 40 to ensure the effectiveness of the procedure; therefore, within the scope of the Plan, it is intended to evaluate the possibility of reimbursing </w:t>
      </w:r>
      <w:r>
        <w:rPr>
          <w:rFonts w:ascii="Times New Roman" w:hAnsi="Times New Roman"/>
          <w:b/>
          <w:bCs/>
        </w:rPr>
        <w:t>medications for the treatment of severe obesity</w:t>
      </w:r>
      <w:r>
        <w:rPr>
          <w:rFonts w:ascii="Times New Roman" w:hAnsi="Times New Roman"/>
        </w:rPr>
        <w:t xml:space="preserve"> prior to endoprosthesis from the State budget funds.</w:t>
      </w:r>
    </w:p>
    <w:p w14:paraId="1F030E75" w14:textId="77777777" w:rsidR="00F60E35" w:rsidRDefault="00F60E35" w:rsidP="00537845">
      <w:pPr>
        <w:spacing w:after="0" w:line="240" w:lineRule="auto"/>
        <w:ind w:firstLine="709"/>
        <w:jc w:val="both"/>
        <w:rPr>
          <w:rFonts w:ascii="Times New Roman" w:hAnsi="Times New Roman"/>
          <w:noProof/>
          <w:kern w:val="0"/>
          <w:lang w:val="lv-LV"/>
        </w:rPr>
      </w:pPr>
    </w:p>
    <w:p w14:paraId="000B5F40" w14:textId="5D624BCE" w:rsidR="00136A25" w:rsidRPr="00B10F87" w:rsidRDefault="00136A25" w:rsidP="00537845">
      <w:pPr>
        <w:spacing w:after="0" w:line="240" w:lineRule="auto"/>
        <w:ind w:firstLine="709"/>
        <w:jc w:val="both"/>
        <w:rPr>
          <w:rFonts w:ascii="Times New Roman" w:hAnsi="Times New Roman"/>
          <w:noProof/>
          <w:kern w:val="0"/>
        </w:rPr>
      </w:pPr>
      <w:r>
        <w:rPr>
          <w:rFonts w:ascii="Times New Roman" w:hAnsi="Times New Roman"/>
        </w:rPr>
        <w:t>In addition, in certain cases involving patients with severe obesity and comorbidities who require urgent body weight reduction to improve treatment outcomes, State-funded bariatric surgery should be ensured. Introduction of this service is planned within the scope of the innovation laboratory launched by the NHS, under pilot project “Value-based Bariatric Surgery Service Model”. This pilot project aims at establishing a multidisciplinary team for the treatment of patients with obesity, and also developing an obesity treatment pathway and criteria for the selection of patients, ensuring the treatment and post-operative monitoring of these patients, collecting and analysing the results, and also developing a payment model for the service. It is planned to involve 250 patients in the pilot project. Bariatric surgeries are expected to result in sustained reduction of excess body weight by at least 25 % at six months after surgery and 50 % at 12 months. At the same time, it is also expected that patients will be able to improve other health indicators, namely, reduce blood glucose, blood pressure, and cholesterol levels, thereby also reducing the risk of cardiovascular diseases. Accordingly, the pilot project will allow to draw conclusions and obtain evidence regarding the introduction of this service in the package of State-funded services.</w:t>
      </w:r>
    </w:p>
    <w:p w14:paraId="7EB47B77" w14:textId="77777777" w:rsidR="00F60E35" w:rsidRDefault="00F60E35" w:rsidP="00537845">
      <w:pPr>
        <w:spacing w:after="0" w:line="240" w:lineRule="auto"/>
        <w:ind w:firstLine="709"/>
        <w:jc w:val="both"/>
        <w:rPr>
          <w:rFonts w:ascii="Times New Roman" w:hAnsi="Times New Roman"/>
          <w:noProof/>
          <w:kern w:val="0"/>
          <w:lang w:val="lv-LV"/>
        </w:rPr>
      </w:pPr>
    </w:p>
    <w:p w14:paraId="4F51BEF7" w14:textId="534E5234" w:rsidR="00136A25" w:rsidRDefault="00136A25" w:rsidP="00537845">
      <w:pPr>
        <w:spacing w:after="0" w:line="240" w:lineRule="auto"/>
        <w:ind w:firstLine="709"/>
        <w:jc w:val="both"/>
        <w:rPr>
          <w:rFonts w:ascii="Times New Roman" w:hAnsi="Times New Roman"/>
          <w:noProof/>
          <w:kern w:val="0"/>
          <w:vertAlign w:val="superscript"/>
        </w:rPr>
      </w:pPr>
      <w:r>
        <w:rPr>
          <w:rFonts w:ascii="Times New Roman" w:hAnsi="Times New Roman"/>
        </w:rPr>
        <w:t>An important public health concern is the inappropriate use of medications</w:t>
      </w:r>
      <w:r>
        <w:rPr>
          <w:rFonts w:ascii="Times New Roman" w:hAnsi="Times New Roman"/>
          <w:vertAlign w:val="superscript"/>
        </w:rPr>
        <w:t>95</w:t>
      </w:r>
      <w:r>
        <w:rPr>
          <w:rFonts w:ascii="Times New Roman" w:hAnsi="Times New Roman"/>
        </w:rPr>
        <w:t xml:space="preserve"> and dietary supplements, including for weight reduction purposes. A study shows that 31.2 % of respondents use dietary supplements, including amino acid cocktails and plant-based products for which the nutrient content cannot be determined.</w:t>
      </w:r>
      <w:r>
        <w:rPr>
          <w:rFonts w:ascii="Times New Roman" w:hAnsi="Times New Roman"/>
          <w:vertAlign w:val="superscript"/>
        </w:rPr>
        <w:t>96</w:t>
      </w:r>
      <w:r>
        <w:rPr>
          <w:rFonts w:ascii="Times New Roman" w:hAnsi="Times New Roman"/>
        </w:rPr>
        <w:t xml:space="preserve"> Given the high prevalence of inappropriate use of dietary supplements and medications among the Latvian population, and also risks associated with their use, it is important to raise awareness of the </w:t>
      </w:r>
      <w:r>
        <w:rPr>
          <w:rFonts w:ascii="Times New Roman" w:hAnsi="Times New Roman"/>
          <w:b/>
          <w:bCs/>
        </w:rPr>
        <w:t>justification for and risks associated with the use of dietary supplements and medications</w:t>
      </w:r>
      <w:r>
        <w:rPr>
          <w:rFonts w:ascii="Times New Roman" w:hAnsi="Times New Roman"/>
        </w:rPr>
        <w:t>.</w:t>
      </w:r>
      <w:r>
        <w:rPr>
          <w:rFonts w:ascii="Times New Roman" w:hAnsi="Times New Roman"/>
          <w:vertAlign w:val="superscript"/>
        </w:rPr>
        <w:t>97</w:t>
      </w:r>
    </w:p>
    <w:p w14:paraId="0686DE1D" w14:textId="77777777" w:rsidR="00F60E35" w:rsidRPr="00B10F87" w:rsidRDefault="00F60E35"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081"/>
        <w:gridCol w:w="3974"/>
      </w:tblGrid>
      <w:tr w:rsidR="00136A25" w:rsidRPr="00B10F87" w14:paraId="4587F717"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hideMark/>
          </w:tcPr>
          <w:p w14:paraId="0E17E3B9" w14:textId="77777777" w:rsidR="00136A25" w:rsidRPr="00B10F87" w:rsidRDefault="00136A25" w:rsidP="00CD44FE">
            <w:pPr>
              <w:keepNext/>
              <w:keepLines/>
              <w:spacing w:after="0" w:line="240" w:lineRule="auto"/>
              <w:jc w:val="both"/>
              <w:rPr>
                <w:rFonts w:ascii="Times New Roman" w:hAnsi="Times New Roman"/>
                <w:b/>
                <w:bCs/>
                <w:noProof/>
                <w:kern w:val="0"/>
              </w:rPr>
            </w:pPr>
            <w:r>
              <w:rPr>
                <w:rFonts w:ascii="Times New Roman" w:hAnsi="Times New Roman"/>
                <w:b/>
              </w:rPr>
              <w:lastRenderedPageBreak/>
              <w:t>Problems identified:</w:t>
            </w:r>
          </w:p>
        </w:tc>
      </w:tr>
      <w:tr w:rsidR="00136A25" w:rsidRPr="00B10F87" w14:paraId="0F278A8A"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0C1F00C1" w14:textId="77777777" w:rsidR="00136A25" w:rsidRPr="00B10F87" w:rsidRDefault="00136A25" w:rsidP="00CD44FE">
            <w:pPr>
              <w:keepNext/>
              <w:keepLines/>
              <w:spacing w:after="0" w:line="240" w:lineRule="auto"/>
              <w:jc w:val="both"/>
              <w:rPr>
                <w:rFonts w:ascii="Times New Roman" w:hAnsi="Times New Roman"/>
                <w:b/>
                <w:bCs/>
                <w:noProof/>
                <w:kern w:val="0"/>
              </w:rPr>
            </w:pPr>
            <w:r>
              <w:rPr>
                <w:rFonts w:ascii="Times New Roman" w:hAnsi="Times New Roman"/>
                <w:b/>
              </w:rPr>
              <w:t>Problem</w:t>
            </w:r>
          </w:p>
        </w:tc>
        <w:tc>
          <w:tcPr>
            <w:tcW w:w="0" w:type="auto"/>
            <w:tcBorders>
              <w:top w:val="outset" w:sz="6" w:space="0" w:color="414142"/>
              <w:left w:val="outset" w:sz="6" w:space="0" w:color="414142"/>
              <w:bottom w:val="outset" w:sz="6" w:space="0" w:color="414142"/>
              <w:right w:val="outset" w:sz="6" w:space="0" w:color="414142"/>
            </w:tcBorders>
            <w:hideMark/>
          </w:tcPr>
          <w:p w14:paraId="1C6CA5F6" w14:textId="77777777" w:rsidR="00136A25" w:rsidRPr="00B10F87" w:rsidRDefault="00136A25" w:rsidP="00CD44FE">
            <w:pPr>
              <w:keepNext/>
              <w:keepLines/>
              <w:spacing w:after="0" w:line="240" w:lineRule="auto"/>
              <w:jc w:val="both"/>
              <w:rPr>
                <w:rFonts w:ascii="Times New Roman" w:hAnsi="Times New Roman"/>
                <w:b/>
                <w:bCs/>
                <w:noProof/>
                <w:kern w:val="0"/>
              </w:rPr>
            </w:pPr>
            <w:r>
              <w:rPr>
                <w:rFonts w:ascii="Times New Roman" w:hAnsi="Times New Roman"/>
                <w:b/>
              </w:rPr>
              <w:t>Solution</w:t>
            </w:r>
          </w:p>
        </w:tc>
      </w:tr>
      <w:tr w:rsidR="00136A25" w:rsidRPr="00B10F87" w14:paraId="22FFDC6B"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7AFA7E23" w14:textId="77777777" w:rsidR="00136A25" w:rsidRPr="00B10F87" w:rsidRDefault="00136A25" w:rsidP="00CD44FE">
            <w:pPr>
              <w:keepNext/>
              <w:keepLines/>
              <w:spacing w:after="0" w:line="240" w:lineRule="auto"/>
              <w:jc w:val="both"/>
              <w:rPr>
                <w:rFonts w:ascii="Times New Roman" w:hAnsi="Times New Roman"/>
                <w:noProof/>
                <w:kern w:val="0"/>
              </w:rPr>
            </w:pPr>
            <w:r>
              <w:rPr>
                <w:rFonts w:ascii="Times New Roman" w:hAnsi="Times New Roman"/>
              </w:rPr>
              <w:t>There is a lack of methodological materials for medical practitioners for diagnosing obesity and for the management of the treatment process to ensure early identification and diagnosing of obesity and commencement of appropriate and effective treatment.</w:t>
            </w:r>
          </w:p>
        </w:tc>
        <w:tc>
          <w:tcPr>
            <w:tcW w:w="0" w:type="auto"/>
            <w:tcBorders>
              <w:top w:val="outset" w:sz="6" w:space="0" w:color="414142"/>
              <w:left w:val="outset" w:sz="6" w:space="0" w:color="414142"/>
              <w:bottom w:val="outset" w:sz="6" w:space="0" w:color="414142"/>
              <w:right w:val="outset" w:sz="6" w:space="0" w:color="414142"/>
            </w:tcBorders>
            <w:hideMark/>
          </w:tcPr>
          <w:p w14:paraId="76C5F2C8" w14:textId="77777777" w:rsidR="00136A25" w:rsidRPr="00B10F87" w:rsidRDefault="00136A25" w:rsidP="00CD44FE">
            <w:pPr>
              <w:keepNext/>
              <w:keepLines/>
              <w:spacing w:after="0" w:line="240" w:lineRule="auto"/>
              <w:jc w:val="both"/>
              <w:rPr>
                <w:rFonts w:ascii="Times New Roman" w:hAnsi="Times New Roman"/>
                <w:noProof/>
                <w:kern w:val="0"/>
              </w:rPr>
            </w:pPr>
            <w:r>
              <w:rPr>
                <w:rFonts w:ascii="Times New Roman" w:hAnsi="Times New Roman"/>
              </w:rPr>
              <w:t>To ensure medical practitioners with the methodological material for diagnosing and treatment of patients with obesity, including for addressing weight bias and related obstacles.</w:t>
            </w:r>
          </w:p>
        </w:tc>
      </w:tr>
      <w:tr w:rsidR="00136A25" w:rsidRPr="00B10F87" w14:paraId="0C60025A"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4CB7AEC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Consultations with nutritionists for patients with obesity and chronic diseases are not covered from the State budget funds.</w:t>
            </w:r>
          </w:p>
        </w:tc>
        <w:tc>
          <w:tcPr>
            <w:tcW w:w="0" w:type="auto"/>
            <w:tcBorders>
              <w:top w:val="outset" w:sz="6" w:space="0" w:color="414142"/>
              <w:left w:val="outset" w:sz="6" w:space="0" w:color="414142"/>
              <w:bottom w:val="outset" w:sz="6" w:space="0" w:color="414142"/>
              <w:right w:val="outset" w:sz="6" w:space="0" w:color="414142"/>
            </w:tcBorders>
            <w:hideMark/>
          </w:tcPr>
          <w:p w14:paraId="3DB964E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ensure State-funded consultations with nutritionists for patients with obesity and chronic diseases.</w:t>
            </w:r>
          </w:p>
        </w:tc>
      </w:tr>
      <w:tr w:rsidR="00136A25" w:rsidRPr="00B10F87" w14:paraId="1ADCA55B"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5A46FEC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Children, especially in remote regions, have limited access to the CCUH weight correction programme.</w:t>
            </w:r>
          </w:p>
        </w:tc>
        <w:tc>
          <w:tcPr>
            <w:tcW w:w="0" w:type="auto"/>
            <w:tcBorders>
              <w:top w:val="outset" w:sz="6" w:space="0" w:color="414142"/>
              <w:left w:val="outset" w:sz="6" w:space="0" w:color="414142"/>
              <w:bottom w:val="outset" w:sz="6" w:space="0" w:color="414142"/>
              <w:right w:val="outset" w:sz="6" w:space="0" w:color="414142"/>
            </w:tcBorders>
            <w:hideMark/>
          </w:tcPr>
          <w:p w14:paraId="70A8E81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improve and expand the CCUH weight correction programme and develop weight correction programmes in regions.</w:t>
            </w:r>
          </w:p>
        </w:tc>
      </w:tr>
      <w:tr w:rsidR="00136A25" w:rsidRPr="00B10F87" w14:paraId="20BCEF03"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1DC0563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Currently, there are no State-funded healthcare services that would involve weight correction in adults provided by a multi-rehabilitation team.</w:t>
            </w:r>
          </w:p>
        </w:tc>
        <w:tc>
          <w:tcPr>
            <w:tcW w:w="0" w:type="auto"/>
            <w:tcBorders>
              <w:top w:val="outset" w:sz="6" w:space="0" w:color="414142"/>
              <w:left w:val="outset" w:sz="6" w:space="0" w:color="414142"/>
              <w:bottom w:val="outset" w:sz="6" w:space="0" w:color="414142"/>
              <w:right w:val="outset" w:sz="6" w:space="0" w:color="414142"/>
            </w:tcBorders>
            <w:hideMark/>
          </w:tcPr>
          <w:p w14:paraId="76B88B1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implement a pilot project for a weight correction programme for adults.</w:t>
            </w:r>
          </w:p>
        </w:tc>
      </w:tr>
      <w:tr w:rsidR="00136A25" w:rsidRPr="00B10F87" w14:paraId="61966E63"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0B2A111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Medications for weight correction in patients with severe obesity prior to endoprosthesis may improve treatment effectiveness and prevent the risk of complications; however, they are not reimbursed from the State budget funds.</w:t>
            </w:r>
          </w:p>
        </w:tc>
        <w:tc>
          <w:tcPr>
            <w:tcW w:w="0" w:type="auto"/>
            <w:tcBorders>
              <w:top w:val="outset" w:sz="6" w:space="0" w:color="414142"/>
              <w:left w:val="outset" w:sz="6" w:space="0" w:color="414142"/>
              <w:bottom w:val="outset" w:sz="6" w:space="0" w:color="414142"/>
              <w:right w:val="outset" w:sz="6" w:space="0" w:color="414142"/>
            </w:tcBorders>
            <w:hideMark/>
          </w:tcPr>
          <w:p w14:paraId="67DE98B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evaluate the possibility of reimbursing medications for weight correction in patients with severe obesity prior to endoprosthesis.</w:t>
            </w:r>
          </w:p>
        </w:tc>
      </w:tr>
      <w:tr w:rsidR="00136A25" w:rsidRPr="00B10F87" w14:paraId="457A8CDE"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6315C31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Bariatric surgeries are not funded for patients with severe obesity and chronic diseases.</w:t>
            </w:r>
          </w:p>
        </w:tc>
        <w:tc>
          <w:tcPr>
            <w:tcW w:w="0" w:type="auto"/>
            <w:tcBorders>
              <w:top w:val="outset" w:sz="6" w:space="0" w:color="414142"/>
              <w:left w:val="outset" w:sz="6" w:space="0" w:color="414142"/>
              <w:bottom w:val="outset" w:sz="6" w:space="0" w:color="414142"/>
              <w:right w:val="outset" w:sz="6" w:space="0" w:color="414142"/>
            </w:tcBorders>
            <w:hideMark/>
          </w:tcPr>
          <w:p w14:paraId="54EA8EF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ensure access to State-funded bariatric surgeries for patients with severe obesity and chronic diseases within the scope of a pilot project, following a decision of the medical panel.</w:t>
            </w:r>
          </w:p>
        </w:tc>
      </w:tr>
    </w:tbl>
    <w:p w14:paraId="6DE5EFE5" w14:textId="77777777" w:rsidR="00504A2B" w:rsidRDefault="00504A2B" w:rsidP="00122210">
      <w:pPr>
        <w:spacing w:after="0" w:line="240" w:lineRule="auto"/>
        <w:jc w:val="both"/>
        <w:rPr>
          <w:rFonts w:ascii="Times New Roman" w:hAnsi="Times New Roman"/>
          <w:b/>
          <w:bCs/>
          <w:noProof/>
          <w:kern w:val="0"/>
          <w:lang w:val="lv-LV"/>
        </w:rPr>
      </w:pPr>
    </w:p>
    <w:p w14:paraId="097AE7E9" w14:textId="0CD54C8A" w:rsidR="00136A25" w:rsidRPr="00B10F87" w:rsidRDefault="00136A25" w:rsidP="006E78DF">
      <w:pPr>
        <w:spacing w:after="0" w:line="240" w:lineRule="auto"/>
        <w:jc w:val="center"/>
        <w:rPr>
          <w:rFonts w:ascii="Times New Roman" w:hAnsi="Times New Roman"/>
          <w:b/>
          <w:bCs/>
          <w:noProof/>
          <w:kern w:val="0"/>
        </w:rPr>
      </w:pPr>
      <w:r>
        <w:rPr>
          <w:rFonts w:ascii="Times New Roman" w:hAnsi="Times New Roman"/>
          <w:b/>
        </w:rPr>
        <w:t>3.5. Effectiveness of Measures for the Reduction of the Increasing Prevalence of Overweight and Obesity</w:t>
      </w:r>
    </w:p>
    <w:p w14:paraId="5AB32671" w14:textId="77777777" w:rsidR="00504A2B" w:rsidRDefault="00504A2B" w:rsidP="00122210">
      <w:pPr>
        <w:spacing w:after="0" w:line="240" w:lineRule="auto"/>
        <w:jc w:val="both"/>
        <w:rPr>
          <w:rFonts w:ascii="Times New Roman" w:hAnsi="Times New Roman"/>
          <w:noProof/>
          <w:kern w:val="0"/>
          <w:lang w:val="lv-LV"/>
        </w:rPr>
      </w:pPr>
    </w:p>
    <w:p w14:paraId="4B1F7F28" w14:textId="29311303" w:rsidR="00136A25" w:rsidRPr="00B10F87" w:rsidRDefault="00136A25" w:rsidP="006E78DF">
      <w:pPr>
        <w:spacing w:after="0" w:line="240" w:lineRule="auto"/>
        <w:ind w:firstLine="709"/>
        <w:jc w:val="both"/>
        <w:rPr>
          <w:rFonts w:ascii="Times New Roman" w:hAnsi="Times New Roman"/>
          <w:noProof/>
          <w:kern w:val="0"/>
        </w:rPr>
      </w:pPr>
      <w:r>
        <w:rPr>
          <w:rFonts w:ascii="Times New Roman" w:hAnsi="Times New Roman"/>
        </w:rPr>
        <w:t>In recent years, the prevalence of obesity has shown an upward trend, despite the introduction of various initiatives aimed at promoting healthy dietary habits and physical activity, for example, restrictions on added sugar in public institution menus,</w:t>
      </w:r>
      <w:r>
        <w:rPr>
          <w:rFonts w:ascii="Times New Roman" w:hAnsi="Times New Roman"/>
          <w:vertAlign w:val="superscript"/>
        </w:rPr>
        <w:t>98</w:t>
      </w:r>
      <w:r>
        <w:rPr>
          <w:rFonts w:ascii="Times New Roman" w:hAnsi="Times New Roman"/>
        </w:rPr>
        <w:t xml:space="preserve"> a differentiated excise duty rate for non-alcoholic beverages depending on sugar content,</w:t>
      </w:r>
      <w:r>
        <w:rPr>
          <w:rFonts w:ascii="Times New Roman" w:hAnsi="Times New Roman"/>
          <w:vertAlign w:val="superscript"/>
        </w:rPr>
        <w:t>99</w:t>
      </w:r>
      <w:r>
        <w:rPr>
          <w:rFonts w:ascii="Times New Roman" w:hAnsi="Times New Roman"/>
        </w:rPr>
        <w:t xml:space="preserve"> physical activities for individuals in each local government free of charge, etc. Although health-related habits of the population are monitored on a regular basis, there is a lack of analytical evaluation of the situation regarding the most effective ways of promoting the change of habits among the population. It is intended, within the scope of the Plan, to address this problem by providing that in the final year of the Plan, the CDPC shall conduct an </w:t>
      </w:r>
      <w:r>
        <w:rPr>
          <w:rFonts w:ascii="Times New Roman" w:hAnsi="Times New Roman"/>
          <w:b/>
          <w:bCs/>
        </w:rPr>
        <w:t>assessment of the prevalence of overweight and obesity in Latvia</w:t>
      </w:r>
      <w:r>
        <w:rPr>
          <w:rFonts w:ascii="Times New Roman" w:hAnsi="Times New Roman"/>
        </w:rPr>
        <w:t>, analysing the effectiveness and long-term impact of the implemented measures, and also shall present the assessment to a wider professional audience and the public.</w:t>
      </w:r>
    </w:p>
    <w:p w14:paraId="34EE946C" w14:textId="77777777" w:rsidR="00504A2B" w:rsidRDefault="00504A2B" w:rsidP="006E78DF">
      <w:pPr>
        <w:spacing w:after="0" w:line="240" w:lineRule="auto"/>
        <w:ind w:firstLine="709"/>
        <w:jc w:val="both"/>
        <w:rPr>
          <w:rFonts w:ascii="Times New Roman" w:hAnsi="Times New Roman"/>
          <w:noProof/>
          <w:kern w:val="0"/>
          <w:lang w:val="lv-LV"/>
        </w:rPr>
      </w:pPr>
    </w:p>
    <w:p w14:paraId="125DED23" w14:textId="25D69A6A" w:rsidR="00136A25" w:rsidRDefault="00136A25" w:rsidP="006E78DF">
      <w:pPr>
        <w:spacing w:after="0" w:line="240" w:lineRule="auto"/>
        <w:ind w:firstLine="709"/>
        <w:jc w:val="both"/>
        <w:rPr>
          <w:rFonts w:ascii="Times New Roman" w:hAnsi="Times New Roman"/>
          <w:noProof/>
          <w:kern w:val="0"/>
        </w:rPr>
      </w:pPr>
      <w:r>
        <w:rPr>
          <w:rFonts w:ascii="Times New Roman" w:hAnsi="Times New Roman"/>
        </w:rPr>
        <w:t xml:space="preserve">Although several studies are regularly conducted in Latvia to analyse the habits and health indicators of children, there is a lack of a comprehensive assessment of the overall health status of children, trends over time, and also effectiveness of the implemented policy; therefore, </w:t>
      </w:r>
      <w:r>
        <w:rPr>
          <w:rFonts w:ascii="Times New Roman" w:hAnsi="Times New Roman"/>
        </w:rPr>
        <w:lastRenderedPageBreak/>
        <w:t>it is necessary to develop health monitoring of children by implementing a systematic long-term approach to the health monitoring of children.</w:t>
      </w:r>
    </w:p>
    <w:p w14:paraId="622F0795" w14:textId="77777777" w:rsidR="00504A2B" w:rsidRPr="00B10F87" w:rsidRDefault="00504A2B"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12"/>
        <w:gridCol w:w="4643"/>
      </w:tblGrid>
      <w:tr w:rsidR="00136A25" w:rsidRPr="00B10F87" w14:paraId="32D2763D"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hideMark/>
          </w:tcPr>
          <w:p w14:paraId="385F15C2"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 identified:</w:t>
            </w:r>
          </w:p>
        </w:tc>
      </w:tr>
      <w:tr w:rsidR="00136A25" w:rsidRPr="00B10F87" w14:paraId="20A3C7BB"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4F0ED5EE"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Problem</w:t>
            </w:r>
          </w:p>
        </w:tc>
        <w:tc>
          <w:tcPr>
            <w:tcW w:w="0" w:type="auto"/>
            <w:tcBorders>
              <w:top w:val="outset" w:sz="6" w:space="0" w:color="414142"/>
              <w:left w:val="outset" w:sz="6" w:space="0" w:color="414142"/>
              <w:bottom w:val="outset" w:sz="6" w:space="0" w:color="414142"/>
              <w:right w:val="outset" w:sz="6" w:space="0" w:color="414142"/>
            </w:tcBorders>
            <w:hideMark/>
          </w:tcPr>
          <w:p w14:paraId="0731E827"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Solution</w:t>
            </w:r>
          </w:p>
        </w:tc>
      </w:tr>
      <w:tr w:rsidR="00136A25" w:rsidRPr="00B10F87" w14:paraId="17527596"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4632272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There is a lack of analytical assessment of the situation regarding the causes of overweight and obesity and the most effective solutions for changing health-related habits among the population.</w:t>
            </w:r>
          </w:p>
        </w:tc>
        <w:tc>
          <w:tcPr>
            <w:tcW w:w="0" w:type="auto"/>
            <w:tcBorders>
              <w:top w:val="outset" w:sz="6" w:space="0" w:color="414142"/>
              <w:left w:val="outset" w:sz="6" w:space="0" w:color="414142"/>
              <w:bottom w:val="outset" w:sz="6" w:space="0" w:color="414142"/>
              <w:right w:val="outset" w:sz="6" w:space="0" w:color="414142"/>
            </w:tcBorders>
            <w:hideMark/>
          </w:tcPr>
          <w:p w14:paraId="0D15C5D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conduct an assessment of the prevalence of overweight and obesity in Latvia, analysing the effectiveness and long-term impact of intervention measures on the change of health-related habits among the population.</w:t>
            </w:r>
          </w:p>
        </w:tc>
      </w:tr>
      <w:tr w:rsidR="00136A25" w:rsidRPr="00B10F87" w14:paraId="769E6ACC"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5175B7B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There is a lack of a long-term, comprehensive overview of the health status and functional capacity of children in Latvia.</w:t>
            </w:r>
          </w:p>
        </w:tc>
        <w:tc>
          <w:tcPr>
            <w:tcW w:w="0" w:type="auto"/>
            <w:tcBorders>
              <w:top w:val="outset" w:sz="6" w:space="0" w:color="414142"/>
              <w:left w:val="outset" w:sz="6" w:space="0" w:color="414142"/>
              <w:bottom w:val="outset" w:sz="6" w:space="0" w:color="414142"/>
              <w:right w:val="outset" w:sz="6" w:space="0" w:color="414142"/>
            </w:tcBorders>
            <w:hideMark/>
          </w:tcPr>
          <w:p w14:paraId="2C1682A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implement long-term monitoring of the health indicators of children to gain insight into trends and effectiveness of the implemented child health promotion policy.</w:t>
            </w:r>
          </w:p>
        </w:tc>
      </w:tr>
    </w:tbl>
    <w:p w14:paraId="39935EB0" w14:textId="77777777" w:rsidR="00504A2B" w:rsidRDefault="00504A2B" w:rsidP="00122210">
      <w:pPr>
        <w:spacing w:after="0" w:line="240" w:lineRule="auto"/>
        <w:jc w:val="both"/>
        <w:rPr>
          <w:rFonts w:ascii="Times New Roman" w:hAnsi="Times New Roman"/>
          <w:b/>
          <w:bCs/>
          <w:noProof/>
          <w:kern w:val="0"/>
          <w:lang w:val="lv-LV"/>
        </w:rPr>
      </w:pPr>
    </w:p>
    <w:p w14:paraId="36740E2B" w14:textId="4142C52E" w:rsidR="00136A25" w:rsidRDefault="00136A25" w:rsidP="006E78DF">
      <w:pPr>
        <w:spacing w:after="0" w:line="240" w:lineRule="auto"/>
        <w:jc w:val="center"/>
        <w:rPr>
          <w:rFonts w:ascii="Times New Roman" w:hAnsi="Times New Roman"/>
          <w:b/>
          <w:bCs/>
          <w:noProof/>
          <w:kern w:val="0"/>
        </w:rPr>
      </w:pPr>
      <w:r>
        <w:rPr>
          <w:rFonts w:ascii="Times New Roman" w:hAnsi="Times New Roman"/>
          <w:b/>
        </w:rPr>
        <w:t>4. Objective and Tasks to be Performed</w:t>
      </w:r>
    </w:p>
    <w:p w14:paraId="6AFBA97E" w14:textId="77777777" w:rsidR="00504A2B" w:rsidRPr="00B10F87" w:rsidRDefault="00504A2B" w:rsidP="00122210">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951"/>
        <w:gridCol w:w="7104"/>
      </w:tblGrid>
      <w:tr w:rsidR="00136A25" w:rsidRPr="00B10F87" w14:paraId="2F1C8486"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hideMark/>
          </w:tcPr>
          <w:p w14:paraId="1D505D6B" w14:textId="77777777" w:rsidR="00136A25" w:rsidRPr="00B10F87" w:rsidRDefault="00136A25" w:rsidP="00122210">
            <w:pPr>
              <w:spacing w:after="0" w:line="240" w:lineRule="auto"/>
              <w:jc w:val="both"/>
              <w:rPr>
                <w:rFonts w:ascii="Times New Roman" w:hAnsi="Times New Roman"/>
                <w:b/>
                <w:bCs/>
                <w:noProof/>
                <w:kern w:val="0"/>
              </w:rPr>
            </w:pPr>
            <w:r>
              <w:rPr>
                <w:rFonts w:ascii="Times New Roman" w:hAnsi="Times New Roman"/>
                <w:b/>
              </w:rPr>
              <w:t>Objective and action directions of the Plan</w:t>
            </w:r>
          </w:p>
        </w:tc>
      </w:tr>
      <w:tr w:rsidR="00136A25" w:rsidRPr="00B10F87" w14:paraId="79FCEC41"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7414DA6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Objective</w:t>
            </w:r>
          </w:p>
        </w:tc>
        <w:tc>
          <w:tcPr>
            <w:tcW w:w="0" w:type="auto"/>
            <w:tcBorders>
              <w:top w:val="outset" w:sz="6" w:space="0" w:color="414142"/>
              <w:left w:val="outset" w:sz="6" w:space="0" w:color="414142"/>
              <w:bottom w:val="outset" w:sz="6" w:space="0" w:color="414142"/>
              <w:right w:val="outset" w:sz="6" w:space="0" w:color="414142"/>
            </w:tcBorders>
            <w:hideMark/>
          </w:tcPr>
          <w:p w14:paraId="5F0C67F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To stop the increasing prevalence of overweight and obesity among the population through coordinated cross-sectoral and interinstitutional cooperation, thereby reducing the risk of non-communicable diseases among the Latvian population.</w:t>
            </w:r>
          </w:p>
        </w:tc>
      </w:tr>
      <w:tr w:rsidR="00136A25" w:rsidRPr="00B10F87" w14:paraId="36271400"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77007A0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Policy result and performance indicators</w:t>
            </w:r>
          </w:p>
        </w:tc>
        <w:tc>
          <w:tcPr>
            <w:tcW w:w="0" w:type="auto"/>
            <w:tcBorders>
              <w:top w:val="outset" w:sz="6" w:space="0" w:color="414142"/>
              <w:left w:val="outset" w:sz="6" w:space="0" w:color="414142"/>
              <w:bottom w:val="outset" w:sz="6" w:space="0" w:color="414142"/>
              <w:right w:val="outset" w:sz="6" w:space="0" w:color="414142"/>
            </w:tcBorders>
            <w:hideMark/>
          </w:tcPr>
          <w:p w14:paraId="6856B85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Decreased prevalence of overweight and obesity among the Latvian population, and also improved access to services for the treatment of obesity.</w:t>
            </w:r>
          </w:p>
          <w:p w14:paraId="61EB7C7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1. Increased proportion of adolescents (aged 11, 13, and 15) who engage in physical activity for at least one hour daily: 18.1 % in 2022 and 22 % in 2029.</w:t>
            </w:r>
            <w:r>
              <w:rPr>
                <w:rFonts w:ascii="Times New Roman" w:hAnsi="Times New Roman"/>
                <w:vertAlign w:val="superscript"/>
              </w:rPr>
              <w:t>100</w:t>
            </w:r>
          </w:p>
          <w:p w14:paraId="221288F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2. Increased proportion of individuals (aged 15–74) who engage in physical activities at least 30 minutes two or more times per week: 24.4 % in 2022 and 29.4 % in 2029.</w:t>
            </w:r>
            <w:r>
              <w:rPr>
                <w:rFonts w:ascii="Times New Roman" w:hAnsi="Times New Roman"/>
                <w:vertAlign w:val="superscript"/>
              </w:rPr>
              <w:t>101</w:t>
            </w:r>
          </w:p>
          <w:p w14:paraId="3C1C69B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3. Increased proportion of individuals (aged 15–74) who have consumed fresh vegetables daily over the past week: 45.9 % in 2022 and 50.9 % in 2029.</w:t>
            </w:r>
          </w:p>
          <w:p w14:paraId="2910FF2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4. Increased proportion of individuals with overweight or obesity who received recommendation from a healthcare professional to reduce weight over the past 12 months: 20.7 % in 2022 and 25.7 % in 2029.</w:t>
            </w:r>
          </w:p>
          <w:p w14:paraId="0C195B4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5. Decreased proportion of individuals with overweight and obesity: 59.4 % in 2022 and 57.2 % in 2029 (aged 15–74); 20.8 % in 2022/2023 and 20 % in 2029 (aged 7).</w:t>
            </w:r>
            <w:r>
              <w:rPr>
                <w:rFonts w:ascii="Times New Roman" w:hAnsi="Times New Roman"/>
                <w:vertAlign w:val="superscript"/>
              </w:rPr>
              <w:t>102</w:t>
            </w:r>
          </w:p>
          <w:p w14:paraId="43D0748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6. Increased proportion of individuals with obesity who have used at least one obesity treatment option:</w:t>
            </w:r>
          </w:p>
          <w:p w14:paraId="2F13844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at least 300 children have participated in the weight correction programme annually;</w:t>
            </w:r>
          </w:p>
          <w:p w14:paraId="1AC5C5A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at least 250 adults have used services available in overweight reduction units within the scope of the pilot project;</w:t>
            </w:r>
          </w:p>
          <w:p w14:paraId="303D2E5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 State-funded consultations with nutritionists have been ensured to at least 2000 patients annually.</w:t>
            </w:r>
          </w:p>
        </w:tc>
      </w:tr>
    </w:tbl>
    <w:p w14:paraId="1437026B" w14:textId="77777777" w:rsidR="00136A25" w:rsidRPr="00B10F87" w:rsidRDefault="00136A25" w:rsidP="00122210">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00"/>
        <w:gridCol w:w="1679"/>
        <w:gridCol w:w="1624"/>
        <w:gridCol w:w="1805"/>
        <w:gridCol w:w="1185"/>
        <w:gridCol w:w="1252"/>
        <w:gridCol w:w="1026"/>
      </w:tblGrid>
      <w:tr w:rsidR="00136A25" w:rsidRPr="00504A2B" w14:paraId="3FAB1E96" w14:textId="77777777" w:rsidTr="00335C97">
        <w:trPr>
          <w:trHeight w:val="300"/>
        </w:trPr>
        <w:tc>
          <w:tcPr>
            <w:tcW w:w="0" w:type="auto"/>
            <w:gridSpan w:val="2"/>
            <w:tcBorders>
              <w:top w:val="nil"/>
              <w:left w:val="nil"/>
              <w:bottom w:val="outset" w:sz="6" w:space="0" w:color="414142"/>
              <w:right w:val="nil"/>
            </w:tcBorders>
            <w:vAlign w:val="center"/>
            <w:hideMark/>
          </w:tcPr>
          <w:p w14:paraId="1D64821D" w14:textId="77777777" w:rsidR="00136A25" w:rsidRPr="00504A2B" w:rsidRDefault="00136A25" w:rsidP="00CD44FE">
            <w:pPr>
              <w:keepNext/>
              <w:keepLines/>
              <w:spacing w:after="0" w:line="240" w:lineRule="auto"/>
              <w:jc w:val="both"/>
              <w:rPr>
                <w:rFonts w:ascii="Times New Roman" w:hAnsi="Times New Roman"/>
                <w:noProof/>
                <w:kern w:val="0"/>
                <w:sz w:val="22"/>
                <w:szCs w:val="22"/>
              </w:rPr>
            </w:pPr>
            <w:r>
              <w:rPr>
                <w:rFonts w:ascii="Times New Roman" w:hAnsi="Times New Roman"/>
                <w:sz w:val="22"/>
              </w:rPr>
              <w:lastRenderedPageBreak/>
              <w:t> </w:t>
            </w:r>
          </w:p>
        </w:tc>
        <w:tc>
          <w:tcPr>
            <w:tcW w:w="0" w:type="auto"/>
            <w:gridSpan w:val="5"/>
            <w:tcBorders>
              <w:top w:val="nil"/>
              <w:left w:val="nil"/>
              <w:bottom w:val="outset" w:sz="6" w:space="0" w:color="414142"/>
              <w:right w:val="nil"/>
            </w:tcBorders>
            <w:vAlign w:val="center"/>
            <w:hideMark/>
          </w:tcPr>
          <w:p w14:paraId="33E051B3" w14:textId="77777777" w:rsidR="00136A25" w:rsidRPr="00504A2B" w:rsidRDefault="00136A25" w:rsidP="00CD44FE">
            <w:pPr>
              <w:keepNext/>
              <w:keepLines/>
              <w:spacing w:after="0" w:line="240" w:lineRule="auto"/>
              <w:jc w:val="both"/>
              <w:rPr>
                <w:rFonts w:ascii="Times New Roman" w:hAnsi="Times New Roman"/>
                <w:noProof/>
                <w:kern w:val="0"/>
                <w:sz w:val="22"/>
                <w:szCs w:val="22"/>
              </w:rPr>
            </w:pPr>
            <w:r>
              <w:rPr>
                <w:rFonts w:ascii="Times New Roman" w:hAnsi="Times New Roman"/>
                <w:sz w:val="22"/>
              </w:rPr>
              <w:t> </w:t>
            </w:r>
          </w:p>
        </w:tc>
      </w:tr>
      <w:tr w:rsidR="00136A25" w:rsidRPr="00504A2B" w14:paraId="4A7BE9B6"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22C1432D" w14:textId="77777777" w:rsidR="00136A25" w:rsidRPr="00504A2B" w:rsidRDefault="00136A25" w:rsidP="00CD44FE">
            <w:pPr>
              <w:keepNext/>
              <w:keepLines/>
              <w:spacing w:after="0" w:line="240" w:lineRule="auto"/>
              <w:jc w:val="center"/>
              <w:rPr>
                <w:rFonts w:ascii="Times New Roman" w:hAnsi="Times New Roman"/>
                <w:b/>
                <w:bCs/>
                <w:noProof/>
                <w:kern w:val="0"/>
                <w:sz w:val="22"/>
                <w:szCs w:val="22"/>
              </w:rPr>
            </w:pPr>
            <w:r>
              <w:rPr>
                <w:rFonts w:ascii="Times New Roman" w:hAnsi="Times New Roman"/>
                <w:b/>
                <w:sz w:val="22"/>
              </w:rPr>
              <w:t>Action direction 1</w:t>
            </w:r>
          </w:p>
        </w:tc>
        <w:tc>
          <w:tcPr>
            <w:tcW w:w="0" w:type="auto"/>
            <w:gridSpan w:val="5"/>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6B3AD14A" w14:textId="77777777" w:rsidR="00136A25" w:rsidRPr="00504A2B" w:rsidRDefault="00136A25" w:rsidP="00CD44FE">
            <w:pPr>
              <w:keepNext/>
              <w:keepLines/>
              <w:spacing w:after="0" w:line="240" w:lineRule="auto"/>
              <w:jc w:val="center"/>
              <w:rPr>
                <w:rFonts w:ascii="Times New Roman" w:hAnsi="Times New Roman"/>
                <w:b/>
                <w:bCs/>
                <w:noProof/>
                <w:kern w:val="0"/>
                <w:sz w:val="22"/>
                <w:szCs w:val="22"/>
              </w:rPr>
            </w:pPr>
            <w:r>
              <w:rPr>
                <w:rFonts w:ascii="Times New Roman" w:hAnsi="Times New Roman"/>
                <w:b/>
                <w:sz w:val="22"/>
              </w:rPr>
              <w:t>Healthy and active lifestyle (primary prevention)</w:t>
            </w:r>
          </w:p>
        </w:tc>
      </w:tr>
      <w:tr w:rsidR="00114699" w:rsidRPr="00504A2B" w14:paraId="4A759A59" w14:textId="77777777" w:rsidTr="00335C97">
        <w:tc>
          <w:tcPr>
            <w:tcW w:w="100" w:type="pct"/>
            <w:tcBorders>
              <w:top w:val="outset" w:sz="6" w:space="0" w:color="414142"/>
              <w:left w:val="outset" w:sz="6" w:space="0" w:color="414142"/>
              <w:bottom w:val="outset" w:sz="6" w:space="0" w:color="414142"/>
              <w:right w:val="outset" w:sz="6" w:space="0" w:color="414142"/>
            </w:tcBorders>
            <w:vAlign w:val="center"/>
            <w:hideMark/>
          </w:tcPr>
          <w:p w14:paraId="0EC1BF44" w14:textId="77777777" w:rsidR="00136A25" w:rsidRPr="00504A2B" w:rsidRDefault="00136A25" w:rsidP="00122210">
            <w:pPr>
              <w:spacing w:after="0" w:line="240" w:lineRule="auto"/>
              <w:jc w:val="both"/>
              <w:rPr>
                <w:rFonts w:ascii="Times New Roman" w:hAnsi="Times New Roman"/>
                <w:b/>
                <w:bCs/>
                <w:noProof/>
                <w:kern w:val="0"/>
                <w:sz w:val="22"/>
                <w:szCs w:val="22"/>
              </w:rPr>
            </w:pPr>
            <w:r>
              <w:rPr>
                <w:rFonts w:ascii="Times New Roman" w:hAnsi="Times New Roman"/>
                <w:b/>
                <w:sz w:val="22"/>
              </w:rPr>
              <w:t>No.</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9D34681" w14:textId="77777777" w:rsidR="00136A25" w:rsidRPr="00504A2B" w:rsidRDefault="00136A25" w:rsidP="00EB7837">
            <w:pPr>
              <w:spacing w:after="0" w:line="240" w:lineRule="auto"/>
              <w:jc w:val="center"/>
              <w:rPr>
                <w:rFonts w:ascii="Times New Roman" w:hAnsi="Times New Roman"/>
                <w:b/>
                <w:bCs/>
                <w:noProof/>
                <w:kern w:val="0"/>
                <w:sz w:val="22"/>
                <w:szCs w:val="22"/>
              </w:rPr>
            </w:pPr>
            <w:r>
              <w:rPr>
                <w:rFonts w:ascii="Times New Roman" w:hAnsi="Times New Roman"/>
                <w:b/>
                <w:sz w:val="22"/>
              </w:rPr>
              <w:t>Measure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944A28B" w14:textId="77777777" w:rsidR="00136A25" w:rsidRPr="00504A2B" w:rsidRDefault="00136A25" w:rsidP="00EB7837">
            <w:pPr>
              <w:spacing w:after="0" w:line="240" w:lineRule="auto"/>
              <w:jc w:val="center"/>
              <w:rPr>
                <w:rFonts w:ascii="Times New Roman" w:hAnsi="Times New Roman"/>
                <w:b/>
                <w:bCs/>
                <w:noProof/>
                <w:kern w:val="0"/>
                <w:sz w:val="22"/>
                <w:szCs w:val="22"/>
              </w:rPr>
            </w:pPr>
            <w:r>
              <w:rPr>
                <w:rFonts w:ascii="Times New Roman" w:hAnsi="Times New Roman"/>
                <w:b/>
                <w:sz w:val="22"/>
              </w:rPr>
              <w:t>Activity result</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91CACF9" w14:textId="77777777" w:rsidR="00136A25" w:rsidRPr="00504A2B" w:rsidRDefault="00136A25" w:rsidP="00EB7837">
            <w:pPr>
              <w:spacing w:after="0" w:line="240" w:lineRule="auto"/>
              <w:jc w:val="center"/>
              <w:rPr>
                <w:rFonts w:ascii="Times New Roman" w:hAnsi="Times New Roman"/>
                <w:b/>
                <w:bCs/>
                <w:noProof/>
                <w:kern w:val="0"/>
                <w:sz w:val="22"/>
                <w:szCs w:val="22"/>
              </w:rPr>
            </w:pPr>
            <w:r>
              <w:rPr>
                <w:rFonts w:ascii="Times New Roman" w:hAnsi="Times New Roman"/>
                <w:b/>
                <w:sz w:val="22"/>
              </w:rPr>
              <w:t>Performance indicator</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24BDAD" w14:textId="77777777" w:rsidR="00136A25" w:rsidRPr="00504A2B" w:rsidRDefault="00136A25" w:rsidP="00EB7837">
            <w:pPr>
              <w:spacing w:after="0" w:line="240" w:lineRule="auto"/>
              <w:jc w:val="center"/>
              <w:rPr>
                <w:rFonts w:ascii="Times New Roman" w:hAnsi="Times New Roman"/>
                <w:b/>
                <w:bCs/>
                <w:noProof/>
                <w:kern w:val="0"/>
                <w:sz w:val="22"/>
                <w:szCs w:val="22"/>
              </w:rPr>
            </w:pPr>
            <w:r>
              <w:rPr>
                <w:rFonts w:ascii="Times New Roman" w:hAnsi="Times New Roman"/>
                <w:b/>
                <w:sz w:val="22"/>
              </w:rPr>
              <w:t>Responsible authorities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88D5AEE" w14:textId="77777777" w:rsidR="00136A25" w:rsidRPr="00504A2B" w:rsidRDefault="00136A25" w:rsidP="00EB7837">
            <w:pPr>
              <w:spacing w:after="0" w:line="240" w:lineRule="auto"/>
              <w:jc w:val="center"/>
              <w:rPr>
                <w:rFonts w:ascii="Times New Roman" w:hAnsi="Times New Roman"/>
                <w:b/>
                <w:bCs/>
                <w:noProof/>
                <w:kern w:val="0"/>
                <w:sz w:val="22"/>
                <w:szCs w:val="22"/>
              </w:rPr>
            </w:pPr>
            <w:r>
              <w:rPr>
                <w:rFonts w:ascii="Times New Roman" w:hAnsi="Times New Roman"/>
                <w:b/>
                <w:sz w:val="22"/>
              </w:rPr>
              <w:t>Co-responsible authorities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E64870" w14:textId="77777777" w:rsidR="00136A25" w:rsidRPr="00504A2B" w:rsidRDefault="00136A25" w:rsidP="00EB7837">
            <w:pPr>
              <w:spacing w:after="0" w:line="240" w:lineRule="auto"/>
              <w:jc w:val="center"/>
              <w:rPr>
                <w:rFonts w:ascii="Times New Roman" w:hAnsi="Times New Roman"/>
                <w:b/>
                <w:bCs/>
                <w:noProof/>
                <w:kern w:val="0"/>
                <w:sz w:val="22"/>
                <w:szCs w:val="22"/>
              </w:rPr>
            </w:pPr>
            <w:r>
              <w:rPr>
                <w:rFonts w:ascii="Times New Roman" w:hAnsi="Times New Roman"/>
                <w:b/>
                <w:sz w:val="22"/>
              </w:rPr>
              <w:t>Deadline</w:t>
            </w:r>
          </w:p>
        </w:tc>
      </w:tr>
      <w:tr w:rsidR="00114699" w:rsidRPr="00504A2B" w14:paraId="359ADB53" w14:textId="77777777" w:rsidTr="00335C97">
        <w:tc>
          <w:tcPr>
            <w:tcW w:w="100" w:type="pct"/>
            <w:vMerge w:val="restart"/>
            <w:tcBorders>
              <w:top w:val="outset" w:sz="6" w:space="0" w:color="414142"/>
              <w:left w:val="outset" w:sz="6" w:space="0" w:color="414142"/>
              <w:bottom w:val="outset" w:sz="6" w:space="0" w:color="414142"/>
              <w:right w:val="outset" w:sz="6" w:space="0" w:color="414142"/>
            </w:tcBorders>
            <w:hideMark/>
          </w:tcPr>
          <w:p w14:paraId="1CAF21E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05B3442D"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Measures to improve the skills of the population in making healthy food choices have been implemented by enhancing knowledge of food labelling information and its use for healthy food choices, and also knowledge of preparing healthy meals.</w:t>
            </w:r>
          </w:p>
        </w:tc>
        <w:tc>
          <w:tcPr>
            <w:tcW w:w="850" w:type="pct"/>
            <w:vMerge w:val="restart"/>
            <w:tcBorders>
              <w:top w:val="outset" w:sz="6" w:space="0" w:color="414142"/>
              <w:left w:val="outset" w:sz="6" w:space="0" w:color="414142"/>
              <w:bottom w:val="outset" w:sz="6" w:space="0" w:color="414142"/>
              <w:right w:val="outset" w:sz="6" w:space="0" w:color="414142"/>
            </w:tcBorders>
            <w:hideMark/>
          </w:tcPr>
          <w:p w14:paraId="494B35D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Efforts have been made to raise public awareness of food composition, the skills of the population in selecting and preparing food products have been improved, thereby reducing demand for unhealthy food products.</w:t>
            </w:r>
          </w:p>
        </w:tc>
        <w:tc>
          <w:tcPr>
            <w:tcW w:w="1400" w:type="pct"/>
            <w:tcBorders>
              <w:top w:val="outset" w:sz="6" w:space="0" w:color="414142"/>
              <w:left w:val="outset" w:sz="6" w:space="0" w:color="414142"/>
              <w:bottom w:val="outset" w:sz="6" w:space="0" w:color="414142"/>
              <w:right w:val="outset" w:sz="6" w:space="0" w:color="414142"/>
            </w:tcBorders>
            <w:hideMark/>
          </w:tcPr>
          <w:p w14:paraId="655E05A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three measures have been implemented to educate the population and enhance skills regarding food labelling information and its importance in selecting food products.</w:t>
            </w:r>
          </w:p>
        </w:tc>
        <w:tc>
          <w:tcPr>
            <w:tcW w:w="400" w:type="pct"/>
            <w:tcBorders>
              <w:top w:val="outset" w:sz="6" w:space="0" w:color="414142"/>
              <w:left w:val="outset" w:sz="6" w:space="0" w:color="414142"/>
              <w:bottom w:val="outset" w:sz="6" w:space="0" w:color="414142"/>
              <w:right w:val="outset" w:sz="6" w:space="0" w:color="414142"/>
            </w:tcBorders>
            <w:hideMark/>
          </w:tcPr>
          <w:p w14:paraId="630B8B24"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MoA</w:t>
            </w:r>
          </w:p>
        </w:tc>
        <w:tc>
          <w:tcPr>
            <w:tcW w:w="450" w:type="pct"/>
            <w:vMerge w:val="restart"/>
            <w:tcBorders>
              <w:top w:val="outset" w:sz="6" w:space="0" w:color="414142"/>
              <w:left w:val="outset" w:sz="6" w:space="0" w:color="414142"/>
              <w:bottom w:val="outset" w:sz="6" w:space="0" w:color="414142"/>
              <w:right w:val="outset" w:sz="6" w:space="0" w:color="414142"/>
            </w:tcBorders>
            <w:hideMark/>
          </w:tcPr>
          <w:p w14:paraId="4CE5DC1D"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LFFC, LCCI, FVS, LADN</w:t>
            </w:r>
          </w:p>
        </w:tc>
        <w:tc>
          <w:tcPr>
            <w:tcW w:w="300" w:type="pct"/>
            <w:vMerge w:val="restart"/>
            <w:tcBorders>
              <w:top w:val="outset" w:sz="6" w:space="0" w:color="414142"/>
              <w:left w:val="outset" w:sz="6" w:space="0" w:color="414142"/>
              <w:bottom w:val="outset" w:sz="6" w:space="0" w:color="414142"/>
              <w:right w:val="outset" w:sz="6" w:space="0" w:color="414142"/>
            </w:tcBorders>
            <w:hideMark/>
          </w:tcPr>
          <w:p w14:paraId="293A1DED"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2029</w:t>
            </w:r>
          </w:p>
        </w:tc>
      </w:tr>
      <w:tr w:rsidR="00114699" w:rsidRPr="00504A2B" w14:paraId="6C699DFF" w14:textId="77777777" w:rsidTr="00335C9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DCCAE8"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60F243"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3AAEDB"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1400" w:type="pct"/>
            <w:tcBorders>
              <w:top w:val="outset" w:sz="6" w:space="0" w:color="414142"/>
              <w:left w:val="outset" w:sz="6" w:space="0" w:color="414142"/>
              <w:bottom w:val="outset" w:sz="6" w:space="0" w:color="414142"/>
              <w:right w:val="outset" w:sz="6" w:space="0" w:color="414142"/>
            </w:tcBorders>
            <w:hideMark/>
          </w:tcPr>
          <w:p w14:paraId="0953027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three measures have been implemented to promote healthy food choices (including reformulated products) and preparation of healthy meals.</w:t>
            </w:r>
          </w:p>
        </w:tc>
        <w:tc>
          <w:tcPr>
            <w:tcW w:w="400" w:type="pct"/>
            <w:tcBorders>
              <w:top w:val="outset" w:sz="6" w:space="0" w:color="414142"/>
              <w:left w:val="outset" w:sz="6" w:space="0" w:color="414142"/>
              <w:bottom w:val="outset" w:sz="6" w:space="0" w:color="414142"/>
              <w:right w:val="outset" w:sz="6" w:space="0" w:color="414142"/>
            </w:tcBorders>
            <w:hideMark/>
          </w:tcPr>
          <w:p w14:paraId="50918A3B"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70E9D3" w14:textId="77777777" w:rsidR="00136A25" w:rsidRPr="00504A2B" w:rsidRDefault="00136A25" w:rsidP="00EB7837">
            <w:pPr>
              <w:spacing w:after="0" w:line="240" w:lineRule="auto"/>
              <w:jc w:val="center"/>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C72F2C" w14:textId="77777777" w:rsidR="00136A25" w:rsidRPr="00504A2B" w:rsidRDefault="00136A25" w:rsidP="00EB7837">
            <w:pPr>
              <w:spacing w:after="0" w:line="240" w:lineRule="auto"/>
              <w:jc w:val="center"/>
              <w:rPr>
                <w:rFonts w:ascii="Times New Roman" w:hAnsi="Times New Roman"/>
                <w:noProof/>
                <w:kern w:val="0"/>
                <w:sz w:val="22"/>
                <w:szCs w:val="22"/>
                <w:lang w:val="lv-LV"/>
              </w:rPr>
            </w:pPr>
          </w:p>
        </w:tc>
      </w:tr>
      <w:tr w:rsidR="00114699" w:rsidRPr="00504A2B" w14:paraId="4EEB7181"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2ADF38D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1.2.</w:t>
            </w:r>
          </w:p>
        </w:tc>
        <w:tc>
          <w:tcPr>
            <w:tcW w:w="1250" w:type="pct"/>
            <w:tcBorders>
              <w:top w:val="outset" w:sz="6" w:space="0" w:color="414142"/>
              <w:left w:val="outset" w:sz="6" w:space="0" w:color="414142"/>
              <w:bottom w:val="outset" w:sz="6" w:space="0" w:color="414142"/>
              <w:right w:val="outset" w:sz="6" w:space="0" w:color="414142"/>
            </w:tcBorders>
            <w:hideMark/>
          </w:tcPr>
          <w:p w14:paraId="509598F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promote healthy dietary habits among the population in public catering establishments.</w:t>
            </w:r>
          </w:p>
        </w:tc>
        <w:tc>
          <w:tcPr>
            <w:tcW w:w="850" w:type="pct"/>
            <w:tcBorders>
              <w:top w:val="outset" w:sz="6" w:space="0" w:color="414142"/>
              <w:left w:val="outset" w:sz="6" w:space="0" w:color="414142"/>
              <w:bottom w:val="outset" w:sz="6" w:space="0" w:color="414142"/>
              <w:right w:val="outset" w:sz="6" w:space="0" w:color="414142"/>
            </w:tcBorders>
            <w:hideMark/>
          </w:tcPr>
          <w:p w14:paraId="1619AF9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Proposals for promoting healthy dietary habits among the population in public catering establishments have been prepared.</w:t>
            </w:r>
          </w:p>
        </w:tc>
        <w:tc>
          <w:tcPr>
            <w:tcW w:w="1400" w:type="pct"/>
            <w:tcBorders>
              <w:top w:val="outset" w:sz="6" w:space="0" w:color="414142"/>
              <w:left w:val="outset" w:sz="6" w:space="0" w:color="414142"/>
              <w:bottom w:val="outset" w:sz="6" w:space="0" w:color="414142"/>
              <w:right w:val="outset" w:sz="6" w:space="0" w:color="414142"/>
            </w:tcBorders>
            <w:hideMark/>
          </w:tcPr>
          <w:p w14:paraId="727223B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Proposals for promoting healthy dietary habits among the population in public catering establishments have been prepared, increasing the engagement of catering establishments in public health promotion.</w:t>
            </w:r>
          </w:p>
        </w:tc>
        <w:tc>
          <w:tcPr>
            <w:tcW w:w="400" w:type="pct"/>
            <w:tcBorders>
              <w:top w:val="outset" w:sz="6" w:space="0" w:color="414142"/>
              <w:left w:val="outset" w:sz="6" w:space="0" w:color="414142"/>
              <w:bottom w:val="outset" w:sz="6" w:space="0" w:color="414142"/>
              <w:right w:val="outset" w:sz="6" w:space="0" w:color="414142"/>
            </w:tcBorders>
            <w:hideMark/>
          </w:tcPr>
          <w:p w14:paraId="1FD15151"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3C29537D"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CDPC, LAC, LHRA, LADN, LAD, LAN, MoA</w:t>
            </w:r>
          </w:p>
        </w:tc>
        <w:tc>
          <w:tcPr>
            <w:tcW w:w="300" w:type="pct"/>
            <w:tcBorders>
              <w:top w:val="outset" w:sz="6" w:space="0" w:color="414142"/>
              <w:left w:val="outset" w:sz="6" w:space="0" w:color="414142"/>
              <w:bottom w:val="outset" w:sz="6" w:space="0" w:color="414142"/>
              <w:right w:val="outset" w:sz="6" w:space="0" w:color="414142"/>
            </w:tcBorders>
            <w:hideMark/>
          </w:tcPr>
          <w:p w14:paraId="1874ABB1"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2025</w:t>
            </w:r>
          </w:p>
        </w:tc>
      </w:tr>
      <w:tr w:rsidR="00114699" w:rsidRPr="00504A2B" w14:paraId="727A54E5"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396E314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1.3.</w:t>
            </w:r>
          </w:p>
        </w:tc>
        <w:tc>
          <w:tcPr>
            <w:tcW w:w="1250" w:type="pct"/>
            <w:tcBorders>
              <w:top w:val="outset" w:sz="6" w:space="0" w:color="414142"/>
              <w:left w:val="outset" w:sz="6" w:space="0" w:color="414142"/>
              <w:bottom w:val="outset" w:sz="6" w:space="0" w:color="414142"/>
              <w:right w:val="outset" w:sz="6" w:space="0" w:color="414142"/>
            </w:tcBorders>
            <w:hideMark/>
          </w:tcPr>
          <w:p w14:paraId="5365AC0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profile food products available on the local market based on their nutritional values, within the scope of a study.</w:t>
            </w:r>
          </w:p>
        </w:tc>
        <w:tc>
          <w:tcPr>
            <w:tcW w:w="850" w:type="pct"/>
            <w:tcBorders>
              <w:top w:val="outset" w:sz="6" w:space="0" w:color="414142"/>
              <w:left w:val="outset" w:sz="6" w:space="0" w:color="414142"/>
              <w:bottom w:val="outset" w:sz="6" w:space="0" w:color="414142"/>
              <w:right w:val="outset" w:sz="6" w:space="0" w:color="414142"/>
            </w:tcBorders>
            <w:hideMark/>
          </w:tcPr>
          <w:p w14:paraId="7E85D265"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Individuals have access to centralised information on the nutritional value of food products, and also their understanding of healthy and recommended food products for everyday </w:t>
            </w:r>
            <w:r>
              <w:rPr>
                <w:rFonts w:ascii="Times New Roman" w:hAnsi="Times New Roman"/>
                <w:sz w:val="22"/>
              </w:rPr>
              <w:lastRenderedPageBreak/>
              <w:t>consumption has been improved.</w:t>
            </w:r>
          </w:p>
        </w:tc>
        <w:tc>
          <w:tcPr>
            <w:tcW w:w="1400" w:type="pct"/>
            <w:tcBorders>
              <w:top w:val="outset" w:sz="6" w:space="0" w:color="414142"/>
              <w:left w:val="outset" w:sz="6" w:space="0" w:color="414142"/>
              <w:bottom w:val="outset" w:sz="6" w:space="0" w:color="414142"/>
              <w:right w:val="outset" w:sz="6" w:space="0" w:color="414142"/>
            </w:tcBorders>
            <w:hideMark/>
          </w:tcPr>
          <w:p w14:paraId="6EE579E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A publicly accessible list of food products available on the local market has been developed, and it can be used by policymakers, local governments, organisers of outreach activities, educational institutions, medical </w:t>
            </w:r>
            <w:r>
              <w:rPr>
                <w:rFonts w:ascii="Times New Roman" w:hAnsi="Times New Roman"/>
                <w:sz w:val="22"/>
              </w:rPr>
              <w:lastRenderedPageBreak/>
              <w:t>practitioners, scientific institutes, and individuals in their daily activities to assess the healthiness of food products.</w:t>
            </w:r>
          </w:p>
        </w:tc>
        <w:tc>
          <w:tcPr>
            <w:tcW w:w="400" w:type="pct"/>
            <w:tcBorders>
              <w:top w:val="outset" w:sz="6" w:space="0" w:color="414142"/>
              <w:left w:val="outset" w:sz="6" w:space="0" w:color="414142"/>
              <w:bottom w:val="outset" w:sz="6" w:space="0" w:color="414142"/>
              <w:right w:val="outset" w:sz="6" w:space="0" w:color="414142"/>
            </w:tcBorders>
            <w:hideMark/>
          </w:tcPr>
          <w:p w14:paraId="7483886F"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lastRenderedPageBreak/>
              <w:t>MoH</w:t>
            </w:r>
          </w:p>
        </w:tc>
        <w:tc>
          <w:tcPr>
            <w:tcW w:w="450" w:type="pct"/>
            <w:tcBorders>
              <w:top w:val="outset" w:sz="6" w:space="0" w:color="414142"/>
              <w:left w:val="outset" w:sz="6" w:space="0" w:color="414142"/>
              <w:bottom w:val="outset" w:sz="6" w:space="0" w:color="414142"/>
              <w:right w:val="outset" w:sz="6" w:space="0" w:color="414142"/>
            </w:tcBorders>
            <w:hideMark/>
          </w:tcPr>
          <w:p w14:paraId="7515F698" w14:textId="21E35210" w:rsidR="00136A25" w:rsidRPr="00504A2B" w:rsidRDefault="00136A25" w:rsidP="00EB7837">
            <w:pPr>
              <w:spacing w:after="0" w:line="240" w:lineRule="auto"/>
              <w:jc w:val="center"/>
              <w:rPr>
                <w:rFonts w:ascii="Times New Roman" w:hAnsi="Times New Roman"/>
                <w:noProof/>
                <w:kern w:val="0"/>
                <w:sz w:val="22"/>
                <w:szCs w:val="22"/>
                <w:lang w:val="lv-LV"/>
              </w:rPr>
            </w:pPr>
          </w:p>
        </w:tc>
        <w:tc>
          <w:tcPr>
            <w:tcW w:w="300" w:type="pct"/>
            <w:tcBorders>
              <w:top w:val="outset" w:sz="6" w:space="0" w:color="414142"/>
              <w:left w:val="outset" w:sz="6" w:space="0" w:color="414142"/>
              <w:bottom w:val="outset" w:sz="6" w:space="0" w:color="414142"/>
              <w:right w:val="outset" w:sz="6" w:space="0" w:color="414142"/>
            </w:tcBorders>
            <w:hideMark/>
          </w:tcPr>
          <w:p w14:paraId="66A21130"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2028</w:t>
            </w:r>
          </w:p>
        </w:tc>
      </w:tr>
      <w:tr w:rsidR="00114699" w:rsidRPr="00504A2B" w14:paraId="10B1F7DA"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A17DC1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1.4.</w:t>
            </w:r>
          </w:p>
        </w:tc>
        <w:tc>
          <w:tcPr>
            <w:tcW w:w="1250" w:type="pct"/>
            <w:tcBorders>
              <w:top w:val="outset" w:sz="6" w:space="0" w:color="414142"/>
              <w:left w:val="outset" w:sz="6" w:space="0" w:color="414142"/>
              <w:bottom w:val="outset" w:sz="6" w:space="0" w:color="414142"/>
              <w:right w:val="outset" w:sz="6" w:space="0" w:color="414142"/>
            </w:tcBorders>
            <w:hideMark/>
          </w:tcPr>
          <w:p w14:paraId="606229D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conduct a study on consumer-friendly and sustainable front-of-pack nutrition labelling schemes in Latvia to facilitate healthy food choices for consumers.</w:t>
            </w:r>
          </w:p>
        </w:tc>
        <w:tc>
          <w:tcPr>
            <w:tcW w:w="850" w:type="pct"/>
            <w:tcBorders>
              <w:top w:val="outset" w:sz="6" w:space="0" w:color="414142"/>
              <w:left w:val="outset" w:sz="6" w:space="0" w:color="414142"/>
              <w:bottom w:val="outset" w:sz="6" w:space="0" w:color="414142"/>
              <w:right w:val="outset" w:sz="6" w:space="0" w:color="414142"/>
            </w:tcBorders>
            <w:hideMark/>
          </w:tcPr>
          <w:p w14:paraId="30EC7A7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Food labelling schemes facilitating healthy food choices for consumers have been studied in order to determine their suitability for the Latvian context and to assess the potential impact in case they are introduced.</w:t>
            </w:r>
          </w:p>
        </w:tc>
        <w:tc>
          <w:tcPr>
            <w:tcW w:w="1400" w:type="pct"/>
            <w:tcBorders>
              <w:top w:val="outset" w:sz="6" w:space="0" w:color="414142"/>
              <w:left w:val="outset" w:sz="6" w:space="0" w:color="414142"/>
              <w:bottom w:val="outset" w:sz="6" w:space="0" w:color="414142"/>
              <w:right w:val="outset" w:sz="6" w:space="0" w:color="414142"/>
            </w:tcBorders>
            <w:hideMark/>
          </w:tcPr>
          <w:p w14:paraId="7B22309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 study on consumer-friendly and sustainable front-of-pack nutrition labelling schemes has been conducted to facilitate healthy food choices for consumers.</w:t>
            </w:r>
          </w:p>
        </w:tc>
        <w:tc>
          <w:tcPr>
            <w:tcW w:w="400" w:type="pct"/>
            <w:tcBorders>
              <w:top w:val="outset" w:sz="6" w:space="0" w:color="414142"/>
              <w:left w:val="outset" w:sz="6" w:space="0" w:color="414142"/>
              <w:bottom w:val="outset" w:sz="6" w:space="0" w:color="414142"/>
              <w:right w:val="outset" w:sz="6" w:space="0" w:color="414142"/>
            </w:tcBorders>
            <w:hideMark/>
          </w:tcPr>
          <w:p w14:paraId="69B008FE"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2155F22F" w14:textId="28CFE949" w:rsidR="00136A25" w:rsidRPr="00504A2B" w:rsidRDefault="00136A25" w:rsidP="00EB7837">
            <w:pPr>
              <w:spacing w:after="0" w:line="240" w:lineRule="auto"/>
              <w:jc w:val="center"/>
              <w:rPr>
                <w:rFonts w:ascii="Times New Roman" w:hAnsi="Times New Roman"/>
                <w:noProof/>
                <w:kern w:val="0"/>
                <w:sz w:val="22"/>
                <w:szCs w:val="22"/>
                <w:lang w:val="lv-LV"/>
              </w:rPr>
            </w:pPr>
          </w:p>
        </w:tc>
        <w:tc>
          <w:tcPr>
            <w:tcW w:w="300" w:type="pct"/>
            <w:tcBorders>
              <w:top w:val="outset" w:sz="6" w:space="0" w:color="414142"/>
              <w:left w:val="outset" w:sz="6" w:space="0" w:color="414142"/>
              <w:bottom w:val="outset" w:sz="6" w:space="0" w:color="414142"/>
              <w:right w:val="outset" w:sz="6" w:space="0" w:color="414142"/>
            </w:tcBorders>
            <w:hideMark/>
          </w:tcPr>
          <w:p w14:paraId="7938BCDA"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570952A7" w14:textId="77777777" w:rsidTr="00335C97">
        <w:tc>
          <w:tcPr>
            <w:tcW w:w="100" w:type="pct"/>
            <w:vMerge w:val="restart"/>
            <w:tcBorders>
              <w:top w:val="outset" w:sz="6" w:space="0" w:color="414142"/>
              <w:left w:val="outset" w:sz="6" w:space="0" w:color="414142"/>
              <w:bottom w:val="outset" w:sz="6" w:space="0" w:color="414142"/>
              <w:right w:val="outset" w:sz="6" w:space="0" w:color="414142"/>
            </w:tcBorders>
            <w:hideMark/>
          </w:tcPr>
          <w:p w14:paraId="167E150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1.5.</w:t>
            </w:r>
          </w:p>
        </w:tc>
        <w:tc>
          <w:tcPr>
            <w:tcW w:w="1250" w:type="pct"/>
            <w:tcBorders>
              <w:top w:val="outset" w:sz="6" w:space="0" w:color="414142"/>
              <w:left w:val="outset" w:sz="6" w:space="0" w:color="414142"/>
              <w:bottom w:val="outset" w:sz="6" w:space="0" w:color="414142"/>
              <w:right w:val="outset" w:sz="6" w:space="0" w:color="414142"/>
            </w:tcBorders>
            <w:hideMark/>
          </w:tcPr>
          <w:p w14:paraId="7DF9752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1.5.1. To assess the suitability of the nutrient profiling model for food products available on the Latvian market and for nutritional recommendations.</w:t>
            </w:r>
          </w:p>
        </w:tc>
        <w:tc>
          <w:tcPr>
            <w:tcW w:w="850" w:type="pct"/>
            <w:tcBorders>
              <w:top w:val="outset" w:sz="6" w:space="0" w:color="414142"/>
              <w:left w:val="outset" w:sz="6" w:space="0" w:color="414142"/>
              <w:bottom w:val="outset" w:sz="6" w:space="0" w:color="414142"/>
              <w:right w:val="outset" w:sz="6" w:space="0" w:color="414142"/>
            </w:tcBorders>
            <w:hideMark/>
          </w:tcPr>
          <w:p w14:paraId="66110BB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Suitability of the nutrient profiling model for the Latvian food market and alignment with nutritional recommendations have been assessed.</w:t>
            </w:r>
          </w:p>
        </w:tc>
        <w:tc>
          <w:tcPr>
            <w:tcW w:w="1400" w:type="pct"/>
            <w:tcBorders>
              <w:top w:val="outset" w:sz="6" w:space="0" w:color="414142"/>
              <w:left w:val="outset" w:sz="6" w:space="0" w:color="414142"/>
              <w:bottom w:val="outset" w:sz="6" w:space="0" w:color="414142"/>
              <w:right w:val="outset" w:sz="6" w:space="0" w:color="414142"/>
            </w:tcBorders>
            <w:hideMark/>
          </w:tcPr>
          <w:p w14:paraId="36FAAF7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 study has been conducted to assess the suitability of the nutrient profiling model for food products available on the Latvian market and alignment with nutritional recommendations.</w:t>
            </w:r>
          </w:p>
        </w:tc>
        <w:tc>
          <w:tcPr>
            <w:tcW w:w="400" w:type="pct"/>
            <w:tcBorders>
              <w:top w:val="outset" w:sz="6" w:space="0" w:color="414142"/>
              <w:left w:val="outset" w:sz="6" w:space="0" w:color="414142"/>
              <w:bottom w:val="outset" w:sz="6" w:space="0" w:color="414142"/>
              <w:right w:val="outset" w:sz="6" w:space="0" w:color="414142"/>
            </w:tcBorders>
            <w:hideMark/>
          </w:tcPr>
          <w:p w14:paraId="4A2A2F1D"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4F5E3EEE" w14:textId="4B355535" w:rsidR="00136A25" w:rsidRPr="00504A2B" w:rsidRDefault="00136A25" w:rsidP="00EB7837">
            <w:pPr>
              <w:spacing w:after="0" w:line="240" w:lineRule="auto"/>
              <w:jc w:val="center"/>
              <w:rPr>
                <w:rFonts w:ascii="Times New Roman" w:hAnsi="Times New Roman"/>
                <w:noProof/>
                <w:kern w:val="0"/>
                <w:sz w:val="22"/>
                <w:szCs w:val="22"/>
                <w:lang w:val="lv-LV"/>
              </w:rPr>
            </w:pPr>
          </w:p>
        </w:tc>
        <w:tc>
          <w:tcPr>
            <w:tcW w:w="300" w:type="pct"/>
            <w:tcBorders>
              <w:top w:val="outset" w:sz="6" w:space="0" w:color="414142"/>
              <w:left w:val="outset" w:sz="6" w:space="0" w:color="414142"/>
              <w:bottom w:val="outset" w:sz="6" w:space="0" w:color="414142"/>
              <w:right w:val="outset" w:sz="6" w:space="0" w:color="414142"/>
            </w:tcBorders>
            <w:hideMark/>
          </w:tcPr>
          <w:p w14:paraId="6DA110AB"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5D987CF9" w14:textId="77777777" w:rsidTr="00335C9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B4A51D"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7C2F1835"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1.5.2. To assess options for strengthening restrictions on unhealthy food marketing.</w:t>
            </w:r>
          </w:p>
        </w:tc>
        <w:tc>
          <w:tcPr>
            <w:tcW w:w="850" w:type="pct"/>
            <w:tcBorders>
              <w:top w:val="outset" w:sz="6" w:space="0" w:color="414142"/>
              <w:left w:val="outset" w:sz="6" w:space="0" w:color="414142"/>
              <w:bottom w:val="outset" w:sz="6" w:space="0" w:color="414142"/>
              <w:right w:val="outset" w:sz="6" w:space="0" w:color="414142"/>
            </w:tcBorders>
            <w:hideMark/>
          </w:tcPr>
          <w:p w14:paraId="35C09ED1"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Options for the restriction of unhealthy food marketing have been assessed.</w:t>
            </w:r>
          </w:p>
        </w:tc>
        <w:tc>
          <w:tcPr>
            <w:tcW w:w="1400" w:type="pct"/>
            <w:tcBorders>
              <w:top w:val="outset" w:sz="6" w:space="0" w:color="414142"/>
              <w:left w:val="outset" w:sz="6" w:space="0" w:color="414142"/>
              <w:bottom w:val="outset" w:sz="6" w:space="0" w:color="414142"/>
              <w:right w:val="outset" w:sz="6" w:space="0" w:color="414142"/>
            </w:tcBorders>
            <w:hideMark/>
          </w:tcPr>
          <w:p w14:paraId="3999919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Proposals for the restriction of unhealthy food marketing have been prepared.</w:t>
            </w:r>
          </w:p>
        </w:tc>
        <w:tc>
          <w:tcPr>
            <w:tcW w:w="400" w:type="pct"/>
            <w:tcBorders>
              <w:top w:val="outset" w:sz="6" w:space="0" w:color="414142"/>
              <w:left w:val="outset" w:sz="6" w:space="0" w:color="414142"/>
              <w:bottom w:val="outset" w:sz="6" w:space="0" w:color="414142"/>
              <w:right w:val="outset" w:sz="6" w:space="0" w:color="414142"/>
            </w:tcBorders>
            <w:hideMark/>
          </w:tcPr>
          <w:p w14:paraId="53741E22"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28B4DFFC"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MoE, LAA, CRPC, CDPC</w:t>
            </w:r>
          </w:p>
        </w:tc>
        <w:tc>
          <w:tcPr>
            <w:tcW w:w="300" w:type="pct"/>
            <w:tcBorders>
              <w:top w:val="outset" w:sz="6" w:space="0" w:color="414142"/>
              <w:left w:val="outset" w:sz="6" w:space="0" w:color="414142"/>
              <w:bottom w:val="outset" w:sz="6" w:space="0" w:color="414142"/>
              <w:right w:val="outset" w:sz="6" w:space="0" w:color="414142"/>
            </w:tcBorders>
            <w:hideMark/>
          </w:tcPr>
          <w:p w14:paraId="3E019406"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08FD8273"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3DFF51A5"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1.6.</w:t>
            </w:r>
          </w:p>
        </w:tc>
        <w:tc>
          <w:tcPr>
            <w:tcW w:w="1250" w:type="pct"/>
            <w:tcBorders>
              <w:top w:val="outset" w:sz="6" w:space="0" w:color="414142"/>
              <w:left w:val="outset" w:sz="6" w:space="0" w:color="414142"/>
              <w:bottom w:val="outset" w:sz="6" w:space="0" w:color="414142"/>
              <w:right w:val="outset" w:sz="6" w:space="0" w:color="414142"/>
            </w:tcBorders>
            <w:hideMark/>
          </w:tcPr>
          <w:p w14:paraId="06EC0415"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To update the Memorandum of Cooperation between the MoH, the LFFC, and the LANABP on Changes in Advertising Non-alcoholic Beverages for Children, taking into account the current marketing and advertising trends, and also habits of children regarding the use </w:t>
            </w:r>
            <w:r>
              <w:rPr>
                <w:rFonts w:ascii="Times New Roman" w:hAnsi="Times New Roman"/>
                <w:sz w:val="22"/>
              </w:rPr>
              <w:lastRenderedPageBreak/>
              <w:t>of smart devices, e.g., by introducing restrictions on advertising on social media, websites, etc.</w:t>
            </w:r>
          </w:p>
        </w:tc>
        <w:tc>
          <w:tcPr>
            <w:tcW w:w="850" w:type="pct"/>
            <w:tcBorders>
              <w:top w:val="outset" w:sz="6" w:space="0" w:color="414142"/>
              <w:left w:val="outset" w:sz="6" w:space="0" w:color="414142"/>
              <w:bottom w:val="outset" w:sz="6" w:space="0" w:color="414142"/>
              <w:right w:val="outset" w:sz="6" w:space="0" w:color="414142"/>
            </w:tcBorders>
            <w:hideMark/>
          </w:tcPr>
          <w:p w14:paraId="276544A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The conditions of the memorandum regarding restrictions on advertising non-alcoholic beverages for children have been reviewed and expanded.</w:t>
            </w:r>
          </w:p>
        </w:tc>
        <w:tc>
          <w:tcPr>
            <w:tcW w:w="1400" w:type="pct"/>
            <w:tcBorders>
              <w:top w:val="outset" w:sz="6" w:space="0" w:color="414142"/>
              <w:left w:val="outset" w:sz="6" w:space="0" w:color="414142"/>
              <w:bottom w:val="outset" w:sz="6" w:space="0" w:color="414142"/>
              <w:right w:val="outset" w:sz="6" w:space="0" w:color="414142"/>
            </w:tcBorders>
            <w:hideMark/>
          </w:tcPr>
          <w:p w14:paraId="7307051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Memorandum of Cooperation on Changes in Advertising Non-alcoholic Beverages for Children has been reviewed and clarified to ensure its alignment with the current trends and recommendations on public health promotion.</w:t>
            </w:r>
          </w:p>
        </w:tc>
        <w:tc>
          <w:tcPr>
            <w:tcW w:w="400" w:type="pct"/>
            <w:tcBorders>
              <w:top w:val="outset" w:sz="6" w:space="0" w:color="414142"/>
              <w:left w:val="outset" w:sz="6" w:space="0" w:color="414142"/>
              <w:bottom w:val="outset" w:sz="6" w:space="0" w:color="414142"/>
              <w:right w:val="outset" w:sz="6" w:space="0" w:color="414142"/>
            </w:tcBorders>
            <w:hideMark/>
          </w:tcPr>
          <w:p w14:paraId="6F5B486D"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1BF66E38"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LFFC, LANABP, CDPC</w:t>
            </w:r>
          </w:p>
        </w:tc>
        <w:tc>
          <w:tcPr>
            <w:tcW w:w="300" w:type="pct"/>
            <w:tcBorders>
              <w:top w:val="outset" w:sz="6" w:space="0" w:color="414142"/>
              <w:left w:val="outset" w:sz="6" w:space="0" w:color="414142"/>
              <w:bottom w:val="outset" w:sz="6" w:space="0" w:color="414142"/>
              <w:right w:val="outset" w:sz="6" w:space="0" w:color="414142"/>
            </w:tcBorders>
            <w:hideMark/>
          </w:tcPr>
          <w:p w14:paraId="57EF0E1E"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2027</w:t>
            </w:r>
          </w:p>
        </w:tc>
      </w:tr>
      <w:tr w:rsidR="00114699" w:rsidRPr="00504A2B" w14:paraId="4E748931"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0082185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1.7.</w:t>
            </w:r>
          </w:p>
        </w:tc>
        <w:tc>
          <w:tcPr>
            <w:tcW w:w="1250" w:type="pct"/>
            <w:tcBorders>
              <w:top w:val="outset" w:sz="6" w:space="0" w:color="414142"/>
              <w:left w:val="outset" w:sz="6" w:space="0" w:color="414142"/>
              <w:bottom w:val="outset" w:sz="6" w:space="0" w:color="414142"/>
              <w:right w:val="outset" w:sz="6" w:space="0" w:color="414142"/>
            </w:tcBorders>
            <w:hideMark/>
          </w:tcPr>
          <w:p w14:paraId="19EBD18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review, in cooperation with professionals in the field, the requirements of the regulatory framework regarding catering services in educational and medical treatment institutions, in long-term social care and rehabilitation institutions according to the current nutritional recommendations.</w:t>
            </w:r>
          </w:p>
        </w:tc>
        <w:tc>
          <w:tcPr>
            <w:tcW w:w="850" w:type="pct"/>
            <w:tcBorders>
              <w:top w:val="outset" w:sz="6" w:space="0" w:color="414142"/>
              <w:left w:val="outset" w:sz="6" w:space="0" w:color="414142"/>
              <w:bottom w:val="outset" w:sz="6" w:space="0" w:color="414142"/>
              <w:right w:val="outset" w:sz="6" w:space="0" w:color="414142"/>
            </w:tcBorders>
            <w:hideMark/>
          </w:tcPr>
          <w:p w14:paraId="06D172A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Requirements of the regulatory framework regarding catering services in educational, medical treatment, social care, and rehabilitation institutions have been reviewed.</w:t>
            </w:r>
          </w:p>
        </w:tc>
        <w:tc>
          <w:tcPr>
            <w:tcW w:w="1400" w:type="pct"/>
            <w:tcBorders>
              <w:top w:val="outset" w:sz="6" w:space="0" w:color="414142"/>
              <w:left w:val="outset" w:sz="6" w:space="0" w:color="414142"/>
              <w:bottom w:val="outset" w:sz="6" w:space="0" w:color="414142"/>
              <w:right w:val="outset" w:sz="6" w:space="0" w:color="414142"/>
            </w:tcBorders>
            <w:hideMark/>
          </w:tcPr>
          <w:p w14:paraId="2C270F8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current situation has been assessed in cooperation with professionals in the field and, where necessary, amendments to the regulatory framework regarding catering services in educational and medical treatment institutions and in long-term social care and rehabilitation institutions have been prepared according to the current nutritional recommendations and guidance from professionals.</w:t>
            </w:r>
          </w:p>
        </w:tc>
        <w:tc>
          <w:tcPr>
            <w:tcW w:w="400" w:type="pct"/>
            <w:tcBorders>
              <w:top w:val="outset" w:sz="6" w:space="0" w:color="414142"/>
              <w:left w:val="outset" w:sz="6" w:space="0" w:color="414142"/>
              <w:bottom w:val="outset" w:sz="6" w:space="0" w:color="414142"/>
              <w:right w:val="outset" w:sz="6" w:space="0" w:color="414142"/>
            </w:tcBorders>
            <w:hideMark/>
          </w:tcPr>
          <w:p w14:paraId="718C3E84"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2C474F8B"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LADN, LAD, LAN, LPA, LAE, LAC, LAEIC, LULST, MoW, FVS, CDPC, MoA, LFFC, LCCI</w:t>
            </w:r>
          </w:p>
        </w:tc>
        <w:tc>
          <w:tcPr>
            <w:tcW w:w="300" w:type="pct"/>
            <w:tcBorders>
              <w:top w:val="outset" w:sz="6" w:space="0" w:color="414142"/>
              <w:left w:val="outset" w:sz="6" w:space="0" w:color="414142"/>
              <w:bottom w:val="outset" w:sz="6" w:space="0" w:color="414142"/>
              <w:right w:val="outset" w:sz="6" w:space="0" w:color="414142"/>
            </w:tcBorders>
            <w:hideMark/>
          </w:tcPr>
          <w:p w14:paraId="46C353D9"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2027</w:t>
            </w:r>
          </w:p>
        </w:tc>
      </w:tr>
      <w:tr w:rsidR="00114699" w:rsidRPr="00504A2B" w14:paraId="4A3C8FFC"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67C0031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1.8.</w:t>
            </w:r>
          </w:p>
        </w:tc>
        <w:tc>
          <w:tcPr>
            <w:tcW w:w="1250" w:type="pct"/>
            <w:tcBorders>
              <w:top w:val="outset" w:sz="6" w:space="0" w:color="414142"/>
              <w:left w:val="outset" w:sz="6" w:space="0" w:color="414142"/>
              <w:bottom w:val="outset" w:sz="6" w:space="0" w:color="414142"/>
              <w:right w:val="outset" w:sz="6" w:space="0" w:color="414142"/>
            </w:tcBorders>
            <w:hideMark/>
          </w:tcPr>
          <w:p w14:paraId="4C42EDC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develop guidelines for sustainable organisation of school catering that would complement the regulatory framework and clarify the practical aspects of organising the school catering process.</w:t>
            </w:r>
          </w:p>
        </w:tc>
        <w:tc>
          <w:tcPr>
            <w:tcW w:w="850" w:type="pct"/>
            <w:tcBorders>
              <w:top w:val="outset" w:sz="6" w:space="0" w:color="414142"/>
              <w:left w:val="outset" w:sz="6" w:space="0" w:color="414142"/>
              <w:bottom w:val="outset" w:sz="6" w:space="0" w:color="414142"/>
              <w:right w:val="outset" w:sz="6" w:space="0" w:color="414142"/>
            </w:tcBorders>
            <w:hideMark/>
          </w:tcPr>
          <w:p w14:paraId="3EA8F17D"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Awareness among the personnel of educational institutions, providers of catering services, parents, and other stakeholders about the organisation of the school catering process has been raised in order to promote the adoption of healthy dietary habits among children.</w:t>
            </w:r>
          </w:p>
        </w:tc>
        <w:tc>
          <w:tcPr>
            <w:tcW w:w="1400" w:type="pct"/>
            <w:tcBorders>
              <w:top w:val="outset" w:sz="6" w:space="0" w:color="414142"/>
              <w:left w:val="outset" w:sz="6" w:space="0" w:color="414142"/>
              <w:bottom w:val="outset" w:sz="6" w:space="0" w:color="414142"/>
              <w:right w:val="outset" w:sz="6" w:space="0" w:color="414142"/>
            </w:tcBorders>
            <w:hideMark/>
          </w:tcPr>
          <w:p w14:paraId="72452E7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Guidelines for the organisation of school catering have been developed in cooperation with professionals in the field, providing practical recommendations that complement the regulatory framework, clarifying, for instance, the optimal duration of meals for children to be able to eat their lunch without rush, the principles of food serving which provide various options, etc.</w:t>
            </w:r>
          </w:p>
        </w:tc>
        <w:tc>
          <w:tcPr>
            <w:tcW w:w="400" w:type="pct"/>
            <w:tcBorders>
              <w:top w:val="outset" w:sz="6" w:space="0" w:color="414142"/>
              <w:left w:val="outset" w:sz="6" w:space="0" w:color="414142"/>
              <w:bottom w:val="outset" w:sz="6" w:space="0" w:color="414142"/>
              <w:right w:val="outset" w:sz="6" w:space="0" w:color="414142"/>
            </w:tcBorders>
            <w:hideMark/>
          </w:tcPr>
          <w:p w14:paraId="63144DD7"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MoA, LRATC</w:t>
            </w:r>
          </w:p>
        </w:tc>
        <w:tc>
          <w:tcPr>
            <w:tcW w:w="450" w:type="pct"/>
            <w:tcBorders>
              <w:top w:val="outset" w:sz="6" w:space="0" w:color="414142"/>
              <w:left w:val="outset" w:sz="6" w:space="0" w:color="414142"/>
              <w:bottom w:val="outset" w:sz="6" w:space="0" w:color="414142"/>
              <w:right w:val="outset" w:sz="6" w:space="0" w:color="414142"/>
            </w:tcBorders>
            <w:hideMark/>
          </w:tcPr>
          <w:p w14:paraId="1CFB1D61"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CDPC, LAC, LAEIC, LADN, MoSARD, local governments, NGOs</w:t>
            </w:r>
          </w:p>
        </w:tc>
        <w:tc>
          <w:tcPr>
            <w:tcW w:w="300" w:type="pct"/>
            <w:tcBorders>
              <w:top w:val="outset" w:sz="6" w:space="0" w:color="414142"/>
              <w:left w:val="outset" w:sz="6" w:space="0" w:color="414142"/>
              <w:bottom w:val="outset" w:sz="6" w:space="0" w:color="414142"/>
              <w:right w:val="outset" w:sz="6" w:space="0" w:color="414142"/>
            </w:tcBorders>
            <w:hideMark/>
          </w:tcPr>
          <w:p w14:paraId="68A2D7C5"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2026</w:t>
            </w:r>
          </w:p>
        </w:tc>
      </w:tr>
      <w:tr w:rsidR="00114699" w:rsidRPr="00504A2B" w14:paraId="7277021C"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106C943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1.9.</w:t>
            </w:r>
          </w:p>
        </w:tc>
        <w:tc>
          <w:tcPr>
            <w:tcW w:w="1250" w:type="pct"/>
            <w:tcBorders>
              <w:top w:val="outset" w:sz="6" w:space="0" w:color="414142"/>
              <w:left w:val="outset" w:sz="6" w:space="0" w:color="414142"/>
              <w:bottom w:val="outset" w:sz="6" w:space="0" w:color="414142"/>
              <w:right w:val="outset" w:sz="6" w:space="0" w:color="414142"/>
            </w:tcBorders>
            <w:hideMark/>
          </w:tcPr>
          <w:p w14:paraId="307E910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implement measures for food producers within the scope of the Memorandum on Reformulation of Food Products in order to promote the exchange of good practices and improve the engagement of food producers in the reformulation of food products.</w:t>
            </w:r>
          </w:p>
        </w:tc>
        <w:tc>
          <w:tcPr>
            <w:tcW w:w="850" w:type="pct"/>
            <w:tcBorders>
              <w:top w:val="outset" w:sz="6" w:space="0" w:color="414142"/>
              <w:left w:val="outset" w:sz="6" w:space="0" w:color="414142"/>
              <w:bottom w:val="outset" w:sz="6" w:space="0" w:color="414142"/>
              <w:right w:val="outset" w:sz="6" w:space="0" w:color="414142"/>
            </w:tcBorders>
            <w:hideMark/>
          </w:tcPr>
          <w:p w14:paraId="028F1A0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Exchange of experience among food producers and adoption of good practices regarding the reformulation of food products has been promoted, and also access to reformulated food products for the population has been improved.</w:t>
            </w:r>
          </w:p>
        </w:tc>
        <w:tc>
          <w:tcPr>
            <w:tcW w:w="1400" w:type="pct"/>
            <w:tcBorders>
              <w:top w:val="outset" w:sz="6" w:space="0" w:color="414142"/>
              <w:left w:val="outset" w:sz="6" w:space="0" w:color="414142"/>
              <w:bottom w:val="outset" w:sz="6" w:space="0" w:color="414142"/>
              <w:right w:val="outset" w:sz="6" w:space="0" w:color="414142"/>
            </w:tcBorders>
            <w:hideMark/>
          </w:tcPr>
          <w:p w14:paraId="46E65FE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 sustainable approach for the exchange of experience in reformulating food products among food producers has been developed, including through regular measures for food producers to promote the adoption of good practices and engagement of food producers in the reformulation of food products.</w:t>
            </w:r>
          </w:p>
        </w:tc>
        <w:tc>
          <w:tcPr>
            <w:tcW w:w="400" w:type="pct"/>
            <w:tcBorders>
              <w:top w:val="outset" w:sz="6" w:space="0" w:color="414142"/>
              <w:left w:val="outset" w:sz="6" w:space="0" w:color="414142"/>
              <w:bottom w:val="outset" w:sz="6" w:space="0" w:color="414142"/>
              <w:right w:val="outset" w:sz="6" w:space="0" w:color="414142"/>
            </w:tcBorders>
            <w:hideMark/>
          </w:tcPr>
          <w:p w14:paraId="0EF8EC59"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7E8FBFE3"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LFFC, LCCI, MoA, LADN</w:t>
            </w:r>
          </w:p>
        </w:tc>
        <w:tc>
          <w:tcPr>
            <w:tcW w:w="300" w:type="pct"/>
            <w:tcBorders>
              <w:top w:val="outset" w:sz="6" w:space="0" w:color="414142"/>
              <w:left w:val="outset" w:sz="6" w:space="0" w:color="414142"/>
              <w:bottom w:val="outset" w:sz="6" w:space="0" w:color="414142"/>
              <w:right w:val="outset" w:sz="6" w:space="0" w:color="414142"/>
            </w:tcBorders>
            <w:hideMark/>
          </w:tcPr>
          <w:p w14:paraId="6BC15216"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On a continuous basis</w:t>
            </w:r>
          </w:p>
        </w:tc>
      </w:tr>
      <w:tr w:rsidR="00114699" w:rsidRPr="00504A2B" w14:paraId="6FEFC547"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A98F09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1.10.</w:t>
            </w:r>
          </w:p>
        </w:tc>
        <w:tc>
          <w:tcPr>
            <w:tcW w:w="1250" w:type="pct"/>
            <w:tcBorders>
              <w:top w:val="outset" w:sz="6" w:space="0" w:color="414142"/>
              <w:left w:val="outset" w:sz="6" w:space="0" w:color="414142"/>
              <w:bottom w:val="outset" w:sz="6" w:space="0" w:color="414142"/>
              <w:right w:val="outset" w:sz="6" w:space="0" w:color="414142"/>
            </w:tcBorders>
            <w:hideMark/>
          </w:tcPr>
          <w:p w14:paraId="3851E961"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organise training for healthcare professionals on promoting breastfeeding, with a particular focus on the role of midwives in working with pregnant women at the primary care level.</w:t>
            </w:r>
          </w:p>
        </w:tc>
        <w:tc>
          <w:tcPr>
            <w:tcW w:w="850" w:type="pct"/>
            <w:tcBorders>
              <w:top w:val="outset" w:sz="6" w:space="0" w:color="414142"/>
              <w:left w:val="outset" w:sz="6" w:space="0" w:color="414142"/>
              <w:bottom w:val="outset" w:sz="6" w:space="0" w:color="414142"/>
              <w:right w:val="outset" w:sz="6" w:space="0" w:color="414142"/>
            </w:tcBorders>
            <w:hideMark/>
          </w:tcPr>
          <w:p w14:paraId="39730DF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Knowledge and skills of healthcare professionals in promoting breastfeeding have been enhanced.</w:t>
            </w:r>
          </w:p>
        </w:tc>
        <w:tc>
          <w:tcPr>
            <w:tcW w:w="1400" w:type="pct"/>
            <w:tcBorders>
              <w:top w:val="outset" w:sz="6" w:space="0" w:color="414142"/>
              <w:left w:val="outset" w:sz="6" w:space="0" w:color="414142"/>
              <w:bottom w:val="outset" w:sz="6" w:space="0" w:color="414142"/>
              <w:right w:val="outset" w:sz="6" w:space="0" w:color="414142"/>
            </w:tcBorders>
            <w:hideMark/>
          </w:tcPr>
          <w:p w14:paraId="0DECCEB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one training course for healthcare professionals on promoting breastfeeding has been implemented.</w:t>
            </w:r>
          </w:p>
        </w:tc>
        <w:tc>
          <w:tcPr>
            <w:tcW w:w="400" w:type="pct"/>
            <w:tcBorders>
              <w:top w:val="outset" w:sz="6" w:space="0" w:color="414142"/>
              <w:left w:val="outset" w:sz="6" w:space="0" w:color="414142"/>
              <w:bottom w:val="outset" w:sz="6" w:space="0" w:color="414142"/>
              <w:right w:val="outset" w:sz="6" w:space="0" w:color="414142"/>
            </w:tcBorders>
            <w:hideMark/>
          </w:tcPr>
          <w:p w14:paraId="50C355F0"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70C4C402"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LMA, LAGO</w:t>
            </w:r>
          </w:p>
        </w:tc>
        <w:tc>
          <w:tcPr>
            <w:tcW w:w="300" w:type="pct"/>
            <w:tcBorders>
              <w:top w:val="outset" w:sz="6" w:space="0" w:color="414142"/>
              <w:left w:val="outset" w:sz="6" w:space="0" w:color="414142"/>
              <w:bottom w:val="outset" w:sz="6" w:space="0" w:color="414142"/>
              <w:right w:val="outset" w:sz="6" w:space="0" w:color="414142"/>
            </w:tcBorders>
            <w:hideMark/>
          </w:tcPr>
          <w:p w14:paraId="47A0692D"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2029</w:t>
            </w:r>
          </w:p>
        </w:tc>
      </w:tr>
      <w:tr w:rsidR="00114699" w:rsidRPr="00504A2B" w14:paraId="6E7BB215"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C701E2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1.11.</w:t>
            </w:r>
          </w:p>
        </w:tc>
        <w:tc>
          <w:tcPr>
            <w:tcW w:w="1250" w:type="pct"/>
            <w:tcBorders>
              <w:top w:val="outset" w:sz="6" w:space="0" w:color="414142"/>
              <w:left w:val="outset" w:sz="6" w:space="0" w:color="414142"/>
              <w:bottom w:val="outset" w:sz="6" w:space="0" w:color="414142"/>
              <w:right w:val="outset" w:sz="6" w:space="0" w:color="414142"/>
            </w:tcBorders>
            <w:hideMark/>
          </w:tcPr>
          <w:p w14:paraId="544133E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develop recommendations for medical practitioners on suggesting physical activity adapted to learners in case of long-term health issues in order to ensure optimal participation in sports classes and to prevent the current practice of issuing exemptions from participation in “Sports and Health” classes.</w:t>
            </w:r>
          </w:p>
        </w:tc>
        <w:tc>
          <w:tcPr>
            <w:tcW w:w="850" w:type="pct"/>
            <w:tcBorders>
              <w:top w:val="outset" w:sz="6" w:space="0" w:color="414142"/>
              <w:left w:val="outset" w:sz="6" w:space="0" w:color="414142"/>
              <w:bottom w:val="outset" w:sz="6" w:space="0" w:color="414142"/>
              <w:right w:val="outset" w:sz="6" w:space="0" w:color="414142"/>
            </w:tcBorders>
            <w:hideMark/>
          </w:tcPr>
          <w:p w14:paraId="6471032D"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Knowledge and skills of medical practitioners in providing recommendations on the participation of learners in “Sports and Health” classes have been enhanced, thereby ensuring optimal engagement in physical activity according to the health status in case of long-term health issues.</w:t>
            </w:r>
          </w:p>
        </w:tc>
        <w:tc>
          <w:tcPr>
            <w:tcW w:w="1400" w:type="pct"/>
            <w:tcBorders>
              <w:top w:val="outset" w:sz="6" w:space="0" w:color="414142"/>
              <w:left w:val="outset" w:sz="6" w:space="0" w:color="414142"/>
              <w:bottom w:val="outset" w:sz="6" w:space="0" w:color="414142"/>
              <w:right w:val="outset" w:sz="6" w:space="0" w:color="414142"/>
            </w:tcBorders>
            <w:hideMark/>
          </w:tcPr>
          <w:p w14:paraId="5E93C28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Recommendations for medical practitioners on suggesting physical activity adapted to learners have been developed, specifying the appropriate types and amount of physical activity in case of long-term health issues in order to ensure participation in “Sports and Health” classes according to the health status and capabilities.</w:t>
            </w:r>
          </w:p>
        </w:tc>
        <w:tc>
          <w:tcPr>
            <w:tcW w:w="400" w:type="pct"/>
            <w:tcBorders>
              <w:top w:val="outset" w:sz="6" w:space="0" w:color="414142"/>
              <w:left w:val="outset" w:sz="6" w:space="0" w:color="414142"/>
              <w:bottom w:val="outset" w:sz="6" w:space="0" w:color="414142"/>
              <w:right w:val="outset" w:sz="6" w:space="0" w:color="414142"/>
            </w:tcBorders>
            <w:hideMark/>
          </w:tcPr>
          <w:p w14:paraId="659A34BE"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67E6415A"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Latvian Association of Sports Teachers, LSMA, LAFP, LARFP, LMA, LFA, LPA, MoES, SEDA</w:t>
            </w:r>
          </w:p>
        </w:tc>
        <w:tc>
          <w:tcPr>
            <w:tcW w:w="300" w:type="pct"/>
            <w:tcBorders>
              <w:top w:val="outset" w:sz="6" w:space="0" w:color="414142"/>
              <w:left w:val="outset" w:sz="6" w:space="0" w:color="414142"/>
              <w:bottom w:val="outset" w:sz="6" w:space="0" w:color="414142"/>
              <w:right w:val="outset" w:sz="6" w:space="0" w:color="414142"/>
            </w:tcBorders>
            <w:hideMark/>
          </w:tcPr>
          <w:p w14:paraId="0765FBDB"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2026</w:t>
            </w:r>
          </w:p>
        </w:tc>
      </w:tr>
      <w:tr w:rsidR="00114699" w:rsidRPr="00504A2B" w14:paraId="7E703F56"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1A6BD24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1.12.</w:t>
            </w:r>
          </w:p>
        </w:tc>
        <w:tc>
          <w:tcPr>
            <w:tcW w:w="1250" w:type="pct"/>
            <w:tcBorders>
              <w:top w:val="outset" w:sz="6" w:space="0" w:color="414142"/>
              <w:left w:val="outset" w:sz="6" w:space="0" w:color="414142"/>
              <w:bottom w:val="outset" w:sz="6" w:space="0" w:color="414142"/>
              <w:right w:val="outset" w:sz="6" w:space="0" w:color="414142"/>
            </w:tcBorders>
            <w:hideMark/>
          </w:tcPr>
          <w:p w14:paraId="356FCBC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To implement measures for different target groups, promoting the change of </w:t>
            </w:r>
            <w:r>
              <w:rPr>
                <w:rFonts w:ascii="Times New Roman" w:hAnsi="Times New Roman"/>
                <w:sz w:val="22"/>
              </w:rPr>
              <w:lastRenderedPageBreak/>
              <w:t>habits and more active engagement in physical activity.</w:t>
            </w:r>
          </w:p>
        </w:tc>
        <w:tc>
          <w:tcPr>
            <w:tcW w:w="850" w:type="pct"/>
            <w:tcBorders>
              <w:top w:val="outset" w:sz="6" w:space="0" w:color="414142"/>
              <w:left w:val="outset" w:sz="6" w:space="0" w:color="414142"/>
              <w:bottom w:val="outset" w:sz="6" w:space="0" w:color="414142"/>
              <w:right w:val="outset" w:sz="6" w:space="0" w:color="414142"/>
            </w:tcBorders>
            <w:hideMark/>
          </w:tcPr>
          <w:p w14:paraId="1CE9A28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The change of physical activity habits has been promoted, including across </w:t>
            </w:r>
            <w:r>
              <w:rPr>
                <w:rFonts w:ascii="Times New Roman" w:hAnsi="Times New Roman"/>
                <w:sz w:val="22"/>
              </w:rPr>
              <w:lastRenderedPageBreak/>
              <w:t>specific target groups.</w:t>
            </w:r>
          </w:p>
        </w:tc>
        <w:tc>
          <w:tcPr>
            <w:tcW w:w="1400" w:type="pct"/>
            <w:tcBorders>
              <w:top w:val="outset" w:sz="6" w:space="0" w:color="414142"/>
              <w:left w:val="outset" w:sz="6" w:space="0" w:color="414142"/>
              <w:bottom w:val="outset" w:sz="6" w:space="0" w:color="414142"/>
              <w:right w:val="outset" w:sz="6" w:space="0" w:color="414142"/>
            </w:tcBorders>
            <w:hideMark/>
          </w:tcPr>
          <w:p w14:paraId="4A0C097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At least 10 measures for different target groups have been implemented, </w:t>
            </w:r>
            <w:r>
              <w:rPr>
                <w:rFonts w:ascii="Times New Roman" w:hAnsi="Times New Roman"/>
                <w:sz w:val="22"/>
              </w:rPr>
              <w:lastRenderedPageBreak/>
              <w:t>ensuring the publicity and accessibility of the prepared materials.</w:t>
            </w:r>
          </w:p>
        </w:tc>
        <w:tc>
          <w:tcPr>
            <w:tcW w:w="400" w:type="pct"/>
            <w:tcBorders>
              <w:top w:val="outset" w:sz="6" w:space="0" w:color="414142"/>
              <w:left w:val="outset" w:sz="6" w:space="0" w:color="414142"/>
              <w:bottom w:val="outset" w:sz="6" w:space="0" w:color="414142"/>
              <w:right w:val="outset" w:sz="6" w:space="0" w:color="414142"/>
            </w:tcBorders>
            <w:hideMark/>
          </w:tcPr>
          <w:p w14:paraId="4AD371C5"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lastRenderedPageBreak/>
              <w:t>MoH, CDPC</w:t>
            </w:r>
          </w:p>
        </w:tc>
        <w:tc>
          <w:tcPr>
            <w:tcW w:w="450" w:type="pct"/>
            <w:tcBorders>
              <w:top w:val="outset" w:sz="6" w:space="0" w:color="414142"/>
              <w:left w:val="outset" w:sz="6" w:space="0" w:color="414142"/>
              <w:bottom w:val="outset" w:sz="6" w:space="0" w:color="414142"/>
              <w:right w:val="outset" w:sz="6" w:space="0" w:color="414142"/>
            </w:tcBorders>
            <w:hideMark/>
          </w:tcPr>
          <w:p w14:paraId="2CC0691C"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 xml:space="preserve">LFA, LHFA, LSFC, NNHLG coordinators, </w:t>
            </w:r>
            <w:r>
              <w:rPr>
                <w:rFonts w:ascii="Times New Roman" w:hAnsi="Times New Roman"/>
                <w:sz w:val="22"/>
              </w:rPr>
              <w:lastRenderedPageBreak/>
              <w:t>local governments</w:t>
            </w:r>
          </w:p>
        </w:tc>
        <w:tc>
          <w:tcPr>
            <w:tcW w:w="300" w:type="pct"/>
            <w:tcBorders>
              <w:top w:val="outset" w:sz="6" w:space="0" w:color="414142"/>
              <w:left w:val="outset" w:sz="6" w:space="0" w:color="414142"/>
              <w:bottom w:val="outset" w:sz="6" w:space="0" w:color="414142"/>
              <w:right w:val="outset" w:sz="6" w:space="0" w:color="414142"/>
            </w:tcBorders>
            <w:hideMark/>
          </w:tcPr>
          <w:p w14:paraId="6C8D2924"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lastRenderedPageBreak/>
              <w:t>1</w:t>
            </w:r>
            <w:r>
              <w:rPr>
                <w:rFonts w:ascii="Times New Roman" w:hAnsi="Times New Roman"/>
                <w:sz w:val="22"/>
                <w:vertAlign w:val="superscript"/>
              </w:rPr>
              <w:t>st</w:t>
            </w:r>
            <w:r>
              <w:rPr>
                <w:rFonts w:ascii="Times New Roman" w:hAnsi="Times New Roman"/>
                <w:sz w:val="22"/>
              </w:rPr>
              <w:t xml:space="preserve"> half of 2029</w:t>
            </w:r>
          </w:p>
        </w:tc>
      </w:tr>
      <w:tr w:rsidR="00114699" w:rsidRPr="00504A2B" w14:paraId="1D879A4D"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333AD0C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1.13.</w:t>
            </w:r>
          </w:p>
        </w:tc>
        <w:tc>
          <w:tcPr>
            <w:tcW w:w="1250" w:type="pct"/>
            <w:tcBorders>
              <w:top w:val="outset" w:sz="6" w:space="0" w:color="414142"/>
              <w:left w:val="outset" w:sz="6" w:space="0" w:color="414142"/>
              <w:bottom w:val="outset" w:sz="6" w:space="0" w:color="414142"/>
              <w:right w:val="outset" w:sz="6" w:space="0" w:color="414142"/>
            </w:tcBorders>
            <w:hideMark/>
          </w:tcPr>
          <w:p w14:paraId="7268835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implement, in cooperation with professional associations of medical practitioners, measures aimed at encouraging individuals to engage in physical activity for health promotion purposes.</w:t>
            </w:r>
          </w:p>
        </w:tc>
        <w:tc>
          <w:tcPr>
            <w:tcW w:w="850" w:type="pct"/>
            <w:tcBorders>
              <w:top w:val="outset" w:sz="6" w:space="0" w:color="414142"/>
              <w:left w:val="outset" w:sz="6" w:space="0" w:color="414142"/>
              <w:bottom w:val="outset" w:sz="6" w:space="0" w:color="414142"/>
              <w:right w:val="outset" w:sz="6" w:space="0" w:color="414142"/>
            </w:tcBorders>
            <w:hideMark/>
          </w:tcPr>
          <w:p w14:paraId="2E827B2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population is more motivated to engage in physical activity for health promotion purposes.</w:t>
            </w:r>
          </w:p>
        </w:tc>
        <w:tc>
          <w:tcPr>
            <w:tcW w:w="1400" w:type="pct"/>
            <w:tcBorders>
              <w:top w:val="outset" w:sz="6" w:space="0" w:color="414142"/>
              <w:left w:val="outset" w:sz="6" w:space="0" w:color="414142"/>
              <w:bottom w:val="outset" w:sz="6" w:space="0" w:color="414142"/>
              <w:right w:val="outset" w:sz="6" w:space="0" w:color="414142"/>
            </w:tcBorders>
            <w:hideMark/>
          </w:tcPr>
          <w:p w14:paraId="5EBBD1B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five measures have been implemented during which publicly recognised professionals encourage the population to engage in physical activity that involves running, hiking, exercising, etc.</w:t>
            </w:r>
          </w:p>
        </w:tc>
        <w:tc>
          <w:tcPr>
            <w:tcW w:w="400" w:type="pct"/>
            <w:tcBorders>
              <w:top w:val="outset" w:sz="6" w:space="0" w:color="414142"/>
              <w:left w:val="outset" w:sz="6" w:space="0" w:color="414142"/>
              <w:bottom w:val="outset" w:sz="6" w:space="0" w:color="414142"/>
              <w:right w:val="outset" w:sz="6" w:space="0" w:color="414142"/>
            </w:tcBorders>
            <w:hideMark/>
          </w:tcPr>
          <w:p w14:paraId="666898E4"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55BE4D00"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Local governments, LMA, LARFP, LAFP</w:t>
            </w:r>
          </w:p>
        </w:tc>
        <w:tc>
          <w:tcPr>
            <w:tcW w:w="300" w:type="pct"/>
            <w:tcBorders>
              <w:top w:val="outset" w:sz="6" w:space="0" w:color="414142"/>
              <w:left w:val="outset" w:sz="6" w:space="0" w:color="414142"/>
              <w:bottom w:val="outset" w:sz="6" w:space="0" w:color="414142"/>
              <w:right w:val="outset" w:sz="6" w:space="0" w:color="414142"/>
            </w:tcBorders>
            <w:hideMark/>
          </w:tcPr>
          <w:p w14:paraId="009CE19B"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72E7F25A"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76374F2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1.14.</w:t>
            </w:r>
          </w:p>
        </w:tc>
        <w:tc>
          <w:tcPr>
            <w:tcW w:w="1250" w:type="pct"/>
            <w:tcBorders>
              <w:top w:val="outset" w:sz="6" w:space="0" w:color="414142"/>
              <w:left w:val="outset" w:sz="6" w:space="0" w:color="414142"/>
              <w:bottom w:val="outset" w:sz="6" w:space="0" w:color="414142"/>
              <w:right w:val="outset" w:sz="6" w:space="0" w:color="414142"/>
            </w:tcBorders>
            <w:hideMark/>
          </w:tcPr>
          <w:p w14:paraId="42E4153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encourage more active engagement of sports clubs in promoting physical activity across different target groups by developing recommendations on the creation and implementation of health-promoting physical activities for different target groups (e.g., seniors, pregnant women, and children) and by implementing measures aimed at fostering the exchange of good practices and the enhancement of knowledge and skills.</w:t>
            </w:r>
          </w:p>
        </w:tc>
        <w:tc>
          <w:tcPr>
            <w:tcW w:w="850" w:type="pct"/>
            <w:tcBorders>
              <w:top w:val="outset" w:sz="6" w:space="0" w:color="414142"/>
              <w:left w:val="outset" w:sz="6" w:space="0" w:color="414142"/>
              <w:bottom w:val="outset" w:sz="6" w:space="0" w:color="414142"/>
              <w:right w:val="outset" w:sz="6" w:space="0" w:color="414142"/>
            </w:tcBorders>
            <w:hideMark/>
          </w:tcPr>
          <w:p w14:paraId="430FE92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Support and opportunities for the exchange of experience and enhancement of skills have been provided to sports clubs for the creation, implementation, and promotion of health-promoting physical activities across different target groups.</w:t>
            </w:r>
          </w:p>
        </w:tc>
        <w:tc>
          <w:tcPr>
            <w:tcW w:w="1400" w:type="pct"/>
            <w:tcBorders>
              <w:top w:val="outset" w:sz="6" w:space="0" w:color="414142"/>
              <w:left w:val="outset" w:sz="6" w:space="0" w:color="414142"/>
              <w:bottom w:val="outset" w:sz="6" w:space="0" w:color="414142"/>
              <w:right w:val="outset" w:sz="6" w:space="0" w:color="414142"/>
            </w:tcBorders>
            <w:hideMark/>
          </w:tcPr>
          <w:p w14:paraId="547154A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Recommendations for sports clubs regarding the creation of health-promoting physical activities for different target groups have been developed.</w:t>
            </w:r>
          </w:p>
          <w:p w14:paraId="1AC8E3A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Access to recommendations and their dissemination to sports clubs has been ensured.</w:t>
            </w:r>
          </w:p>
          <w:p w14:paraId="27D17F5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An activity for sports club representatives has been implemented by bringing together professionals for the mutual exchange of experience and enhancement of skills in public health promotion.</w:t>
            </w:r>
          </w:p>
        </w:tc>
        <w:tc>
          <w:tcPr>
            <w:tcW w:w="400" w:type="pct"/>
            <w:tcBorders>
              <w:top w:val="outset" w:sz="6" w:space="0" w:color="414142"/>
              <w:left w:val="outset" w:sz="6" w:space="0" w:color="414142"/>
              <w:bottom w:val="outset" w:sz="6" w:space="0" w:color="414142"/>
              <w:right w:val="outset" w:sz="6" w:space="0" w:color="414142"/>
            </w:tcBorders>
            <w:hideMark/>
          </w:tcPr>
          <w:p w14:paraId="2B0EFD01"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LAB, CDPC</w:t>
            </w:r>
          </w:p>
        </w:tc>
        <w:tc>
          <w:tcPr>
            <w:tcW w:w="450" w:type="pct"/>
            <w:tcBorders>
              <w:top w:val="outset" w:sz="6" w:space="0" w:color="414142"/>
              <w:left w:val="outset" w:sz="6" w:space="0" w:color="414142"/>
              <w:bottom w:val="outset" w:sz="6" w:space="0" w:color="414142"/>
              <w:right w:val="outset" w:sz="6" w:space="0" w:color="414142"/>
            </w:tcBorders>
            <w:hideMark/>
          </w:tcPr>
          <w:p w14:paraId="790CE561"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RSU, LHFA, LSFC, MoES</w:t>
            </w:r>
          </w:p>
        </w:tc>
        <w:tc>
          <w:tcPr>
            <w:tcW w:w="300" w:type="pct"/>
            <w:tcBorders>
              <w:top w:val="outset" w:sz="6" w:space="0" w:color="414142"/>
              <w:left w:val="outset" w:sz="6" w:space="0" w:color="414142"/>
              <w:bottom w:val="outset" w:sz="6" w:space="0" w:color="414142"/>
              <w:right w:val="outset" w:sz="6" w:space="0" w:color="414142"/>
            </w:tcBorders>
            <w:hideMark/>
          </w:tcPr>
          <w:p w14:paraId="7EC8A828"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2029</w:t>
            </w:r>
          </w:p>
        </w:tc>
      </w:tr>
      <w:tr w:rsidR="00114699" w:rsidRPr="00504A2B" w14:paraId="7671E4B9"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47494F3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1.15.</w:t>
            </w:r>
          </w:p>
        </w:tc>
        <w:tc>
          <w:tcPr>
            <w:tcW w:w="1250" w:type="pct"/>
            <w:tcBorders>
              <w:top w:val="outset" w:sz="6" w:space="0" w:color="414142"/>
              <w:left w:val="outset" w:sz="6" w:space="0" w:color="414142"/>
              <w:bottom w:val="outset" w:sz="6" w:space="0" w:color="414142"/>
              <w:right w:val="outset" w:sz="6" w:space="0" w:color="414142"/>
            </w:tcBorders>
            <w:hideMark/>
          </w:tcPr>
          <w:p w14:paraId="6271002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identify, in cooperation with local governments, access to physical activities offered by sports organisations to the population in regions.</w:t>
            </w:r>
          </w:p>
        </w:tc>
        <w:tc>
          <w:tcPr>
            <w:tcW w:w="850" w:type="pct"/>
            <w:tcBorders>
              <w:top w:val="outset" w:sz="6" w:space="0" w:color="414142"/>
              <w:left w:val="outset" w:sz="6" w:space="0" w:color="414142"/>
              <w:bottom w:val="outset" w:sz="6" w:space="0" w:color="414142"/>
              <w:right w:val="outset" w:sz="6" w:space="0" w:color="414142"/>
            </w:tcBorders>
            <w:hideMark/>
          </w:tcPr>
          <w:p w14:paraId="24204FE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Opportunities offered by sports organisations have been identified, thereby fostering cooperation with local governments to improve access to physical </w:t>
            </w:r>
            <w:r>
              <w:rPr>
                <w:rFonts w:ascii="Times New Roman" w:hAnsi="Times New Roman"/>
                <w:sz w:val="22"/>
              </w:rPr>
              <w:lastRenderedPageBreak/>
              <w:t>activities in regions.</w:t>
            </w:r>
          </w:p>
        </w:tc>
        <w:tc>
          <w:tcPr>
            <w:tcW w:w="1400" w:type="pct"/>
            <w:tcBorders>
              <w:top w:val="outset" w:sz="6" w:space="0" w:color="414142"/>
              <w:left w:val="outset" w:sz="6" w:space="0" w:color="414142"/>
              <w:bottom w:val="outset" w:sz="6" w:space="0" w:color="414142"/>
              <w:right w:val="outset" w:sz="6" w:space="0" w:color="414142"/>
            </w:tcBorders>
            <w:hideMark/>
          </w:tcPr>
          <w:p w14:paraId="06A557E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The regional coverage of sports organisations has been identified and assessed, and information on physical activities offered thereby in local governments has been compiled to develop </w:t>
            </w:r>
            <w:r>
              <w:rPr>
                <w:rFonts w:ascii="Times New Roman" w:hAnsi="Times New Roman"/>
                <w:sz w:val="22"/>
              </w:rPr>
              <w:lastRenderedPageBreak/>
              <w:t>interaction between sports organisations and cooperation with local governments, to promote the exchange of good practices, and to improve access to physical activities for the population.</w:t>
            </w:r>
          </w:p>
        </w:tc>
        <w:tc>
          <w:tcPr>
            <w:tcW w:w="400" w:type="pct"/>
            <w:tcBorders>
              <w:top w:val="outset" w:sz="6" w:space="0" w:color="414142"/>
              <w:left w:val="outset" w:sz="6" w:space="0" w:color="414142"/>
              <w:bottom w:val="outset" w:sz="6" w:space="0" w:color="414142"/>
              <w:right w:val="outset" w:sz="6" w:space="0" w:color="414142"/>
            </w:tcBorders>
            <w:hideMark/>
          </w:tcPr>
          <w:p w14:paraId="102A5213"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lastRenderedPageBreak/>
              <w:t>CDPC, MoH</w:t>
            </w:r>
          </w:p>
        </w:tc>
        <w:tc>
          <w:tcPr>
            <w:tcW w:w="450" w:type="pct"/>
            <w:tcBorders>
              <w:top w:val="outset" w:sz="6" w:space="0" w:color="414142"/>
              <w:left w:val="outset" w:sz="6" w:space="0" w:color="414142"/>
              <w:bottom w:val="outset" w:sz="6" w:space="0" w:color="414142"/>
              <w:right w:val="outset" w:sz="6" w:space="0" w:color="414142"/>
            </w:tcBorders>
            <w:hideMark/>
          </w:tcPr>
          <w:p w14:paraId="429B60DE"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LSAA, LHFA, LSFC, MoES</w:t>
            </w:r>
          </w:p>
        </w:tc>
        <w:tc>
          <w:tcPr>
            <w:tcW w:w="300" w:type="pct"/>
            <w:tcBorders>
              <w:top w:val="outset" w:sz="6" w:space="0" w:color="414142"/>
              <w:left w:val="outset" w:sz="6" w:space="0" w:color="414142"/>
              <w:bottom w:val="outset" w:sz="6" w:space="0" w:color="414142"/>
              <w:right w:val="outset" w:sz="6" w:space="0" w:color="414142"/>
            </w:tcBorders>
            <w:hideMark/>
          </w:tcPr>
          <w:p w14:paraId="5DE006CE"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2029</w:t>
            </w:r>
          </w:p>
        </w:tc>
      </w:tr>
      <w:tr w:rsidR="00114699" w:rsidRPr="00504A2B" w14:paraId="125EE86B"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0A608FE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1.16.</w:t>
            </w:r>
          </w:p>
        </w:tc>
        <w:tc>
          <w:tcPr>
            <w:tcW w:w="1250" w:type="pct"/>
            <w:tcBorders>
              <w:top w:val="outset" w:sz="6" w:space="0" w:color="414142"/>
              <w:left w:val="outset" w:sz="6" w:space="0" w:color="414142"/>
              <w:bottom w:val="outset" w:sz="6" w:space="0" w:color="414142"/>
              <w:right w:val="outset" w:sz="6" w:space="0" w:color="414142"/>
            </w:tcBorders>
            <w:hideMark/>
          </w:tcPr>
          <w:p w14:paraId="357CA28D"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develop the “Health Routes” initiative by encouraging the creation of new routes in different locations across Latvia, and also promoting existing activity opportunities.</w:t>
            </w:r>
          </w:p>
        </w:tc>
        <w:tc>
          <w:tcPr>
            <w:tcW w:w="850" w:type="pct"/>
            <w:tcBorders>
              <w:top w:val="outset" w:sz="6" w:space="0" w:color="414142"/>
              <w:left w:val="outset" w:sz="6" w:space="0" w:color="414142"/>
              <w:bottom w:val="outset" w:sz="6" w:space="0" w:color="414142"/>
              <w:right w:val="outset" w:sz="6" w:space="0" w:color="414142"/>
            </w:tcBorders>
            <w:hideMark/>
          </w:tcPr>
          <w:p w14:paraId="0974BFB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Active leisure and physical activity opportunities have been promoted in local governments among the Latvian population.</w:t>
            </w:r>
          </w:p>
        </w:tc>
        <w:tc>
          <w:tcPr>
            <w:tcW w:w="1400" w:type="pct"/>
            <w:tcBorders>
              <w:top w:val="outset" w:sz="6" w:space="0" w:color="414142"/>
              <w:left w:val="outset" w:sz="6" w:space="0" w:color="414142"/>
              <w:bottom w:val="outset" w:sz="6" w:space="0" w:color="414142"/>
              <w:right w:val="outset" w:sz="6" w:space="0" w:color="414142"/>
            </w:tcBorders>
            <w:hideMark/>
          </w:tcPr>
          <w:p w14:paraId="5EEB5D5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five activities have been implemented to encourage local governments to create new “Health Routes” in different locations across Latvia.</w:t>
            </w:r>
          </w:p>
          <w:p w14:paraId="0668C39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Activities have been implemented during which individuals were encouraged to visit most of the routes within a specific period of time.</w:t>
            </w:r>
          </w:p>
          <w:p w14:paraId="7C249B1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NNHLG and NNHPS coordinators were informed about the “Health Routes” and related activities.</w:t>
            </w:r>
          </w:p>
        </w:tc>
        <w:tc>
          <w:tcPr>
            <w:tcW w:w="400" w:type="pct"/>
            <w:tcBorders>
              <w:top w:val="outset" w:sz="6" w:space="0" w:color="414142"/>
              <w:left w:val="outset" w:sz="6" w:space="0" w:color="414142"/>
              <w:bottom w:val="outset" w:sz="6" w:space="0" w:color="414142"/>
              <w:right w:val="outset" w:sz="6" w:space="0" w:color="414142"/>
            </w:tcBorders>
            <w:hideMark/>
          </w:tcPr>
          <w:p w14:paraId="235FEC99"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320478A2"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Local governments, LSFC</w:t>
            </w:r>
          </w:p>
        </w:tc>
        <w:tc>
          <w:tcPr>
            <w:tcW w:w="300" w:type="pct"/>
            <w:tcBorders>
              <w:top w:val="outset" w:sz="6" w:space="0" w:color="414142"/>
              <w:left w:val="outset" w:sz="6" w:space="0" w:color="414142"/>
              <w:bottom w:val="outset" w:sz="6" w:space="0" w:color="414142"/>
              <w:right w:val="outset" w:sz="6" w:space="0" w:color="414142"/>
            </w:tcBorders>
            <w:hideMark/>
          </w:tcPr>
          <w:p w14:paraId="7094AA87"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2029</w:t>
            </w:r>
          </w:p>
        </w:tc>
      </w:tr>
      <w:tr w:rsidR="00114699" w:rsidRPr="00504A2B" w14:paraId="1949A143"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E070F9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1.17.</w:t>
            </w:r>
          </w:p>
        </w:tc>
        <w:tc>
          <w:tcPr>
            <w:tcW w:w="1250" w:type="pct"/>
            <w:tcBorders>
              <w:top w:val="outset" w:sz="6" w:space="0" w:color="414142"/>
              <w:left w:val="outset" w:sz="6" w:space="0" w:color="414142"/>
              <w:bottom w:val="outset" w:sz="6" w:space="0" w:color="414142"/>
              <w:right w:val="outset" w:sz="6" w:space="0" w:color="414142"/>
            </w:tcBorders>
            <w:hideMark/>
          </w:tcPr>
          <w:p w14:paraId="4FEDC89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promote more active engagement of the population in physical activities offered by local governments by identifying the needs of individuals and purposefully directing funding for the promotion of physical activity in the local community.</w:t>
            </w:r>
          </w:p>
        </w:tc>
        <w:tc>
          <w:tcPr>
            <w:tcW w:w="850" w:type="pct"/>
            <w:tcBorders>
              <w:top w:val="outset" w:sz="6" w:space="0" w:color="414142"/>
              <w:left w:val="outset" w:sz="6" w:space="0" w:color="414142"/>
              <w:bottom w:val="outset" w:sz="6" w:space="0" w:color="414142"/>
              <w:right w:val="outset" w:sz="6" w:space="0" w:color="414142"/>
            </w:tcBorders>
            <w:hideMark/>
          </w:tcPr>
          <w:p w14:paraId="7035B75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Measures for the engagement of the local community in physical activity have been implemented in a more targeted manner.</w:t>
            </w:r>
          </w:p>
        </w:tc>
        <w:tc>
          <w:tcPr>
            <w:tcW w:w="1400" w:type="pct"/>
            <w:tcBorders>
              <w:top w:val="outset" w:sz="6" w:space="0" w:color="414142"/>
              <w:left w:val="outset" w:sz="6" w:space="0" w:color="414142"/>
              <w:bottom w:val="outset" w:sz="6" w:space="0" w:color="414142"/>
              <w:right w:val="outset" w:sz="6" w:space="0" w:color="414142"/>
            </w:tcBorders>
            <w:hideMark/>
          </w:tcPr>
          <w:p w14:paraId="57C7D7C1"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needs of the population of local governments regarding physical activity across different target groups have been assessed.</w:t>
            </w:r>
          </w:p>
          <w:p w14:paraId="28ACDBD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Information on the engagement of the population in physical activity has been compiled, identifying the reasons for failure to engage and possible solutions.</w:t>
            </w:r>
          </w:p>
          <w:p w14:paraId="0A7B4B1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Methodological support has been provided to local governments for the </w:t>
            </w:r>
            <w:r>
              <w:rPr>
                <w:rFonts w:ascii="Times New Roman" w:hAnsi="Times New Roman"/>
                <w:sz w:val="22"/>
              </w:rPr>
              <w:lastRenderedPageBreak/>
              <w:t>promotion of opportunities for physical activity among the population.</w:t>
            </w:r>
          </w:p>
        </w:tc>
        <w:tc>
          <w:tcPr>
            <w:tcW w:w="400" w:type="pct"/>
            <w:tcBorders>
              <w:top w:val="outset" w:sz="6" w:space="0" w:color="414142"/>
              <w:left w:val="outset" w:sz="6" w:space="0" w:color="414142"/>
              <w:bottom w:val="outset" w:sz="6" w:space="0" w:color="414142"/>
              <w:right w:val="outset" w:sz="6" w:space="0" w:color="414142"/>
            </w:tcBorders>
            <w:hideMark/>
          </w:tcPr>
          <w:p w14:paraId="36FD2FE3"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lastRenderedPageBreak/>
              <w:t>MoH, CDPC</w:t>
            </w:r>
          </w:p>
        </w:tc>
        <w:tc>
          <w:tcPr>
            <w:tcW w:w="450" w:type="pct"/>
            <w:tcBorders>
              <w:top w:val="outset" w:sz="6" w:space="0" w:color="414142"/>
              <w:left w:val="outset" w:sz="6" w:space="0" w:color="414142"/>
              <w:bottom w:val="outset" w:sz="6" w:space="0" w:color="414142"/>
              <w:right w:val="outset" w:sz="6" w:space="0" w:color="414142"/>
            </w:tcBorders>
            <w:hideMark/>
          </w:tcPr>
          <w:p w14:paraId="2A22F294"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Local governments, LSFC</w:t>
            </w:r>
          </w:p>
        </w:tc>
        <w:tc>
          <w:tcPr>
            <w:tcW w:w="300" w:type="pct"/>
            <w:tcBorders>
              <w:top w:val="outset" w:sz="6" w:space="0" w:color="414142"/>
              <w:left w:val="outset" w:sz="6" w:space="0" w:color="414142"/>
              <w:bottom w:val="outset" w:sz="6" w:space="0" w:color="414142"/>
              <w:right w:val="outset" w:sz="6" w:space="0" w:color="414142"/>
            </w:tcBorders>
            <w:hideMark/>
          </w:tcPr>
          <w:p w14:paraId="19C0ECD0"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2029</w:t>
            </w:r>
          </w:p>
        </w:tc>
      </w:tr>
      <w:tr w:rsidR="00114699" w:rsidRPr="00504A2B" w14:paraId="72BE36EE"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38BC359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1.18.</w:t>
            </w:r>
          </w:p>
        </w:tc>
        <w:tc>
          <w:tcPr>
            <w:tcW w:w="1250" w:type="pct"/>
            <w:tcBorders>
              <w:top w:val="outset" w:sz="6" w:space="0" w:color="414142"/>
              <w:left w:val="outset" w:sz="6" w:space="0" w:color="414142"/>
              <w:bottom w:val="outset" w:sz="6" w:space="0" w:color="414142"/>
              <w:right w:val="outset" w:sz="6" w:space="0" w:color="414142"/>
            </w:tcBorders>
            <w:hideMark/>
          </w:tcPr>
          <w:p w14:paraId="275FFEA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improve the existing informative materials and develop new ones according to the current recommendations on physical activity and healthy diet (including breastfeeding), promoting their sustainability, reuse, relevance, modern approach, popularity, and accessibility for target groups (including pregnant women, new parents, and individuals with overweight and obesity).</w:t>
            </w:r>
          </w:p>
        </w:tc>
        <w:tc>
          <w:tcPr>
            <w:tcW w:w="850" w:type="pct"/>
            <w:tcBorders>
              <w:top w:val="outset" w:sz="6" w:space="0" w:color="414142"/>
              <w:left w:val="outset" w:sz="6" w:space="0" w:color="414142"/>
              <w:bottom w:val="outset" w:sz="6" w:space="0" w:color="414142"/>
              <w:right w:val="outset" w:sz="6" w:space="0" w:color="414142"/>
            </w:tcBorders>
            <w:hideMark/>
          </w:tcPr>
          <w:p w14:paraId="28B913A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Relevance, use, and sustainability of informative materials on issues related to physical activity and healthy diet, and also access to the relevant and evidence-based information have been ensured for the population.</w:t>
            </w:r>
          </w:p>
        </w:tc>
        <w:tc>
          <w:tcPr>
            <w:tcW w:w="1400" w:type="pct"/>
            <w:tcBorders>
              <w:top w:val="outset" w:sz="6" w:space="0" w:color="414142"/>
              <w:left w:val="outset" w:sz="6" w:space="0" w:color="414142"/>
              <w:bottom w:val="outset" w:sz="6" w:space="0" w:color="414142"/>
              <w:right w:val="outset" w:sz="6" w:space="0" w:color="414142"/>
            </w:tcBorders>
            <w:hideMark/>
          </w:tcPr>
          <w:p w14:paraId="5F32BB7D"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needs and interests of individuals regarding educational materials on physical activity and healthy diet (including for the prevention of excess body weight) have been identified by conducting a survey through various intermediary channels (e.g., educational institutions and local governments) on most commonly used materials, the choices of individuals and their preferences regarding the material format, dissemination methods, etc. The existing informative materials on physical activity and healthy diet have been updated and improved, new materials have been prepared as needed, and accessibility of those materials for target groups has been ensured.</w:t>
            </w:r>
          </w:p>
        </w:tc>
        <w:tc>
          <w:tcPr>
            <w:tcW w:w="400" w:type="pct"/>
            <w:tcBorders>
              <w:top w:val="outset" w:sz="6" w:space="0" w:color="414142"/>
              <w:left w:val="outset" w:sz="6" w:space="0" w:color="414142"/>
              <w:bottom w:val="outset" w:sz="6" w:space="0" w:color="414142"/>
              <w:right w:val="outset" w:sz="6" w:space="0" w:color="414142"/>
            </w:tcBorders>
            <w:hideMark/>
          </w:tcPr>
          <w:p w14:paraId="384F867F"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5DE7990A"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LFA, LHFA, LADN, LAN, LAD, LAB, LNLC, LPA, LAGO, CCUH, LAFP, LARFP, LAE, LAP, LSFC</w:t>
            </w:r>
          </w:p>
        </w:tc>
        <w:tc>
          <w:tcPr>
            <w:tcW w:w="300" w:type="pct"/>
            <w:tcBorders>
              <w:top w:val="outset" w:sz="6" w:space="0" w:color="414142"/>
              <w:left w:val="outset" w:sz="6" w:space="0" w:color="414142"/>
              <w:bottom w:val="outset" w:sz="6" w:space="0" w:color="414142"/>
              <w:right w:val="outset" w:sz="6" w:space="0" w:color="414142"/>
            </w:tcBorders>
            <w:hideMark/>
          </w:tcPr>
          <w:p w14:paraId="18E70BD9"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On a continuous basis</w:t>
            </w:r>
          </w:p>
        </w:tc>
      </w:tr>
      <w:tr w:rsidR="00114699" w:rsidRPr="00504A2B" w14:paraId="63117845"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064E440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1.19.</w:t>
            </w:r>
          </w:p>
        </w:tc>
        <w:tc>
          <w:tcPr>
            <w:tcW w:w="1250" w:type="pct"/>
            <w:tcBorders>
              <w:top w:val="outset" w:sz="6" w:space="0" w:color="414142"/>
              <w:left w:val="outset" w:sz="6" w:space="0" w:color="414142"/>
              <w:bottom w:val="outset" w:sz="6" w:space="0" w:color="414142"/>
              <w:right w:val="outset" w:sz="6" w:space="0" w:color="414142"/>
            </w:tcBorders>
            <w:hideMark/>
          </w:tcPr>
          <w:p w14:paraId="03943B8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To develop and introduce recommendations for pre-school and primary education teachers on promoting healthy dietary habits and physical activity </w:t>
            </w:r>
            <w:r>
              <w:rPr>
                <w:rFonts w:ascii="Times New Roman" w:hAnsi="Times New Roman"/>
                <w:sz w:val="22"/>
              </w:rPr>
              <w:lastRenderedPageBreak/>
              <w:t>among children in educational institutions, including by fostering skills for neutral communication about body weight.</w:t>
            </w:r>
          </w:p>
        </w:tc>
        <w:tc>
          <w:tcPr>
            <w:tcW w:w="850" w:type="pct"/>
            <w:tcBorders>
              <w:top w:val="outset" w:sz="6" w:space="0" w:color="414142"/>
              <w:left w:val="outset" w:sz="6" w:space="0" w:color="414142"/>
              <w:bottom w:val="outset" w:sz="6" w:space="0" w:color="414142"/>
              <w:right w:val="outset" w:sz="6" w:space="0" w:color="414142"/>
            </w:tcBorders>
            <w:hideMark/>
          </w:tcPr>
          <w:p w14:paraId="68BC56F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The understanding, knowledge, and skills of pre-school and primary education teachers regarding the </w:t>
            </w:r>
            <w:r>
              <w:rPr>
                <w:rFonts w:ascii="Times New Roman" w:hAnsi="Times New Roman"/>
                <w:sz w:val="22"/>
              </w:rPr>
              <w:lastRenderedPageBreak/>
              <w:t>promotion of a healthy diet and physical activity among pre-school and primary school children have been enhanced.</w:t>
            </w:r>
          </w:p>
        </w:tc>
        <w:tc>
          <w:tcPr>
            <w:tcW w:w="1400" w:type="pct"/>
            <w:tcBorders>
              <w:top w:val="outset" w:sz="6" w:space="0" w:color="414142"/>
              <w:left w:val="outset" w:sz="6" w:space="0" w:color="414142"/>
              <w:bottom w:val="outset" w:sz="6" w:space="0" w:color="414142"/>
              <w:right w:val="outset" w:sz="6" w:space="0" w:color="414142"/>
            </w:tcBorders>
            <w:hideMark/>
          </w:tcPr>
          <w:p w14:paraId="1C62743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At least one training course has been organised for pre-school and primary education teachers, and at least two practical materials for use in classes have been </w:t>
            </w:r>
            <w:r>
              <w:rPr>
                <w:rFonts w:ascii="Times New Roman" w:hAnsi="Times New Roman"/>
                <w:sz w:val="22"/>
              </w:rPr>
              <w:lastRenderedPageBreak/>
              <w:t>developed, covering topics related to healthy diet and physical activity, including by fostering skills for neutral communication about body weight.</w:t>
            </w:r>
          </w:p>
        </w:tc>
        <w:tc>
          <w:tcPr>
            <w:tcW w:w="400" w:type="pct"/>
            <w:tcBorders>
              <w:top w:val="outset" w:sz="6" w:space="0" w:color="414142"/>
              <w:left w:val="outset" w:sz="6" w:space="0" w:color="414142"/>
              <w:bottom w:val="outset" w:sz="6" w:space="0" w:color="414142"/>
              <w:right w:val="outset" w:sz="6" w:space="0" w:color="414142"/>
            </w:tcBorders>
            <w:hideMark/>
          </w:tcPr>
          <w:p w14:paraId="08122ED1"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lastRenderedPageBreak/>
              <w:t>MoH, CDPC</w:t>
            </w:r>
          </w:p>
        </w:tc>
        <w:tc>
          <w:tcPr>
            <w:tcW w:w="450" w:type="pct"/>
            <w:tcBorders>
              <w:top w:val="outset" w:sz="6" w:space="0" w:color="414142"/>
              <w:left w:val="outset" w:sz="6" w:space="0" w:color="414142"/>
              <w:bottom w:val="outset" w:sz="6" w:space="0" w:color="414142"/>
              <w:right w:val="outset" w:sz="6" w:space="0" w:color="414142"/>
            </w:tcBorders>
            <w:hideMark/>
          </w:tcPr>
          <w:p w14:paraId="3C9AB58F"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MoES, SEDA</w:t>
            </w:r>
          </w:p>
        </w:tc>
        <w:tc>
          <w:tcPr>
            <w:tcW w:w="300" w:type="pct"/>
            <w:tcBorders>
              <w:top w:val="outset" w:sz="6" w:space="0" w:color="414142"/>
              <w:left w:val="outset" w:sz="6" w:space="0" w:color="414142"/>
              <w:bottom w:val="outset" w:sz="6" w:space="0" w:color="414142"/>
              <w:right w:val="outset" w:sz="6" w:space="0" w:color="414142"/>
            </w:tcBorders>
            <w:hideMark/>
          </w:tcPr>
          <w:p w14:paraId="1633FA2E"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1E25D77E"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303FECC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1.20.</w:t>
            </w:r>
          </w:p>
        </w:tc>
        <w:tc>
          <w:tcPr>
            <w:tcW w:w="1250" w:type="pct"/>
            <w:tcBorders>
              <w:top w:val="outset" w:sz="6" w:space="0" w:color="414142"/>
              <w:left w:val="outset" w:sz="6" w:space="0" w:color="414142"/>
              <w:bottom w:val="outset" w:sz="6" w:space="0" w:color="414142"/>
              <w:right w:val="outset" w:sz="6" w:space="0" w:color="414142"/>
            </w:tcBorders>
            <w:hideMark/>
          </w:tcPr>
          <w:p w14:paraId="1F6C200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implement measures for more active engagement of employers in employee health promotion by updating and disseminating the Guidelines for Health Promotion at Workplace, and also developing digital materials, video lectures, and practical tasks, compiling examples of good practices, implementing other activities to emphasize the role of healthy diet and physical activity in the prevention of overweight and promotion of a healthy lifestyle, and improving the understanding of employers of the creation of a health-promoting work environment.</w:t>
            </w:r>
          </w:p>
        </w:tc>
        <w:tc>
          <w:tcPr>
            <w:tcW w:w="850" w:type="pct"/>
            <w:tcBorders>
              <w:top w:val="outset" w:sz="6" w:space="0" w:color="414142"/>
              <w:left w:val="outset" w:sz="6" w:space="0" w:color="414142"/>
              <w:bottom w:val="outset" w:sz="6" w:space="0" w:color="414142"/>
              <w:right w:val="outset" w:sz="6" w:space="0" w:color="414142"/>
            </w:tcBorders>
            <w:hideMark/>
          </w:tcPr>
          <w:p w14:paraId="1214B4A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understanding and engagement of employers in employee health promotion have been improved.</w:t>
            </w:r>
          </w:p>
        </w:tc>
        <w:tc>
          <w:tcPr>
            <w:tcW w:w="1400" w:type="pct"/>
            <w:tcBorders>
              <w:top w:val="outset" w:sz="6" w:space="0" w:color="414142"/>
              <w:left w:val="outset" w:sz="6" w:space="0" w:color="414142"/>
              <w:bottom w:val="outset" w:sz="6" w:space="0" w:color="414142"/>
              <w:right w:val="outset" w:sz="6" w:space="0" w:color="414142"/>
            </w:tcBorders>
            <w:hideMark/>
          </w:tcPr>
          <w:p w14:paraId="3F63794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Health Promotion Guidelines for Employers have been updated.</w:t>
            </w:r>
          </w:p>
          <w:p w14:paraId="662FA5D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Digital educational materials have been developed by compiling examples of good practices and other information on the importance of healthy diet and physical activity in the prevention of overweight and promotion of a healthy lifestyle.</w:t>
            </w:r>
          </w:p>
        </w:tc>
        <w:tc>
          <w:tcPr>
            <w:tcW w:w="400" w:type="pct"/>
            <w:tcBorders>
              <w:top w:val="outset" w:sz="6" w:space="0" w:color="414142"/>
              <w:left w:val="outset" w:sz="6" w:space="0" w:color="414142"/>
              <w:bottom w:val="outset" w:sz="6" w:space="0" w:color="414142"/>
              <w:right w:val="outset" w:sz="6" w:space="0" w:color="414142"/>
            </w:tcBorders>
            <w:hideMark/>
          </w:tcPr>
          <w:p w14:paraId="4CFA83F8"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MoW, MoH</w:t>
            </w:r>
          </w:p>
        </w:tc>
        <w:tc>
          <w:tcPr>
            <w:tcW w:w="450" w:type="pct"/>
            <w:tcBorders>
              <w:top w:val="outset" w:sz="6" w:space="0" w:color="414142"/>
              <w:left w:val="outset" w:sz="6" w:space="0" w:color="414142"/>
              <w:bottom w:val="outset" w:sz="6" w:space="0" w:color="414142"/>
              <w:right w:val="outset" w:sz="6" w:space="0" w:color="414142"/>
            </w:tcBorders>
            <w:hideMark/>
          </w:tcPr>
          <w:p w14:paraId="41A5B0E3"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CDPC, ECL, SAI, IOSEH</w:t>
            </w:r>
          </w:p>
        </w:tc>
        <w:tc>
          <w:tcPr>
            <w:tcW w:w="300" w:type="pct"/>
            <w:tcBorders>
              <w:top w:val="outset" w:sz="6" w:space="0" w:color="414142"/>
              <w:left w:val="outset" w:sz="6" w:space="0" w:color="414142"/>
              <w:bottom w:val="outset" w:sz="6" w:space="0" w:color="414142"/>
              <w:right w:val="outset" w:sz="6" w:space="0" w:color="414142"/>
            </w:tcBorders>
            <w:hideMark/>
          </w:tcPr>
          <w:p w14:paraId="0C7FCE9B"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1E96DC6D"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2CC8C5A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1.21.</w:t>
            </w:r>
          </w:p>
        </w:tc>
        <w:tc>
          <w:tcPr>
            <w:tcW w:w="1250" w:type="pct"/>
            <w:tcBorders>
              <w:top w:val="outset" w:sz="6" w:space="0" w:color="414142"/>
              <w:left w:val="outset" w:sz="6" w:space="0" w:color="414142"/>
              <w:bottom w:val="outset" w:sz="6" w:space="0" w:color="414142"/>
              <w:right w:val="outset" w:sz="6" w:space="0" w:color="414142"/>
            </w:tcBorders>
            <w:hideMark/>
          </w:tcPr>
          <w:p w14:paraId="2D5473F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To assess the most effective fiscal policy instruments and compensation mechanisms to make physical activity and healthy food more financially accessible to all individuals in </w:t>
            </w:r>
            <w:r>
              <w:rPr>
                <w:rFonts w:ascii="Times New Roman" w:hAnsi="Times New Roman"/>
                <w:sz w:val="22"/>
              </w:rPr>
              <w:lastRenderedPageBreak/>
              <w:t>Latvia, thereby reducing socio-economic inequalities.</w:t>
            </w:r>
          </w:p>
        </w:tc>
        <w:tc>
          <w:tcPr>
            <w:tcW w:w="850" w:type="pct"/>
            <w:tcBorders>
              <w:top w:val="outset" w:sz="6" w:space="0" w:color="414142"/>
              <w:left w:val="outset" w:sz="6" w:space="0" w:color="414142"/>
              <w:bottom w:val="outset" w:sz="6" w:space="0" w:color="414142"/>
              <w:right w:val="outset" w:sz="6" w:space="0" w:color="414142"/>
            </w:tcBorders>
            <w:hideMark/>
          </w:tcPr>
          <w:p w14:paraId="1BF07BD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The most effective fiscal policy instruments and compensation mechanisms for promoting physical activity and adoption of healthy dietary habits among the </w:t>
            </w:r>
            <w:r>
              <w:rPr>
                <w:rFonts w:ascii="Times New Roman" w:hAnsi="Times New Roman"/>
                <w:sz w:val="22"/>
              </w:rPr>
              <w:lastRenderedPageBreak/>
              <w:t>Latvian population have been assessed, and proposals for their introduction have been prepared.</w:t>
            </w:r>
          </w:p>
        </w:tc>
        <w:tc>
          <w:tcPr>
            <w:tcW w:w="1400" w:type="pct"/>
            <w:tcBorders>
              <w:top w:val="outset" w:sz="6" w:space="0" w:color="414142"/>
              <w:left w:val="outset" w:sz="6" w:space="0" w:color="414142"/>
              <w:bottom w:val="outset" w:sz="6" w:space="0" w:color="414142"/>
              <w:right w:val="outset" w:sz="6" w:space="0" w:color="414142"/>
            </w:tcBorders>
            <w:hideMark/>
          </w:tcPr>
          <w:p w14:paraId="73CC46D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A study on the most effective fiscal policy instruments and compensation mechanisms for promoting physical activity and healthy food choices among the Latvian population has been conducted, and </w:t>
            </w:r>
            <w:r>
              <w:rPr>
                <w:rFonts w:ascii="Times New Roman" w:hAnsi="Times New Roman"/>
                <w:sz w:val="22"/>
              </w:rPr>
              <w:lastRenderedPageBreak/>
              <w:t>proposals for their implementation in Latvia have been developed.</w:t>
            </w:r>
          </w:p>
        </w:tc>
        <w:tc>
          <w:tcPr>
            <w:tcW w:w="400" w:type="pct"/>
            <w:tcBorders>
              <w:top w:val="outset" w:sz="6" w:space="0" w:color="414142"/>
              <w:left w:val="outset" w:sz="6" w:space="0" w:color="414142"/>
              <w:bottom w:val="outset" w:sz="6" w:space="0" w:color="414142"/>
              <w:right w:val="outset" w:sz="6" w:space="0" w:color="414142"/>
            </w:tcBorders>
            <w:hideMark/>
          </w:tcPr>
          <w:p w14:paraId="7EC68E7A"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lastRenderedPageBreak/>
              <w:t>MoH, CDPC</w:t>
            </w:r>
          </w:p>
        </w:tc>
        <w:tc>
          <w:tcPr>
            <w:tcW w:w="450" w:type="pct"/>
            <w:tcBorders>
              <w:top w:val="outset" w:sz="6" w:space="0" w:color="414142"/>
              <w:left w:val="outset" w:sz="6" w:space="0" w:color="414142"/>
              <w:bottom w:val="outset" w:sz="6" w:space="0" w:color="414142"/>
              <w:right w:val="outset" w:sz="6" w:space="0" w:color="414142"/>
            </w:tcBorders>
            <w:hideMark/>
          </w:tcPr>
          <w:p w14:paraId="2254DF93" w14:textId="5812BB3A" w:rsidR="00136A25" w:rsidRPr="00504A2B" w:rsidRDefault="00136A25" w:rsidP="00EB7837">
            <w:pPr>
              <w:spacing w:after="0" w:line="240" w:lineRule="auto"/>
              <w:jc w:val="center"/>
              <w:rPr>
                <w:rFonts w:ascii="Times New Roman" w:hAnsi="Times New Roman"/>
                <w:noProof/>
                <w:kern w:val="0"/>
                <w:sz w:val="22"/>
                <w:szCs w:val="22"/>
                <w:lang w:val="lv-LV"/>
              </w:rPr>
            </w:pPr>
          </w:p>
        </w:tc>
        <w:tc>
          <w:tcPr>
            <w:tcW w:w="300" w:type="pct"/>
            <w:tcBorders>
              <w:top w:val="outset" w:sz="6" w:space="0" w:color="414142"/>
              <w:left w:val="outset" w:sz="6" w:space="0" w:color="414142"/>
              <w:bottom w:val="outset" w:sz="6" w:space="0" w:color="414142"/>
              <w:right w:val="outset" w:sz="6" w:space="0" w:color="414142"/>
            </w:tcBorders>
            <w:hideMark/>
          </w:tcPr>
          <w:p w14:paraId="2D11CA9E" w14:textId="77777777" w:rsidR="00136A25" w:rsidRPr="00504A2B" w:rsidRDefault="00136A25" w:rsidP="00EB7837">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2029</w:t>
            </w:r>
          </w:p>
        </w:tc>
      </w:tr>
      <w:tr w:rsidR="00136A25" w:rsidRPr="00504A2B" w14:paraId="3AA4DF1E"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1C9310F3" w14:textId="77777777" w:rsidR="00136A25" w:rsidRPr="00504A2B" w:rsidRDefault="00136A25" w:rsidP="00122210">
            <w:pPr>
              <w:spacing w:after="0" w:line="240" w:lineRule="auto"/>
              <w:jc w:val="both"/>
              <w:rPr>
                <w:rFonts w:ascii="Times New Roman" w:hAnsi="Times New Roman"/>
                <w:b/>
                <w:bCs/>
                <w:noProof/>
                <w:kern w:val="0"/>
                <w:sz w:val="22"/>
                <w:szCs w:val="22"/>
              </w:rPr>
            </w:pPr>
            <w:r>
              <w:rPr>
                <w:rFonts w:ascii="Times New Roman" w:hAnsi="Times New Roman"/>
                <w:b/>
                <w:sz w:val="22"/>
              </w:rPr>
              <w:t>Action direction 2</w:t>
            </w:r>
          </w:p>
        </w:tc>
        <w:tc>
          <w:tcPr>
            <w:tcW w:w="0" w:type="auto"/>
            <w:gridSpan w:val="5"/>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50FDFB77" w14:textId="77777777" w:rsidR="00136A25" w:rsidRPr="00504A2B" w:rsidRDefault="00136A25" w:rsidP="00122210">
            <w:pPr>
              <w:spacing w:after="0" w:line="240" w:lineRule="auto"/>
              <w:jc w:val="both"/>
              <w:rPr>
                <w:rFonts w:ascii="Times New Roman" w:hAnsi="Times New Roman"/>
                <w:b/>
                <w:bCs/>
                <w:noProof/>
                <w:kern w:val="0"/>
                <w:sz w:val="22"/>
                <w:szCs w:val="22"/>
              </w:rPr>
            </w:pPr>
            <w:r>
              <w:rPr>
                <w:rFonts w:ascii="Times New Roman" w:hAnsi="Times New Roman"/>
                <w:b/>
                <w:sz w:val="22"/>
              </w:rPr>
              <w:t>Reduction of the prevalence of overweight and prevention of obesity (secondary prevention)</w:t>
            </w:r>
          </w:p>
        </w:tc>
      </w:tr>
      <w:tr w:rsidR="00114699" w:rsidRPr="00504A2B" w14:paraId="22702EEB" w14:textId="77777777" w:rsidTr="00335C97">
        <w:tc>
          <w:tcPr>
            <w:tcW w:w="100" w:type="pct"/>
            <w:tcBorders>
              <w:top w:val="outset" w:sz="6" w:space="0" w:color="414142"/>
              <w:left w:val="outset" w:sz="6" w:space="0" w:color="414142"/>
              <w:bottom w:val="outset" w:sz="6" w:space="0" w:color="414142"/>
              <w:right w:val="outset" w:sz="6" w:space="0" w:color="414142"/>
            </w:tcBorders>
            <w:vAlign w:val="center"/>
            <w:hideMark/>
          </w:tcPr>
          <w:p w14:paraId="62106866"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No.</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A81FD7A"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Measure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7E604CA"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Activity result</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E52A08F"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Performance indicator</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E66C5C"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Responsible authority</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CD7DA2A"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Co-responsible authorities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D967CF"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Deadline</w:t>
            </w:r>
          </w:p>
        </w:tc>
      </w:tr>
      <w:tr w:rsidR="00114699" w:rsidRPr="00504A2B" w14:paraId="66074775"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44C4A21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2.1.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68C544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update the methodological materials for medical practitioners on appropriate diet when planning pregnancy, during pregnancy, and after childbirth, supplementing the materials with information on overweight and obesity, and also to ensure training to medical practitioners.</w:t>
            </w:r>
          </w:p>
        </w:tc>
        <w:tc>
          <w:tcPr>
            <w:tcW w:w="850" w:type="pct"/>
            <w:tcBorders>
              <w:top w:val="outset" w:sz="6" w:space="0" w:color="414142"/>
              <w:left w:val="outset" w:sz="6" w:space="0" w:color="414142"/>
              <w:bottom w:val="outset" w:sz="6" w:space="0" w:color="414142"/>
              <w:right w:val="outset" w:sz="6" w:space="0" w:color="414142"/>
            </w:tcBorders>
            <w:hideMark/>
          </w:tcPr>
          <w:p w14:paraId="108B146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Efforts have been made to increase the involvement of medical practitioners in body weight management and health promotion among pregnant women with overweight and obesity.</w:t>
            </w:r>
          </w:p>
        </w:tc>
        <w:tc>
          <w:tcPr>
            <w:tcW w:w="1400" w:type="pct"/>
            <w:tcBorders>
              <w:top w:val="outset" w:sz="6" w:space="0" w:color="414142"/>
              <w:left w:val="outset" w:sz="6" w:space="0" w:color="414142"/>
              <w:bottom w:val="outset" w:sz="6" w:space="0" w:color="414142"/>
              <w:right w:val="outset" w:sz="6" w:space="0" w:color="414142"/>
            </w:tcBorders>
            <w:hideMark/>
          </w:tcPr>
          <w:p w14:paraId="429A3B4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Methodological materials for medical practitioners on working with pregnant women with overweight or obesity have been updated, focusing on the management of body weight and health promotion.</w:t>
            </w:r>
          </w:p>
          <w:p w14:paraId="31E13C2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Training has been provided to medical practitioners.</w:t>
            </w:r>
          </w:p>
        </w:tc>
        <w:tc>
          <w:tcPr>
            <w:tcW w:w="400" w:type="pct"/>
            <w:tcBorders>
              <w:top w:val="outset" w:sz="6" w:space="0" w:color="414142"/>
              <w:left w:val="outset" w:sz="6" w:space="0" w:color="414142"/>
              <w:bottom w:val="outset" w:sz="6" w:space="0" w:color="414142"/>
              <w:right w:val="outset" w:sz="6" w:space="0" w:color="414142"/>
            </w:tcBorders>
            <w:hideMark/>
          </w:tcPr>
          <w:p w14:paraId="28CCAB4F"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4ED4D010"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LAGO, LARFP, LAFP, LADN, LAN, LAD, LFA, LMA</w:t>
            </w:r>
          </w:p>
        </w:tc>
        <w:tc>
          <w:tcPr>
            <w:tcW w:w="300" w:type="pct"/>
            <w:tcBorders>
              <w:top w:val="outset" w:sz="6" w:space="0" w:color="414142"/>
              <w:left w:val="outset" w:sz="6" w:space="0" w:color="414142"/>
              <w:bottom w:val="outset" w:sz="6" w:space="0" w:color="414142"/>
              <w:right w:val="outset" w:sz="6" w:space="0" w:color="414142"/>
            </w:tcBorders>
            <w:hideMark/>
          </w:tcPr>
          <w:p w14:paraId="553ED1E6"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2028</w:t>
            </w:r>
          </w:p>
        </w:tc>
      </w:tr>
      <w:tr w:rsidR="00114699" w:rsidRPr="00504A2B" w14:paraId="7F14AC6B"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404D4AB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2.2.</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03827F1"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update the physical activity prescription and organise training for healthcare professionals on issuing the prescription (including to children) to make sure that medical practitioners possess the skills and competence required for prescribing appropriate physical activity to patients.</w:t>
            </w:r>
          </w:p>
        </w:tc>
        <w:tc>
          <w:tcPr>
            <w:tcW w:w="850" w:type="pct"/>
            <w:tcBorders>
              <w:top w:val="outset" w:sz="6" w:space="0" w:color="414142"/>
              <w:left w:val="outset" w:sz="6" w:space="0" w:color="414142"/>
              <w:bottom w:val="outset" w:sz="6" w:space="0" w:color="414142"/>
              <w:right w:val="outset" w:sz="6" w:space="0" w:color="414142"/>
            </w:tcBorders>
            <w:hideMark/>
          </w:tcPr>
          <w:p w14:paraId="3561441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knowledge and skills of healthcare professionals for issuing a physical activity prescription have been enhanced.</w:t>
            </w:r>
          </w:p>
        </w:tc>
        <w:tc>
          <w:tcPr>
            <w:tcW w:w="1400" w:type="pct"/>
            <w:tcBorders>
              <w:top w:val="outset" w:sz="6" w:space="0" w:color="414142"/>
              <w:left w:val="outset" w:sz="6" w:space="0" w:color="414142"/>
              <w:bottom w:val="outset" w:sz="6" w:space="0" w:color="414142"/>
              <w:right w:val="outset" w:sz="6" w:space="0" w:color="414142"/>
            </w:tcBorders>
            <w:hideMark/>
          </w:tcPr>
          <w:p w14:paraId="6F7EADE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physical activity prescription has been updated, and at least one training course for healthcare professionals on issuing the prescription has been implemented.</w:t>
            </w:r>
          </w:p>
          <w:p w14:paraId="69E1640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video recording has been made publicly available and accessible after completing the training.</w:t>
            </w:r>
          </w:p>
        </w:tc>
        <w:tc>
          <w:tcPr>
            <w:tcW w:w="400" w:type="pct"/>
            <w:tcBorders>
              <w:top w:val="outset" w:sz="6" w:space="0" w:color="414142"/>
              <w:left w:val="outset" w:sz="6" w:space="0" w:color="414142"/>
              <w:bottom w:val="outset" w:sz="6" w:space="0" w:color="414142"/>
              <w:right w:val="outset" w:sz="6" w:space="0" w:color="414142"/>
            </w:tcBorders>
            <w:hideMark/>
          </w:tcPr>
          <w:p w14:paraId="06C86CB1"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51FE8297"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RSU, LMA, UPOMPL, LSMA, CCUH</w:t>
            </w:r>
          </w:p>
        </w:tc>
        <w:tc>
          <w:tcPr>
            <w:tcW w:w="300" w:type="pct"/>
            <w:tcBorders>
              <w:top w:val="outset" w:sz="6" w:space="0" w:color="414142"/>
              <w:left w:val="outset" w:sz="6" w:space="0" w:color="414142"/>
              <w:bottom w:val="outset" w:sz="6" w:space="0" w:color="414142"/>
              <w:right w:val="outset" w:sz="6" w:space="0" w:color="414142"/>
            </w:tcBorders>
            <w:hideMark/>
          </w:tcPr>
          <w:p w14:paraId="2BE4AEDA"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2027</w:t>
            </w:r>
          </w:p>
        </w:tc>
      </w:tr>
      <w:tr w:rsidR="00114699" w:rsidRPr="00504A2B" w14:paraId="6156B2A9"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727932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2.3.</w:t>
            </w:r>
          </w:p>
        </w:tc>
        <w:tc>
          <w:tcPr>
            <w:tcW w:w="1250" w:type="pct"/>
            <w:tcBorders>
              <w:top w:val="outset" w:sz="6" w:space="0" w:color="414142"/>
              <w:left w:val="outset" w:sz="6" w:space="0" w:color="414142"/>
              <w:bottom w:val="outset" w:sz="6" w:space="0" w:color="414142"/>
              <w:right w:val="outset" w:sz="6" w:space="0" w:color="414142"/>
            </w:tcBorders>
            <w:hideMark/>
          </w:tcPr>
          <w:p w14:paraId="2445635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To develop and implement several educational activities for parents on early identification of </w:t>
            </w:r>
            <w:r>
              <w:rPr>
                <w:rFonts w:ascii="Times New Roman" w:hAnsi="Times New Roman"/>
                <w:sz w:val="22"/>
              </w:rPr>
              <w:lastRenderedPageBreak/>
              <w:t>overweight in children, preventive measures, support options, and also on avoiding weight bias and stigmatising attitudes towards body weight.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00B31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Parents are informed of early identification of overweight in children, and also are aware of </w:t>
            </w:r>
            <w:r>
              <w:rPr>
                <w:rFonts w:ascii="Times New Roman" w:hAnsi="Times New Roman"/>
                <w:sz w:val="22"/>
              </w:rPr>
              <w:lastRenderedPageBreak/>
              <w:t>preventive measures, including risk factors, and know where to seek assistance when needed. Parents have developed understanding of weight stigma and its consequences.</w:t>
            </w:r>
          </w:p>
        </w:tc>
        <w:tc>
          <w:tcPr>
            <w:tcW w:w="1400" w:type="pct"/>
            <w:tcBorders>
              <w:top w:val="outset" w:sz="6" w:space="0" w:color="414142"/>
              <w:left w:val="outset" w:sz="6" w:space="0" w:color="414142"/>
              <w:bottom w:val="outset" w:sz="6" w:space="0" w:color="414142"/>
              <w:right w:val="outset" w:sz="6" w:space="0" w:color="414142"/>
            </w:tcBorders>
            <w:hideMark/>
          </w:tcPr>
          <w:p w14:paraId="56E3FCF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Training for parents has been provided, and informative materials on identification of overweight and </w:t>
            </w:r>
            <w:r>
              <w:rPr>
                <w:rFonts w:ascii="Times New Roman" w:hAnsi="Times New Roman"/>
                <w:sz w:val="22"/>
              </w:rPr>
              <w:lastRenderedPageBreak/>
              <w:t>obesity in children, preventive measures for addressing risk factors, and also support options, and actions to avoid stigmatising attitudes towards body weight have been developed.</w:t>
            </w:r>
          </w:p>
        </w:tc>
        <w:tc>
          <w:tcPr>
            <w:tcW w:w="400" w:type="pct"/>
            <w:tcBorders>
              <w:top w:val="outset" w:sz="6" w:space="0" w:color="414142"/>
              <w:left w:val="outset" w:sz="6" w:space="0" w:color="414142"/>
              <w:bottom w:val="outset" w:sz="6" w:space="0" w:color="414142"/>
              <w:right w:val="outset" w:sz="6" w:space="0" w:color="414142"/>
            </w:tcBorders>
            <w:hideMark/>
          </w:tcPr>
          <w:p w14:paraId="036D11CA"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lastRenderedPageBreak/>
              <w:t>MoH, CCUH</w:t>
            </w:r>
          </w:p>
        </w:tc>
        <w:tc>
          <w:tcPr>
            <w:tcW w:w="450" w:type="pct"/>
            <w:tcBorders>
              <w:top w:val="outset" w:sz="6" w:space="0" w:color="414142"/>
              <w:left w:val="outset" w:sz="6" w:space="0" w:color="414142"/>
              <w:bottom w:val="outset" w:sz="6" w:space="0" w:color="414142"/>
              <w:right w:val="outset" w:sz="6" w:space="0" w:color="414142"/>
            </w:tcBorders>
            <w:hideMark/>
          </w:tcPr>
          <w:p w14:paraId="0A501561"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CDPC, LADN, LAD, LAN, LPA, LAE</w:t>
            </w:r>
          </w:p>
        </w:tc>
        <w:tc>
          <w:tcPr>
            <w:tcW w:w="300" w:type="pct"/>
            <w:tcBorders>
              <w:top w:val="outset" w:sz="6" w:space="0" w:color="414142"/>
              <w:left w:val="outset" w:sz="6" w:space="0" w:color="414142"/>
              <w:bottom w:val="outset" w:sz="6" w:space="0" w:color="414142"/>
              <w:right w:val="outset" w:sz="6" w:space="0" w:color="414142"/>
            </w:tcBorders>
            <w:hideMark/>
          </w:tcPr>
          <w:p w14:paraId="3D50D70C" w14:textId="77777777" w:rsidR="00136A25" w:rsidRPr="00504A2B" w:rsidRDefault="00136A25" w:rsidP="00114C41">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2029</w:t>
            </w:r>
          </w:p>
        </w:tc>
      </w:tr>
      <w:tr w:rsidR="00136A25" w:rsidRPr="00504A2B" w14:paraId="25031243"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5610EC4A" w14:textId="77777777" w:rsidR="00136A25" w:rsidRPr="00504A2B" w:rsidRDefault="00136A25" w:rsidP="0090644D">
            <w:pPr>
              <w:spacing w:after="0" w:line="240" w:lineRule="auto"/>
              <w:jc w:val="center"/>
              <w:rPr>
                <w:rFonts w:ascii="Times New Roman" w:hAnsi="Times New Roman"/>
                <w:b/>
                <w:bCs/>
                <w:noProof/>
                <w:kern w:val="0"/>
                <w:sz w:val="22"/>
                <w:szCs w:val="22"/>
              </w:rPr>
            </w:pPr>
            <w:r>
              <w:rPr>
                <w:rFonts w:ascii="Times New Roman" w:hAnsi="Times New Roman"/>
                <w:b/>
                <w:sz w:val="22"/>
              </w:rPr>
              <w:t>3. Action direction</w:t>
            </w:r>
          </w:p>
        </w:tc>
        <w:tc>
          <w:tcPr>
            <w:tcW w:w="0" w:type="auto"/>
            <w:gridSpan w:val="5"/>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6245A620" w14:textId="77777777" w:rsidR="00136A25" w:rsidRPr="00504A2B" w:rsidRDefault="00136A25" w:rsidP="0090644D">
            <w:pPr>
              <w:spacing w:after="0" w:line="240" w:lineRule="auto"/>
              <w:jc w:val="center"/>
              <w:rPr>
                <w:rFonts w:ascii="Times New Roman" w:hAnsi="Times New Roman"/>
                <w:b/>
                <w:bCs/>
                <w:noProof/>
                <w:kern w:val="0"/>
                <w:sz w:val="22"/>
                <w:szCs w:val="22"/>
              </w:rPr>
            </w:pPr>
            <w:r>
              <w:rPr>
                <w:rFonts w:ascii="Times New Roman" w:hAnsi="Times New Roman"/>
                <w:b/>
                <w:sz w:val="22"/>
              </w:rPr>
              <w:t>Diagnosis and treatment of obesity (tertiary prevention)</w:t>
            </w:r>
          </w:p>
        </w:tc>
      </w:tr>
      <w:tr w:rsidR="00114699" w:rsidRPr="00504A2B" w14:paraId="4FB87F74" w14:textId="77777777" w:rsidTr="00335C97">
        <w:tc>
          <w:tcPr>
            <w:tcW w:w="100" w:type="pct"/>
            <w:tcBorders>
              <w:top w:val="outset" w:sz="6" w:space="0" w:color="414142"/>
              <w:left w:val="outset" w:sz="6" w:space="0" w:color="414142"/>
              <w:bottom w:val="outset" w:sz="6" w:space="0" w:color="414142"/>
              <w:right w:val="outset" w:sz="6" w:space="0" w:color="414142"/>
            </w:tcBorders>
            <w:vAlign w:val="center"/>
            <w:hideMark/>
          </w:tcPr>
          <w:p w14:paraId="01E058C1"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No.</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6B9915F"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Measure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80AB843"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Activity result</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E4BCF82"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Performance indicator</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64A104"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Responsible authority</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881FAC8"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Co-responsible authorities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7EACD1" w14:textId="77777777" w:rsidR="00136A25" w:rsidRPr="00504A2B" w:rsidRDefault="00136A25" w:rsidP="00114C41">
            <w:pPr>
              <w:spacing w:after="0" w:line="240" w:lineRule="auto"/>
              <w:jc w:val="center"/>
              <w:rPr>
                <w:rFonts w:ascii="Times New Roman" w:hAnsi="Times New Roman"/>
                <w:b/>
                <w:bCs/>
                <w:noProof/>
                <w:kern w:val="0"/>
                <w:sz w:val="22"/>
                <w:szCs w:val="22"/>
              </w:rPr>
            </w:pPr>
            <w:r>
              <w:rPr>
                <w:rFonts w:ascii="Times New Roman" w:hAnsi="Times New Roman"/>
                <w:b/>
                <w:sz w:val="22"/>
              </w:rPr>
              <w:t>Deadline</w:t>
            </w:r>
          </w:p>
        </w:tc>
      </w:tr>
      <w:tr w:rsidR="00114699" w:rsidRPr="00504A2B" w14:paraId="4590F301"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73FE617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3.1.</w:t>
            </w:r>
          </w:p>
        </w:tc>
        <w:tc>
          <w:tcPr>
            <w:tcW w:w="1250" w:type="pct"/>
            <w:tcBorders>
              <w:top w:val="outset" w:sz="6" w:space="0" w:color="414142"/>
              <w:left w:val="outset" w:sz="6" w:space="0" w:color="414142"/>
              <w:bottom w:val="outset" w:sz="6" w:space="0" w:color="414142"/>
              <w:right w:val="outset" w:sz="6" w:space="0" w:color="414142"/>
            </w:tcBorders>
            <w:hideMark/>
          </w:tcPr>
          <w:p w14:paraId="00ED709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develop an algorithm for family physicians and to implement training on examining patients with overweight and obesity, the diagnosing of obesity, and also the management of the treatment process in cases of obesity, and on avoiding stigmatisation.</w:t>
            </w:r>
          </w:p>
        </w:tc>
        <w:tc>
          <w:tcPr>
            <w:tcW w:w="850" w:type="pct"/>
            <w:tcBorders>
              <w:top w:val="outset" w:sz="6" w:space="0" w:color="414142"/>
              <w:left w:val="outset" w:sz="6" w:space="0" w:color="414142"/>
              <w:bottom w:val="outset" w:sz="6" w:space="0" w:color="414142"/>
              <w:right w:val="outset" w:sz="6" w:space="0" w:color="414142"/>
            </w:tcBorders>
            <w:hideMark/>
          </w:tcPr>
          <w:p w14:paraId="3005156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Diagnosis of obesity and further treatment in a family medicine practice have been promoted, while avoiding stigmatising practices.</w:t>
            </w:r>
          </w:p>
        </w:tc>
        <w:tc>
          <w:tcPr>
            <w:tcW w:w="1400" w:type="pct"/>
            <w:tcBorders>
              <w:top w:val="outset" w:sz="6" w:space="0" w:color="414142"/>
              <w:left w:val="outset" w:sz="6" w:space="0" w:color="414142"/>
              <w:bottom w:val="outset" w:sz="6" w:space="0" w:color="414142"/>
              <w:right w:val="outset" w:sz="6" w:space="0" w:color="414142"/>
            </w:tcBorders>
            <w:hideMark/>
          </w:tcPr>
          <w:p w14:paraId="4E136511"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An algorithm for family physicians has been developed regarding examining patients with overweight and obesity, the diagnosing of obesity, and also the management of the treatment process in cases of obesity diagnosis.</w:t>
            </w:r>
          </w:p>
          <w:p w14:paraId="59190F2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 training course (including for young doctors) on the practical application of the algorithm has been implemented.</w:t>
            </w:r>
          </w:p>
        </w:tc>
        <w:tc>
          <w:tcPr>
            <w:tcW w:w="400" w:type="pct"/>
            <w:tcBorders>
              <w:top w:val="outset" w:sz="6" w:space="0" w:color="414142"/>
              <w:left w:val="outset" w:sz="6" w:space="0" w:color="414142"/>
              <w:bottom w:val="outset" w:sz="6" w:space="0" w:color="414142"/>
              <w:right w:val="outset" w:sz="6" w:space="0" w:color="414142"/>
            </w:tcBorders>
            <w:hideMark/>
          </w:tcPr>
          <w:p w14:paraId="316863AE"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0CC4C961"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CDPC, LAFP, LARFP, NHS, RSU, LU, LADN</w:t>
            </w:r>
          </w:p>
        </w:tc>
        <w:tc>
          <w:tcPr>
            <w:tcW w:w="300" w:type="pct"/>
            <w:tcBorders>
              <w:top w:val="outset" w:sz="6" w:space="0" w:color="414142"/>
              <w:left w:val="outset" w:sz="6" w:space="0" w:color="414142"/>
              <w:bottom w:val="outset" w:sz="6" w:space="0" w:color="414142"/>
              <w:right w:val="outset" w:sz="6" w:space="0" w:color="414142"/>
            </w:tcBorders>
            <w:hideMark/>
          </w:tcPr>
          <w:p w14:paraId="746E466E"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2029</w:t>
            </w:r>
          </w:p>
        </w:tc>
      </w:tr>
      <w:tr w:rsidR="00114699" w:rsidRPr="00504A2B" w14:paraId="783D11E7"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64C74FB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3.2.</w:t>
            </w:r>
          </w:p>
        </w:tc>
        <w:tc>
          <w:tcPr>
            <w:tcW w:w="1250" w:type="pct"/>
            <w:tcBorders>
              <w:top w:val="outset" w:sz="6" w:space="0" w:color="414142"/>
              <w:left w:val="outset" w:sz="6" w:space="0" w:color="414142"/>
              <w:bottom w:val="outset" w:sz="6" w:space="0" w:color="414142"/>
              <w:right w:val="outset" w:sz="6" w:space="0" w:color="414142"/>
            </w:tcBorders>
            <w:hideMark/>
          </w:tcPr>
          <w:p w14:paraId="4D4B18D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ensure State-funded outpatient consultations with nutritionists for patients with chronic diseases and obesity.</w:t>
            </w:r>
          </w:p>
        </w:tc>
        <w:tc>
          <w:tcPr>
            <w:tcW w:w="850" w:type="pct"/>
            <w:tcBorders>
              <w:top w:val="outset" w:sz="6" w:space="0" w:color="414142"/>
              <w:left w:val="outset" w:sz="6" w:space="0" w:color="414142"/>
              <w:bottom w:val="outset" w:sz="6" w:space="0" w:color="414142"/>
              <w:right w:val="outset" w:sz="6" w:space="0" w:color="414142"/>
            </w:tcBorders>
            <w:hideMark/>
          </w:tcPr>
          <w:p w14:paraId="5504003D"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Treatment options for obesity in adult patients with chronic diseases have been improved.</w:t>
            </w:r>
          </w:p>
        </w:tc>
        <w:tc>
          <w:tcPr>
            <w:tcW w:w="1400" w:type="pct"/>
            <w:tcBorders>
              <w:top w:val="outset" w:sz="6" w:space="0" w:color="414142"/>
              <w:left w:val="outset" w:sz="6" w:space="0" w:color="414142"/>
              <w:bottom w:val="outset" w:sz="6" w:space="0" w:color="414142"/>
              <w:right w:val="outset" w:sz="6" w:space="0" w:color="414142"/>
            </w:tcBorders>
            <w:hideMark/>
          </w:tcPr>
          <w:p w14:paraId="1589F6B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State-funded consultations with nutritionists have been provided to at least 2000 patients with obesity and chronic endocrine, nutritional, and metabolic disorders (E00–E90), circulatory diseases (I00–I99), and oncological diseases (C00–D48).</w:t>
            </w:r>
          </w:p>
        </w:tc>
        <w:tc>
          <w:tcPr>
            <w:tcW w:w="400" w:type="pct"/>
            <w:tcBorders>
              <w:top w:val="outset" w:sz="6" w:space="0" w:color="414142"/>
              <w:left w:val="outset" w:sz="6" w:space="0" w:color="414142"/>
              <w:bottom w:val="outset" w:sz="6" w:space="0" w:color="414142"/>
              <w:right w:val="outset" w:sz="6" w:space="0" w:color="414142"/>
            </w:tcBorders>
            <w:hideMark/>
          </w:tcPr>
          <w:p w14:paraId="68CB4437"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NHS</w:t>
            </w:r>
          </w:p>
        </w:tc>
        <w:tc>
          <w:tcPr>
            <w:tcW w:w="450" w:type="pct"/>
            <w:tcBorders>
              <w:top w:val="outset" w:sz="6" w:space="0" w:color="414142"/>
              <w:left w:val="outset" w:sz="6" w:space="0" w:color="414142"/>
              <w:bottom w:val="outset" w:sz="6" w:space="0" w:color="414142"/>
              <w:right w:val="outset" w:sz="6" w:space="0" w:color="414142"/>
            </w:tcBorders>
            <w:hideMark/>
          </w:tcPr>
          <w:p w14:paraId="5904DB7A"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LADN</w:t>
            </w:r>
          </w:p>
        </w:tc>
        <w:tc>
          <w:tcPr>
            <w:tcW w:w="300" w:type="pct"/>
            <w:tcBorders>
              <w:top w:val="outset" w:sz="6" w:space="0" w:color="414142"/>
              <w:left w:val="outset" w:sz="6" w:space="0" w:color="414142"/>
              <w:bottom w:val="outset" w:sz="6" w:space="0" w:color="414142"/>
              <w:right w:val="outset" w:sz="6" w:space="0" w:color="414142"/>
            </w:tcBorders>
            <w:hideMark/>
          </w:tcPr>
          <w:p w14:paraId="2A64CDEF"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2026</w:t>
            </w:r>
          </w:p>
        </w:tc>
      </w:tr>
      <w:tr w:rsidR="00114699" w:rsidRPr="00504A2B" w14:paraId="3AA1191C"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9E4C11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3.3.</w:t>
            </w:r>
          </w:p>
        </w:tc>
        <w:tc>
          <w:tcPr>
            <w:tcW w:w="1250" w:type="pct"/>
            <w:tcBorders>
              <w:top w:val="outset" w:sz="6" w:space="0" w:color="414142"/>
              <w:left w:val="outset" w:sz="6" w:space="0" w:color="414142"/>
              <w:bottom w:val="outset" w:sz="6" w:space="0" w:color="414142"/>
              <w:right w:val="outset" w:sz="6" w:space="0" w:color="414142"/>
            </w:tcBorders>
            <w:hideMark/>
          </w:tcPr>
          <w:p w14:paraId="37D0075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To expand and improve the CCUH weight correction </w:t>
            </w:r>
            <w:r>
              <w:rPr>
                <w:rFonts w:ascii="Times New Roman" w:hAnsi="Times New Roman"/>
                <w:sz w:val="22"/>
              </w:rPr>
              <w:lastRenderedPageBreak/>
              <w:t>programme for children.</w:t>
            </w:r>
          </w:p>
        </w:tc>
        <w:tc>
          <w:tcPr>
            <w:tcW w:w="850" w:type="pct"/>
            <w:tcBorders>
              <w:top w:val="outset" w:sz="6" w:space="0" w:color="414142"/>
              <w:left w:val="outset" w:sz="6" w:space="0" w:color="414142"/>
              <w:bottom w:val="outset" w:sz="6" w:space="0" w:color="414142"/>
              <w:right w:val="outset" w:sz="6" w:space="0" w:color="414142"/>
            </w:tcBorders>
            <w:hideMark/>
          </w:tcPr>
          <w:p w14:paraId="42B65DB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Children have better access to the CCUH weight correction </w:t>
            </w:r>
            <w:r>
              <w:rPr>
                <w:rFonts w:ascii="Times New Roman" w:hAnsi="Times New Roman"/>
                <w:sz w:val="22"/>
              </w:rPr>
              <w:lastRenderedPageBreak/>
              <w:t>programme for effective reduction of overweight and obesity.</w:t>
            </w:r>
          </w:p>
        </w:tc>
        <w:tc>
          <w:tcPr>
            <w:tcW w:w="1400" w:type="pct"/>
            <w:tcBorders>
              <w:top w:val="outset" w:sz="6" w:space="0" w:color="414142"/>
              <w:left w:val="outset" w:sz="6" w:space="0" w:color="414142"/>
              <w:bottom w:val="outset" w:sz="6" w:space="0" w:color="414142"/>
              <w:right w:val="outset" w:sz="6" w:space="0" w:color="414142"/>
            </w:tcBorders>
            <w:hideMark/>
          </w:tcPr>
          <w:p w14:paraId="6936D9E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The CCUH weight correction programme for children has been </w:t>
            </w:r>
            <w:r>
              <w:rPr>
                <w:rFonts w:ascii="Times New Roman" w:hAnsi="Times New Roman"/>
                <w:sz w:val="22"/>
              </w:rPr>
              <w:lastRenderedPageBreak/>
              <w:t>reviewed and improved, offering consultations and group sessions for a longer period to achieve more effective long-term reduction of excess body weight.</w:t>
            </w:r>
          </w:p>
          <w:p w14:paraId="785330C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Participation of 300 children in the weight correction programme has been ensured each year.</w:t>
            </w:r>
          </w:p>
        </w:tc>
        <w:tc>
          <w:tcPr>
            <w:tcW w:w="400" w:type="pct"/>
            <w:tcBorders>
              <w:top w:val="outset" w:sz="6" w:space="0" w:color="414142"/>
              <w:left w:val="outset" w:sz="6" w:space="0" w:color="414142"/>
              <w:bottom w:val="outset" w:sz="6" w:space="0" w:color="414142"/>
              <w:right w:val="outset" w:sz="6" w:space="0" w:color="414142"/>
            </w:tcBorders>
            <w:hideMark/>
          </w:tcPr>
          <w:p w14:paraId="2A82969D"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lastRenderedPageBreak/>
              <w:t>MoH, NHS</w:t>
            </w:r>
          </w:p>
        </w:tc>
        <w:tc>
          <w:tcPr>
            <w:tcW w:w="450" w:type="pct"/>
            <w:tcBorders>
              <w:top w:val="outset" w:sz="6" w:space="0" w:color="414142"/>
              <w:left w:val="outset" w:sz="6" w:space="0" w:color="414142"/>
              <w:bottom w:val="outset" w:sz="6" w:space="0" w:color="414142"/>
              <w:right w:val="outset" w:sz="6" w:space="0" w:color="414142"/>
            </w:tcBorders>
            <w:hideMark/>
          </w:tcPr>
          <w:p w14:paraId="6ED8BC8E"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CCUH</w:t>
            </w:r>
          </w:p>
        </w:tc>
        <w:tc>
          <w:tcPr>
            <w:tcW w:w="300" w:type="pct"/>
            <w:tcBorders>
              <w:top w:val="outset" w:sz="6" w:space="0" w:color="414142"/>
              <w:left w:val="outset" w:sz="6" w:space="0" w:color="414142"/>
              <w:bottom w:val="outset" w:sz="6" w:space="0" w:color="414142"/>
              <w:right w:val="outset" w:sz="6" w:space="0" w:color="414142"/>
            </w:tcBorders>
            <w:hideMark/>
          </w:tcPr>
          <w:p w14:paraId="0BC68448"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w:t>
            </w:r>
          </w:p>
          <w:p w14:paraId="59CD78D3"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of 2029</w:t>
            </w:r>
          </w:p>
        </w:tc>
      </w:tr>
      <w:tr w:rsidR="00114699" w:rsidRPr="00504A2B" w14:paraId="22C9AE6B"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14D149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3.4.</w:t>
            </w:r>
          </w:p>
        </w:tc>
        <w:tc>
          <w:tcPr>
            <w:tcW w:w="1250" w:type="pct"/>
            <w:tcBorders>
              <w:top w:val="outset" w:sz="6" w:space="0" w:color="414142"/>
              <w:left w:val="outset" w:sz="6" w:space="0" w:color="414142"/>
              <w:bottom w:val="outset" w:sz="6" w:space="0" w:color="414142"/>
              <w:right w:val="outset" w:sz="6" w:space="0" w:color="414142"/>
            </w:tcBorders>
            <w:hideMark/>
          </w:tcPr>
          <w:p w14:paraId="151B173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establish weight correction units for children with a multi-professional team in regional hospitals.</w:t>
            </w:r>
          </w:p>
        </w:tc>
        <w:tc>
          <w:tcPr>
            <w:tcW w:w="850" w:type="pct"/>
            <w:tcBorders>
              <w:top w:val="outset" w:sz="6" w:space="0" w:color="414142"/>
              <w:left w:val="outset" w:sz="6" w:space="0" w:color="414142"/>
              <w:bottom w:val="outset" w:sz="6" w:space="0" w:color="414142"/>
              <w:right w:val="outset" w:sz="6" w:space="0" w:color="414142"/>
            </w:tcBorders>
            <w:hideMark/>
          </w:tcPr>
          <w:p w14:paraId="4B570561"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Children in the regions have access to comprehensive weight correction services under the guidance of a multi-professional team to ensure effective and safe weight reduction.</w:t>
            </w:r>
          </w:p>
        </w:tc>
        <w:tc>
          <w:tcPr>
            <w:tcW w:w="1400" w:type="pct"/>
            <w:tcBorders>
              <w:top w:val="outset" w:sz="6" w:space="0" w:color="414142"/>
              <w:left w:val="outset" w:sz="6" w:space="0" w:color="414142"/>
              <w:bottom w:val="outset" w:sz="6" w:space="0" w:color="414142"/>
              <w:right w:val="outset" w:sz="6" w:space="0" w:color="414142"/>
            </w:tcBorders>
            <w:hideMark/>
          </w:tcPr>
          <w:p w14:paraId="647636F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three other weight correction units for children with obesity have been established in regional hospitals in order to ensure access to weight correction services in regions.</w:t>
            </w:r>
          </w:p>
        </w:tc>
        <w:tc>
          <w:tcPr>
            <w:tcW w:w="400" w:type="pct"/>
            <w:tcBorders>
              <w:top w:val="outset" w:sz="6" w:space="0" w:color="414142"/>
              <w:left w:val="outset" w:sz="6" w:space="0" w:color="414142"/>
              <w:bottom w:val="outset" w:sz="6" w:space="0" w:color="414142"/>
              <w:right w:val="outset" w:sz="6" w:space="0" w:color="414142"/>
            </w:tcBorders>
            <w:hideMark/>
          </w:tcPr>
          <w:p w14:paraId="2628CFE5"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NHS</w:t>
            </w:r>
          </w:p>
        </w:tc>
        <w:tc>
          <w:tcPr>
            <w:tcW w:w="450" w:type="pct"/>
            <w:tcBorders>
              <w:top w:val="outset" w:sz="6" w:space="0" w:color="414142"/>
              <w:left w:val="outset" w:sz="6" w:space="0" w:color="414142"/>
              <w:bottom w:val="outset" w:sz="6" w:space="0" w:color="414142"/>
              <w:right w:val="outset" w:sz="6" w:space="0" w:color="414142"/>
            </w:tcBorders>
            <w:hideMark/>
          </w:tcPr>
          <w:p w14:paraId="06BC5651"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CCUH, medical treatment institutions</w:t>
            </w:r>
          </w:p>
        </w:tc>
        <w:tc>
          <w:tcPr>
            <w:tcW w:w="300" w:type="pct"/>
            <w:tcBorders>
              <w:top w:val="outset" w:sz="6" w:space="0" w:color="414142"/>
              <w:left w:val="outset" w:sz="6" w:space="0" w:color="414142"/>
              <w:bottom w:val="outset" w:sz="6" w:space="0" w:color="414142"/>
              <w:right w:val="outset" w:sz="6" w:space="0" w:color="414142"/>
            </w:tcBorders>
            <w:hideMark/>
          </w:tcPr>
          <w:p w14:paraId="024817E7"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2029</w:t>
            </w:r>
          </w:p>
        </w:tc>
      </w:tr>
      <w:tr w:rsidR="00114699" w:rsidRPr="00504A2B" w14:paraId="4E2113E7"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2E350CE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3.5.</w:t>
            </w:r>
          </w:p>
        </w:tc>
        <w:tc>
          <w:tcPr>
            <w:tcW w:w="1250" w:type="pct"/>
            <w:tcBorders>
              <w:top w:val="outset" w:sz="6" w:space="0" w:color="414142"/>
              <w:left w:val="outset" w:sz="6" w:space="0" w:color="414142"/>
              <w:bottom w:val="outset" w:sz="6" w:space="0" w:color="414142"/>
              <w:right w:val="outset" w:sz="6" w:space="0" w:color="414142"/>
            </w:tcBorders>
            <w:hideMark/>
          </w:tcPr>
          <w:p w14:paraId="443BBB3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implement a pilot project on establishing a unit for weight reduction in adults under the guidance of a multi-professional team.</w:t>
            </w:r>
          </w:p>
        </w:tc>
        <w:tc>
          <w:tcPr>
            <w:tcW w:w="850" w:type="pct"/>
            <w:tcBorders>
              <w:top w:val="outset" w:sz="6" w:space="0" w:color="414142"/>
              <w:left w:val="outset" w:sz="6" w:space="0" w:color="414142"/>
              <w:bottom w:val="outset" w:sz="6" w:space="0" w:color="414142"/>
              <w:right w:val="outset" w:sz="6" w:space="0" w:color="414142"/>
            </w:tcBorders>
            <w:hideMark/>
          </w:tcPr>
          <w:p w14:paraId="428A6F5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Treatment options for obesity in adult patients have been improved.</w:t>
            </w:r>
          </w:p>
        </w:tc>
        <w:tc>
          <w:tcPr>
            <w:tcW w:w="1400" w:type="pct"/>
            <w:tcBorders>
              <w:top w:val="outset" w:sz="6" w:space="0" w:color="414142"/>
              <w:left w:val="outset" w:sz="6" w:space="0" w:color="414142"/>
              <w:bottom w:val="outset" w:sz="6" w:space="0" w:color="414142"/>
              <w:right w:val="outset" w:sz="6" w:space="0" w:color="414142"/>
            </w:tcBorders>
            <w:hideMark/>
          </w:tcPr>
          <w:p w14:paraId="53DE638D"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 pilot project on establishing a unit for weight reduction in adults with obesity under the guidance of a multi-professional team has been implemented.</w:t>
            </w:r>
          </w:p>
        </w:tc>
        <w:tc>
          <w:tcPr>
            <w:tcW w:w="400" w:type="pct"/>
            <w:tcBorders>
              <w:top w:val="outset" w:sz="6" w:space="0" w:color="414142"/>
              <w:left w:val="outset" w:sz="6" w:space="0" w:color="414142"/>
              <w:bottom w:val="outset" w:sz="6" w:space="0" w:color="414142"/>
              <w:right w:val="outset" w:sz="6" w:space="0" w:color="414142"/>
            </w:tcBorders>
            <w:hideMark/>
          </w:tcPr>
          <w:p w14:paraId="159DF73C"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NHS</w:t>
            </w:r>
          </w:p>
        </w:tc>
        <w:tc>
          <w:tcPr>
            <w:tcW w:w="450" w:type="pct"/>
            <w:tcBorders>
              <w:top w:val="outset" w:sz="6" w:space="0" w:color="414142"/>
              <w:left w:val="outset" w:sz="6" w:space="0" w:color="414142"/>
              <w:bottom w:val="outset" w:sz="6" w:space="0" w:color="414142"/>
              <w:right w:val="outset" w:sz="6" w:space="0" w:color="414142"/>
            </w:tcBorders>
            <w:hideMark/>
          </w:tcPr>
          <w:p w14:paraId="6822788F"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medical treatment institutions</w:t>
            </w:r>
          </w:p>
        </w:tc>
        <w:tc>
          <w:tcPr>
            <w:tcW w:w="300" w:type="pct"/>
            <w:tcBorders>
              <w:top w:val="outset" w:sz="6" w:space="0" w:color="414142"/>
              <w:left w:val="outset" w:sz="6" w:space="0" w:color="414142"/>
              <w:bottom w:val="outset" w:sz="6" w:space="0" w:color="414142"/>
              <w:right w:val="outset" w:sz="6" w:space="0" w:color="414142"/>
            </w:tcBorders>
            <w:hideMark/>
          </w:tcPr>
          <w:p w14:paraId="0D77F5E5"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2029</w:t>
            </w:r>
          </w:p>
        </w:tc>
      </w:tr>
      <w:tr w:rsidR="00114699" w:rsidRPr="00504A2B" w14:paraId="3D41B92A" w14:textId="77777777" w:rsidTr="00335C97">
        <w:tc>
          <w:tcPr>
            <w:tcW w:w="100" w:type="pct"/>
            <w:vMerge w:val="restart"/>
            <w:tcBorders>
              <w:top w:val="outset" w:sz="6" w:space="0" w:color="414142"/>
              <w:left w:val="outset" w:sz="6" w:space="0" w:color="414142"/>
              <w:bottom w:val="outset" w:sz="6" w:space="0" w:color="414142"/>
              <w:right w:val="outset" w:sz="6" w:space="0" w:color="414142"/>
            </w:tcBorders>
            <w:hideMark/>
          </w:tcPr>
          <w:p w14:paraId="66056A3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3.6.</w:t>
            </w:r>
          </w:p>
        </w:tc>
        <w:tc>
          <w:tcPr>
            <w:tcW w:w="1250" w:type="pct"/>
            <w:tcBorders>
              <w:top w:val="outset" w:sz="6" w:space="0" w:color="414142"/>
              <w:left w:val="outset" w:sz="6" w:space="0" w:color="414142"/>
              <w:bottom w:val="outset" w:sz="6" w:space="0" w:color="414142"/>
              <w:right w:val="outset" w:sz="6" w:space="0" w:color="414142"/>
            </w:tcBorders>
            <w:hideMark/>
          </w:tcPr>
          <w:p w14:paraId="78C8D65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3.6.1. To implement a pilot project on State-funded bariatric surgeries for patients with severe long-term obesity and chronic diseases who require weight reduction to improve their health status.</w:t>
            </w:r>
          </w:p>
        </w:tc>
        <w:tc>
          <w:tcPr>
            <w:tcW w:w="850" w:type="pct"/>
            <w:tcBorders>
              <w:top w:val="outset" w:sz="6" w:space="0" w:color="414142"/>
              <w:left w:val="outset" w:sz="6" w:space="0" w:color="414142"/>
              <w:bottom w:val="outset" w:sz="6" w:space="0" w:color="414142"/>
              <w:right w:val="outset" w:sz="6" w:space="0" w:color="414142"/>
            </w:tcBorders>
            <w:hideMark/>
          </w:tcPr>
          <w:p w14:paraId="4BD47677"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Patients with severe long-term obesity and chronic diseases may, following a decision of the medical panel, undergo a bariatric surgery that will improve the health status and quality of life of the patients in the long term.</w:t>
            </w:r>
          </w:p>
        </w:tc>
        <w:tc>
          <w:tcPr>
            <w:tcW w:w="1400" w:type="pct"/>
            <w:tcBorders>
              <w:top w:val="outset" w:sz="6" w:space="0" w:color="414142"/>
              <w:left w:val="outset" w:sz="6" w:space="0" w:color="414142"/>
              <w:bottom w:val="outset" w:sz="6" w:space="0" w:color="414142"/>
              <w:right w:val="outset" w:sz="6" w:space="0" w:color="414142"/>
            </w:tcBorders>
            <w:hideMark/>
          </w:tcPr>
          <w:p w14:paraId="30D1949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Within the scope of the pilot project, 250 patients with severe long-term obesity and chronic diseases who require weight reduction to improve their health status have undergone a bariatric surgery following a decision of the medical panel.</w:t>
            </w:r>
          </w:p>
        </w:tc>
        <w:tc>
          <w:tcPr>
            <w:tcW w:w="400" w:type="pct"/>
            <w:tcBorders>
              <w:top w:val="outset" w:sz="6" w:space="0" w:color="414142"/>
              <w:left w:val="outset" w:sz="6" w:space="0" w:color="414142"/>
              <w:bottom w:val="outset" w:sz="6" w:space="0" w:color="414142"/>
              <w:right w:val="outset" w:sz="6" w:space="0" w:color="414142"/>
            </w:tcBorders>
            <w:hideMark/>
          </w:tcPr>
          <w:p w14:paraId="733D3047"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0D71F714"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NHS</w:t>
            </w:r>
          </w:p>
        </w:tc>
        <w:tc>
          <w:tcPr>
            <w:tcW w:w="300" w:type="pct"/>
            <w:tcBorders>
              <w:top w:val="outset" w:sz="6" w:space="0" w:color="414142"/>
              <w:left w:val="outset" w:sz="6" w:space="0" w:color="414142"/>
              <w:bottom w:val="outset" w:sz="6" w:space="0" w:color="414142"/>
              <w:right w:val="outset" w:sz="6" w:space="0" w:color="414142"/>
            </w:tcBorders>
            <w:hideMark/>
          </w:tcPr>
          <w:p w14:paraId="6820614D"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1</w:t>
            </w:r>
            <w:r>
              <w:rPr>
                <w:rFonts w:ascii="Times New Roman" w:hAnsi="Times New Roman"/>
                <w:sz w:val="22"/>
                <w:vertAlign w:val="superscript"/>
              </w:rPr>
              <w:t>st</w:t>
            </w:r>
            <w:r>
              <w:rPr>
                <w:rFonts w:ascii="Times New Roman" w:hAnsi="Times New Roman"/>
                <w:sz w:val="22"/>
              </w:rPr>
              <w:t xml:space="preserve"> half of 2026</w:t>
            </w:r>
          </w:p>
        </w:tc>
      </w:tr>
      <w:tr w:rsidR="00114699" w:rsidRPr="00504A2B" w14:paraId="320BF365" w14:textId="77777777" w:rsidTr="00335C9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695335"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6CA9CEA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3.6.2. To provide State-funded bariatric surgeries for patients with severe long-term </w:t>
            </w:r>
            <w:r>
              <w:rPr>
                <w:rFonts w:ascii="Times New Roman" w:hAnsi="Times New Roman"/>
                <w:sz w:val="22"/>
              </w:rPr>
              <w:lastRenderedPageBreak/>
              <w:t>obesity and chronic diseases who require weight reduction to improve their health status.</w:t>
            </w:r>
          </w:p>
        </w:tc>
        <w:tc>
          <w:tcPr>
            <w:tcW w:w="850" w:type="pct"/>
            <w:tcBorders>
              <w:top w:val="outset" w:sz="6" w:space="0" w:color="414142"/>
              <w:left w:val="outset" w:sz="6" w:space="0" w:color="414142"/>
              <w:bottom w:val="outset" w:sz="6" w:space="0" w:color="414142"/>
              <w:right w:val="outset" w:sz="6" w:space="0" w:color="414142"/>
            </w:tcBorders>
            <w:hideMark/>
          </w:tcPr>
          <w:p w14:paraId="4969B19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Patients with severe long-term obesity and chronic diseases may, following a </w:t>
            </w:r>
            <w:r>
              <w:rPr>
                <w:rFonts w:ascii="Times New Roman" w:hAnsi="Times New Roman"/>
                <w:sz w:val="22"/>
              </w:rPr>
              <w:lastRenderedPageBreak/>
              <w:t>decision of the medical panel, undergo a bariatric surgery that will improve the health status and quality of life of the patients in the long term.</w:t>
            </w:r>
          </w:p>
        </w:tc>
        <w:tc>
          <w:tcPr>
            <w:tcW w:w="1400" w:type="pct"/>
            <w:tcBorders>
              <w:top w:val="outset" w:sz="6" w:space="0" w:color="414142"/>
              <w:left w:val="outset" w:sz="6" w:space="0" w:color="414142"/>
              <w:bottom w:val="outset" w:sz="6" w:space="0" w:color="414142"/>
              <w:right w:val="outset" w:sz="6" w:space="0" w:color="414142"/>
            </w:tcBorders>
            <w:hideMark/>
          </w:tcPr>
          <w:p w14:paraId="76CDB381"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 xml:space="preserve">250 patients with severe long-term obesity and chronic diseases who require weight </w:t>
            </w:r>
            <w:r>
              <w:rPr>
                <w:rFonts w:ascii="Times New Roman" w:hAnsi="Times New Roman"/>
                <w:sz w:val="22"/>
              </w:rPr>
              <w:lastRenderedPageBreak/>
              <w:t>reduction to improve their health status have undergone a bariatric surgery following a decision of the medical panel annually.</w:t>
            </w:r>
          </w:p>
        </w:tc>
        <w:tc>
          <w:tcPr>
            <w:tcW w:w="400" w:type="pct"/>
            <w:tcBorders>
              <w:top w:val="outset" w:sz="6" w:space="0" w:color="414142"/>
              <w:left w:val="outset" w:sz="6" w:space="0" w:color="414142"/>
              <w:bottom w:val="outset" w:sz="6" w:space="0" w:color="414142"/>
              <w:right w:val="outset" w:sz="6" w:space="0" w:color="414142"/>
            </w:tcBorders>
            <w:hideMark/>
          </w:tcPr>
          <w:p w14:paraId="4C6C6608"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lastRenderedPageBreak/>
              <w:t>MoH</w:t>
            </w:r>
          </w:p>
        </w:tc>
        <w:tc>
          <w:tcPr>
            <w:tcW w:w="450" w:type="pct"/>
            <w:tcBorders>
              <w:top w:val="outset" w:sz="6" w:space="0" w:color="414142"/>
              <w:left w:val="outset" w:sz="6" w:space="0" w:color="414142"/>
              <w:bottom w:val="outset" w:sz="6" w:space="0" w:color="414142"/>
              <w:right w:val="outset" w:sz="6" w:space="0" w:color="414142"/>
            </w:tcBorders>
            <w:hideMark/>
          </w:tcPr>
          <w:p w14:paraId="759318A5"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NHS</w:t>
            </w:r>
          </w:p>
        </w:tc>
        <w:tc>
          <w:tcPr>
            <w:tcW w:w="300" w:type="pct"/>
            <w:tcBorders>
              <w:top w:val="outset" w:sz="6" w:space="0" w:color="414142"/>
              <w:left w:val="outset" w:sz="6" w:space="0" w:color="414142"/>
              <w:bottom w:val="outset" w:sz="6" w:space="0" w:color="414142"/>
              <w:right w:val="outset" w:sz="6" w:space="0" w:color="414142"/>
            </w:tcBorders>
            <w:hideMark/>
          </w:tcPr>
          <w:p w14:paraId="272566AE"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w:t>
            </w:r>
          </w:p>
          <w:p w14:paraId="60E0FB0C"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of 2029</w:t>
            </w:r>
          </w:p>
        </w:tc>
      </w:tr>
      <w:tr w:rsidR="00114699" w:rsidRPr="00504A2B" w14:paraId="0957A207"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0F85431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3.7.</w:t>
            </w:r>
          </w:p>
        </w:tc>
        <w:tc>
          <w:tcPr>
            <w:tcW w:w="1250" w:type="pct"/>
            <w:tcBorders>
              <w:top w:val="outset" w:sz="6" w:space="0" w:color="414142"/>
              <w:left w:val="outset" w:sz="6" w:space="0" w:color="414142"/>
              <w:bottom w:val="outset" w:sz="6" w:space="0" w:color="414142"/>
              <w:right w:val="outset" w:sz="6" w:space="0" w:color="414142"/>
            </w:tcBorders>
            <w:hideMark/>
          </w:tcPr>
          <w:p w14:paraId="066B4AD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assess the possibility of reimbursing medications for patients with severe obesity.</w:t>
            </w:r>
          </w:p>
        </w:tc>
        <w:tc>
          <w:tcPr>
            <w:tcW w:w="850" w:type="pct"/>
            <w:tcBorders>
              <w:top w:val="outset" w:sz="6" w:space="0" w:color="414142"/>
              <w:left w:val="outset" w:sz="6" w:space="0" w:color="414142"/>
              <w:bottom w:val="outset" w:sz="6" w:space="0" w:color="414142"/>
              <w:right w:val="outset" w:sz="6" w:space="0" w:color="414142"/>
            </w:tcBorders>
            <w:hideMark/>
          </w:tcPr>
          <w:p w14:paraId="5D237F4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possibility of ensuring State-funded reimbursement of pharmacological treatment for weight correction in patients with severe obesity has been assessed which would improve the effectiveness of treatment and reduce the risk of complications.</w:t>
            </w:r>
          </w:p>
        </w:tc>
        <w:tc>
          <w:tcPr>
            <w:tcW w:w="1400" w:type="pct"/>
            <w:tcBorders>
              <w:top w:val="outset" w:sz="6" w:space="0" w:color="414142"/>
              <w:left w:val="outset" w:sz="6" w:space="0" w:color="414142"/>
              <w:bottom w:val="outset" w:sz="6" w:space="0" w:color="414142"/>
              <w:right w:val="outset" w:sz="6" w:space="0" w:color="414142"/>
            </w:tcBorders>
            <w:hideMark/>
          </w:tcPr>
          <w:p w14:paraId="35D7EC0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Assessment of the possibility of reimbursing medications for weight correction in patients with severe obesity has been carried out.</w:t>
            </w:r>
          </w:p>
        </w:tc>
        <w:tc>
          <w:tcPr>
            <w:tcW w:w="400" w:type="pct"/>
            <w:tcBorders>
              <w:top w:val="outset" w:sz="6" w:space="0" w:color="414142"/>
              <w:left w:val="outset" w:sz="6" w:space="0" w:color="414142"/>
              <w:bottom w:val="outset" w:sz="6" w:space="0" w:color="414142"/>
              <w:right w:val="outset" w:sz="6" w:space="0" w:color="414142"/>
            </w:tcBorders>
            <w:hideMark/>
          </w:tcPr>
          <w:p w14:paraId="37871C84"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w:t>
            </w:r>
          </w:p>
        </w:tc>
        <w:tc>
          <w:tcPr>
            <w:tcW w:w="450" w:type="pct"/>
            <w:tcBorders>
              <w:top w:val="outset" w:sz="6" w:space="0" w:color="414142"/>
              <w:left w:val="outset" w:sz="6" w:space="0" w:color="414142"/>
              <w:bottom w:val="outset" w:sz="6" w:space="0" w:color="414142"/>
              <w:right w:val="outset" w:sz="6" w:space="0" w:color="414142"/>
            </w:tcBorders>
            <w:hideMark/>
          </w:tcPr>
          <w:p w14:paraId="555DC879"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NHS</w:t>
            </w:r>
          </w:p>
        </w:tc>
        <w:tc>
          <w:tcPr>
            <w:tcW w:w="300" w:type="pct"/>
            <w:tcBorders>
              <w:top w:val="outset" w:sz="6" w:space="0" w:color="414142"/>
              <w:left w:val="outset" w:sz="6" w:space="0" w:color="414142"/>
              <w:bottom w:val="outset" w:sz="6" w:space="0" w:color="414142"/>
              <w:right w:val="outset" w:sz="6" w:space="0" w:color="414142"/>
            </w:tcBorders>
            <w:hideMark/>
          </w:tcPr>
          <w:p w14:paraId="09E09F9B"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4BA0FAF2"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01EF9A2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3.8.</w:t>
            </w:r>
          </w:p>
        </w:tc>
        <w:tc>
          <w:tcPr>
            <w:tcW w:w="1250" w:type="pct"/>
            <w:tcBorders>
              <w:top w:val="outset" w:sz="6" w:space="0" w:color="414142"/>
              <w:left w:val="outset" w:sz="6" w:space="0" w:color="414142"/>
              <w:bottom w:val="outset" w:sz="6" w:space="0" w:color="414142"/>
              <w:right w:val="outset" w:sz="6" w:space="0" w:color="414142"/>
            </w:tcBorders>
            <w:hideMark/>
          </w:tcPr>
          <w:p w14:paraId="5FFA433A"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improve the understanding of the Latvian population of the rational use of dietary supplements and medications (including for weight reduction purposes), and also risks in cases where these products are of unknown origin, unregistered, or unverified.</w:t>
            </w:r>
          </w:p>
        </w:tc>
        <w:tc>
          <w:tcPr>
            <w:tcW w:w="850" w:type="pct"/>
            <w:tcBorders>
              <w:top w:val="outset" w:sz="6" w:space="0" w:color="414142"/>
              <w:left w:val="outset" w:sz="6" w:space="0" w:color="414142"/>
              <w:bottom w:val="outset" w:sz="6" w:space="0" w:color="414142"/>
              <w:right w:val="outset" w:sz="6" w:space="0" w:color="414142"/>
            </w:tcBorders>
            <w:hideMark/>
          </w:tcPr>
          <w:p w14:paraId="1EF1FF9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understanding of individuals of the use of dietary supplements and medications has been improved.</w:t>
            </w:r>
          </w:p>
        </w:tc>
        <w:tc>
          <w:tcPr>
            <w:tcW w:w="1400" w:type="pct"/>
            <w:tcBorders>
              <w:top w:val="outset" w:sz="6" w:space="0" w:color="414142"/>
              <w:left w:val="outset" w:sz="6" w:space="0" w:color="414142"/>
              <w:bottom w:val="outset" w:sz="6" w:space="0" w:color="414142"/>
              <w:right w:val="outset" w:sz="6" w:space="0" w:color="414142"/>
            </w:tcBorders>
            <w:hideMark/>
          </w:tcPr>
          <w:p w14:paraId="44E6DD1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three public awareness activities have been implemented to educate individuals about the risks associated with the use of dietary supplements and medications, including for weight reduction purposes, in cases where these products are of unknown origin, unregistered, or unverified and are used without objective justification.</w:t>
            </w:r>
          </w:p>
        </w:tc>
        <w:tc>
          <w:tcPr>
            <w:tcW w:w="400" w:type="pct"/>
            <w:tcBorders>
              <w:top w:val="outset" w:sz="6" w:space="0" w:color="414142"/>
              <w:left w:val="outset" w:sz="6" w:space="0" w:color="414142"/>
              <w:bottom w:val="outset" w:sz="6" w:space="0" w:color="414142"/>
              <w:right w:val="outset" w:sz="6" w:space="0" w:color="414142"/>
            </w:tcBorders>
            <w:hideMark/>
          </w:tcPr>
          <w:p w14:paraId="67BD36D0"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MoA, MoH, LAB, SAM</w:t>
            </w:r>
          </w:p>
        </w:tc>
        <w:tc>
          <w:tcPr>
            <w:tcW w:w="450" w:type="pct"/>
            <w:tcBorders>
              <w:top w:val="outset" w:sz="6" w:space="0" w:color="414142"/>
              <w:left w:val="outset" w:sz="6" w:space="0" w:color="414142"/>
              <w:bottom w:val="outset" w:sz="6" w:space="0" w:color="414142"/>
              <w:right w:val="outset" w:sz="6" w:space="0" w:color="414142"/>
            </w:tcBorders>
            <w:hideMark/>
          </w:tcPr>
          <w:p w14:paraId="60ECB9E1"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CDPC, FVS, BIOR</w:t>
            </w:r>
          </w:p>
        </w:tc>
        <w:tc>
          <w:tcPr>
            <w:tcW w:w="300" w:type="pct"/>
            <w:tcBorders>
              <w:top w:val="outset" w:sz="6" w:space="0" w:color="414142"/>
              <w:left w:val="outset" w:sz="6" w:space="0" w:color="414142"/>
              <w:bottom w:val="outset" w:sz="6" w:space="0" w:color="414142"/>
              <w:right w:val="outset" w:sz="6" w:space="0" w:color="414142"/>
            </w:tcBorders>
            <w:hideMark/>
          </w:tcPr>
          <w:p w14:paraId="74A3D14A"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2027</w:t>
            </w:r>
          </w:p>
        </w:tc>
      </w:tr>
      <w:tr w:rsidR="00114699" w:rsidRPr="00504A2B" w14:paraId="1E3126DB" w14:textId="77777777" w:rsidTr="00335C97">
        <w:tc>
          <w:tcPr>
            <w:tcW w:w="100" w:type="pct"/>
            <w:vMerge w:val="restart"/>
            <w:tcBorders>
              <w:top w:val="outset" w:sz="6" w:space="0" w:color="414142"/>
              <w:left w:val="outset" w:sz="6" w:space="0" w:color="414142"/>
              <w:bottom w:val="outset" w:sz="6" w:space="0" w:color="414142"/>
              <w:right w:val="outset" w:sz="6" w:space="0" w:color="414142"/>
            </w:tcBorders>
            <w:hideMark/>
          </w:tcPr>
          <w:p w14:paraId="79C7E18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3.9.</w:t>
            </w:r>
          </w:p>
        </w:tc>
        <w:tc>
          <w:tcPr>
            <w:tcW w:w="1250" w:type="pct"/>
            <w:tcBorders>
              <w:top w:val="outset" w:sz="6" w:space="0" w:color="414142"/>
              <w:left w:val="outset" w:sz="6" w:space="0" w:color="414142"/>
              <w:bottom w:val="outset" w:sz="6" w:space="0" w:color="414142"/>
              <w:right w:val="outset" w:sz="6" w:space="0" w:color="414142"/>
            </w:tcBorders>
            <w:hideMark/>
          </w:tcPr>
          <w:p w14:paraId="0423695C"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3.9.1. To provide informative support regarding weight stigma and its negative impact in order to promote understanding and action to address weight bias and </w:t>
            </w:r>
            <w:r>
              <w:rPr>
                <w:rFonts w:ascii="Times New Roman" w:hAnsi="Times New Roman"/>
                <w:sz w:val="22"/>
              </w:rPr>
              <w:lastRenderedPageBreak/>
              <w:t>obstacles caused by it.</w:t>
            </w:r>
          </w:p>
        </w:tc>
        <w:tc>
          <w:tcPr>
            <w:tcW w:w="850" w:type="pct"/>
            <w:tcBorders>
              <w:top w:val="outset" w:sz="6" w:space="0" w:color="414142"/>
              <w:left w:val="outset" w:sz="6" w:space="0" w:color="414142"/>
              <w:bottom w:val="outset" w:sz="6" w:space="0" w:color="414142"/>
              <w:right w:val="outset" w:sz="6" w:space="0" w:color="414142"/>
            </w:tcBorders>
            <w:hideMark/>
          </w:tcPr>
          <w:p w14:paraId="5D8DB12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lastRenderedPageBreak/>
              <w:t>Public understanding of weight stigma has been improved, and also action to address weight bias and obstacles caused by it has been promoted.</w:t>
            </w:r>
          </w:p>
        </w:tc>
        <w:tc>
          <w:tcPr>
            <w:tcW w:w="1400" w:type="pct"/>
            <w:tcBorders>
              <w:top w:val="outset" w:sz="6" w:space="0" w:color="414142"/>
              <w:left w:val="outset" w:sz="6" w:space="0" w:color="414142"/>
              <w:bottom w:val="outset" w:sz="6" w:space="0" w:color="414142"/>
              <w:right w:val="outset" w:sz="6" w:space="0" w:color="414142"/>
            </w:tcBorders>
            <w:hideMark/>
          </w:tcPr>
          <w:p w14:paraId="1FD32BD9"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At least one informative material on weight stigma and its negative impact has been provided, including information on assistance and support options.</w:t>
            </w:r>
          </w:p>
        </w:tc>
        <w:tc>
          <w:tcPr>
            <w:tcW w:w="400" w:type="pct"/>
            <w:tcBorders>
              <w:top w:val="outset" w:sz="6" w:space="0" w:color="414142"/>
              <w:left w:val="outset" w:sz="6" w:space="0" w:color="414142"/>
              <w:bottom w:val="outset" w:sz="6" w:space="0" w:color="414142"/>
              <w:right w:val="outset" w:sz="6" w:space="0" w:color="414142"/>
            </w:tcBorders>
            <w:hideMark/>
          </w:tcPr>
          <w:p w14:paraId="0345DA29"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29CEFE75"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NGOs</w:t>
            </w:r>
          </w:p>
        </w:tc>
        <w:tc>
          <w:tcPr>
            <w:tcW w:w="300" w:type="pct"/>
            <w:tcBorders>
              <w:top w:val="outset" w:sz="6" w:space="0" w:color="414142"/>
              <w:left w:val="outset" w:sz="6" w:space="0" w:color="414142"/>
              <w:bottom w:val="outset" w:sz="6" w:space="0" w:color="414142"/>
              <w:right w:val="outset" w:sz="6" w:space="0" w:color="414142"/>
            </w:tcBorders>
            <w:hideMark/>
          </w:tcPr>
          <w:p w14:paraId="0504A4C1"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2026</w:t>
            </w:r>
          </w:p>
        </w:tc>
      </w:tr>
      <w:tr w:rsidR="00114699" w:rsidRPr="00504A2B" w14:paraId="795204E8" w14:textId="77777777" w:rsidTr="00335C9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AC4F83"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13733806"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3.9.2. To identify and assess possibilities of ensuring support tools to patients with obesity to reduce weight stigma.</w:t>
            </w:r>
          </w:p>
        </w:tc>
        <w:tc>
          <w:tcPr>
            <w:tcW w:w="850" w:type="pct"/>
            <w:tcBorders>
              <w:top w:val="outset" w:sz="6" w:space="0" w:color="414142"/>
              <w:left w:val="outset" w:sz="6" w:space="0" w:color="414142"/>
              <w:bottom w:val="outset" w:sz="6" w:space="0" w:color="414142"/>
              <w:right w:val="outset" w:sz="6" w:space="0" w:color="414142"/>
            </w:tcBorders>
            <w:hideMark/>
          </w:tcPr>
          <w:p w14:paraId="4638F31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Possibilities of providing support to patients with obesity to reduce weight stigma have been identified.</w:t>
            </w:r>
          </w:p>
        </w:tc>
        <w:tc>
          <w:tcPr>
            <w:tcW w:w="1400" w:type="pct"/>
            <w:tcBorders>
              <w:top w:val="outset" w:sz="6" w:space="0" w:color="414142"/>
              <w:left w:val="outset" w:sz="6" w:space="0" w:color="414142"/>
              <w:bottom w:val="outset" w:sz="6" w:space="0" w:color="414142"/>
              <w:right w:val="outset" w:sz="6" w:space="0" w:color="414142"/>
            </w:tcBorders>
            <w:hideMark/>
          </w:tcPr>
          <w:p w14:paraId="11D2294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Possibilities have been identified and assessed, preparing proposals for ensuring support to patients with obesity in addressing weight stigma.</w:t>
            </w:r>
          </w:p>
        </w:tc>
        <w:tc>
          <w:tcPr>
            <w:tcW w:w="400" w:type="pct"/>
            <w:tcBorders>
              <w:top w:val="outset" w:sz="6" w:space="0" w:color="414142"/>
              <w:left w:val="outset" w:sz="6" w:space="0" w:color="414142"/>
              <w:bottom w:val="outset" w:sz="6" w:space="0" w:color="414142"/>
              <w:right w:val="outset" w:sz="6" w:space="0" w:color="414142"/>
            </w:tcBorders>
            <w:hideMark/>
          </w:tcPr>
          <w:p w14:paraId="46852DB4"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7E3727BB"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NGOs</w:t>
            </w:r>
          </w:p>
        </w:tc>
        <w:tc>
          <w:tcPr>
            <w:tcW w:w="300" w:type="pct"/>
            <w:tcBorders>
              <w:top w:val="outset" w:sz="6" w:space="0" w:color="414142"/>
              <w:left w:val="outset" w:sz="6" w:space="0" w:color="414142"/>
              <w:bottom w:val="outset" w:sz="6" w:space="0" w:color="414142"/>
              <w:right w:val="outset" w:sz="6" w:space="0" w:color="414142"/>
            </w:tcBorders>
            <w:hideMark/>
          </w:tcPr>
          <w:p w14:paraId="24FC2CDE"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2027</w:t>
            </w:r>
          </w:p>
        </w:tc>
      </w:tr>
      <w:tr w:rsidR="00114699" w:rsidRPr="00504A2B" w14:paraId="6722DF92"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5A93245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3.10.</w:t>
            </w:r>
          </w:p>
        </w:tc>
        <w:tc>
          <w:tcPr>
            <w:tcW w:w="1250" w:type="pct"/>
            <w:tcBorders>
              <w:top w:val="outset" w:sz="6" w:space="0" w:color="414142"/>
              <w:left w:val="outset" w:sz="6" w:space="0" w:color="414142"/>
              <w:bottom w:val="outset" w:sz="6" w:space="0" w:color="414142"/>
              <w:right w:val="outset" w:sz="6" w:space="0" w:color="414142"/>
            </w:tcBorders>
            <w:hideMark/>
          </w:tcPr>
          <w:p w14:paraId="59E581A8"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assess the possibility of ensuring a State-funded service titled “Menu Preparation” provided by nutritionists, developing a service tariff.</w:t>
            </w:r>
          </w:p>
        </w:tc>
        <w:tc>
          <w:tcPr>
            <w:tcW w:w="850" w:type="pct"/>
            <w:tcBorders>
              <w:top w:val="outset" w:sz="6" w:space="0" w:color="414142"/>
              <w:left w:val="outset" w:sz="6" w:space="0" w:color="414142"/>
              <w:bottom w:val="outset" w:sz="6" w:space="0" w:color="414142"/>
              <w:right w:val="outset" w:sz="6" w:space="0" w:color="414142"/>
            </w:tcBorders>
            <w:hideMark/>
          </w:tcPr>
          <w:p w14:paraId="54ABED6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possibility of expanding the range of State-funded services provided by nutritionists has been assessed.</w:t>
            </w:r>
          </w:p>
        </w:tc>
        <w:tc>
          <w:tcPr>
            <w:tcW w:w="1400" w:type="pct"/>
            <w:tcBorders>
              <w:top w:val="outset" w:sz="6" w:space="0" w:color="414142"/>
              <w:left w:val="outset" w:sz="6" w:space="0" w:color="414142"/>
              <w:bottom w:val="outset" w:sz="6" w:space="0" w:color="414142"/>
              <w:right w:val="outset" w:sz="6" w:space="0" w:color="414142"/>
            </w:tcBorders>
            <w:hideMark/>
          </w:tcPr>
          <w:p w14:paraId="62BEC34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 tariff has been set for the “Menu Preparation” service in cooperation with the professional association of nutritionists. The possibility of providing the service from the State budget funds has been assessed.</w:t>
            </w:r>
          </w:p>
        </w:tc>
        <w:tc>
          <w:tcPr>
            <w:tcW w:w="400" w:type="pct"/>
            <w:tcBorders>
              <w:top w:val="outset" w:sz="6" w:space="0" w:color="414142"/>
              <w:left w:val="outset" w:sz="6" w:space="0" w:color="414142"/>
              <w:bottom w:val="outset" w:sz="6" w:space="0" w:color="414142"/>
              <w:right w:val="outset" w:sz="6" w:space="0" w:color="414142"/>
            </w:tcBorders>
            <w:hideMark/>
          </w:tcPr>
          <w:p w14:paraId="4B55A214"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NHS</w:t>
            </w:r>
          </w:p>
        </w:tc>
        <w:tc>
          <w:tcPr>
            <w:tcW w:w="450" w:type="pct"/>
            <w:tcBorders>
              <w:top w:val="outset" w:sz="6" w:space="0" w:color="414142"/>
              <w:left w:val="outset" w:sz="6" w:space="0" w:color="414142"/>
              <w:bottom w:val="outset" w:sz="6" w:space="0" w:color="414142"/>
              <w:right w:val="outset" w:sz="6" w:space="0" w:color="414142"/>
            </w:tcBorders>
            <w:hideMark/>
          </w:tcPr>
          <w:p w14:paraId="2F37B0B5"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LADN</w:t>
            </w:r>
          </w:p>
        </w:tc>
        <w:tc>
          <w:tcPr>
            <w:tcW w:w="300" w:type="pct"/>
            <w:tcBorders>
              <w:top w:val="outset" w:sz="6" w:space="0" w:color="414142"/>
              <w:left w:val="outset" w:sz="6" w:space="0" w:color="414142"/>
              <w:bottom w:val="outset" w:sz="6" w:space="0" w:color="414142"/>
              <w:right w:val="outset" w:sz="6" w:space="0" w:color="414142"/>
            </w:tcBorders>
            <w:hideMark/>
          </w:tcPr>
          <w:p w14:paraId="0682E89F"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2029</w:t>
            </w:r>
          </w:p>
        </w:tc>
      </w:tr>
      <w:tr w:rsidR="00136A25" w:rsidRPr="00504A2B" w14:paraId="06063C00" w14:textId="77777777" w:rsidTr="00335C97">
        <w:tc>
          <w:tcPr>
            <w:tcW w:w="0" w:type="auto"/>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FE7CCA4" w14:textId="77777777" w:rsidR="00136A25" w:rsidRPr="00504A2B" w:rsidRDefault="00136A25" w:rsidP="0090644D">
            <w:pPr>
              <w:spacing w:after="0" w:line="240" w:lineRule="auto"/>
              <w:jc w:val="center"/>
              <w:rPr>
                <w:rFonts w:ascii="Times New Roman" w:hAnsi="Times New Roman"/>
                <w:b/>
                <w:bCs/>
                <w:noProof/>
                <w:kern w:val="0"/>
                <w:sz w:val="22"/>
                <w:szCs w:val="22"/>
              </w:rPr>
            </w:pPr>
            <w:r>
              <w:rPr>
                <w:rFonts w:ascii="Times New Roman" w:hAnsi="Times New Roman"/>
                <w:b/>
                <w:sz w:val="22"/>
              </w:rPr>
              <w:t>4. Action direction</w:t>
            </w:r>
          </w:p>
        </w:tc>
        <w:tc>
          <w:tcPr>
            <w:tcW w:w="0" w:type="auto"/>
            <w:gridSpan w:val="5"/>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AA278EF" w14:textId="77777777" w:rsidR="00136A25" w:rsidRPr="00504A2B" w:rsidRDefault="00136A25" w:rsidP="0090644D">
            <w:pPr>
              <w:spacing w:after="0" w:line="240" w:lineRule="auto"/>
              <w:jc w:val="center"/>
              <w:rPr>
                <w:rFonts w:ascii="Times New Roman" w:hAnsi="Times New Roman"/>
                <w:b/>
                <w:bCs/>
                <w:noProof/>
                <w:kern w:val="0"/>
                <w:sz w:val="22"/>
                <w:szCs w:val="22"/>
              </w:rPr>
            </w:pPr>
            <w:r>
              <w:rPr>
                <w:rFonts w:ascii="Times New Roman" w:hAnsi="Times New Roman"/>
                <w:b/>
                <w:sz w:val="22"/>
              </w:rPr>
              <w:t>Effectiveness of measures for the prevention of overweight and obesity</w:t>
            </w:r>
          </w:p>
        </w:tc>
      </w:tr>
      <w:tr w:rsidR="00114699" w:rsidRPr="00504A2B" w14:paraId="4B083D55" w14:textId="77777777" w:rsidTr="00335C97">
        <w:tc>
          <w:tcPr>
            <w:tcW w:w="100" w:type="pct"/>
            <w:tcBorders>
              <w:top w:val="outset" w:sz="6" w:space="0" w:color="414142"/>
              <w:left w:val="outset" w:sz="6" w:space="0" w:color="414142"/>
              <w:bottom w:val="outset" w:sz="6" w:space="0" w:color="414142"/>
              <w:right w:val="outset" w:sz="6" w:space="0" w:color="414142"/>
            </w:tcBorders>
            <w:vAlign w:val="center"/>
            <w:hideMark/>
          </w:tcPr>
          <w:p w14:paraId="383870F1" w14:textId="77777777" w:rsidR="00136A25" w:rsidRPr="00504A2B" w:rsidRDefault="00136A25" w:rsidP="00122210">
            <w:pPr>
              <w:spacing w:after="0" w:line="240" w:lineRule="auto"/>
              <w:jc w:val="both"/>
              <w:rPr>
                <w:rFonts w:ascii="Times New Roman" w:hAnsi="Times New Roman"/>
                <w:b/>
                <w:bCs/>
                <w:noProof/>
                <w:kern w:val="0"/>
                <w:sz w:val="22"/>
                <w:szCs w:val="22"/>
              </w:rPr>
            </w:pPr>
            <w:r>
              <w:rPr>
                <w:rFonts w:ascii="Times New Roman" w:hAnsi="Times New Roman"/>
                <w:b/>
                <w:sz w:val="22"/>
              </w:rPr>
              <w:t>No.</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8519614" w14:textId="77777777" w:rsidR="00136A25" w:rsidRPr="00504A2B" w:rsidRDefault="00136A25" w:rsidP="00122210">
            <w:pPr>
              <w:spacing w:after="0" w:line="240" w:lineRule="auto"/>
              <w:jc w:val="both"/>
              <w:rPr>
                <w:rFonts w:ascii="Times New Roman" w:hAnsi="Times New Roman"/>
                <w:b/>
                <w:bCs/>
                <w:noProof/>
                <w:kern w:val="0"/>
                <w:sz w:val="22"/>
                <w:szCs w:val="22"/>
              </w:rPr>
            </w:pPr>
            <w:r>
              <w:rPr>
                <w:rFonts w:ascii="Times New Roman" w:hAnsi="Times New Roman"/>
                <w:b/>
                <w:sz w:val="22"/>
              </w:rPr>
              <w:t>Measure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CF776E0" w14:textId="77777777" w:rsidR="00136A25" w:rsidRPr="00504A2B" w:rsidRDefault="00136A25" w:rsidP="00122210">
            <w:pPr>
              <w:spacing w:after="0" w:line="240" w:lineRule="auto"/>
              <w:jc w:val="both"/>
              <w:rPr>
                <w:rFonts w:ascii="Times New Roman" w:hAnsi="Times New Roman"/>
                <w:b/>
                <w:bCs/>
                <w:noProof/>
                <w:kern w:val="0"/>
                <w:sz w:val="22"/>
                <w:szCs w:val="22"/>
              </w:rPr>
            </w:pPr>
            <w:r>
              <w:rPr>
                <w:rFonts w:ascii="Times New Roman" w:hAnsi="Times New Roman"/>
                <w:b/>
                <w:sz w:val="22"/>
              </w:rPr>
              <w:t>Activity result</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C9841A5" w14:textId="77777777" w:rsidR="00136A25" w:rsidRPr="00504A2B" w:rsidRDefault="00136A25" w:rsidP="00122210">
            <w:pPr>
              <w:spacing w:after="0" w:line="240" w:lineRule="auto"/>
              <w:jc w:val="both"/>
              <w:rPr>
                <w:rFonts w:ascii="Times New Roman" w:hAnsi="Times New Roman"/>
                <w:b/>
                <w:bCs/>
                <w:noProof/>
                <w:kern w:val="0"/>
                <w:sz w:val="22"/>
                <w:szCs w:val="22"/>
              </w:rPr>
            </w:pPr>
            <w:r>
              <w:rPr>
                <w:rFonts w:ascii="Times New Roman" w:hAnsi="Times New Roman"/>
                <w:b/>
                <w:sz w:val="22"/>
              </w:rPr>
              <w:t>Performance indicator</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1B41B7" w14:textId="77777777" w:rsidR="00136A25" w:rsidRPr="00504A2B" w:rsidRDefault="00136A25" w:rsidP="0090644D">
            <w:pPr>
              <w:spacing w:after="0" w:line="240" w:lineRule="auto"/>
              <w:jc w:val="center"/>
              <w:rPr>
                <w:rFonts w:ascii="Times New Roman" w:hAnsi="Times New Roman"/>
                <w:b/>
                <w:bCs/>
                <w:noProof/>
                <w:kern w:val="0"/>
                <w:sz w:val="22"/>
                <w:szCs w:val="22"/>
              </w:rPr>
            </w:pPr>
            <w:r>
              <w:rPr>
                <w:rFonts w:ascii="Times New Roman" w:hAnsi="Times New Roman"/>
                <w:b/>
                <w:sz w:val="22"/>
              </w:rPr>
              <w:t>Responsible authorities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8B4DD1A" w14:textId="77777777" w:rsidR="00136A25" w:rsidRPr="00504A2B" w:rsidRDefault="00136A25" w:rsidP="0090644D">
            <w:pPr>
              <w:spacing w:after="0" w:line="240" w:lineRule="auto"/>
              <w:jc w:val="center"/>
              <w:rPr>
                <w:rFonts w:ascii="Times New Roman" w:hAnsi="Times New Roman"/>
                <w:b/>
                <w:bCs/>
                <w:noProof/>
                <w:kern w:val="0"/>
                <w:sz w:val="22"/>
                <w:szCs w:val="22"/>
              </w:rPr>
            </w:pPr>
            <w:r>
              <w:rPr>
                <w:rFonts w:ascii="Times New Roman" w:hAnsi="Times New Roman"/>
                <w:b/>
                <w:sz w:val="22"/>
              </w:rPr>
              <w:t>Co-responsible authorities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92FD32" w14:textId="77777777" w:rsidR="00136A25" w:rsidRPr="00504A2B" w:rsidRDefault="00136A25" w:rsidP="0090644D">
            <w:pPr>
              <w:spacing w:after="0" w:line="240" w:lineRule="auto"/>
              <w:jc w:val="center"/>
              <w:rPr>
                <w:rFonts w:ascii="Times New Roman" w:hAnsi="Times New Roman"/>
                <w:b/>
                <w:bCs/>
                <w:noProof/>
                <w:kern w:val="0"/>
                <w:sz w:val="22"/>
                <w:szCs w:val="22"/>
              </w:rPr>
            </w:pPr>
            <w:r>
              <w:rPr>
                <w:rFonts w:ascii="Times New Roman" w:hAnsi="Times New Roman"/>
                <w:b/>
                <w:sz w:val="22"/>
              </w:rPr>
              <w:t>Deadline</w:t>
            </w:r>
          </w:p>
        </w:tc>
      </w:tr>
      <w:tr w:rsidR="00114699" w:rsidRPr="00504A2B" w14:paraId="23A581F6" w14:textId="77777777" w:rsidTr="00335C97">
        <w:tc>
          <w:tcPr>
            <w:tcW w:w="100" w:type="pct"/>
            <w:tcBorders>
              <w:top w:val="outset" w:sz="6" w:space="0" w:color="414142"/>
              <w:left w:val="outset" w:sz="6" w:space="0" w:color="414142"/>
              <w:bottom w:val="outset" w:sz="6" w:space="0" w:color="414142"/>
              <w:right w:val="outset" w:sz="6" w:space="0" w:color="414142"/>
            </w:tcBorders>
            <w:hideMark/>
          </w:tcPr>
          <w:p w14:paraId="1625BB60"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4.1.</w:t>
            </w:r>
          </w:p>
        </w:tc>
        <w:tc>
          <w:tcPr>
            <w:tcW w:w="1250" w:type="pct"/>
            <w:tcBorders>
              <w:top w:val="outset" w:sz="6" w:space="0" w:color="414142"/>
              <w:left w:val="outset" w:sz="6" w:space="0" w:color="414142"/>
              <w:bottom w:val="outset" w:sz="6" w:space="0" w:color="414142"/>
              <w:right w:val="outset" w:sz="6" w:space="0" w:color="414142"/>
            </w:tcBorders>
            <w:hideMark/>
          </w:tcPr>
          <w:p w14:paraId="40920F04"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conduct an assessment of the prevalence of overweight and obesity in Latvia and the effectiveness and long-term impact of intervention measures on health-related habits and public health indicators.</w:t>
            </w:r>
          </w:p>
        </w:tc>
        <w:tc>
          <w:tcPr>
            <w:tcW w:w="850" w:type="pct"/>
            <w:tcBorders>
              <w:top w:val="outset" w:sz="6" w:space="0" w:color="414142"/>
              <w:left w:val="outset" w:sz="6" w:space="0" w:color="414142"/>
              <w:bottom w:val="outset" w:sz="6" w:space="0" w:color="414142"/>
              <w:right w:val="outset" w:sz="6" w:space="0" w:color="414142"/>
            </w:tcBorders>
            <w:hideMark/>
          </w:tcPr>
          <w:p w14:paraId="3E56EEA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Analytical information on the effectiveness of the implemented measures for limiting the prevalence of overweight and obesity has been obtained.</w:t>
            </w:r>
          </w:p>
        </w:tc>
        <w:tc>
          <w:tcPr>
            <w:tcW w:w="1400" w:type="pct"/>
            <w:tcBorders>
              <w:top w:val="outset" w:sz="6" w:space="0" w:color="414142"/>
              <w:left w:val="outset" w:sz="6" w:space="0" w:color="414142"/>
              <w:bottom w:val="outset" w:sz="6" w:space="0" w:color="414142"/>
              <w:right w:val="outset" w:sz="6" w:space="0" w:color="414142"/>
            </w:tcBorders>
            <w:hideMark/>
          </w:tcPr>
          <w:p w14:paraId="280F8E6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The current situation has been analysed, and the results have been presented to the wider public and healthcare professionals, including medical practitioners, policymakers, and other stakeholders.</w:t>
            </w:r>
          </w:p>
        </w:tc>
        <w:tc>
          <w:tcPr>
            <w:tcW w:w="400" w:type="pct"/>
            <w:tcBorders>
              <w:top w:val="outset" w:sz="6" w:space="0" w:color="414142"/>
              <w:left w:val="outset" w:sz="6" w:space="0" w:color="414142"/>
              <w:bottom w:val="outset" w:sz="6" w:space="0" w:color="414142"/>
              <w:right w:val="outset" w:sz="6" w:space="0" w:color="414142"/>
            </w:tcBorders>
            <w:hideMark/>
          </w:tcPr>
          <w:p w14:paraId="77D81083"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tcBorders>
              <w:top w:val="outset" w:sz="6" w:space="0" w:color="414142"/>
              <w:left w:val="outset" w:sz="6" w:space="0" w:color="414142"/>
              <w:bottom w:val="outset" w:sz="6" w:space="0" w:color="414142"/>
              <w:right w:val="outset" w:sz="6" w:space="0" w:color="414142"/>
            </w:tcBorders>
            <w:hideMark/>
          </w:tcPr>
          <w:p w14:paraId="36FE69C7"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LPHA, RSU</w:t>
            </w:r>
          </w:p>
        </w:tc>
        <w:tc>
          <w:tcPr>
            <w:tcW w:w="300" w:type="pct"/>
            <w:tcBorders>
              <w:top w:val="outset" w:sz="6" w:space="0" w:color="414142"/>
              <w:left w:val="outset" w:sz="6" w:space="0" w:color="414142"/>
              <w:bottom w:val="outset" w:sz="6" w:space="0" w:color="414142"/>
              <w:right w:val="outset" w:sz="6" w:space="0" w:color="414142"/>
            </w:tcBorders>
            <w:hideMark/>
          </w:tcPr>
          <w:p w14:paraId="592CB841"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On a continuous basis</w:t>
            </w:r>
          </w:p>
        </w:tc>
      </w:tr>
      <w:tr w:rsidR="00114699" w:rsidRPr="00504A2B" w14:paraId="3C157471" w14:textId="77777777" w:rsidTr="00335C97">
        <w:tc>
          <w:tcPr>
            <w:tcW w:w="100" w:type="pct"/>
            <w:vMerge w:val="restart"/>
            <w:tcBorders>
              <w:top w:val="outset" w:sz="6" w:space="0" w:color="414142"/>
              <w:left w:val="outset" w:sz="6" w:space="0" w:color="414142"/>
              <w:bottom w:val="outset" w:sz="6" w:space="0" w:color="414142"/>
              <w:right w:val="outset" w:sz="6" w:space="0" w:color="414142"/>
            </w:tcBorders>
            <w:hideMark/>
          </w:tcPr>
          <w:p w14:paraId="1F7786DF"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4.2.</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477DDDF2"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To develop a child health monitoring system to ensure long-term monitoring of health indicators, assessment of the effectiveness of the implemented policy, and targeted planning of new policy initiatives.</w:t>
            </w:r>
          </w:p>
        </w:tc>
        <w:tc>
          <w:tcPr>
            <w:tcW w:w="850" w:type="pct"/>
            <w:vMerge w:val="restart"/>
            <w:tcBorders>
              <w:top w:val="outset" w:sz="6" w:space="0" w:color="414142"/>
              <w:left w:val="outset" w:sz="6" w:space="0" w:color="414142"/>
              <w:bottom w:val="outset" w:sz="6" w:space="0" w:color="414142"/>
              <w:right w:val="outset" w:sz="6" w:space="0" w:color="414142"/>
            </w:tcBorders>
            <w:hideMark/>
          </w:tcPr>
          <w:p w14:paraId="42B86AF3"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An analytical summary of data on the health status of children in Latvia has been ensured to ensure more effective long-term policy planning.</w:t>
            </w:r>
          </w:p>
        </w:tc>
        <w:tc>
          <w:tcPr>
            <w:tcW w:w="1400" w:type="pct"/>
            <w:tcBorders>
              <w:top w:val="outset" w:sz="6" w:space="0" w:color="414142"/>
              <w:left w:val="outset" w:sz="6" w:space="0" w:color="414142"/>
              <w:bottom w:val="outset" w:sz="6" w:space="0" w:color="414142"/>
              <w:right w:val="outset" w:sz="6" w:space="0" w:color="414142"/>
            </w:tcBorders>
            <w:hideMark/>
          </w:tcPr>
          <w:p w14:paraId="37EBC48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Child health indicators requiring long-term monitoring have been identified to get a comprehensive view of the health status of children in Latvia.</w:t>
            </w:r>
          </w:p>
        </w:tc>
        <w:tc>
          <w:tcPr>
            <w:tcW w:w="400" w:type="pct"/>
            <w:vMerge w:val="restart"/>
            <w:tcBorders>
              <w:top w:val="outset" w:sz="6" w:space="0" w:color="414142"/>
              <w:left w:val="outset" w:sz="6" w:space="0" w:color="414142"/>
              <w:bottom w:val="outset" w:sz="6" w:space="0" w:color="414142"/>
              <w:right w:val="outset" w:sz="6" w:space="0" w:color="414142"/>
            </w:tcBorders>
            <w:hideMark/>
          </w:tcPr>
          <w:p w14:paraId="6ADFE149"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MoH, CDPC</w:t>
            </w:r>
          </w:p>
        </w:tc>
        <w:tc>
          <w:tcPr>
            <w:tcW w:w="450" w:type="pct"/>
            <w:vMerge w:val="restart"/>
            <w:tcBorders>
              <w:top w:val="outset" w:sz="6" w:space="0" w:color="414142"/>
              <w:left w:val="outset" w:sz="6" w:space="0" w:color="414142"/>
              <w:bottom w:val="outset" w:sz="6" w:space="0" w:color="414142"/>
              <w:right w:val="outset" w:sz="6" w:space="0" w:color="414142"/>
            </w:tcBorders>
            <w:hideMark/>
          </w:tcPr>
          <w:p w14:paraId="29D290BA" w14:textId="230A2CEA" w:rsidR="00136A25" w:rsidRPr="00504A2B" w:rsidRDefault="00136A25" w:rsidP="0090644D">
            <w:pPr>
              <w:spacing w:after="0" w:line="240" w:lineRule="auto"/>
              <w:jc w:val="center"/>
              <w:rPr>
                <w:rFonts w:ascii="Times New Roman" w:hAnsi="Times New Roman"/>
                <w:noProof/>
                <w:kern w:val="0"/>
                <w:sz w:val="22"/>
                <w:szCs w:val="22"/>
                <w:lang w:val="lv-LV"/>
              </w:rPr>
            </w:pPr>
          </w:p>
        </w:tc>
        <w:tc>
          <w:tcPr>
            <w:tcW w:w="300" w:type="pct"/>
            <w:vMerge w:val="restart"/>
            <w:tcBorders>
              <w:top w:val="outset" w:sz="6" w:space="0" w:color="414142"/>
              <w:left w:val="outset" w:sz="6" w:space="0" w:color="414142"/>
              <w:bottom w:val="outset" w:sz="6" w:space="0" w:color="414142"/>
              <w:right w:val="outset" w:sz="6" w:space="0" w:color="414142"/>
            </w:tcBorders>
            <w:hideMark/>
          </w:tcPr>
          <w:p w14:paraId="0E06F5EE" w14:textId="77777777" w:rsidR="00136A25" w:rsidRPr="00504A2B" w:rsidRDefault="00136A25" w:rsidP="0090644D">
            <w:pPr>
              <w:spacing w:after="0" w:line="240" w:lineRule="auto"/>
              <w:jc w:val="center"/>
              <w:rPr>
                <w:rFonts w:ascii="Times New Roman" w:hAnsi="Times New Roman"/>
                <w:noProof/>
                <w:kern w:val="0"/>
                <w:sz w:val="22"/>
                <w:szCs w:val="22"/>
              </w:rPr>
            </w:pPr>
            <w:r>
              <w:rPr>
                <w:rFonts w:ascii="Times New Roman" w:hAnsi="Times New Roman"/>
                <w:sz w:val="22"/>
              </w:rPr>
              <w:t>2</w:t>
            </w:r>
            <w:r>
              <w:rPr>
                <w:rFonts w:ascii="Times New Roman" w:hAnsi="Times New Roman"/>
                <w:sz w:val="22"/>
                <w:vertAlign w:val="superscript"/>
              </w:rPr>
              <w:t>nd</w:t>
            </w:r>
            <w:r>
              <w:rPr>
                <w:rFonts w:ascii="Times New Roman" w:hAnsi="Times New Roman"/>
                <w:sz w:val="22"/>
              </w:rPr>
              <w:t xml:space="preserve"> half of 2028</w:t>
            </w:r>
          </w:p>
        </w:tc>
      </w:tr>
      <w:tr w:rsidR="00114699" w:rsidRPr="00504A2B" w14:paraId="27CC70B6" w14:textId="77777777" w:rsidTr="00335C9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20E9BF"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FB3FDEE"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21807B"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1400" w:type="pct"/>
            <w:tcBorders>
              <w:top w:val="outset" w:sz="6" w:space="0" w:color="414142"/>
              <w:left w:val="outset" w:sz="6" w:space="0" w:color="414142"/>
              <w:bottom w:val="outset" w:sz="6" w:space="0" w:color="414142"/>
              <w:right w:val="outset" w:sz="6" w:space="0" w:color="414142"/>
            </w:tcBorders>
            <w:hideMark/>
          </w:tcPr>
          <w:p w14:paraId="0B4AD39E"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 xml:space="preserve">Data related to child health have been collected, additional study has </w:t>
            </w:r>
            <w:r>
              <w:rPr>
                <w:rFonts w:ascii="Times New Roman" w:hAnsi="Times New Roman"/>
                <w:sz w:val="22"/>
              </w:rPr>
              <w:lastRenderedPageBreak/>
              <w:t>been conducted, and data has been compiled.</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0A4FB36"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4623E7"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DC3439"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r>
      <w:tr w:rsidR="00114699" w:rsidRPr="00504A2B" w14:paraId="4CF75508" w14:textId="77777777" w:rsidTr="00335C9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0CAF49"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AD7410"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4A5CE8"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1400" w:type="pct"/>
            <w:tcBorders>
              <w:top w:val="outset" w:sz="6" w:space="0" w:color="414142"/>
              <w:left w:val="outset" w:sz="6" w:space="0" w:color="414142"/>
              <w:bottom w:val="outset" w:sz="6" w:space="0" w:color="414142"/>
              <w:right w:val="outset" w:sz="6" w:space="0" w:color="414142"/>
            </w:tcBorders>
            <w:hideMark/>
          </w:tcPr>
          <w:p w14:paraId="2ADB1AFB" w14:textId="77777777" w:rsidR="00136A25" w:rsidRPr="00504A2B" w:rsidRDefault="00136A25" w:rsidP="00122210">
            <w:pPr>
              <w:spacing w:after="0" w:line="240" w:lineRule="auto"/>
              <w:jc w:val="both"/>
              <w:rPr>
                <w:rFonts w:ascii="Times New Roman" w:hAnsi="Times New Roman"/>
                <w:noProof/>
                <w:kern w:val="0"/>
                <w:sz w:val="22"/>
                <w:szCs w:val="22"/>
              </w:rPr>
            </w:pPr>
            <w:r>
              <w:rPr>
                <w:rFonts w:ascii="Times New Roman" w:hAnsi="Times New Roman"/>
                <w:sz w:val="22"/>
              </w:rPr>
              <w:t>An analytical assessment of the health status of children in Latvia has been carried out, and proposals for health policy initiatives have been provided.</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A6DBD6"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4C739D"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FC23D3" w14:textId="77777777" w:rsidR="00136A25" w:rsidRPr="00504A2B" w:rsidRDefault="00136A25" w:rsidP="00122210">
            <w:pPr>
              <w:spacing w:after="0" w:line="240" w:lineRule="auto"/>
              <w:jc w:val="both"/>
              <w:rPr>
                <w:rFonts w:ascii="Times New Roman" w:hAnsi="Times New Roman"/>
                <w:noProof/>
                <w:kern w:val="0"/>
                <w:sz w:val="22"/>
                <w:szCs w:val="22"/>
                <w:lang w:val="lv-LV"/>
              </w:rPr>
            </w:pPr>
          </w:p>
        </w:tc>
      </w:tr>
    </w:tbl>
    <w:p w14:paraId="1B89CD58" w14:textId="77777777" w:rsidR="000032E6" w:rsidRDefault="000032E6" w:rsidP="00122210">
      <w:pPr>
        <w:spacing w:after="0" w:line="240" w:lineRule="auto"/>
        <w:jc w:val="both"/>
        <w:rPr>
          <w:rFonts w:ascii="Times New Roman" w:hAnsi="Times New Roman"/>
          <w:b/>
          <w:bCs/>
          <w:noProof/>
          <w:kern w:val="0"/>
          <w:lang w:val="lv-LV"/>
        </w:rPr>
      </w:pPr>
    </w:p>
    <w:p w14:paraId="4785E5A7" w14:textId="5BBA7791" w:rsidR="00136A25" w:rsidRPr="00B10F87" w:rsidRDefault="00136A25" w:rsidP="0090644D">
      <w:pPr>
        <w:spacing w:after="0" w:line="240" w:lineRule="auto"/>
        <w:jc w:val="center"/>
        <w:rPr>
          <w:rFonts w:ascii="Times New Roman" w:hAnsi="Times New Roman"/>
          <w:b/>
          <w:bCs/>
          <w:noProof/>
          <w:kern w:val="0"/>
        </w:rPr>
      </w:pPr>
      <w:r>
        <w:rPr>
          <w:rFonts w:ascii="Times New Roman" w:hAnsi="Times New Roman"/>
          <w:b/>
        </w:rPr>
        <w:t>5. Assessment of the Impact on State and Local Government Budgets</w:t>
      </w:r>
    </w:p>
    <w:p w14:paraId="1CBEF0B0" w14:textId="77777777" w:rsidR="000032E6" w:rsidRDefault="000032E6" w:rsidP="00122210">
      <w:pPr>
        <w:spacing w:after="0" w:line="240" w:lineRule="auto"/>
        <w:jc w:val="both"/>
        <w:rPr>
          <w:rFonts w:ascii="Times New Roman" w:hAnsi="Times New Roman"/>
          <w:noProof/>
          <w:kern w:val="0"/>
          <w:lang w:val="lv-LV"/>
        </w:rPr>
      </w:pPr>
    </w:p>
    <w:p w14:paraId="76C81806" w14:textId="10977061" w:rsidR="00136A25" w:rsidRDefault="00136A25" w:rsidP="0090644D">
      <w:pPr>
        <w:spacing w:after="0" w:line="240" w:lineRule="auto"/>
        <w:jc w:val="center"/>
        <w:rPr>
          <w:rFonts w:ascii="Times New Roman" w:hAnsi="Times New Roman"/>
          <w:noProof/>
          <w:kern w:val="0"/>
        </w:rPr>
      </w:pPr>
      <w:r>
        <w:rPr>
          <w:rFonts w:ascii="Times New Roman" w:hAnsi="Times New Roman"/>
        </w:rPr>
        <w:t>Summary of Funding Required for the Implementation of the Measures Included in the Plan</w:t>
      </w:r>
    </w:p>
    <w:p w14:paraId="609C6FC3" w14:textId="77777777" w:rsidR="000032E6" w:rsidRPr="00B10F87" w:rsidRDefault="000032E6" w:rsidP="0012221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17"/>
        <w:gridCol w:w="398"/>
        <w:gridCol w:w="398"/>
        <w:gridCol w:w="1129"/>
        <w:gridCol w:w="860"/>
        <w:gridCol w:w="710"/>
        <w:gridCol w:w="860"/>
        <w:gridCol w:w="860"/>
        <w:gridCol w:w="860"/>
        <w:gridCol w:w="303"/>
        <w:gridCol w:w="860"/>
      </w:tblGrid>
      <w:tr w:rsidR="00136A25" w:rsidRPr="000032E6" w14:paraId="68E862B1" w14:textId="77777777" w:rsidTr="00335C97">
        <w:tc>
          <w:tcPr>
            <w:tcW w:w="0" w:type="auto"/>
            <w:vMerge w:val="restart"/>
            <w:tcBorders>
              <w:top w:val="outset" w:sz="6" w:space="0" w:color="414142"/>
              <w:left w:val="outset" w:sz="6" w:space="0" w:color="414142"/>
              <w:bottom w:val="outset" w:sz="6" w:space="0" w:color="414142"/>
              <w:right w:val="outset" w:sz="6" w:space="0" w:color="414142"/>
            </w:tcBorders>
            <w:shd w:val="clear" w:color="auto" w:fill="E2EFDA"/>
            <w:hideMark/>
          </w:tcPr>
          <w:p w14:paraId="754E8EA5"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Distribution of funding, budget programmes (code and name of the sub-programme)</w:t>
            </w:r>
          </w:p>
        </w:tc>
        <w:tc>
          <w:tcPr>
            <w:tcW w:w="0" w:type="auto"/>
            <w:gridSpan w:val="3"/>
            <w:tcBorders>
              <w:top w:val="outset" w:sz="6" w:space="0" w:color="414142"/>
              <w:left w:val="outset" w:sz="6" w:space="0" w:color="414142"/>
              <w:bottom w:val="outset" w:sz="6" w:space="0" w:color="414142"/>
              <w:right w:val="outset" w:sz="6" w:space="0" w:color="414142"/>
            </w:tcBorders>
            <w:shd w:val="clear" w:color="auto" w:fill="E2EFDA"/>
            <w:hideMark/>
          </w:tcPr>
          <w:p w14:paraId="61C34281"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Funding planned for the implementation of tasks in accordance with the law On the State Budget for 2025 and Budget Framework for 2025, 2026, and 2027</w:t>
            </w:r>
          </w:p>
        </w:tc>
        <w:tc>
          <w:tcPr>
            <w:tcW w:w="0" w:type="auto"/>
            <w:gridSpan w:val="7"/>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1ADB44B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Required additional funding</w:t>
            </w:r>
          </w:p>
        </w:tc>
      </w:tr>
      <w:tr w:rsidR="00122210" w:rsidRPr="000032E6" w14:paraId="5BF78A89" w14:textId="77777777" w:rsidTr="00CD44FE">
        <w:trPr>
          <w:cantSplit/>
          <w:trHeight w:val="3025"/>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1F1950" w14:textId="77777777" w:rsidR="00136A25" w:rsidRPr="0090644D" w:rsidRDefault="00136A25" w:rsidP="001C7805">
            <w:pPr>
              <w:spacing w:after="0" w:line="240" w:lineRule="auto"/>
              <w:jc w:val="center"/>
              <w:rPr>
                <w:rFonts w:ascii="Times New Roman" w:hAnsi="Times New Roman"/>
                <w:b/>
                <w:bCs/>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621AD2F3"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2025</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3A1B99A8"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2026</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4FE292A7"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2027</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4220FB97"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2025</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0660B16A"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2026</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4682F604"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2027</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2924CE5F"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2028</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vAlign w:val="center"/>
            <w:hideMark/>
          </w:tcPr>
          <w:p w14:paraId="040DE0F7"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Year 2029</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hideMark/>
          </w:tcPr>
          <w:p w14:paraId="237C1E07"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In the subsequent period until completion of the measure (if the implementation is time-bound)</w:t>
            </w:r>
          </w:p>
        </w:tc>
        <w:tc>
          <w:tcPr>
            <w:tcW w:w="0" w:type="auto"/>
            <w:tcBorders>
              <w:top w:val="outset" w:sz="6" w:space="0" w:color="414142"/>
              <w:left w:val="outset" w:sz="6" w:space="0" w:color="414142"/>
              <w:bottom w:val="outset" w:sz="6" w:space="0" w:color="414142"/>
              <w:right w:val="outset" w:sz="6" w:space="0" w:color="414142"/>
            </w:tcBorders>
            <w:shd w:val="clear" w:color="auto" w:fill="E2EFDA"/>
            <w:textDirection w:val="tbRl"/>
            <w:hideMark/>
          </w:tcPr>
          <w:p w14:paraId="6B98B228" w14:textId="77777777" w:rsidR="00136A25" w:rsidRPr="0090644D" w:rsidRDefault="00136A25" w:rsidP="00CD44FE">
            <w:pPr>
              <w:spacing w:after="0" w:line="240" w:lineRule="auto"/>
              <w:ind w:left="113" w:right="113"/>
              <w:jc w:val="center"/>
              <w:rPr>
                <w:rFonts w:ascii="Times New Roman" w:hAnsi="Times New Roman"/>
                <w:b/>
                <w:bCs/>
                <w:noProof/>
                <w:kern w:val="0"/>
                <w:sz w:val="20"/>
                <w:szCs w:val="20"/>
              </w:rPr>
            </w:pPr>
            <w:r>
              <w:rPr>
                <w:rFonts w:ascii="Times New Roman" w:hAnsi="Times New Roman"/>
                <w:b/>
                <w:sz w:val="20"/>
              </w:rPr>
              <w:t>Onwards – on an annual basis (if the implementation of the measure is not time-bound)</w:t>
            </w:r>
          </w:p>
        </w:tc>
      </w:tr>
      <w:tr w:rsidR="00122210" w:rsidRPr="000032E6" w14:paraId="0046F4C5" w14:textId="77777777" w:rsidTr="00335C97">
        <w:tc>
          <w:tcPr>
            <w:tcW w:w="0" w:type="auto"/>
            <w:tcBorders>
              <w:top w:val="outset" w:sz="6" w:space="0" w:color="414142"/>
              <w:left w:val="outset" w:sz="6" w:space="0" w:color="414142"/>
              <w:bottom w:val="outset" w:sz="6" w:space="0" w:color="414142"/>
              <w:right w:val="outset" w:sz="6" w:space="0" w:color="414142"/>
            </w:tcBorders>
            <w:shd w:val="clear" w:color="auto" w:fill="C6E0B4"/>
            <w:hideMark/>
          </w:tcPr>
          <w:p w14:paraId="428A9A16" w14:textId="77777777" w:rsidR="00136A25" w:rsidRPr="0090644D" w:rsidRDefault="00136A25" w:rsidP="00122210">
            <w:pPr>
              <w:spacing w:after="0" w:line="240" w:lineRule="auto"/>
              <w:jc w:val="both"/>
              <w:rPr>
                <w:rFonts w:ascii="Times New Roman" w:hAnsi="Times New Roman"/>
                <w:b/>
                <w:bCs/>
                <w:noProof/>
                <w:kern w:val="0"/>
                <w:sz w:val="20"/>
                <w:szCs w:val="20"/>
              </w:rPr>
            </w:pPr>
            <w:r>
              <w:rPr>
                <w:rFonts w:ascii="Times New Roman" w:hAnsi="Times New Roman"/>
                <w:b/>
                <w:sz w:val="20"/>
              </w:rPr>
              <w:t>Total funding required for the implementation of the Plan:</w:t>
            </w:r>
          </w:p>
        </w:tc>
        <w:tc>
          <w:tcPr>
            <w:tcW w:w="0" w:type="auto"/>
            <w:tcBorders>
              <w:top w:val="outset" w:sz="6" w:space="0" w:color="414142"/>
              <w:left w:val="outset" w:sz="6" w:space="0" w:color="414142"/>
              <w:bottom w:val="outset" w:sz="6" w:space="0" w:color="414142"/>
              <w:right w:val="outset" w:sz="6" w:space="0" w:color="414142"/>
            </w:tcBorders>
            <w:shd w:val="clear" w:color="auto" w:fill="C6E0B4"/>
            <w:vAlign w:val="center"/>
            <w:hideMark/>
          </w:tcPr>
          <w:p w14:paraId="5A46228B"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vAlign w:val="center"/>
            <w:hideMark/>
          </w:tcPr>
          <w:p w14:paraId="4FA8258E"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00B5AA7B"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1 000 000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5459E7C1"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1 630 309</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181CC45D"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205 525</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22A5DC49"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1 834 379</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50008E59"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2 718 603</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4061BE27"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2 655 082</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00C8C580" w14:textId="28EDAFF9"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314D5F1F"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r>
      <w:tr w:rsidR="00122210" w:rsidRPr="000032E6" w14:paraId="30EC9EAA" w14:textId="77777777" w:rsidTr="00335C97">
        <w:tc>
          <w:tcPr>
            <w:tcW w:w="0" w:type="auto"/>
            <w:tcBorders>
              <w:top w:val="outset" w:sz="6" w:space="0" w:color="414142"/>
              <w:left w:val="outset" w:sz="6" w:space="0" w:color="414142"/>
              <w:bottom w:val="outset" w:sz="6" w:space="0" w:color="414142"/>
              <w:right w:val="outset" w:sz="6" w:space="0" w:color="414142"/>
            </w:tcBorders>
            <w:shd w:val="clear" w:color="auto" w:fill="C6E0B4"/>
            <w:hideMark/>
          </w:tcPr>
          <w:p w14:paraId="3D28D3A4" w14:textId="77777777" w:rsidR="00136A25" w:rsidRPr="0090644D" w:rsidRDefault="00136A25" w:rsidP="00122210">
            <w:pPr>
              <w:spacing w:after="0" w:line="240" w:lineRule="auto"/>
              <w:jc w:val="both"/>
              <w:rPr>
                <w:rFonts w:ascii="Times New Roman" w:hAnsi="Times New Roman"/>
                <w:b/>
                <w:bCs/>
                <w:noProof/>
                <w:kern w:val="0"/>
                <w:sz w:val="20"/>
                <w:szCs w:val="20"/>
              </w:rPr>
            </w:pPr>
            <w:r>
              <w:rPr>
                <w:rFonts w:ascii="Times New Roman" w:hAnsi="Times New Roman"/>
                <w:b/>
                <w:sz w:val="20"/>
              </w:rPr>
              <w:t>Funding for the implementation of the core functions of the State</w:t>
            </w:r>
          </w:p>
        </w:tc>
        <w:tc>
          <w:tcPr>
            <w:tcW w:w="0" w:type="auto"/>
            <w:tcBorders>
              <w:top w:val="outset" w:sz="6" w:space="0" w:color="414142"/>
              <w:left w:val="outset" w:sz="6" w:space="0" w:color="414142"/>
              <w:bottom w:val="outset" w:sz="6" w:space="0" w:color="414142"/>
              <w:right w:val="outset" w:sz="6" w:space="0" w:color="414142"/>
            </w:tcBorders>
            <w:shd w:val="clear" w:color="auto" w:fill="C6E0B4"/>
            <w:vAlign w:val="center"/>
            <w:hideMark/>
          </w:tcPr>
          <w:p w14:paraId="624C00E6"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vAlign w:val="center"/>
            <w:hideMark/>
          </w:tcPr>
          <w:p w14:paraId="18CB5E95"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4CF84A9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1 000 000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6C52D2EE"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4072DE43"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124 335</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11C5761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1 494 374</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5F507B0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2D8D264B"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1B02E829" w14:textId="4184A0AC"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5991295C"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r>
      <w:tr w:rsidR="00122210" w:rsidRPr="000032E6" w14:paraId="1F41C6D6" w14:textId="77777777" w:rsidTr="00335C97">
        <w:tc>
          <w:tcPr>
            <w:tcW w:w="0" w:type="auto"/>
            <w:tcBorders>
              <w:top w:val="outset" w:sz="6" w:space="0" w:color="414142"/>
              <w:left w:val="outset" w:sz="6" w:space="0" w:color="414142"/>
              <w:bottom w:val="outset" w:sz="6" w:space="0" w:color="414142"/>
              <w:right w:val="outset" w:sz="6" w:space="0" w:color="414142"/>
            </w:tcBorders>
            <w:shd w:val="clear" w:color="auto" w:fill="C6E0B4"/>
            <w:hideMark/>
          </w:tcPr>
          <w:p w14:paraId="008FBD59" w14:textId="77777777" w:rsidR="00136A25" w:rsidRPr="0090644D" w:rsidRDefault="00136A25" w:rsidP="00122210">
            <w:pPr>
              <w:spacing w:after="0" w:line="240" w:lineRule="auto"/>
              <w:jc w:val="both"/>
              <w:rPr>
                <w:rFonts w:ascii="Times New Roman" w:hAnsi="Times New Roman"/>
                <w:b/>
                <w:bCs/>
                <w:noProof/>
                <w:kern w:val="0"/>
                <w:sz w:val="20"/>
                <w:szCs w:val="20"/>
              </w:rPr>
            </w:pPr>
            <w:r>
              <w:rPr>
                <w:rFonts w:ascii="Times New Roman" w:hAnsi="Times New Roman"/>
                <w:b/>
                <w:sz w:val="20"/>
              </w:rPr>
              <w:t>Funding for the implementation of projects and measures co-financed and financed by the EU policy instruments and other FFA sources*</w:t>
            </w:r>
          </w:p>
        </w:tc>
        <w:tc>
          <w:tcPr>
            <w:tcW w:w="0" w:type="auto"/>
            <w:tcBorders>
              <w:top w:val="outset" w:sz="6" w:space="0" w:color="414142"/>
              <w:left w:val="outset" w:sz="6" w:space="0" w:color="414142"/>
              <w:bottom w:val="outset" w:sz="6" w:space="0" w:color="414142"/>
              <w:right w:val="outset" w:sz="6" w:space="0" w:color="414142"/>
            </w:tcBorders>
            <w:shd w:val="clear" w:color="auto" w:fill="C6E0B4"/>
            <w:vAlign w:val="center"/>
            <w:hideMark/>
          </w:tcPr>
          <w:p w14:paraId="255FADC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vAlign w:val="center"/>
            <w:hideMark/>
          </w:tcPr>
          <w:p w14:paraId="629AE989"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6BFE193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0E1AB02C"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1 630 309</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30E54341"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81 190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6651E216"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340 005</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6E5B5F26"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765 521</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425E29FE"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702 000</w:t>
            </w: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317DD269" w14:textId="1814CFB0"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shd w:val="clear" w:color="auto" w:fill="C6E0B4"/>
            <w:noWrap/>
            <w:vAlign w:val="center"/>
            <w:hideMark/>
          </w:tcPr>
          <w:p w14:paraId="42FDD784"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r>
      <w:tr w:rsidR="00122210" w:rsidRPr="000032E6" w14:paraId="63CF63DD" w14:textId="77777777" w:rsidTr="00335C97">
        <w:tc>
          <w:tcPr>
            <w:tcW w:w="0" w:type="auto"/>
            <w:tcBorders>
              <w:top w:val="outset" w:sz="6" w:space="0" w:color="414142"/>
              <w:left w:val="outset" w:sz="6" w:space="0" w:color="414142"/>
              <w:bottom w:val="outset" w:sz="6" w:space="0" w:color="414142"/>
              <w:right w:val="outset" w:sz="6" w:space="0" w:color="414142"/>
            </w:tcBorders>
            <w:shd w:val="clear" w:color="auto" w:fill="C0C0C0"/>
            <w:hideMark/>
          </w:tcPr>
          <w:p w14:paraId="3975B817" w14:textId="77777777" w:rsidR="00136A25" w:rsidRPr="0090644D" w:rsidRDefault="00136A25" w:rsidP="00CD44FE">
            <w:pPr>
              <w:keepNext/>
              <w:keepLines/>
              <w:spacing w:after="0" w:line="240" w:lineRule="auto"/>
              <w:jc w:val="both"/>
              <w:rPr>
                <w:rFonts w:ascii="Times New Roman" w:hAnsi="Times New Roman"/>
                <w:b/>
                <w:bCs/>
                <w:noProof/>
                <w:kern w:val="0"/>
                <w:sz w:val="20"/>
                <w:szCs w:val="20"/>
              </w:rPr>
            </w:pPr>
            <w:r>
              <w:rPr>
                <w:rFonts w:ascii="Times New Roman" w:hAnsi="Times New Roman"/>
                <w:b/>
                <w:sz w:val="20"/>
              </w:rPr>
              <w:lastRenderedPageBreak/>
              <w:t>Ministry of Health</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7424149B"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27377EBD"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1705D907"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56639624"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1 630 309</w:t>
            </w: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4583D08C"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205 525</w:t>
            </w: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6CE47328"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1 834 379</w:t>
            </w: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1322BFBE"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2 718 603</w:t>
            </w: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37229964"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2 655 082</w:t>
            </w: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4563621A" w14:textId="7170474F" w:rsidR="00136A25" w:rsidRPr="0090644D" w:rsidRDefault="00136A25" w:rsidP="00CD44FE">
            <w:pPr>
              <w:keepNext/>
              <w:keepLines/>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shd w:val="clear" w:color="auto" w:fill="C0C0C0"/>
            <w:noWrap/>
            <w:vAlign w:val="center"/>
            <w:hideMark/>
          </w:tcPr>
          <w:p w14:paraId="10B751F2"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r>
      <w:tr w:rsidR="00122210" w:rsidRPr="000032E6" w14:paraId="6E0E3EC2"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263702E8" w14:textId="77777777" w:rsidR="00136A25" w:rsidRPr="0090644D" w:rsidRDefault="00136A25" w:rsidP="00CD44FE">
            <w:pPr>
              <w:keepNext/>
              <w:keepLines/>
              <w:spacing w:after="0" w:line="240" w:lineRule="auto"/>
              <w:jc w:val="both"/>
              <w:rPr>
                <w:rFonts w:ascii="Times New Roman" w:hAnsi="Times New Roman"/>
                <w:b/>
                <w:bCs/>
                <w:noProof/>
                <w:kern w:val="0"/>
                <w:sz w:val="20"/>
                <w:szCs w:val="20"/>
              </w:rPr>
            </w:pPr>
            <w:r>
              <w:rPr>
                <w:rFonts w:ascii="Times New Roman" w:hAnsi="Times New Roman"/>
                <w:b/>
                <w:sz w:val="20"/>
              </w:rPr>
              <w:t>State budget funding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774E28"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FE2023"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E239CC1"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741813D"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707D501"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124 335</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2836B05"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1 494 374</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6AD689E"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5937260"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497CC2E" w14:textId="7B6CA0A0" w:rsidR="00136A25" w:rsidRPr="0090644D" w:rsidRDefault="00136A25" w:rsidP="00CD44FE">
            <w:pPr>
              <w:keepNext/>
              <w:keepLines/>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E80CB91" w14:textId="77777777" w:rsidR="00136A25" w:rsidRPr="0090644D" w:rsidRDefault="00136A25" w:rsidP="00CD44FE">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1 953 082</w:t>
            </w:r>
          </w:p>
        </w:tc>
      </w:tr>
      <w:tr w:rsidR="00122210" w:rsidRPr="000032E6" w14:paraId="44CD03D8"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338A8473" w14:textId="77777777" w:rsidR="00136A25" w:rsidRPr="0090644D" w:rsidRDefault="00136A25" w:rsidP="00122210">
            <w:pPr>
              <w:spacing w:after="0" w:line="240" w:lineRule="auto"/>
              <w:jc w:val="both"/>
              <w:rPr>
                <w:rFonts w:ascii="Times New Roman" w:hAnsi="Times New Roman"/>
                <w:b/>
                <w:bCs/>
                <w:noProof/>
                <w:kern w:val="0"/>
                <w:sz w:val="20"/>
                <w:szCs w:val="20"/>
              </w:rPr>
            </w:pPr>
            <w:r>
              <w:rPr>
                <w:rFonts w:ascii="Times New Roman" w:hAnsi="Times New Roman"/>
                <w:b/>
                <w:sz w:val="20"/>
              </w:rPr>
              <w:t>EU funds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07FFE0"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F014E3"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25DFA25"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A522154"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1 630 309</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BD55CB8"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81 190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352EA71"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340 005</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EF8C498"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765 521</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89AE95E"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702 000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9F76F13" w14:textId="115B0EF1"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46D0105"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r>
      <w:tr w:rsidR="00122210" w:rsidRPr="000032E6" w14:paraId="1A5C15E5"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081945F2" w14:textId="77777777" w:rsidR="00136A25" w:rsidRPr="0090644D" w:rsidRDefault="00136A25" w:rsidP="00122210">
            <w:pPr>
              <w:spacing w:after="0" w:line="240" w:lineRule="auto"/>
              <w:jc w:val="both"/>
              <w:rPr>
                <w:rFonts w:ascii="Times New Roman" w:hAnsi="Times New Roman"/>
                <w:noProof/>
                <w:kern w:val="0"/>
                <w:sz w:val="20"/>
                <w:szCs w:val="20"/>
              </w:rPr>
            </w:pPr>
            <w:r>
              <w:rPr>
                <w:rFonts w:ascii="Times New Roman" w:hAnsi="Times New Roman"/>
                <w:sz w:val="20"/>
              </w:rPr>
              <w:t>33.15.00 “Provision of Laboratory Tests in Outpatient Care”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9D0B89"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D07092"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A7B56CC"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8BDAE12"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FCBB9D7"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26 832</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5A523A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53 664</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B55A07F"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53 664</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EFB1862"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53 664</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1E31EFA" w14:textId="6D58EDEB"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1281937"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53 664</w:t>
            </w:r>
          </w:p>
        </w:tc>
      </w:tr>
      <w:tr w:rsidR="00122210" w:rsidRPr="000032E6" w14:paraId="76B25C78"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59C0AD89" w14:textId="77777777" w:rsidR="00136A25" w:rsidRPr="0090644D" w:rsidRDefault="00136A25" w:rsidP="00122210">
            <w:pPr>
              <w:spacing w:after="0" w:line="240" w:lineRule="auto"/>
              <w:jc w:val="both"/>
              <w:rPr>
                <w:rFonts w:ascii="Times New Roman" w:hAnsi="Times New Roman"/>
                <w:noProof/>
                <w:kern w:val="0"/>
                <w:sz w:val="20"/>
                <w:szCs w:val="20"/>
              </w:rPr>
            </w:pPr>
            <w:r>
              <w:rPr>
                <w:rFonts w:ascii="Times New Roman" w:hAnsi="Times New Roman"/>
                <w:sz w:val="20"/>
              </w:rPr>
              <w:t>33.16.00 “Provision of Other Outpatient Healthcare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CE3537"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DC4DA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029BF53C"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41BB20D"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58A597E"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97 503</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47980D2A"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977 694</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F3DEEA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979 631</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5F97A2B"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979 631</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7ED0CD56" w14:textId="07AC3D52"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B62570D"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979 631</w:t>
            </w:r>
          </w:p>
        </w:tc>
      </w:tr>
      <w:tr w:rsidR="00122210" w:rsidRPr="000032E6" w14:paraId="26B1194E"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33926420" w14:textId="77777777" w:rsidR="00136A25" w:rsidRPr="0090644D" w:rsidRDefault="00136A25" w:rsidP="00122210">
            <w:pPr>
              <w:spacing w:after="0" w:line="240" w:lineRule="auto"/>
              <w:jc w:val="both"/>
              <w:rPr>
                <w:rFonts w:ascii="Times New Roman" w:hAnsi="Times New Roman"/>
                <w:noProof/>
                <w:kern w:val="0"/>
                <w:sz w:val="20"/>
                <w:szCs w:val="20"/>
              </w:rPr>
            </w:pPr>
            <w:r>
              <w:rPr>
                <w:rFonts w:ascii="Times New Roman" w:hAnsi="Times New Roman"/>
                <w:sz w:val="20"/>
              </w:rPr>
              <w:t>33.18.00 “Provision of Scheduled Inpatient Healthcare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17F545"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292325"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1361C6F"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3ED8791"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A76BD30"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2844A96A"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463 016</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6D240C37"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919 787</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1AF5897A"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919 787</w:t>
            </w: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58A7CB96" w14:textId="75B92A75"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noWrap/>
            <w:vAlign w:val="center"/>
            <w:hideMark/>
          </w:tcPr>
          <w:p w14:paraId="383A1129"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919 787</w:t>
            </w:r>
          </w:p>
        </w:tc>
      </w:tr>
      <w:tr w:rsidR="00122210" w:rsidRPr="000032E6" w14:paraId="4F859BB4"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73247CC8" w14:textId="77777777" w:rsidR="00136A25" w:rsidRPr="0090644D" w:rsidRDefault="00136A25" w:rsidP="00122210">
            <w:pPr>
              <w:spacing w:after="0" w:line="240" w:lineRule="auto"/>
              <w:jc w:val="both"/>
              <w:rPr>
                <w:rFonts w:ascii="Times New Roman" w:hAnsi="Times New Roman"/>
                <w:noProof/>
                <w:kern w:val="0"/>
                <w:sz w:val="20"/>
                <w:szCs w:val="20"/>
              </w:rPr>
            </w:pPr>
            <w:r>
              <w:rPr>
                <w:rFonts w:ascii="Times New Roman" w:hAnsi="Times New Roman"/>
                <w:sz w:val="20"/>
              </w:rPr>
              <w:t>63.08.00 “Implementation of European Social Fund Plus (ESF+) Projects (2021–2027)”*</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D3EE61"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6CE47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85924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49A0F6"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3 000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B0B7D0"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78 520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88741E"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340 005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DB564D"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765 521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8A92AD"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702 000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29D45B" w14:textId="5B9EC922"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C49B45"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r>
      <w:tr w:rsidR="00122210" w:rsidRPr="000032E6" w14:paraId="1B8F97BB"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53B328F9" w14:textId="77777777" w:rsidR="00136A25" w:rsidRPr="0090644D" w:rsidRDefault="00136A25" w:rsidP="00122210">
            <w:pPr>
              <w:spacing w:after="0" w:line="240" w:lineRule="auto"/>
              <w:jc w:val="both"/>
              <w:rPr>
                <w:rFonts w:ascii="Times New Roman" w:hAnsi="Times New Roman"/>
                <w:noProof/>
                <w:kern w:val="0"/>
                <w:sz w:val="20"/>
                <w:szCs w:val="20"/>
              </w:rPr>
            </w:pPr>
            <w:r>
              <w:rPr>
                <w:rFonts w:ascii="Times New Roman" w:hAnsi="Times New Roman"/>
                <w:sz w:val="20"/>
              </w:rPr>
              <w:t>74.06.00 “Projects and Measures under the Recovery and Resilience Facility (RRF)”*</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37B77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86365C"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E03101"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9C4B513"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1 627 309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637F35"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2 670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13DDE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34FC52"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C0DD7C"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FDB616" w14:textId="7596F64A"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3F543D"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r>
      <w:tr w:rsidR="00122210" w:rsidRPr="000032E6" w14:paraId="52AA67A8" w14:textId="77777777" w:rsidTr="00335C97">
        <w:tc>
          <w:tcPr>
            <w:tcW w:w="0" w:type="auto"/>
            <w:tcBorders>
              <w:top w:val="outset" w:sz="6" w:space="0" w:color="414142"/>
              <w:left w:val="outset" w:sz="6" w:space="0" w:color="414142"/>
              <w:bottom w:val="outset" w:sz="6" w:space="0" w:color="414142"/>
              <w:right w:val="outset" w:sz="6" w:space="0" w:color="414142"/>
            </w:tcBorders>
            <w:shd w:val="clear" w:color="auto" w:fill="C0C0C0"/>
            <w:hideMark/>
          </w:tcPr>
          <w:p w14:paraId="6EBCA62A" w14:textId="77777777" w:rsidR="00136A25" w:rsidRPr="0090644D" w:rsidRDefault="00136A25" w:rsidP="00122210">
            <w:pPr>
              <w:spacing w:after="0" w:line="240" w:lineRule="auto"/>
              <w:jc w:val="both"/>
              <w:rPr>
                <w:rFonts w:ascii="Times New Roman" w:hAnsi="Times New Roman"/>
                <w:b/>
                <w:bCs/>
                <w:noProof/>
                <w:kern w:val="0"/>
                <w:sz w:val="20"/>
                <w:szCs w:val="20"/>
              </w:rPr>
            </w:pPr>
            <w:r>
              <w:rPr>
                <w:rFonts w:ascii="Times New Roman" w:hAnsi="Times New Roman"/>
                <w:b/>
                <w:sz w:val="20"/>
              </w:rPr>
              <w:t>Ministry of Education and Science</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563F932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5FFDA07A"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20024994"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1 000 000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12CD83C4"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7144B73D"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74369279"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6C9E1AC6"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087610A6"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4696761" w14:textId="3B736606"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4AAFBB1F" w14:textId="77777777" w:rsidR="00136A25" w:rsidRPr="0090644D" w:rsidRDefault="00136A25" w:rsidP="001C7805">
            <w:pPr>
              <w:spacing w:after="0" w:line="240" w:lineRule="auto"/>
              <w:jc w:val="center"/>
              <w:rPr>
                <w:rFonts w:ascii="Times New Roman" w:hAnsi="Times New Roman"/>
                <w:b/>
                <w:bCs/>
                <w:noProof/>
                <w:kern w:val="0"/>
                <w:sz w:val="20"/>
                <w:szCs w:val="20"/>
              </w:rPr>
            </w:pPr>
            <w:r>
              <w:rPr>
                <w:rFonts w:ascii="Times New Roman" w:hAnsi="Times New Roman"/>
                <w:b/>
                <w:sz w:val="20"/>
              </w:rPr>
              <w:t>0</w:t>
            </w:r>
          </w:p>
        </w:tc>
      </w:tr>
      <w:tr w:rsidR="00122210" w:rsidRPr="000032E6" w14:paraId="0F0E4BE0"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6E57783D" w14:textId="77777777" w:rsidR="00136A25" w:rsidRPr="0090644D" w:rsidRDefault="00136A25" w:rsidP="00122210">
            <w:pPr>
              <w:spacing w:after="0" w:line="240" w:lineRule="auto"/>
              <w:jc w:val="both"/>
              <w:rPr>
                <w:rFonts w:ascii="Times New Roman" w:hAnsi="Times New Roman"/>
                <w:b/>
                <w:bCs/>
                <w:noProof/>
                <w:kern w:val="0"/>
                <w:sz w:val="20"/>
                <w:szCs w:val="20"/>
              </w:rPr>
            </w:pPr>
            <w:r>
              <w:rPr>
                <w:rFonts w:ascii="Times New Roman" w:hAnsi="Times New Roman"/>
                <w:b/>
                <w:sz w:val="20"/>
              </w:rPr>
              <w:t>State budget funds (SBF)</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AC9EB1"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50C0BE"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FF2E10"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1 000 000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96EB2A"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C86B72"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CECF4E"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F3A379"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D34561"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196DB6" w14:textId="551DD8CF"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929FEE"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r>
      <w:tr w:rsidR="00122210" w:rsidRPr="000032E6" w14:paraId="3618ADA7"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32817EC2" w14:textId="77777777" w:rsidR="00136A25" w:rsidRPr="0090644D" w:rsidRDefault="00136A25" w:rsidP="00122210">
            <w:pPr>
              <w:spacing w:after="0" w:line="240" w:lineRule="auto"/>
              <w:jc w:val="both"/>
              <w:rPr>
                <w:rFonts w:ascii="Times New Roman" w:hAnsi="Times New Roman"/>
                <w:noProof/>
                <w:kern w:val="0"/>
                <w:sz w:val="20"/>
                <w:szCs w:val="20"/>
              </w:rPr>
            </w:pPr>
            <w:r>
              <w:rPr>
                <w:rFonts w:ascii="Times New Roman" w:hAnsi="Times New Roman"/>
                <w:sz w:val="20"/>
              </w:rPr>
              <w:t>05.01.00 “Ensuring Scientific Activity”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E89CAA"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CEE47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1FD113"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1 000 000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A47496"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19582F"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58FE08"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165597"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DE7625"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673FAF" w14:textId="751354DD"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02F909"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r>
      <w:tr w:rsidR="00122210" w:rsidRPr="000032E6" w14:paraId="55DD239F" w14:textId="77777777" w:rsidTr="00335C97">
        <w:tc>
          <w:tcPr>
            <w:tcW w:w="0" w:type="auto"/>
            <w:tcBorders>
              <w:top w:val="outset" w:sz="6" w:space="0" w:color="414142"/>
              <w:left w:val="outset" w:sz="6" w:space="0" w:color="414142"/>
              <w:bottom w:val="outset" w:sz="6" w:space="0" w:color="414142"/>
              <w:right w:val="outset" w:sz="6" w:space="0" w:color="414142"/>
            </w:tcBorders>
            <w:hideMark/>
          </w:tcPr>
          <w:p w14:paraId="6BCAC245" w14:textId="77777777" w:rsidR="00136A25" w:rsidRPr="0090644D" w:rsidRDefault="00136A25" w:rsidP="00122210">
            <w:pPr>
              <w:spacing w:after="0" w:line="240" w:lineRule="auto"/>
              <w:jc w:val="both"/>
              <w:rPr>
                <w:rFonts w:ascii="Times New Roman" w:hAnsi="Times New Roman"/>
                <w:b/>
                <w:bCs/>
                <w:noProof/>
                <w:kern w:val="0"/>
                <w:sz w:val="20"/>
                <w:szCs w:val="20"/>
              </w:rPr>
            </w:pPr>
            <w:r>
              <w:rPr>
                <w:rFonts w:ascii="Times New Roman" w:hAnsi="Times New Roman"/>
                <w:b/>
                <w:sz w:val="20"/>
              </w:rPr>
              <w:t>EU funds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8BD2C4"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219339"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19F2BC"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81E80B"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AFCE5B"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8C432B"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F96E62"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0C946C"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A6BF95" w14:textId="01AB900F" w:rsidR="00136A25" w:rsidRPr="0090644D" w:rsidRDefault="00136A25" w:rsidP="001C7805">
            <w:pPr>
              <w:spacing w:after="0" w:line="240" w:lineRule="auto"/>
              <w:jc w:val="center"/>
              <w:rPr>
                <w:rFonts w:ascii="Times New Roman" w:hAnsi="Times New Roman"/>
                <w:noProof/>
                <w:kern w:val="0"/>
                <w:sz w:val="20"/>
                <w:szCs w:val="20"/>
                <w:lang w:val="lv-LV"/>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10BADB" w14:textId="77777777" w:rsidR="00136A25" w:rsidRPr="0090644D" w:rsidRDefault="00136A25" w:rsidP="001C7805">
            <w:pPr>
              <w:spacing w:after="0" w:line="240" w:lineRule="auto"/>
              <w:jc w:val="center"/>
              <w:rPr>
                <w:rFonts w:ascii="Times New Roman" w:hAnsi="Times New Roman"/>
                <w:noProof/>
                <w:kern w:val="0"/>
                <w:sz w:val="20"/>
                <w:szCs w:val="20"/>
              </w:rPr>
            </w:pPr>
            <w:r>
              <w:rPr>
                <w:rFonts w:ascii="Times New Roman" w:hAnsi="Times New Roman"/>
                <w:sz w:val="20"/>
              </w:rPr>
              <w:t>0</w:t>
            </w:r>
          </w:p>
        </w:tc>
      </w:tr>
    </w:tbl>
    <w:p w14:paraId="631DC7A8" w14:textId="77777777" w:rsidR="000032E6" w:rsidRDefault="000032E6" w:rsidP="00122210">
      <w:pPr>
        <w:spacing w:after="0" w:line="240" w:lineRule="auto"/>
        <w:jc w:val="both"/>
        <w:rPr>
          <w:rFonts w:ascii="Times New Roman" w:hAnsi="Times New Roman"/>
          <w:noProof/>
          <w:kern w:val="0"/>
          <w:lang w:val="lv-LV"/>
        </w:rPr>
      </w:pPr>
    </w:p>
    <w:p w14:paraId="1FAC7038" w14:textId="6C786DEB" w:rsidR="00136A25" w:rsidRDefault="00136A25" w:rsidP="001C7805">
      <w:pPr>
        <w:spacing w:after="0" w:line="240" w:lineRule="auto"/>
        <w:ind w:firstLine="709"/>
        <w:jc w:val="both"/>
        <w:rPr>
          <w:rFonts w:ascii="Times New Roman" w:hAnsi="Times New Roman"/>
          <w:noProof/>
          <w:kern w:val="0"/>
        </w:rPr>
      </w:pPr>
      <w:r>
        <w:rPr>
          <w:rFonts w:ascii="Times New Roman" w:hAnsi="Times New Roman"/>
        </w:rPr>
        <w:t>*Additional required funding is to be requested in accordance with the procedures laid down in laws and regulations under programme 80.00.00 “Undivided Funding for the Implementation of Projects and Measures Co-financed by the European Union Policy Instruments and Other Foreign Financial Assistance” of budget unit 74 “Funding to be Reallocated During the Implementation Process of the Annual State Budget”, without exceeding the funding available for the specific objective and its measure under the European Union Cohesion Policy Programme 2021–2027, and also for investments under the Recovery and Resilience Facility plan.</w:t>
      </w:r>
    </w:p>
    <w:p w14:paraId="652B9E4D" w14:textId="77777777" w:rsidR="000032E6" w:rsidRPr="00B10F87" w:rsidRDefault="000032E6" w:rsidP="00122210">
      <w:pPr>
        <w:spacing w:after="0" w:line="240" w:lineRule="auto"/>
        <w:jc w:val="both"/>
        <w:rPr>
          <w:rFonts w:ascii="Times New Roman" w:hAnsi="Times New Roman"/>
          <w:noProof/>
          <w:kern w:val="0"/>
          <w:lang w:val="lv-LV"/>
        </w:rPr>
      </w:pPr>
    </w:p>
    <w:p w14:paraId="3559C593" w14:textId="77777777" w:rsidR="00136A25" w:rsidRPr="00B10F87" w:rsidRDefault="0097379F" w:rsidP="00122210">
      <w:pPr>
        <w:spacing w:after="0" w:line="240" w:lineRule="auto"/>
        <w:jc w:val="both"/>
        <w:rPr>
          <w:rFonts w:ascii="Times New Roman" w:hAnsi="Times New Roman"/>
          <w:noProof/>
          <w:kern w:val="0"/>
        </w:rPr>
      </w:pPr>
      <w:r>
        <w:rPr>
          <w:rFonts w:ascii="Times New Roman" w:hAnsi="Times New Roman"/>
        </w:rPr>
        <w:pict w14:anchorId="5795A409">
          <v:rect id="_x0000_i1025" style="width:154.45pt;height:.75pt" o:hrpct="330" o:hralign="center" o:hrstd="t" o:hr="t" fillcolor="#a0a0a0" stroked="f"/>
        </w:pict>
      </w:r>
    </w:p>
    <w:p w14:paraId="4FFD58D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1 </w:t>
      </w:r>
      <w:r>
        <w:rPr>
          <w:rFonts w:ascii="Times New Roman" w:hAnsi="Times New Roman"/>
        </w:rPr>
        <w:t>Overweight (BMI 25-29.99 kg/m</w:t>
      </w:r>
      <w:r>
        <w:rPr>
          <w:rFonts w:ascii="Times New Roman" w:hAnsi="Times New Roman"/>
          <w:vertAlign w:val="superscript"/>
        </w:rPr>
        <w:t>2</w:t>
      </w:r>
      <w:r>
        <w:rPr>
          <w:rFonts w:ascii="Times New Roman" w:hAnsi="Times New Roman"/>
        </w:rPr>
        <w:t>) and obesity (BMI ≥30 kg/m</w:t>
      </w:r>
      <w:r>
        <w:rPr>
          <w:rFonts w:ascii="Times New Roman" w:hAnsi="Times New Roman"/>
          <w:vertAlign w:val="superscript"/>
        </w:rPr>
        <w:t>2</w:t>
      </w:r>
      <w:r>
        <w:rPr>
          <w:rFonts w:ascii="Times New Roman" w:hAnsi="Times New Roman"/>
        </w:rPr>
        <w:t>)</w:t>
      </w:r>
    </w:p>
    <w:p w14:paraId="4546120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2 </w:t>
      </w:r>
      <w:r>
        <w:rPr>
          <w:rFonts w:ascii="Times New Roman" w:hAnsi="Times New Roman"/>
        </w:rPr>
        <w:t>Eurostat. 2024.</w:t>
      </w:r>
    </w:p>
    <w:p w14:paraId="2C2ECC9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3 </w:t>
      </w:r>
      <w:r>
        <w:rPr>
          <w:rFonts w:ascii="Times New Roman" w:hAnsi="Times New Roman"/>
        </w:rPr>
        <w:t>WHO, 2022. WHO European region obesity report</w:t>
      </w:r>
    </w:p>
    <w:p w14:paraId="1A6CB21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4 </w:t>
      </w:r>
      <w:r>
        <w:rPr>
          <w:rFonts w:ascii="Times New Roman" w:hAnsi="Times New Roman"/>
        </w:rPr>
        <w:t>A. Talmor, B. Dunphy, 2015. Female Obesity and Infertility.</w:t>
      </w:r>
    </w:p>
    <w:p w14:paraId="56F8533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5 </w:t>
      </w:r>
      <w:r>
        <w:rPr>
          <w:rFonts w:ascii="Times New Roman" w:hAnsi="Times New Roman"/>
        </w:rPr>
        <w:t>Natalie S. The, Linda S. Adair, Penny Gordon-Larsen, 2010. A study of the Birth Weigth – Obesity Relation Using a Longitudinal Cohort and Sibling and Twin Pairs.</w:t>
      </w:r>
    </w:p>
    <w:p w14:paraId="0F9DA71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6 </w:t>
      </w:r>
      <w:r>
        <w:rPr>
          <w:rFonts w:ascii="Times New Roman" w:hAnsi="Times New Roman"/>
        </w:rPr>
        <w:t>Schack-Nielsen et al, 2010. Gestational weight gaini n relation to offspring body mass index and obesity from infancy through adulthood.</w:t>
      </w:r>
    </w:p>
    <w:p w14:paraId="2E211BF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7 </w:t>
      </w:r>
      <w:r>
        <w:rPr>
          <w:rFonts w:ascii="Times New Roman" w:hAnsi="Times New Roman"/>
        </w:rPr>
        <w:t>Scott M. Nelson, Phillippa Matthews, Lucilla Poston, 2010. Maternal metabolism and obesity: modifiable determinants of pregnancy outcome.</w:t>
      </w:r>
    </w:p>
    <w:p w14:paraId="4739B18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8 </w:t>
      </w:r>
      <w:r>
        <w:rPr>
          <w:rFonts w:ascii="Times New Roman" w:hAnsi="Times New Roman"/>
        </w:rPr>
        <w:t>WHO, 2017. Weight bias and obesity stigma: considerations for the WHO European Region</w:t>
      </w:r>
    </w:p>
    <w:p w14:paraId="0B5D9FF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lastRenderedPageBreak/>
        <w:t>9 </w:t>
      </w:r>
      <w:r>
        <w:rPr>
          <w:rFonts w:ascii="Times New Roman" w:hAnsi="Times New Roman"/>
        </w:rPr>
        <w:t>OECD, 2019. Heavy-burden-of-obesity-Policy-Brief-2019.pdf (oecd.org)</w:t>
      </w:r>
    </w:p>
    <w:p w14:paraId="21CE27C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10 </w:t>
      </w:r>
      <w:r>
        <w:rPr>
          <w:rFonts w:ascii="Times New Roman" w:hAnsi="Times New Roman"/>
        </w:rPr>
        <w:t>Here and hereinafter – industrially produced food products that are energy-dense and high in fats, added sugars, and salt.</w:t>
      </w:r>
    </w:p>
    <w:p w14:paraId="7CD9232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11 </w:t>
      </w:r>
      <w:r>
        <w:rPr>
          <w:rFonts w:ascii="Times New Roman" w:hAnsi="Times New Roman"/>
        </w:rPr>
        <w:t>OECD, 2019. Heavy Burden of Obesity. The economics of prevention. A quick guide for policy makers.</w:t>
      </w:r>
    </w:p>
    <w:p w14:paraId="3127A1C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12 </w:t>
      </w:r>
      <w:r>
        <w:rPr>
          <w:rFonts w:ascii="Times New Roman" w:hAnsi="Times New Roman"/>
        </w:rPr>
        <w:t>MoH, 2020. Nutritional Recommendations for Adults</w:t>
      </w:r>
    </w:p>
    <w:p w14:paraId="587567A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13 </w:t>
      </w:r>
      <w:r>
        <w:rPr>
          <w:rFonts w:ascii="Times New Roman" w:hAnsi="Times New Roman"/>
        </w:rPr>
        <w:t>OECD, 2023. Latvia: Country Health Profile 2023</w:t>
      </w:r>
    </w:p>
    <w:p w14:paraId="2B16DCF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14 </w:t>
      </w:r>
      <w:r>
        <w:rPr>
          <w:rFonts w:ascii="Times New Roman" w:hAnsi="Times New Roman"/>
        </w:rPr>
        <w:t>CDPC, Database of Causes of Death of the Latvian Population (May 2024)</w:t>
      </w:r>
    </w:p>
    <w:p w14:paraId="2726F0E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15 </w:t>
      </w:r>
      <w:r>
        <w:rPr>
          <w:rFonts w:ascii="Times New Roman" w:hAnsi="Times New Roman"/>
        </w:rPr>
        <w:t>WHO, 2022. Physical activity</w:t>
      </w:r>
    </w:p>
    <w:p w14:paraId="1BF3ADB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16 </w:t>
      </w:r>
      <w:r>
        <w:rPr>
          <w:rFonts w:ascii="Times New Roman" w:hAnsi="Times New Roman"/>
        </w:rPr>
        <w:t>OECD/WHO, 2023. Step Up! Tackling the Burden of Insufficient Physical Activity in Europe</w:t>
      </w:r>
    </w:p>
    <w:p w14:paraId="6E5C5EB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17 </w:t>
      </w:r>
      <w:r>
        <w:rPr>
          <w:rFonts w:ascii="Times New Roman" w:hAnsi="Times New Roman"/>
        </w:rPr>
        <w:t>WHO, 2023. Health service delivery framework for prevention and management of obesity</w:t>
      </w:r>
    </w:p>
    <w:p w14:paraId="68AA310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18 </w:t>
      </w:r>
      <w:r>
        <w:rPr>
          <w:rFonts w:ascii="Times New Roman" w:hAnsi="Times New Roman"/>
        </w:rPr>
        <w:t>Eurostat, 2022.</w:t>
      </w:r>
    </w:p>
    <w:p w14:paraId="64289DC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19 </w:t>
      </w:r>
      <w:r>
        <w:rPr>
          <w:rFonts w:ascii="Times New Roman" w:hAnsi="Times New Roman"/>
        </w:rPr>
        <w:t>https://likumi.lv/ta/id/349266-par-valdibas-ricibas-planu-deklaracijas-par-evikas-silinas-vadita-ministru-kabineta-iecereto-darbibu-istenosanai</w:t>
      </w:r>
    </w:p>
    <w:p w14:paraId="0538F3B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20 </w:t>
      </w:r>
      <w:r>
        <w:rPr>
          <w:rFonts w:ascii="Times New Roman" w:hAnsi="Times New Roman"/>
        </w:rPr>
        <w:t>WHO, 2022. WHO European regional obesity report 2022.</w:t>
      </w:r>
    </w:p>
    <w:p w14:paraId="74EB98D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21 </w:t>
      </w:r>
      <w:r>
        <w:rPr>
          <w:rFonts w:ascii="Times New Roman" w:hAnsi="Times New Roman"/>
        </w:rPr>
        <w:t>Pekka Puska, Paresh Jaini, 2020. The North Karelia Project: Prevention of Cardiovaskular Disease in Finland Through Population-Based Lifestyle Interventions.</w:t>
      </w:r>
    </w:p>
    <w:p w14:paraId="0D5246C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22 </w:t>
      </w:r>
      <w:r>
        <w:rPr>
          <w:rFonts w:ascii="Times New Roman" w:hAnsi="Times New Roman"/>
        </w:rPr>
        <w:t>WHO, 2023. Health service delivery framework for prevention and management of obesity</w:t>
      </w:r>
    </w:p>
    <w:p w14:paraId="2871B9E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23 </w:t>
      </w:r>
      <w:r>
        <w:rPr>
          <w:rFonts w:ascii="Times New Roman" w:hAnsi="Times New Roman"/>
        </w:rPr>
        <w:t>WHO, 2022. WHO acceleration plan to stop obesity</w:t>
      </w:r>
    </w:p>
    <w:p w14:paraId="2DF6821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24</w:t>
      </w:r>
      <w:r>
        <w:rPr>
          <w:rFonts w:ascii="Times New Roman" w:hAnsi="Times New Roman"/>
        </w:rPr>
        <w:t xml:space="preserve"> Plan for Improving the Organisation of Mental Health Care 2023–2025</w:t>
      </w:r>
    </w:p>
    <w:p w14:paraId="64E90FF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25 </w:t>
      </w:r>
      <w:r>
        <w:rPr>
          <w:rFonts w:ascii="Times New Roman" w:hAnsi="Times New Roman"/>
        </w:rPr>
        <w:t>NAP2027</w:t>
      </w:r>
    </w:p>
    <w:p w14:paraId="5C1609E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26 </w:t>
      </w:r>
      <w:r>
        <w:rPr>
          <w:rFonts w:ascii="Times New Roman" w:hAnsi="Times New Roman"/>
        </w:rPr>
        <w:t>Guidelines</w:t>
      </w:r>
    </w:p>
    <w:p w14:paraId="54871CA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27</w:t>
      </w:r>
      <w:r>
        <w:rPr>
          <w:rFonts w:ascii="Times New Roman" w:hAnsi="Times New Roman"/>
        </w:rPr>
        <w:t xml:space="preserve"> Education Development Guidelines 2021–2027</w:t>
      </w:r>
    </w:p>
    <w:p w14:paraId="5E638A9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28</w:t>
      </w:r>
      <w:r>
        <w:rPr>
          <w:rFonts w:ascii="Times New Roman" w:hAnsi="Times New Roman"/>
        </w:rPr>
        <w:t xml:space="preserve"> Plan for Improving Healthcare Services in Oncology 2022–2024</w:t>
      </w:r>
    </w:p>
    <w:p w14:paraId="2BC96F3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29</w:t>
      </w:r>
      <w:r>
        <w:rPr>
          <w:rFonts w:ascii="Times New Roman" w:hAnsi="Times New Roman"/>
        </w:rPr>
        <w:t xml:space="preserve"> Plan for Improving the Organisation of Mental Health Care 2023–2025</w:t>
      </w:r>
    </w:p>
    <w:p w14:paraId="69BD7EE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30</w:t>
      </w:r>
      <w:r>
        <w:rPr>
          <w:rFonts w:ascii="Times New Roman" w:hAnsi="Times New Roman"/>
        </w:rPr>
        <w:t xml:space="preserve"> Sports Policy Guidelines 2022–2027</w:t>
      </w:r>
    </w:p>
    <w:p w14:paraId="25BB4F6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31 </w:t>
      </w:r>
      <w:r>
        <w:rPr>
          <w:rFonts w:ascii="Times New Roman" w:hAnsi="Times New Roman"/>
        </w:rPr>
        <w:t>WHO, 2021. European Programme of Work 2020-2025: United Action for Better Health</w:t>
      </w:r>
    </w:p>
    <w:p w14:paraId="1DE1B4D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32 </w:t>
      </w:r>
      <w:r>
        <w:rPr>
          <w:rFonts w:ascii="Times New Roman" w:hAnsi="Times New Roman"/>
        </w:rPr>
        <w:t>WHO, 2018. Global action plan on physical activity 2018–2030: more active people for a healthier world</w:t>
      </w:r>
    </w:p>
    <w:p w14:paraId="76E3DCE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33 </w:t>
      </w:r>
      <w:r>
        <w:rPr>
          <w:rFonts w:ascii="Times New Roman" w:hAnsi="Times New Roman"/>
        </w:rPr>
        <w:t>WHO, 2016. Physical activity strategy for the WHO European Region 2016-2025</w:t>
      </w:r>
    </w:p>
    <w:p w14:paraId="1E9E24E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34 </w:t>
      </w:r>
      <w:r>
        <w:rPr>
          <w:rFonts w:ascii="Times New Roman" w:hAnsi="Times New Roman"/>
        </w:rPr>
        <w:t>OECD/European Observatory on Health Systems and Policies, 2023. Latvija: Valsts veselības profils 2023.</w:t>
      </w:r>
    </w:p>
    <w:p w14:paraId="33FA27A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35 </w:t>
      </w:r>
      <w:r>
        <w:rPr>
          <w:rFonts w:ascii="Times New Roman" w:hAnsi="Times New Roman"/>
        </w:rPr>
        <w:t>CCUH, 2024. Overweight and Obesity in Children.</w:t>
      </w:r>
    </w:p>
    <w:p w14:paraId="1ED00FE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36 </w:t>
      </w:r>
      <w:r>
        <w:rPr>
          <w:rFonts w:ascii="Times New Roman" w:hAnsi="Times New Roman"/>
        </w:rPr>
        <w:t>WHO, World Obesity Federation, 2018. Taking Action on Childhood Obesity.</w:t>
      </w:r>
    </w:p>
    <w:p w14:paraId="2EFFE44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37 </w:t>
      </w:r>
      <w:r>
        <w:rPr>
          <w:rFonts w:ascii="Times New Roman" w:hAnsi="Times New Roman"/>
        </w:rPr>
        <w:t>WHO, 2020. WHO guidelines on physical activity and sedentary behaviour</w:t>
      </w:r>
    </w:p>
    <w:p w14:paraId="29E4F77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38 </w:t>
      </w:r>
      <w:r>
        <w:rPr>
          <w:rFonts w:ascii="Times New Roman" w:hAnsi="Times New Roman"/>
        </w:rPr>
        <w:t>Park et al. 2020. Sedentary Lifestyle: Overview of Updated Evidence of Potencial Health Risks.</w:t>
      </w:r>
    </w:p>
    <w:p w14:paraId="4FF7811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39 </w:t>
      </w:r>
      <w:r>
        <w:rPr>
          <w:rFonts w:ascii="Times New Roman" w:hAnsi="Times New Roman"/>
        </w:rPr>
        <w:t>Deloitte, 2023. Economic Health and Societal Well-being: Quantifying the Impact of the Global Health &amp; Fitness Sector – Latvia.</w:t>
      </w:r>
    </w:p>
    <w:p w14:paraId="6520A49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40 </w:t>
      </w:r>
      <w:r>
        <w:rPr>
          <w:rFonts w:ascii="Times New Roman" w:hAnsi="Times New Roman"/>
        </w:rPr>
        <w:t>O. Krasnopjorovs, 2024. How to Achieve SUSTAINABLE Growth of Latvian Economy? The Path to Strengthening Human Capital. Part 1 of an article on promoting Latvia’s growth.</w:t>
      </w:r>
    </w:p>
    <w:p w14:paraId="30577FD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41</w:t>
      </w:r>
      <w:r>
        <w:rPr>
          <w:rFonts w:ascii="Times New Roman" w:hAnsi="Times New Roman"/>
        </w:rPr>
        <w:t> Golzarand et al., 2022. Association between alcohol intake and overweight and obesity: a systematic review and dose-response meta-analysis of 127 observational studies</w:t>
      </w:r>
    </w:p>
    <w:p w14:paraId="27D0110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42 </w:t>
      </w:r>
      <w:r>
        <w:rPr>
          <w:rFonts w:ascii="Times New Roman" w:hAnsi="Times New Roman"/>
        </w:rPr>
        <w:t>G. Traversy, Je.P. Chaput, 2015. Alcohol Consumption and Obesity: An Upadete.</w:t>
      </w:r>
    </w:p>
    <w:p w14:paraId="742B178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43 </w:t>
      </w:r>
      <w:r>
        <w:rPr>
          <w:rFonts w:ascii="Times New Roman" w:hAnsi="Times New Roman"/>
        </w:rPr>
        <w:t>OECD data on alcohol consumption</w:t>
      </w:r>
    </w:p>
    <w:p w14:paraId="3432A74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44</w:t>
      </w:r>
      <w:r>
        <w:rPr>
          <w:rFonts w:ascii="Times New Roman" w:hAnsi="Times New Roman"/>
        </w:rPr>
        <w:t xml:space="preserve"> Plan for the Improvement of Preventive Measures and Healthcare Services to Reduce the Prevalence of Alcohol Consumption and Drug Use 2023–2025</w:t>
      </w:r>
    </w:p>
    <w:p w14:paraId="1647435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45 </w:t>
      </w:r>
      <w:r>
        <w:rPr>
          <w:rFonts w:ascii="Times New Roman" w:hAnsi="Times New Roman"/>
        </w:rPr>
        <w:t>Niemeier et al, 2006. Fast food consumption and breakfast skipping: Predictors of weight gain from adolescence to adulthood in a nationally representative sample.</w:t>
      </w:r>
    </w:p>
    <w:p w14:paraId="46EFAC4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46 </w:t>
      </w:r>
      <w:r>
        <w:rPr>
          <w:rFonts w:ascii="Times New Roman" w:hAnsi="Times New Roman"/>
        </w:rPr>
        <w:t>MoH, 2020. Recommendations on the Consumption of Vegetables, Fruits, and Berries in the Diet</w:t>
      </w:r>
    </w:p>
    <w:p w14:paraId="73B054A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lastRenderedPageBreak/>
        <w:t>47 </w:t>
      </w:r>
      <w:r>
        <w:rPr>
          <w:rFonts w:ascii="Times New Roman" w:hAnsi="Times New Roman"/>
        </w:rPr>
        <w:t>OECD/European Observatory on Health Systems and Policies, 2023. Latvija: Valsts veselības profils 2023.</w:t>
      </w:r>
    </w:p>
    <w:p w14:paraId="4EABEA4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48</w:t>
      </w:r>
      <w:r>
        <w:rPr>
          <w:rFonts w:ascii="Times New Roman" w:hAnsi="Times New Roman"/>
        </w:rPr>
        <w:t xml:space="preserve"> Data from the Study on Health-related Habits among Latvian Pupils, school year 2022/2023</w:t>
      </w:r>
    </w:p>
    <w:p w14:paraId="344853D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49 </w:t>
      </w:r>
      <w:r>
        <w:rPr>
          <w:rFonts w:ascii="Times New Roman" w:hAnsi="Times New Roman"/>
        </w:rPr>
        <w:t>Study on Health-related Habits among the Latvian Population, 2022</w:t>
      </w:r>
    </w:p>
    <w:p w14:paraId="55C4CD4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50 </w:t>
      </w:r>
      <w:r>
        <w:rPr>
          <w:rFonts w:ascii="Times New Roman" w:hAnsi="Times New Roman"/>
        </w:rPr>
        <w:t>MoH, 2020. Study on Salt and Iodine Intake among the Adult Latvian Population</w:t>
      </w:r>
    </w:p>
    <w:p w14:paraId="7A03C76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51 </w:t>
      </w:r>
      <w:r>
        <w:rPr>
          <w:rFonts w:ascii="Times New Roman" w:hAnsi="Times New Roman"/>
        </w:rPr>
        <w:t>Data from the Register of Newborns</w:t>
      </w:r>
    </w:p>
    <w:p w14:paraId="7E0687F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52 </w:t>
      </w:r>
      <w:r>
        <w:rPr>
          <w:rFonts w:ascii="Times New Roman" w:hAnsi="Times New Roman"/>
        </w:rPr>
        <w:t>The infant is exclusively breastfed. Other liquids or foods are not given, except for rehydration solutions, vitamins, minerals, or medications.</w:t>
      </w:r>
    </w:p>
    <w:p w14:paraId="5B9C34F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53 </w:t>
      </w:r>
      <w:r>
        <w:rPr>
          <w:rFonts w:ascii="Times New Roman" w:hAnsi="Times New Roman"/>
        </w:rPr>
        <w:t>WHO, 2022. WHO European Regional Obesity Report.</w:t>
      </w:r>
    </w:p>
    <w:p w14:paraId="12A83D1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54 </w:t>
      </w:r>
      <w:r>
        <w:rPr>
          <w:rFonts w:ascii="Times New Roman" w:hAnsi="Times New Roman"/>
        </w:rPr>
        <w:t>M. Pranka, I. Briška, 2021. Study on Physical Activity, Dietary Habits, and BMI among Preschool Children in Latvia</w:t>
      </w:r>
    </w:p>
    <w:p w14:paraId="5B3CB45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55 </w:t>
      </w:r>
      <w:r>
        <w:rPr>
          <w:rFonts w:ascii="Times New Roman" w:hAnsi="Times New Roman"/>
        </w:rPr>
        <w:t>CDPC, 2017. Breastfeeding ABC</w:t>
      </w:r>
    </w:p>
    <w:p w14:paraId="42E003D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56 </w:t>
      </w:r>
      <w:r>
        <w:rPr>
          <w:rFonts w:ascii="Times New Roman" w:hAnsi="Times New Roman"/>
        </w:rPr>
        <w:t>MoH, 2017. Nutritional Recommendations for Women during Pregnancy</w:t>
      </w:r>
    </w:p>
    <w:p w14:paraId="26FF2CF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57 </w:t>
      </w:r>
      <w:r>
        <w:rPr>
          <w:rFonts w:ascii="Times New Roman" w:hAnsi="Times New Roman"/>
        </w:rPr>
        <w:t>MoH, 2022. Nutritional Recommendations for Women during the Lactation Period</w:t>
      </w:r>
    </w:p>
    <w:p w14:paraId="266CB083"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58 </w:t>
      </w:r>
      <w:r>
        <w:rPr>
          <w:rFonts w:ascii="Times New Roman" w:hAnsi="Times New Roman"/>
        </w:rPr>
        <w:t>WHO, 2023. WHO Regional Office for Europe nutrient profile model: second edition</w:t>
      </w:r>
    </w:p>
    <w:p w14:paraId="32BC4E9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59 </w:t>
      </w:r>
      <w:r>
        <w:rPr>
          <w:rFonts w:ascii="Times New Roman" w:hAnsi="Times New Roman"/>
        </w:rPr>
        <w:t>WHO, 2020. Healthy diet</w:t>
      </w:r>
    </w:p>
    <w:p w14:paraId="7D1F7E6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60 </w:t>
      </w:r>
      <w:r>
        <w:rPr>
          <w:rFonts w:ascii="Times New Roman" w:hAnsi="Times New Roman"/>
        </w:rPr>
        <w:t>MoH, 2022. Memorandum of Cooperation between the MoH, the LFFC, and the LCCI on Reformulation of Food Products</w:t>
      </w:r>
    </w:p>
    <w:p w14:paraId="3C41DC5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61 </w:t>
      </w:r>
      <w:r>
        <w:rPr>
          <w:rFonts w:ascii="Times New Roman" w:hAnsi="Times New Roman"/>
        </w:rPr>
        <w:t>WHO, 2022. WHO European Regional Obesity Report.</w:t>
      </w:r>
    </w:p>
    <w:p w14:paraId="45AEA6A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62 </w:t>
      </w:r>
      <w:r>
        <w:rPr>
          <w:rFonts w:ascii="Times New Roman" w:hAnsi="Times New Roman"/>
        </w:rPr>
        <w:t>https://bestremap.eu/</w:t>
      </w:r>
    </w:p>
    <w:p w14:paraId="583D607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63 </w:t>
      </w:r>
      <w:r>
        <w:rPr>
          <w:rFonts w:ascii="Times New Roman" w:hAnsi="Times New Roman"/>
        </w:rPr>
        <w:t>The WHO defines nutrient profiling as the science of classifying or ranking foods according to their nutritional composition for reasons related to preventing disease and promoting health.</w:t>
      </w:r>
    </w:p>
    <w:p w14:paraId="45A992D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64 </w:t>
      </w:r>
      <w:r>
        <w:rPr>
          <w:rFonts w:ascii="Times New Roman" w:hAnsi="Times New Roman"/>
        </w:rPr>
        <w:t>MoH, 2011. Memorandum of Cooperation between the MoH, the LFFC, and the LANABP on Changes in Advertising Non-alcoholic Beverages for Children</w:t>
      </w:r>
    </w:p>
    <w:p w14:paraId="1573EA8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65</w:t>
      </w:r>
      <w:r>
        <w:rPr>
          <w:rFonts w:ascii="Times New Roman" w:hAnsi="Times New Roman"/>
        </w:rPr>
        <w:t xml:space="preserve"> Siksna I., Lazda I., Goldmanis M., 2020. Study on Salt and Iodine Intake among the Adult Latvian Population</w:t>
      </w:r>
    </w:p>
    <w:p w14:paraId="1AF8E00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66 </w:t>
      </w:r>
      <w:r>
        <w:rPr>
          <w:rFonts w:ascii="Times New Roman" w:hAnsi="Times New Roman"/>
        </w:rPr>
        <w:t>WHO, 2022. WHO European Regional Obesity Report.</w:t>
      </w:r>
    </w:p>
    <w:p w14:paraId="58B78C70" w14:textId="6D311640"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67</w:t>
      </w:r>
      <w:r>
        <w:rPr>
          <w:rFonts w:ascii="Times New Roman" w:hAnsi="Times New Roman"/>
        </w:rPr>
        <w:t xml:space="preserve"> Cabinet Regulation No. 172 of 13 March 2012, Regulations Regarding Nutritional Norms for Educatees of Educational Institutions, Clients of Social Care and Social Rehabilitation Institutions and Patients of Medical Treatment Institutions</w:t>
      </w:r>
    </w:p>
    <w:p w14:paraId="1493965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68 </w:t>
      </w:r>
      <w:r>
        <w:rPr>
          <w:rFonts w:ascii="Times New Roman" w:hAnsi="Times New Roman"/>
        </w:rPr>
        <w:t>WHO, 2020. WHO guidelines on physical activity and sedentary behaviour</w:t>
      </w:r>
    </w:p>
    <w:p w14:paraId="7CFBE99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69 </w:t>
      </w:r>
      <w:r>
        <w:rPr>
          <w:rFonts w:ascii="Times New Roman" w:hAnsi="Times New Roman"/>
        </w:rPr>
        <w:t>WHO, 2019. Guidelines on physical activity, sedentary behaviour and sleep for children under 5 years of age.</w:t>
      </w:r>
    </w:p>
    <w:p w14:paraId="673D191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70 </w:t>
      </w:r>
      <w:r>
        <w:rPr>
          <w:rFonts w:ascii="Times New Roman" w:hAnsi="Times New Roman"/>
        </w:rPr>
        <w:t>WHO, 2018. Global action plan on physical activity 2018–2030: more active people for a healthier world.</w:t>
      </w:r>
    </w:p>
    <w:p w14:paraId="2DF8CCC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71</w:t>
      </w:r>
      <w:r>
        <w:rPr>
          <w:rFonts w:ascii="Times New Roman" w:hAnsi="Times New Roman"/>
        </w:rPr>
        <w:t> Raudeniece et al., 2024. Relations between the levels of moderate to vigorous physical activity, BMI, dietary habits, cognitive functions and attention problems in 8 to 9 years old pupils: network analysis (PACH Study)</w:t>
      </w:r>
    </w:p>
    <w:p w14:paraId="3CD5532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72 </w:t>
      </w:r>
      <w:r>
        <w:rPr>
          <w:rFonts w:ascii="Times New Roman" w:hAnsi="Times New Roman"/>
        </w:rPr>
        <w:t>Eurobarometer, 2022. Sport and physical activity</w:t>
      </w:r>
    </w:p>
    <w:p w14:paraId="5EE2C21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73 </w:t>
      </w:r>
      <w:r>
        <w:rPr>
          <w:rFonts w:ascii="Times New Roman" w:hAnsi="Times New Roman"/>
        </w:rPr>
        <w:t>State Audit Office, 2023. Do Local Governments Promote the Engagement of the Population in Physical Activity?</w:t>
      </w:r>
    </w:p>
    <w:p w14:paraId="3C3E14C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74 </w:t>
      </w:r>
      <w:r>
        <w:rPr>
          <w:rFonts w:ascii="Times New Roman" w:hAnsi="Times New Roman"/>
        </w:rPr>
        <w:t>Recommendations on healthy diet developed by the MoH</w:t>
      </w:r>
    </w:p>
    <w:p w14:paraId="34AEDC66"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75 </w:t>
      </w:r>
      <w:r>
        <w:rPr>
          <w:rFonts w:ascii="Times New Roman" w:hAnsi="Times New Roman"/>
        </w:rPr>
        <w:t>Eurobarometer, 2022. Sport and physical activity</w:t>
      </w:r>
    </w:p>
    <w:p w14:paraId="3349F5F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76 </w:t>
      </w:r>
      <w:r>
        <w:rPr>
          <w:rFonts w:ascii="Times New Roman" w:hAnsi="Times New Roman"/>
        </w:rPr>
        <w:t>Global Nutrition Report, 2022. Food systems and nutrition equity</w:t>
      </w:r>
    </w:p>
    <w:p w14:paraId="376D03EE"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77 </w:t>
      </w:r>
      <w:r>
        <w:rPr>
          <w:rFonts w:ascii="Times New Roman" w:hAnsi="Times New Roman"/>
        </w:rPr>
        <w:t>RSU, 2014. Health Promotion at Workplace</w:t>
      </w:r>
    </w:p>
    <w:p w14:paraId="6C3C921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78 </w:t>
      </w:r>
      <w:r>
        <w:rPr>
          <w:rFonts w:ascii="Times New Roman" w:hAnsi="Times New Roman"/>
        </w:rPr>
        <w:t>M. Pranka, I. Briška, 2021. Study on Physical Activity, Dietary Habits, and BMI among Preschool Children in Latvia</w:t>
      </w:r>
    </w:p>
    <w:p w14:paraId="6ABD1A8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79 </w:t>
      </w:r>
      <w:r>
        <w:rPr>
          <w:rFonts w:ascii="Times New Roman" w:hAnsi="Times New Roman"/>
        </w:rPr>
        <w:t>Sutin &amp; Terraciano, 2013. Percieved weight discrimination and obesity.</w:t>
      </w:r>
    </w:p>
    <w:p w14:paraId="73B074D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80 </w:t>
      </w:r>
      <w:r>
        <w:rPr>
          <w:rFonts w:ascii="Times New Roman" w:hAnsi="Times New Roman"/>
        </w:rPr>
        <w:t>Vartanian &amp; Porter, 2016. Weight stigma and eating behavior: A review of the literature.</w:t>
      </w:r>
    </w:p>
    <w:p w14:paraId="537FC309"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81 </w:t>
      </w:r>
      <w:r>
        <w:rPr>
          <w:rFonts w:ascii="Times New Roman" w:hAnsi="Times New Roman"/>
        </w:rPr>
        <w:t>Emmer, Bosnjak, Mata, 2019. The association between weight stigma and mental health: A meta-analysis.</w:t>
      </w:r>
    </w:p>
    <w:p w14:paraId="676A0337"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lastRenderedPageBreak/>
        <w:t>82 </w:t>
      </w:r>
      <w:r>
        <w:rPr>
          <w:rFonts w:ascii="Times New Roman" w:hAnsi="Times New Roman"/>
        </w:rPr>
        <w:t>Tomiyama, 2014. Weight stigma is stressful. A review of evidence for the Cyclic Obesity/Weight – Based Stigma model.</w:t>
      </w:r>
    </w:p>
    <w:p w14:paraId="690A31BD"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83 </w:t>
      </w:r>
      <w:r>
        <w:rPr>
          <w:rFonts w:ascii="Times New Roman" w:hAnsi="Times New Roman"/>
        </w:rPr>
        <w:t>Vartanian &amp; Novak, 2011. Internalized societal attitudes moderate the impact of weight stigma on avoidance of exercise.</w:t>
      </w:r>
    </w:p>
    <w:p w14:paraId="47231AE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84 </w:t>
      </w:r>
      <w:r>
        <w:rPr>
          <w:rFonts w:ascii="Times New Roman" w:hAnsi="Times New Roman"/>
        </w:rPr>
        <w:t>Public Health England, 2019. Health matters: prevention – a life course approach.</w:t>
      </w:r>
    </w:p>
    <w:p w14:paraId="28CC7B7F"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85 </w:t>
      </w:r>
      <w:r>
        <w:rPr>
          <w:rFonts w:ascii="Times New Roman" w:hAnsi="Times New Roman"/>
        </w:rPr>
        <w:t>In accordance with the occupational standard, the tasks of an advanced practice nurse are as follows: to organise and manage evidence-based health promotion and preventive measures for an individual, group, or community and to provide medical assistance in cases of the most common endocrine diseases.</w:t>
      </w:r>
    </w:p>
    <w:p w14:paraId="47AA6D9C"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86 </w:t>
      </w:r>
      <w:r>
        <w:rPr>
          <w:rFonts w:ascii="Times New Roman" w:hAnsi="Times New Roman"/>
        </w:rPr>
        <w:t>M. Pranka, I. Briška, 2021. Study on Physical Activity, Dietary Habits, and BMI among Preschool Children in Latvia</w:t>
      </w:r>
    </w:p>
    <w:p w14:paraId="703BD58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87 </w:t>
      </w:r>
      <w:r>
        <w:rPr>
          <w:rFonts w:ascii="Times New Roman" w:hAnsi="Times New Roman"/>
        </w:rPr>
        <w:t>Study on Health-related Habits among the Latvian Population, 2022</w:t>
      </w:r>
    </w:p>
    <w:p w14:paraId="427BB6C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88 </w:t>
      </w:r>
      <w:r>
        <w:rPr>
          <w:rFonts w:ascii="Times New Roman" w:hAnsi="Times New Roman"/>
        </w:rPr>
        <w:t>Study on Health-related Habits among the Latvian Population, 2022</w:t>
      </w:r>
    </w:p>
    <w:p w14:paraId="1F1F80D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89 </w:t>
      </w:r>
      <w:r>
        <w:rPr>
          <w:rFonts w:ascii="Times New Roman" w:hAnsi="Times New Roman"/>
        </w:rPr>
        <w:t>WHO, 2017. Weight bias and obesity stigma: considerations for the WHO European Region</w:t>
      </w:r>
    </w:p>
    <w:p w14:paraId="169F0A82"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90 </w:t>
      </w:r>
      <w:r>
        <w:rPr>
          <w:rFonts w:ascii="Times New Roman" w:hAnsi="Times New Roman"/>
        </w:rPr>
        <w:t>WHO, 2023. Health service delivery framework for prevention and managment of obesity.</w:t>
      </w:r>
    </w:p>
    <w:p w14:paraId="6E62D28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91 </w:t>
      </w:r>
      <w:r>
        <w:rPr>
          <w:rFonts w:ascii="Times New Roman" w:hAnsi="Times New Roman"/>
        </w:rPr>
        <w:t>In accordance with the occupational standard, the task of a nurse (general care nurse) is to provide primary healthcare and home-based care to persons of all ages and to be able to plan and implement health promotion and prevention of diseases.</w:t>
      </w:r>
    </w:p>
    <w:p w14:paraId="603257F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92 </w:t>
      </w:r>
      <w:r>
        <w:rPr>
          <w:rFonts w:ascii="Times New Roman" w:hAnsi="Times New Roman"/>
        </w:rPr>
        <w:t>CCUH, 2023. Weight Correction Programme</w:t>
      </w:r>
    </w:p>
    <w:p w14:paraId="06653BBB"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93</w:t>
      </w:r>
      <w:r>
        <w:rPr>
          <w:rFonts w:ascii="Times New Roman" w:hAnsi="Times New Roman"/>
        </w:rPr>
        <w:t> Gailīte et al., 2019. Short-term predictors for weight correction success of the first paediatric weight correction programme in Children’s Clinical University Hospital in Riga.</w:t>
      </w:r>
    </w:p>
    <w:p w14:paraId="74B133B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94 </w:t>
      </w:r>
      <w:r>
        <w:rPr>
          <w:rFonts w:ascii="Times New Roman" w:hAnsi="Times New Roman"/>
        </w:rPr>
        <w:t>For calculating BMI in children, the following WHO methodology appropriate for the child’s sex and age is used: the SD scores (Z-scores) method and the percentile method.</w:t>
      </w:r>
    </w:p>
    <w:p w14:paraId="4D1A224A"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95 </w:t>
      </w:r>
      <w:r>
        <w:rPr>
          <w:rFonts w:ascii="Times New Roman" w:hAnsi="Times New Roman"/>
        </w:rPr>
        <w:t>D. Gulbe, 2023. The Magic Injection for Weight Loss: Hype around Ozempic</w:t>
      </w:r>
    </w:p>
    <w:p w14:paraId="7EA241E0"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96</w:t>
      </w:r>
      <w:r>
        <w:rPr>
          <w:rFonts w:ascii="Times New Roman" w:hAnsi="Times New Roman"/>
        </w:rPr>
        <w:t xml:space="preserve"> Siksna I., Lazda I., Goldmanis M., 2020. Study on Salt and Iodine Intake among the Adult Latvian Population</w:t>
      </w:r>
    </w:p>
    <w:p w14:paraId="31C63C24"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97</w:t>
      </w:r>
      <w:r>
        <w:rPr>
          <w:rFonts w:ascii="Times New Roman" w:hAnsi="Times New Roman"/>
        </w:rPr>
        <w:t xml:space="preserve"> Sīle et al., 2015. Issues Associated with Irrational Use of Medications</w:t>
      </w:r>
    </w:p>
    <w:p w14:paraId="1CFDFE08"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98</w:t>
      </w:r>
      <w:r>
        <w:rPr>
          <w:rFonts w:ascii="Times New Roman" w:hAnsi="Times New Roman"/>
        </w:rPr>
        <w:t xml:space="preserve"> Cabinet Regulation No. 172 of 13 March 2012, Regulations Regarding Nutritional Norms for Educatees of Educational Institutions, Clients of Social Care and Social Rehabilitation Institutions and Patients of Medical Treatment Institutions</w:t>
      </w:r>
    </w:p>
    <w:p w14:paraId="57074149" w14:textId="0E92191D"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99</w:t>
      </w:r>
      <w:r>
        <w:rPr>
          <w:rFonts w:ascii="Times New Roman" w:hAnsi="Times New Roman"/>
        </w:rPr>
        <w:t xml:space="preserve"> Section 15 of the law On Excise Duties</w:t>
      </w:r>
    </w:p>
    <w:p w14:paraId="4C60793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100 </w:t>
      </w:r>
      <w:r>
        <w:rPr>
          <w:rFonts w:ascii="Times New Roman" w:hAnsi="Times New Roman"/>
        </w:rPr>
        <w:t>Data from the Study on Health-related Habits among Latvian Pupils</w:t>
      </w:r>
    </w:p>
    <w:p w14:paraId="2C162751"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101 </w:t>
      </w:r>
      <w:r>
        <w:rPr>
          <w:rFonts w:ascii="Times New Roman" w:hAnsi="Times New Roman"/>
        </w:rPr>
        <w:t>Data from the Study on Health-related Habits among the Latvian Population</w:t>
      </w:r>
    </w:p>
    <w:p w14:paraId="68EF1215" w14:textId="77777777" w:rsidR="00136A25" w:rsidRPr="00B10F87" w:rsidRDefault="00136A25" w:rsidP="00122210">
      <w:pPr>
        <w:spacing w:after="0" w:line="240" w:lineRule="auto"/>
        <w:jc w:val="both"/>
        <w:rPr>
          <w:rFonts w:ascii="Times New Roman" w:hAnsi="Times New Roman"/>
          <w:noProof/>
          <w:kern w:val="0"/>
        </w:rPr>
      </w:pPr>
      <w:r>
        <w:rPr>
          <w:rFonts w:ascii="Times New Roman" w:hAnsi="Times New Roman"/>
          <w:vertAlign w:val="superscript"/>
        </w:rPr>
        <w:t xml:space="preserve">102 </w:t>
      </w:r>
      <w:r>
        <w:rPr>
          <w:rFonts w:ascii="Times New Roman" w:hAnsi="Times New Roman"/>
        </w:rPr>
        <w:t>Data from the Study on Child Anthropometrics and School Environment</w:t>
      </w:r>
    </w:p>
    <w:p w14:paraId="63A5FD74" w14:textId="77777777" w:rsidR="00AA1914" w:rsidRDefault="00AA1914" w:rsidP="00122210">
      <w:pPr>
        <w:spacing w:after="0" w:line="240" w:lineRule="auto"/>
        <w:jc w:val="both"/>
        <w:rPr>
          <w:rFonts w:ascii="Times New Roman" w:hAnsi="Times New Roman"/>
          <w:noProof/>
          <w:kern w:val="0"/>
          <w:lang w:val="lv-LV"/>
        </w:rPr>
      </w:pPr>
    </w:p>
    <w:p w14:paraId="01A4597A" w14:textId="77777777" w:rsidR="00AA1914" w:rsidRDefault="00AA1914" w:rsidP="00122210">
      <w:pPr>
        <w:spacing w:after="0" w:line="240" w:lineRule="auto"/>
        <w:jc w:val="both"/>
        <w:rPr>
          <w:rFonts w:ascii="Times New Roman" w:hAnsi="Times New Roman"/>
          <w:noProof/>
          <w:kern w:val="0"/>
          <w:lang w:val="lv-LV"/>
        </w:rPr>
      </w:pPr>
    </w:p>
    <w:p w14:paraId="3695B0A8" w14:textId="4F895EE5" w:rsidR="00136A25" w:rsidRPr="00B10F87" w:rsidRDefault="00136A25" w:rsidP="00514D14">
      <w:pPr>
        <w:tabs>
          <w:tab w:val="left" w:pos="7797"/>
        </w:tabs>
        <w:spacing w:after="0" w:line="240" w:lineRule="auto"/>
        <w:jc w:val="both"/>
        <w:rPr>
          <w:rFonts w:ascii="Times New Roman" w:hAnsi="Times New Roman"/>
          <w:noProof/>
          <w:kern w:val="0"/>
        </w:rPr>
      </w:pPr>
      <w:r>
        <w:rPr>
          <w:rFonts w:ascii="Times New Roman" w:hAnsi="Times New Roman"/>
        </w:rPr>
        <w:t>Minister for Health</w:t>
      </w:r>
      <w:r w:rsidR="00514D14">
        <w:rPr>
          <w:rFonts w:ascii="Times New Roman" w:hAnsi="Times New Roman"/>
        </w:rPr>
        <w:tab/>
      </w:r>
      <w:r>
        <w:rPr>
          <w:rFonts w:ascii="Times New Roman" w:hAnsi="Times New Roman"/>
        </w:rPr>
        <w:t>H. Abu Meri</w:t>
      </w:r>
    </w:p>
    <w:p w14:paraId="133A0D22" w14:textId="77777777" w:rsidR="00AA1914" w:rsidRDefault="00AA1914" w:rsidP="00122210">
      <w:pPr>
        <w:spacing w:after="0" w:line="240" w:lineRule="auto"/>
        <w:jc w:val="both"/>
        <w:rPr>
          <w:rFonts w:ascii="Times New Roman" w:hAnsi="Times New Roman"/>
          <w:noProof/>
          <w:kern w:val="0"/>
        </w:rPr>
      </w:pPr>
      <w:bookmarkStart w:id="9" w:name="piel-1460170"/>
      <w:bookmarkEnd w:id="9"/>
    </w:p>
    <w:p w14:paraId="27A6EEA1" w14:textId="1909421D" w:rsidR="00136A25" w:rsidRPr="00B10F87" w:rsidRDefault="00136A25" w:rsidP="00122210">
      <w:pPr>
        <w:spacing w:after="0" w:line="240" w:lineRule="auto"/>
        <w:jc w:val="both"/>
        <w:rPr>
          <w:rFonts w:ascii="Times New Roman" w:hAnsi="Times New Roman"/>
          <w:noProof/>
          <w:kern w:val="0"/>
        </w:rPr>
      </w:pPr>
      <w:r>
        <w:rPr>
          <w:rFonts w:ascii="Times New Roman" w:hAnsi="Times New Roman"/>
        </w:rPr>
        <w:t>Annexes</w:t>
      </w:r>
    </w:p>
    <w:p w14:paraId="4A1D68E9" w14:textId="77777777" w:rsidR="00136A25" w:rsidRPr="00122210" w:rsidRDefault="00136A25" w:rsidP="00122210">
      <w:pPr>
        <w:spacing w:after="0" w:line="240" w:lineRule="auto"/>
        <w:jc w:val="both"/>
        <w:rPr>
          <w:rFonts w:ascii="Times New Roman" w:hAnsi="Times New Roman"/>
          <w:noProof/>
          <w:kern w:val="0"/>
          <w:lang w:val="lv-LV"/>
        </w:rPr>
      </w:pPr>
    </w:p>
    <w:sectPr w:rsidR="00136A25" w:rsidRPr="00122210" w:rsidSect="00122210">
      <w:footerReference w:type="defaul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87A0" w14:textId="77777777" w:rsidR="0097379F" w:rsidRPr="00136A25" w:rsidRDefault="0097379F" w:rsidP="00136A25">
      <w:pPr>
        <w:spacing w:after="0" w:line="240" w:lineRule="auto"/>
        <w:rPr>
          <w:noProof/>
          <w:kern w:val="0"/>
          <w:lang w:val="en-US"/>
        </w:rPr>
      </w:pPr>
      <w:r w:rsidRPr="00136A25">
        <w:rPr>
          <w:noProof/>
          <w:kern w:val="0"/>
          <w:lang w:val="en-US"/>
        </w:rPr>
        <w:separator/>
      </w:r>
    </w:p>
  </w:endnote>
  <w:endnote w:type="continuationSeparator" w:id="0">
    <w:p w14:paraId="05D910CE" w14:textId="77777777" w:rsidR="0097379F" w:rsidRPr="00136A25" w:rsidRDefault="0097379F" w:rsidP="00136A25">
      <w:pPr>
        <w:spacing w:after="0" w:line="240" w:lineRule="auto"/>
        <w:rPr>
          <w:noProof/>
          <w:kern w:val="0"/>
          <w:lang w:val="en-US"/>
        </w:rPr>
      </w:pPr>
      <w:r w:rsidRPr="00136A2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9118" w14:textId="77777777" w:rsidR="0020643D" w:rsidRPr="00750961" w:rsidRDefault="0020643D" w:rsidP="0020643D">
    <w:pPr>
      <w:pStyle w:val="Footer"/>
      <w:tabs>
        <w:tab w:val="right" w:pos="9072"/>
      </w:tabs>
      <w:rPr>
        <w:rFonts w:ascii="Times New Roman" w:hAnsi="Times New Roman"/>
        <w:sz w:val="20"/>
      </w:rPr>
    </w:pPr>
  </w:p>
  <w:p w14:paraId="2CB2CAB9" w14:textId="630421F1" w:rsidR="00F1019E" w:rsidRPr="0020643D" w:rsidRDefault="0020643D" w:rsidP="0020643D">
    <w:pPr>
      <w:pStyle w:val="Footer"/>
      <w:tabs>
        <w:tab w:val="right" w:pos="9072"/>
      </w:tabs>
      <w:rPr>
        <w:rFonts w:ascii="Times New Roman" w:hAnsi="Times New Roman"/>
        <w:sz w:val="20"/>
        <w:szCs w:val="20"/>
      </w:rPr>
    </w:pPr>
    <w:r w:rsidRPr="00DE01B4">
      <w:rPr>
        <w:rFonts w:ascii="Times New Roman" w:hAnsi="Times New Roman"/>
        <w:sz w:val="20"/>
        <w:szCs w:val="20"/>
      </w:rPr>
      <w:t xml:space="preserve">Translation </w:t>
    </w:r>
    <w:r w:rsidRPr="00DE01B4">
      <w:rPr>
        <w:rFonts w:ascii="Times New Roman" w:hAnsi="Times New Roman"/>
        <w:sz w:val="20"/>
        <w:szCs w:val="20"/>
      </w:rPr>
      <w:fldChar w:fldCharType="begin"/>
    </w:r>
    <w:r w:rsidRPr="00DE01B4">
      <w:rPr>
        <w:rFonts w:ascii="Times New Roman" w:hAnsi="Times New Roman"/>
        <w:sz w:val="20"/>
        <w:szCs w:val="20"/>
      </w:rPr>
      <w:instrText>symbol 169 \f "UnivrstyRoman TL" \s 8</w:instrText>
    </w:r>
    <w:r w:rsidRPr="00DE01B4">
      <w:rPr>
        <w:rFonts w:ascii="Times New Roman" w:hAnsi="Times New Roman"/>
        <w:sz w:val="20"/>
        <w:szCs w:val="20"/>
      </w:rPr>
      <w:fldChar w:fldCharType="separate"/>
    </w:r>
    <w:r w:rsidRPr="00DE01B4">
      <w:rPr>
        <w:rFonts w:ascii="Times New Roman" w:hAnsi="Times New Roman"/>
        <w:sz w:val="20"/>
        <w:szCs w:val="20"/>
      </w:rPr>
      <w:t>©</w:t>
    </w:r>
    <w:r w:rsidRPr="00DE01B4">
      <w:rPr>
        <w:rFonts w:ascii="Times New Roman" w:hAnsi="Times New Roman"/>
        <w:sz w:val="20"/>
        <w:szCs w:val="20"/>
      </w:rPr>
      <w:fldChar w:fldCharType="end"/>
    </w:r>
    <w:r w:rsidRPr="00DE01B4">
      <w:rPr>
        <w:rFonts w:ascii="Times New Roman" w:hAnsi="Times New Roman"/>
        <w:sz w:val="20"/>
        <w:szCs w:val="20"/>
      </w:rPr>
      <w:t xml:space="preserve"> 202</w:t>
    </w:r>
    <w:r>
      <w:rPr>
        <w:rFonts w:ascii="Times New Roman" w:hAnsi="Times New Roman"/>
        <w:sz w:val="20"/>
        <w:szCs w:val="20"/>
      </w:rPr>
      <w:t>6</w:t>
    </w:r>
    <w:r w:rsidRPr="00DE01B4">
      <w:rPr>
        <w:rFonts w:ascii="Times New Roman" w:hAnsi="Times New Roman"/>
        <w:sz w:val="20"/>
        <w:szCs w:val="20"/>
      </w:rPr>
      <w:t xml:space="preserve"> Valsts valodas centrs (State Language Centre)</w:t>
    </w:r>
    <w:r w:rsidRPr="00DE01B4">
      <w:rPr>
        <w:rFonts w:ascii="Times New Roman" w:hAnsi="Times New Roman"/>
        <w:sz w:val="20"/>
        <w:szCs w:val="20"/>
      </w:rPr>
      <w:tab/>
    </w:r>
    <w:r w:rsidRPr="00DE01B4">
      <w:rPr>
        <w:rStyle w:val="PageNumber"/>
        <w:rFonts w:ascii="Times New Roman" w:hAnsi="Times New Roman"/>
        <w:sz w:val="20"/>
        <w:szCs w:val="20"/>
      </w:rPr>
      <w:fldChar w:fldCharType="begin"/>
    </w:r>
    <w:r w:rsidRPr="00DE01B4">
      <w:rPr>
        <w:rStyle w:val="PageNumber"/>
        <w:rFonts w:ascii="Times New Roman" w:hAnsi="Times New Roman"/>
        <w:sz w:val="20"/>
        <w:szCs w:val="20"/>
      </w:rPr>
      <w:instrText xml:space="preserve"> PAGE </w:instrText>
    </w:r>
    <w:r w:rsidRPr="00DE01B4">
      <w:rPr>
        <w:rStyle w:val="PageNumber"/>
        <w:rFonts w:ascii="Times New Roman" w:hAnsi="Times New Roman"/>
        <w:sz w:val="20"/>
        <w:szCs w:val="20"/>
      </w:rPr>
      <w:fldChar w:fldCharType="separate"/>
    </w:r>
    <w:r>
      <w:rPr>
        <w:rStyle w:val="PageNumber"/>
        <w:rFonts w:ascii="Times New Roman" w:hAnsi="Times New Roman"/>
        <w:sz w:val="20"/>
        <w:szCs w:val="20"/>
      </w:rPr>
      <w:t>2</w:t>
    </w:r>
    <w:r w:rsidRPr="00DE01B4">
      <w:rPr>
        <w:rStyle w:val="PageNumbe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FF4F" w14:textId="77777777" w:rsidR="00F1019E" w:rsidRPr="00750961" w:rsidRDefault="00F1019E" w:rsidP="00F1019E">
    <w:pPr>
      <w:pStyle w:val="Footer"/>
      <w:rPr>
        <w:rFonts w:ascii="Times New Roman" w:hAnsi="Times New Roman"/>
        <w:sz w:val="20"/>
      </w:rPr>
    </w:pPr>
  </w:p>
  <w:p w14:paraId="53247352" w14:textId="59AB011B" w:rsidR="00F1019E" w:rsidRPr="00F1019E" w:rsidRDefault="00F1019E">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8B888" w14:textId="77777777" w:rsidR="0097379F" w:rsidRPr="00136A25" w:rsidRDefault="0097379F" w:rsidP="00136A25">
      <w:pPr>
        <w:spacing w:after="0" w:line="240" w:lineRule="auto"/>
        <w:rPr>
          <w:noProof/>
          <w:kern w:val="0"/>
          <w:lang w:val="en-US"/>
        </w:rPr>
      </w:pPr>
      <w:r w:rsidRPr="00136A25">
        <w:rPr>
          <w:noProof/>
          <w:kern w:val="0"/>
          <w:lang w:val="en-US"/>
        </w:rPr>
        <w:separator/>
      </w:r>
    </w:p>
  </w:footnote>
  <w:footnote w:type="continuationSeparator" w:id="0">
    <w:p w14:paraId="1F4885C1" w14:textId="77777777" w:rsidR="0097379F" w:rsidRPr="00136A25" w:rsidRDefault="0097379F" w:rsidP="00136A25">
      <w:pPr>
        <w:spacing w:after="0" w:line="240" w:lineRule="auto"/>
        <w:rPr>
          <w:noProof/>
          <w:kern w:val="0"/>
          <w:lang w:val="en-US"/>
        </w:rPr>
      </w:pPr>
      <w:r w:rsidRPr="00136A25">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63EEC"/>
    <w:multiLevelType w:val="hybridMultilevel"/>
    <w:tmpl w:val="FCBC75B4"/>
    <w:lvl w:ilvl="0" w:tplc="B20035C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698286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E81"/>
    <w:rsid w:val="000032E6"/>
    <w:rsid w:val="00114699"/>
    <w:rsid w:val="00114C41"/>
    <w:rsid w:val="00122210"/>
    <w:rsid w:val="00136A25"/>
    <w:rsid w:val="00160420"/>
    <w:rsid w:val="00164E0D"/>
    <w:rsid w:val="0017735C"/>
    <w:rsid w:val="001835BC"/>
    <w:rsid w:val="001C7805"/>
    <w:rsid w:val="00204F60"/>
    <w:rsid w:val="0020643D"/>
    <w:rsid w:val="0021303C"/>
    <w:rsid w:val="00220F49"/>
    <w:rsid w:val="00230B8E"/>
    <w:rsid w:val="00246272"/>
    <w:rsid w:val="00257028"/>
    <w:rsid w:val="00260895"/>
    <w:rsid w:val="00282C98"/>
    <w:rsid w:val="002A3FA6"/>
    <w:rsid w:val="002B420B"/>
    <w:rsid w:val="002B5E5A"/>
    <w:rsid w:val="002F3370"/>
    <w:rsid w:val="00304690"/>
    <w:rsid w:val="00340C5F"/>
    <w:rsid w:val="00342BEB"/>
    <w:rsid w:val="003513A3"/>
    <w:rsid w:val="00357545"/>
    <w:rsid w:val="003672CB"/>
    <w:rsid w:val="003833D4"/>
    <w:rsid w:val="0043771B"/>
    <w:rsid w:val="00455F1D"/>
    <w:rsid w:val="0049528D"/>
    <w:rsid w:val="0050398A"/>
    <w:rsid w:val="00504A2B"/>
    <w:rsid w:val="00512EE8"/>
    <w:rsid w:val="00514D14"/>
    <w:rsid w:val="00530BC1"/>
    <w:rsid w:val="00537845"/>
    <w:rsid w:val="005605E9"/>
    <w:rsid w:val="005731AB"/>
    <w:rsid w:val="0059557A"/>
    <w:rsid w:val="005B56D4"/>
    <w:rsid w:val="005D1633"/>
    <w:rsid w:val="00601E81"/>
    <w:rsid w:val="00625260"/>
    <w:rsid w:val="0069335C"/>
    <w:rsid w:val="006E78DF"/>
    <w:rsid w:val="0071194B"/>
    <w:rsid w:val="00720E3C"/>
    <w:rsid w:val="0075014C"/>
    <w:rsid w:val="007C68C5"/>
    <w:rsid w:val="008504B3"/>
    <w:rsid w:val="00864FC1"/>
    <w:rsid w:val="008771D1"/>
    <w:rsid w:val="008B235C"/>
    <w:rsid w:val="008B6A6D"/>
    <w:rsid w:val="008F43D0"/>
    <w:rsid w:val="0090644D"/>
    <w:rsid w:val="0094042E"/>
    <w:rsid w:val="0097379F"/>
    <w:rsid w:val="009A0AB1"/>
    <w:rsid w:val="009C4C98"/>
    <w:rsid w:val="009D0102"/>
    <w:rsid w:val="009E4F5C"/>
    <w:rsid w:val="009F4729"/>
    <w:rsid w:val="00A022E4"/>
    <w:rsid w:val="00A81F07"/>
    <w:rsid w:val="00A95088"/>
    <w:rsid w:val="00AA1914"/>
    <w:rsid w:val="00AF6B0A"/>
    <w:rsid w:val="00B10F87"/>
    <w:rsid w:val="00B3084E"/>
    <w:rsid w:val="00B539C9"/>
    <w:rsid w:val="00B9104E"/>
    <w:rsid w:val="00BD5CFB"/>
    <w:rsid w:val="00BF66E7"/>
    <w:rsid w:val="00C1446E"/>
    <w:rsid w:val="00C27D95"/>
    <w:rsid w:val="00C73C7F"/>
    <w:rsid w:val="00C90D38"/>
    <w:rsid w:val="00CA3F62"/>
    <w:rsid w:val="00CC5A9C"/>
    <w:rsid w:val="00CD44FE"/>
    <w:rsid w:val="00D05332"/>
    <w:rsid w:val="00D554DB"/>
    <w:rsid w:val="00D74DE2"/>
    <w:rsid w:val="00DE219C"/>
    <w:rsid w:val="00DF27E5"/>
    <w:rsid w:val="00DF402C"/>
    <w:rsid w:val="00E12F8A"/>
    <w:rsid w:val="00E85A51"/>
    <w:rsid w:val="00EB7837"/>
    <w:rsid w:val="00ED787D"/>
    <w:rsid w:val="00EE158E"/>
    <w:rsid w:val="00F1019E"/>
    <w:rsid w:val="00F60E35"/>
    <w:rsid w:val="00F66B67"/>
    <w:rsid w:val="00FA2C90"/>
    <w:rsid w:val="00FB1843"/>
    <w:rsid w:val="00FE5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1A0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1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E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E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E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E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E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E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E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E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1E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E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E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E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E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E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E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E81"/>
    <w:rPr>
      <w:rFonts w:eastAsiaTheme="majorEastAsia" w:cstheme="majorBidi"/>
      <w:color w:val="272727" w:themeColor="text1" w:themeTint="D8"/>
    </w:rPr>
  </w:style>
  <w:style w:type="paragraph" w:styleId="Title">
    <w:name w:val="Title"/>
    <w:basedOn w:val="Normal"/>
    <w:next w:val="Normal"/>
    <w:link w:val="TitleChar"/>
    <w:uiPriority w:val="10"/>
    <w:qFormat/>
    <w:rsid w:val="00601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E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E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E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E81"/>
    <w:pPr>
      <w:spacing w:before="160"/>
      <w:jc w:val="center"/>
    </w:pPr>
    <w:rPr>
      <w:i/>
      <w:iCs/>
      <w:color w:val="404040" w:themeColor="text1" w:themeTint="BF"/>
    </w:rPr>
  </w:style>
  <w:style w:type="character" w:customStyle="1" w:styleId="QuoteChar">
    <w:name w:val="Quote Char"/>
    <w:basedOn w:val="DefaultParagraphFont"/>
    <w:link w:val="Quote"/>
    <w:uiPriority w:val="29"/>
    <w:rsid w:val="00601E81"/>
    <w:rPr>
      <w:i/>
      <w:iCs/>
      <w:color w:val="404040" w:themeColor="text1" w:themeTint="BF"/>
    </w:rPr>
  </w:style>
  <w:style w:type="paragraph" w:styleId="ListParagraph">
    <w:name w:val="List Paragraph"/>
    <w:basedOn w:val="Normal"/>
    <w:uiPriority w:val="34"/>
    <w:qFormat/>
    <w:rsid w:val="00601E81"/>
    <w:pPr>
      <w:ind w:left="720"/>
      <w:contextualSpacing/>
    </w:pPr>
  </w:style>
  <w:style w:type="character" w:styleId="IntenseEmphasis">
    <w:name w:val="Intense Emphasis"/>
    <w:basedOn w:val="DefaultParagraphFont"/>
    <w:uiPriority w:val="21"/>
    <w:qFormat/>
    <w:rsid w:val="00601E81"/>
    <w:rPr>
      <w:i/>
      <w:iCs/>
      <w:color w:val="0F4761" w:themeColor="accent1" w:themeShade="BF"/>
    </w:rPr>
  </w:style>
  <w:style w:type="paragraph" w:styleId="IntenseQuote">
    <w:name w:val="Intense Quote"/>
    <w:basedOn w:val="Normal"/>
    <w:next w:val="Normal"/>
    <w:link w:val="IntenseQuoteChar"/>
    <w:uiPriority w:val="30"/>
    <w:qFormat/>
    <w:rsid w:val="00601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E81"/>
    <w:rPr>
      <w:i/>
      <w:iCs/>
      <w:color w:val="0F4761" w:themeColor="accent1" w:themeShade="BF"/>
    </w:rPr>
  </w:style>
  <w:style w:type="character" w:styleId="IntenseReference">
    <w:name w:val="Intense Reference"/>
    <w:basedOn w:val="DefaultParagraphFont"/>
    <w:uiPriority w:val="32"/>
    <w:qFormat/>
    <w:rsid w:val="00601E81"/>
    <w:rPr>
      <w:b/>
      <w:bCs/>
      <w:smallCaps/>
      <w:color w:val="0F4761" w:themeColor="accent1" w:themeShade="BF"/>
      <w:spacing w:val="5"/>
    </w:rPr>
  </w:style>
  <w:style w:type="paragraph" w:customStyle="1" w:styleId="msonormal0">
    <w:name w:val="msonormal"/>
    <w:basedOn w:val="Normal"/>
    <w:rsid w:val="00B10F8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B10F8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B10F8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10F87"/>
    <w:rPr>
      <w:color w:val="0000FF"/>
      <w:u w:val="single"/>
    </w:rPr>
  </w:style>
  <w:style w:type="character" w:styleId="FollowedHyperlink">
    <w:name w:val="FollowedHyperlink"/>
    <w:basedOn w:val="DefaultParagraphFont"/>
    <w:uiPriority w:val="99"/>
    <w:semiHidden/>
    <w:unhideWhenUsed/>
    <w:rsid w:val="00B10F87"/>
    <w:rPr>
      <w:color w:val="800080"/>
      <w:u w:val="single"/>
    </w:rPr>
  </w:style>
  <w:style w:type="character" w:styleId="Strong">
    <w:name w:val="Strong"/>
    <w:basedOn w:val="DefaultParagraphFont"/>
    <w:uiPriority w:val="22"/>
    <w:qFormat/>
    <w:rsid w:val="00B10F87"/>
    <w:rPr>
      <w:b/>
      <w:bCs/>
    </w:rPr>
  </w:style>
  <w:style w:type="character" w:styleId="UnresolvedMention">
    <w:name w:val="Unresolved Mention"/>
    <w:basedOn w:val="DefaultParagraphFont"/>
    <w:uiPriority w:val="99"/>
    <w:semiHidden/>
    <w:unhideWhenUsed/>
    <w:rsid w:val="00B10F87"/>
    <w:rPr>
      <w:color w:val="605E5C"/>
      <w:shd w:val="clear" w:color="auto" w:fill="E1DFDD"/>
    </w:rPr>
  </w:style>
  <w:style w:type="paragraph" w:styleId="Header">
    <w:name w:val="header"/>
    <w:basedOn w:val="Normal"/>
    <w:link w:val="HeaderChar"/>
    <w:uiPriority w:val="99"/>
    <w:unhideWhenUsed/>
    <w:rsid w:val="00136A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A25"/>
  </w:style>
  <w:style w:type="paragraph" w:styleId="Footer">
    <w:name w:val="footer"/>
    <w:basedOn w:val="Normal"/>
    <w:link w:val="FooterChar"/>
    <w:unhideWhenUsed/>
    <w:rsid w:val="00136A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A25"/>
  </w:style>
  <w:style w:type="table" w:styleId="TableGrid">
    <w:name w:val="Table Grid"/>
    <w:basedOn w:val="TableNormal"/>
    <w:uiPriority w:val="39"/>
    <w:rsid w:val="00204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206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91129-4499-4523-BCD4-461688F0FA8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6C5F06B-3559-4642-9C17-2522622B9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756F4-212B-4F09-BEDE-B4215589981D}">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18327</Words>
  <Characters>104465</Characters>
  <Application>Microsoft Office Word</Application>
  <DocSecurity>0</DocSecurity>
  <Lines>870</Lines>
  <Paragraphs>245</Paragraphs>
  <ScaleCrop>false</ScaleCrop>
  <Company/>
  <LinksUpToDate>false</LinksUpToDate>
  <CharactersWithSpaces>122547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2026-04-15T11:50:00Z</dcterms:created>
  <dcterms:modified xsi:type="dcterms:W3CDTF">2026-06-25T11:36:00Z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