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F68B4" w14:textId="77777777" w:rsidR="00B6393D" w:rsidRDefault="00B6393D" w:rsidP="00B6393D">
      <w:pPr>
        <w:spacing w:after="0" w:line="240" w:lineRule="auto"/>
        <w:jc w:val="right"/>
        <w:rPr>
          <w:rFonts w:ascii="Times New Roman" w:eastAsia="Times New Roman" w:hAnsi="Times New Roman" w:cs="Times New Roman"/>
          <w:noProof/>
        </w:rPr>
      </w:pPr>
      <w:r>
        <w:rPr>
          <w:rFonts w:ascii="Times New Roman" w:hAnsi="Times New Roman"/>
        </w:rPr>
        <w:t xml:space="preserve">The </w:t>
      </w:r>
      <w:r w:rsidRPr="00516EE0">
        <w:rPr>
          <w:rFonts w:ascii="Times New Roman" w:hAnsi="Times New Roman"/>
          <w:i/>
          <w:iCs/>
        </w:rPr>
        <w:t>Saeima</w:t>
      </w:r>
      <w:r>
        <w:rPr>
          <w:rFonts w:ascii="Times New Roman" w:hAnsi="Times New Roman"/>
        </w:rPr>
        <w:t> </w:t>
      </w:r>
      <w:r w:rsidRPr="00516EE0">
        <w:rPr>
          <w:rFonts w:ascii="Times New Roman" w:hAnsi="Times New Roman"/>
          <w:vertAlign w:val="superscript"/>
        </w:rPr>
        <w:t>1</w:t>
      </w:r>
      <w:r>
        <w:rPr>
          <w:rFonts w:ascii="Times New Roman" w:hAnsi="Times New Roman"/>
        </w:rPr>
        <w:t xml:space="preserve"> has adopted and</w:t>
      </w:r>
    </w:p>
    <w:p w14:paraId="2810910B" w14:textId="77777777" w:rsidR="00B6393D" w:rsidRDefault="00B6393D" w:rsidP="00B6393D">
      <w:pPr>
        <w:spacing w:after="0" w:line="240" w:lineRule="auto"/>
        <w:jc w:val="right"/>
        <w:rPr>
          <w:rFonts w:ascii="Times New Roman" w:eastAsia="Times New Roman" w:hAnsi="Times New Roman" w:cs="Times New Roman"/>
          <w:noProof/>
        </w:rPr>
      </w:pPr>
      <w:r>
        <w:rPr>
          <w:rFonts w:ascii="Times New Roman" w:hAnsi="Times New Roman"/>
        </w:rPr>
        <w:t>the President has proclaimed the following law:</w:t>
      </w:r>
    </w:p>
    <w:p w14:paraId="37CC94F5" w14:textId="77777777" w:rsidR="004E4D86" w:rsidRDefault="004E4D86" w:rsidP="00584E28">
      <w:pPr>
        <w:spacing w:after="0" w:line="240" w:lineRule="auto"/>
        <w:jc w:val="both"/>
        <w:rPr>
          <w:rFonts w:ascii="Times New Roman" w:hAnsi="Times New Roman"/>
          <w:noProof/>
          <w:kern w:val="0"/>
          <w:lang w:val="lv-LV"/>
        </w:rPr>
      </w:pPr>
    </w:p>
    <w:p w14:paraId="18878147" w14:textId="77777777" w:rsidR="004E4D86" w:rsidRPr="00431746" w:rsidRDefault="004E4D86" w:rsidP="00584E28">
      <w:pPr>
        <w:spacing w:after="0" w:line="240" w:lineRule="auto"/>
        <w:jc w:val="both"/>
        <w:rPr>
          <w:rFonts w:ascii="Times New Roman" w:hAnsi="Times New Roman"/>
          <w:noProof/>
          <w:kern w:val="0"/>
          <w:lang w:val="lv-LV"/>
        </w:rPr>
      </w:pPr>
    </w:p>
    <w:p w14:paraId="4225365C" w14:textId="77777777" w:rsidR="004C16CB" w:rsidRPr="004E4D86" w:rsidRDefault="004C16CB" w:rsidP="004E4D86">
      <w:pPr>
        <w:spacing w:after="0" w:line="240" w:lineRule="auto"/>
        <w:jc w:val="center"/>
        <w:rPr>
          <w:rFonts w:ascii="Times New Roman" w:hAnsi="Times New Roman"/>
          <w:b/>
          <w:bCs/>
          <w:noProof/>
          <w:kern w:val="0"/>
          <w:sz w:val="28"/>
          <w:szCs w:val="28"/>
        </w:rPr>
      </w:pPr>
      <w:r>
        <w:rPr>
          <w:rFonts w:ascii="Times New Roman" w:hAnsi="Times New Roman"/>
          <w:b/>
          <w:sz w:val="28"/>
        </w:rPr>
        <w:t>Law on the Movement of Explosives Precursors</w:t>
      </w:r>
    </w:p>
    <w:p w14:paraId="77DD4D0D" w14:textId="77777777" w:rsidR="004E4D86" w:rsidRDefault="004E4D86" w:rsidP="00584E28">
      <w:pPr>
        <w:spacing w:after="0" w:line="240" w:lineRule="auto"/>
        <w:jc w:val="both"/>
        <w:rPr>
          <w:rFonts w:ascii="Times New Roman" w:hAnsi="Times New Roman"/>
          <w:b/>
          <w:bCs/>
          <w:noProof/>
          <w:kern w:val="0"/>
          <w:lang w:val="lv-LV"/>
        </w:rPr>
      </w:pPr>
    </w:p>
    <w:p w14:paraId="173EEAC7" w14:textId="77777777" w:rsidR="004E4D86" w:rsidRPr="00431746" w:rsidRDefault="004E4D86" w:rsidP="00584E28">
      <w:pPr>
        <w:spacing w:after="0" w:line="240" w:lineRule="auto"/>
        <w:jc w:val="both"/>
        <w:rPr>
          <w:rFonts w:ascii="Times New Roman" w:hAnsi="Times New Roman"/>
          <w:b/>
          <w:bCs/>
          <w:noProof/>
          <w:kern w:val="0"/>
          <w:lang w:val="lv-LV"/>
        </w:rPr>
      </w:pPr>
    </w:p>
    <w:p w14:paraId="28A3344D" w14:textId="77777777" w:rsidR="004C16CB" w:rsidRDefault="004C16CB" w:rsidP="00584E28">
      <w:pPr>
        <w:spacing w:after="0" w:line="240" w:lineRule="auto"/>
        <w:jc w:val="both"/>
        <w:rPr>
          <w:rFonts w:ascii="Times New Roman" w:hAnsi="Times New Roman"/>
          <w:b/>
          <w:bCs/>
          <w:noProof/>
          <w:kern w:val="0"/>
        </w:rPr>
      </w:pPr>
      <w:bookmarkStart w:id="0" w:name="p-1366122"/>
      <w:bookmarkEnd w:id="0"/>
      <w:r>
        <w:rPr>
          <w:rFonts w:ascii="Times New Roman" w:hAnsi="Times New Roman"/>
          <w:b/>
        </w:rPr>
        <w:t>Section 1. Terms Used in the Law</w:t>
      </w:r>
      <w:bookmarkStart w:id="1" w:name="p1"/>
      <w:bookmarkEnd w:id="1"/>
    </w:p>
    <w:p w14:paraId="156DC09E" w14:textId="77777777" w:rsidR="004E4D86" w:rsidRPr="00431746" w:rsidRDefault="004E4D86" w:rsidP="00584E28">
      <w:pPr>
        <w:spacing w:after="0" w:line="240" w:lineRule="auto"/>
        <w:jc w:val="both"/>
        <w:rPr>
          <w:rFonts w:ascii="Times New Roman" w:hAnsi="Times New Roman"/>
          <w:b/>
          <w:bCs/>
          <w:noProof/>
          <w:kern w:val="0"/>
          <w:lang w:val="lv-LV"/>
        </w:rPr>
      </w:pPr>
    </w:p>
    <w:p w14:paraId="181A2F63" w14:textId="32C10D6B" w:rsidR="004C16CB" w:rsidRPr="00431746" w:rsidRDefault="004C16CB" w:rsidP="004E4D86">
      <w:pPr>
        <w:spacing w:after="0" w:line="240" w:lineRule="auto"/>
        <w:ind w:firstLine="709"/>
        <w:jc w:val="both"/>
        <w:rPr>
          <w:rFonts w:ascii="Times New Roman" w:hAnsi="Times New Roman"/>
          <w:noProof/>
          <w:kern w:val="0"/>
        </w:rPr>
      </w:pPr>
      <w:r>
        <w:rPr>
          <w:rFonts w:ascii="Times New Roman" w:hAnsi="Times New Roman"/>
        </w:rPr>
        <w:t>The terms used in the Law correspond to the terms used in Regulation (EU) 2019/1148 of the European Parliament and of the Council of 20 June 2019 on the marketing and use of explosives precursors, amending Regulation (EC) No 1907/2006 and repealing Regulation (EU) No 98/2013 (hereinafter – Regulation No 2019/1148).</w:t>
      </w:r>
    </w:p>
    <w:p w14:paraId="08908427" w14:textId="77777777" w:rsidR="004E4D86" w:rsidRDefault="004E4D86" w:rsidP="00584E28">
      <w:pPr>
        <w:spacing w:after="0" w:line="240" w:lineRule="auto"/>
        <w:jc w:val="both"/>
        <w:rPr>
          <w:rFonts w:ascii="Times New Roman" w:hAnsi="Times New Roman"/>
          <w:b/>
          <w:bCs/>
          <w:noProof/>
          <w:kern w:val="0"/>
        </w:rPr>
      </w:pPr>
      <w:bookmarkStart w:id="2" w:name="p-1366123"/>
      <w:bookmarkEnd w:id="2"/>
    </w:p>
    <w:p w14:paraId="3F98B265" w14:textId="4ACBD3FE" w:rsidR="004C16CB" w:rsidRPr="00431746" w:rsidRDefault="004C16CB" w:rsidP="00584E28">
      <w:pPr>
        <w:spacing w:after="0" w:line="240" w:lineRule="auto"/>
        <w:jc w:val="both"/>
        <w:rPr>
          <w:rFonts w:ascii="Times New Roman" w:hAnsi="Times New Roman"/>
          <w:b/>
          <w:bCs/>
          <w:noProof/>
          <w:kern w:val="0"/>
        </w:rPr>
      </w:pPr>
      <w:r>
        <w:rPr>
          <w:rFonts w:ascii="Times New Roman" w:hAnsi="Times New Roman"/>
          <w:b/>
        </w:rPr>
        <w:t>Section 2. Purpose and Scope of Application of the Law</w:t>
      </w:r>
      <w:bookmarkStart w:id="3" w:name="p2"/>
      <w:bookmarkEnd w:id="3"/>
    </w:p>
    <w:p w14:paraId="1A865690" w14:textId="77777777" w:rsidR="004E4D86" w:rsidRDefault="004E4D86" w:rsidP="00584E28">
      <w:pPr>
        <w:spacing w:after="0" w:line="240" w:lineRule="auto"/>
        <w:jc w:val="both"/>
        <w:rPr>
          <w:rFonts w:ascii="Times New Roman" w:hAnsi="Times New Roman"/>
          <w:noProof/>
          <w:kern w:val="0"/>
          <w:lang w:val="lv-LV"/>
        </w:rPr>
      </w:pPr>
    </w:p>
    <w:p w14:paraId="6000A6D4" w14:textId="2B2A8D95"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(1) The purpose of the Law is to ensure the movement of explosives precursors in accordance with laws and regulations and to prevent persons from committing offences in the movement of explosives precursors in order to reduce the threat to public safety.</w:t>
      </w:r>
    </w:p>
    <w:p w14:paraId="140D0090" w14:textId="4F4D7E96" w:rsidR="004C16CB" w:rsidRDefault="004C16CB" w:rsidP="00584E28">
      <w:pPr>
        <w:spacing w:after="0" w:line="240" w:lineRule="auto"/>
        <w:jc w:val="both"/>
        <w:rPr>
          <w:rFonts w:ascii="Times New Roman" w:hAnsi="Times New Roman"/>
          <w:noProof/>
          <w:kern w:val="0"/>
        </w:rPr>
      </w:pPr>
      <w:r>
        <w:rPr>
          <w:rFonts w:ascii="Times New Roman" w:hAnsi="Times New Roman"/>
        </w:rPr>
        <w:t>(2) The Law applies to the activities specified in Regulation No 2019/1148 regarding the movement of explosives precursors.</w:t>
      </w:r>
    </w:p>
    <w:p w14:paraId="06776107" w14:textId="77777777" w:rsidR="004E4D86" w:rsidRPr="00431746" w:rsidRDefault="004E4D86" w:rsidP="00584E28">
      <w:pPr>
        <w:spacing w:after="0" w:line="240" w:lineRule="auto"/>
        <w:jc w:val="both"/>
        <w:rPr>
          <w:rFonts w:ascii="Times New Roman" w:hAnsi="Times New Roman"/>
          <w:noProof/>
          <w:kern w:val="0"/>
          <w:lang w:val="lv-LV"/>
        </w:rPr>
      </w:pPr>
    </w:p>
    <w:p w14:paraId="51DB5D38" w14:textId="77777777" w:rsidR="004C16CB" w:rsidRDefault="004C16CB" w:rsidP="00584E28">
      <w:pPr>
        <w:spacing w:after="0" w:line="240" w:lineRule="auto"/>
        <w:jc w:val="both"/>
        <w:rPr>
          <w:rFonts w:ascii="Times New Roman" w:hAnsi="Times New Roman"/>
          <w:b/>
          <w:bCs/>
          <w:noProof/>
          <w:kern w:val="0"/>
        </w:rPr>
      </w:pPr>
      <w:bookmarkStart w:id="4" w:name="p-1366124"/>
      <w:bookmarkEnd w:id="4"/>
      <w:r>
        <w:rPr>
          <w:rFonts w:ascii="Times New Roman" w:hAnsi="Times New Roman"/>
          <w:b/>
        </w:rPr>
        <w:t>Section 3. National Inspection Authority</w:t>
      </w:r>
      <w:bookmarkStart w:id="5" w:name="p3"/>
      <w:bookmarkEnd w:id="5"/>
    </w:p>
    <w:p w14:paraId="0FB0914F" w14:textId="77777777" w:rsidR="004E4D86" w:rsidRPr="00431746" w:rsidRDefault="004E4D86" w:rsidP="00584E28">
      <w:pPr>
        <w:spacing w:after="0" w:line="240" w:lineRule="auto"/>
        <w:jc w:val="both"/>
        <w:rPr>
          <w:rFonts w:ascii="Times New Roman" w:hAnsi="Times New Roman"/>
          <w:b/>
          <w:bCs/>
          <w:noProof/>
          <w:kern w:val="0"/>
          <w:lang w:val="lv-LV"/>
        </w:rPr>
      </w:pPr>
    </w:p>
    <w:p w14:paraId="6793FD11" w14:textId="2FDAD0D9"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(1) In accordance with Article 11(1) of Regulation No 2019/1148, the national inspection authority shall be the State Police.</w:t>
      </w:r>
    </w:p>
    <w:p w14:paraId="33605935" w14:textId="0235ADB7"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(2) The State Police has the right to issue administrative acts relating to explosives precursors in order to fulfil the obligations imposed on the national inspection authority by Regulation No 2019/1148. The decisions of the State Police may be contested and appealed in accordance with the procedures laid down in the Administrative Procedure Law.</w:t>
      </w:r>
    </w:p>
    <w:p w14:paraId="2C85E4B9" w14:textId="77777777" w:rsidR="003E7612" w:rsidRDefault="003E7612" w:rsidP="00584E28">
      <w:pPr>
        <w:spacing w:after="0" w:line="240" w:lineRule="auto"/>
        <w:jc w:val="both"/>
        <w:rPr>
          <w:rFonts w:ascii="Times New Roman" w:hAnsi="Times New Roman"/>
          <w:b/>
          <w:bCs/>
          <w:noProof/>
          <w:kern w:val="0"/>
        </w:rPr>
      </w:pPr>
      <w:bookmarkStart w:id="6" w:name="p-1366125"/>
      <w:bookmarkEnd w:id="6"/>
    </w:p>
    <w:p w14:paraId="124B0C8A" w14:textId="500A0C47" w:rsidR="004C16CB" w:rsidRPr="00431746" w:rsidRDefault="004C16CB" w:rsidP="00584E28">
      <w:pPr>
        <w:spacing w:after="0" w:line="240" w:lineRule="auto"/>
        <w:jc w:val="both"/>
        <w:rPr>
          <w:rFonts w:ascii="Times New Roman" w:hAnsi="Times New Roman"/>
          <w:b/>
          <w:bCs/>
          <w:noProof/>
          <w:kern w:val="0"/>
        </w:rPr>
      </w:pPr>
      <w:r>
        <w:rPr>
          <w:rFonts w:ascii="Times New Roman" w:hAnsi="Times New Roman"/>
          <w:b/>
        </w:rPr>
        <w:t>Section 4. National Contact Point</w:t>
      </w:r>
      <w:bookmarkStart w:id="7" w:name="p4"/>
      <w:bookmarkEnd w:id="7"/>
    </w:p>
    <w:p w14:paraId="672C3EE3" w14:textId="77777777" w:rsidR="003E7612" w:rsidRDefault="003E7612" w:rsidP="00584E28">
      <w:pPr>
        <w:spacing w:after="0" w:line="240" w:lineRule="auto"/>
        <w:jc w:val="both"/>
        <w:rPr>
          <w:rFonts w:ascii="Times New Roman" w:hAnsi="Times New Roman"/>
          <w:noProof/>
          <w:kern w:val="0"/>
          <w:lang w:val="lv-LV"/>
        </w:rPr>
      </w:pPr>
    </w:p>
    <w:p w14:paraId="642CCC25" w14:textId="27A45A63"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(1) The functions of the contact point in accordance with Article 9(3) of Regulation No 2019/1148 shall be performed by the State Security Service.</w:t>
      </w:r>
    </w:p>
    <w:p w14:paraId="25A08242" w14:textId="6ABC8DC5"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(2) The State Security Service shall publish on its website the contact information necessary for the fulfilment of the reporting obligation specified in Article 9 of Regulation No 2019/1148.</w:t>
      </w:r>
    </w:p>
    <w:p w14:paraId="5E67AC91" w14:textId="77777777" w:rsidR="003E7612" w:rsidRDefault="003E7612" w:rsidP="00584E28">
      <w:pPr>
        <w:spacing w:after="0" w:line="240" w:lineRule="auto"/>
        <w:jc w:val="both"/>
        <w:rPr>
          <w:rFonts w:ascii="Times New Roman" w:hAnsi="Times New Roman"/>
          <w:b/>
          <w:bCs/>
          <w:noProof/>
          <w:kern w:val="0"/>
        </w:rPr>
      </w:pPr>
      <w:bookmarkStart w:id="8" w:name="p-1366126"/>
      <w:bookmarkEnd w:id="8"/>
    </w:p>
    <w:p w14:paraId="19B1D726" w14:textId="277569C7" w:rsidR="004C16CB" w:rsidRPr="00431746" w:rsidRDefault="004C16CB" w:rsidP="00584E28">
      <w:pPr>
        <w:spacing w:after="0" w:line="240" w:lineRule="auto"/>
        <w:jc w:val="both"/>
        <w:rPr>
          <w:rFonts w:ascii="Times New Roman" w:hAnsi="Times New Roman"/>
          <w:b/>
          <w:bCs/>
          <w:noProof/>
          <w:kern w:val="0"/>
        </w:rPr>
      </w:pPr>
      <w:r>
        <w:rPr>
          <w:rFonts w:ascii="Times New Roman" w:hAnsi="Times New Roman"/>
          <w:b/>
        </w:rPr>
        <w:t>Section 5. Training and Awareness-Raising</w:t>
      </w:r>
      <w:bookmarkStart w:id="9" w:name="p5"/>
      <w:bookmarkEnd w:id="9"/>
    </w:p>
    <w:p w14:paraId="464B30BE" w14:textId="77777777" w:rsidR="003E7612" w:rsidRDefault="003E7612" w:rsidP="00584E28">
      <w:pPr>
        <w:spacing w:after="0" w:line="240" w:lineRule="auto"/>
        <w:jc w:val="both"/>
        <w:rPr>
          <w:rFonts w:ascii="Times New Roman" w:hAnsi="Times New Roman"/>
          <w:noProof/>
          <w:kern w:val="0"/>
          <w:lang w:val="lv-LV"/>
        </w:rPr>
      </w:pPr>
    </w:p>
    <w:p w14:paraId="569796FC" w14:textId="296FEFB1" w:rsidR="004C16CB" w:rsidRPr="00431746" w:rsidRDefault="004C16CB" w:rsidP="003E7612">
      <w:pPr>
        <w:spacing w:after="0" w:line="240" w:lineRule="auto"/>
        <w:ind w:firstLine="709"/>
        <w:jc w:val="both"/>
        <w:rPr>
          <w:rFonts w:ascii="Times New Roman" w:hAnsi="Times New Roman"/>
          <w:noProof/>
          <w:kern w:val="0"/>
        </w:rPr>
      </w:pPr>
      <w:r>
        <w:rPr>
          <w:rFonts w:ascii="Times New Roman" w:hAnsi="Times New Roman"/>
        </w:rPr>
        <w:t>The State Security Service shall conduct training and organise awareness-raising activities in accordance with Article 10(1) and (2) of Regulation No 2019/1148.</w:t>
      </w:r>
    </w:p>
    <w:p w14:paraId="1EB00BA4" w14:textId="77777777" w:rsidR="003E7612" w:rsidRDefault="003E7612" w:rsidP="00584E28">
      <w:pPr>
        <w:spacing w:after="0" w:line="240" w:lineRule="auto"/>
        <w:jc w:val="both"/>
        <w:rPr>
          <w:rFonts w:ascii="Times New Roman" w:hAnsi="Times New Roman"/>
          <w:b/>
          <w:bCs/>
          <w:noProof/>
          <w:kern w:val="0"/>
        </w:rPr>
      </w:pPr>
      <w:bookmarkStart w:id="10" w:name="p-1366127"/>
      <w:bookmarkStart w:id="11" w:name="aa"/>
      <w:bookmarkEnd w:id="10"/>
      <w:bookmarkEnd w:id="11"/>
    </w:p>
    <w:p w14:paraId="108814A5" w14:textId="4D99C1E3" w:rsidR="004C16CB" w:rsidRPr="00431746" w:rsidRDefault="004C16CB" w:rsidP="00584E28">
      <w:pPr>
        <w:spacing w:after="0" w:line="240" w:lineRule="auto"/>
        <w:jc w:val="both"/>
        <w:rPr>
          <w:rFonts w:ascii="Times New Roman" w:hAnsi="Times New Roman"/>
          <w:b/>
          <w:bCs/>
          <w:noProof/>
          <w:kern w:val="0"/>
        </w:rPr>
      </w:pPr>
      <w:r>
        <w:rPr>
          <w:rFonts w:ascii="Times New Roman" w:hAnsi="Times New Roman"/>
          <w:b/>
        </w:rPr>
        <w:t>Section 6. Unauthorised Activities with Restricted Explosives Precursors</w:t>
      </w:r>
      <w:bookmarkStart w:id="12" w:name="p6"/>
      <w:bookmarkEnd w:id="12"/>
    </w:p>
    <w:p w14:paraId="6269A09D" w14:textId="77777777" w:rsidR="003E7612" w:rsidRDefault="003E7612" w:rsidP="00584E28">
      <w:pPr>
        <w:spacing w:after="0" w:line="240" w:lineRule="auto"/>
        <w:jc w:val="both"/>
        <w:rPr>
          <w:rFonts w:ascii="Times New Roman" w:hAnsi="Times New Roman"/>
          <w:noProof/>
          <w:kern w:val="0"/>
          <w:lang w:val="lv-LV"/>
        </w:rPr>
      </w:pPr>
    </w:p>
    <w:p w14:paraId="4F8CC246" w14:textId="122CF96E"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(1) For the violation of the restriction specified in Article 5(1) of Regulation No 2019/1148, i.e. not to make restricted explosives precursors available to members of the general public, a fine from seven up to one hundred and forty units of fine shall be imposed on a natural person, but on a legal person – from fifty-six up to two thousand eight hundred units of fine.</w:t>
      </w:r>
    </w:p>
    <w:p w14:paraId="6605EA71" w14:textId="504BAD03" w:rsidR="004C16CB" w:rsidRPr="00431746" w:rsidRDefault="004C16CB" w:rsidP="00194E5D">
      <w:pPr>
        <w:keepNext/>
        <w:keepLines/>
        <w:spacing w:after="0" w:line="240" w:lineRule="auto"/>
        <w:jc w:val="both"/>
        <w:rPr>
          <w:rFonts w:ascii="Times New Roman" w:hAnsi="Times New Roman"/>
          <w:noProof/>
          <w:kern w:val="0"/>
        </w:rPr>
      </w:pPr>
      <w:r>
        <w:rPr>
          <w:rFonts w:ascii="Times New Roman" w:hAnsi="Times New Roman"/>
        </w:rPr>
        <w:lastRenderedPageBreak/>
        <w:t>(2) For the violation of the restriction specified in Article 5(1) of Regulation No 2019/1148, i.e. the prohibition on members of the general public to import, possess, or use restricted explosives precursors, a fine from seven up to one hundred and forty units of fine shall be imposed on a natural person, but on a legal person – from fifty-six up to two thousand eight hundred units of fine.</w:t>
      </w:r>
    </w:p>
    <w:p w14:paraId="00B64064" w14:textId="77777777" w:rsidR="003E7612" w:rsidRDefault="003E7612" w:rsidP="00584E28">
      <w:pPr>
        <w:spacing w:after="0" w:line="240" w:lineRule="auto"/>
        <w:jc w:val="both"/>
        <w:rPr>
          <w:rFonts w:ascii="Times New Roman" w:hAnsi="Times New Roman"/>
          <w:b/>
          <w:bCs/>
          <w:noProof/>
          <w:kern w:val="0"/>
        </w:rPr>
      </w:pPr>
      <w:bookmarkStart w:id="13" w:name="p-1366128"/>
      <w:bookmarkEnd w:id="13"/>
    </w:p>
    <w:p w14:paraId="0BFFEA4A" w14:textId="094394F5" w:rsidR="004C16CB" w:rsidRPr="00431746" w:rsidRDefault="004C16CB" w:rsidP="003E7612">
      <w:pPr>
        <w:spacing w:after="0" w:line="240" w:lineRule="auto"/>
        <w:ind w:left="1418" w:hanging="1418"/>
        <w:jc w:val="both"/>
        <w:rPr>
          <w:rFonts w:ascii="Times New Roman" w:hAnsi="Times New Roman"/>
          <w:b/>
          <w:bCs/>
          <w:noProof/>
          <w:kern w:val="0"/>
        </w:rPr>
      </w:pPr>
      <w:r>
        <w:rPr>
          <w:rFonts w:ascii="Times New Roman" w:hAnsi="Times New Roman"/>
          <w:b/>
        </w:rPr>
        <w:t>Section 7. Failure to Comply with the Obligation of Informing and Instructing in the Field of Explosives Precursors</w:t>
      </w:r>
      <w:bookmarkStart w:id="14" w:name="p7"/>
      <w:bookmarkEnd w:id="14"/>
    </w:p>
    <w:p w14:paraId="6DB1B651" w14:textId="77777777" w:rsidR="003E7612" w:rsidRDefault="003E7612" w:rsidP="00584E28">
      <w:pPr>
        <w:spacing w:after="0" w:line="240" w:lineRule="auto"/>
        <w:jc w:val="both"/>
        <w:rPr>
          <w:rFonts w:ascii="Times New Roman" w:hAnsi="Times New Roman"/>
          <w:noProof/>
          <w:kern w:val="0"/>
          <w:lang w:val="lv-LV"/>
        </w:rPr>
      </w:pPr>
    </w:p>
    <w:p w14:paraId="73CBC84F" w14:textId="6AD0F772"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(1) For the failure to comply with the obligation specified in Article 7(1) and (3) of Regulation No 2019/1148 to inform economic operators or users of online marketplaces of the relevant requirements of this Regulation, a fine from twenty-eight up to one hundred and forty units of fine shall be imposed on a natural person, but on a legal person – from fifty-six up to five hundred and eighty units of fine.</w:t>
      </w:r>
    </w:p>
    <w:p w14:paraId="6BD07E13" w14:textId="5FB8C783"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(2) For the failure to comply with the obligation specified in Article 7(2) of Regulation No 2019/1148 to instruct employees on the relevant requirements of this Regulation or to provide information on products containing regulated explosives precursors, a fine from twenty-eight up to one hundred and forty units of fine shall be imposed on a natural person, but on a legal person – a fine from fifty-six up to five hundred and eighty units of fine.</w:t>
      </w:r>
    </w:p>
    <w:p w14:paraId="3F33F9CB" w14:textId="77777777" w:rsidR="003E7612" w:rsidRDefault="003E7612" w:rsidP="00584E28">
      <w:pPr>
        <w:spacing w:after="0" w:line="240" w:lineRule="auto"/>
        <w:jc w:val="both"/>
        <w:rPr>
          <w:rFonts w:ascii="Times New Roman" w:hAnsi="Times New Roman"/>
          <w:b/>
          <w:bCs/>
          <w:noProof/>
          <w:kern w:val="0"/>
        </w:rPr>
      </w:pPr>
      <w:bookmarkStart w:id="15" w:name="p-1366129"/>
      <w:bookmarkEnd w:id="15"/>
    </w:p>
    <w:p w14:paraId="38819703" w14:textId="65E938C6" w:rsidR="004C16CB" w:rsidRPr="00431746" w:rsidRDefault="004C16CB" w:rsidP="003E7612">
      <w:pPr>
        <w:spacing w:after="0" w:line="240" w:lineRule="auto"/>
        <w:ind w:left="1418" w:hanging="1418"/>
        <w:jc w:val="both"/>
        <w:rPr>
          <w:rFonts w:ascii="Times New Roman" w:hAnsi="Times New Roman"/>
          <w:b/>
          <w:bCs/>
          <w:noProof/>
          <w:kern w:val="0"/>
        </w:rPr>
      </w:pPr>
      <w:r>
        <w:rPr>
          <w:rFonts w:ascii="Times New Roman" w:hAnsi="Times New Roman"/>
          <w:b/>
        </w:rPr>
        <w:t>Section 8. Failure to Report Suspicious Transactions Involving Explosives Precursors, the Theft or Disappearance Thereof</w:t>
      </w:r>
      <w:bookmarkStart w:id="16" w:name="p8"/>
      <w:bookmarkEnd w:id="16"/>
    </w:p>
    <w:p w14:paraId="2A21D0A9" w14:textId="77777777" w:rsidR="003E7612" w:rsidRDefault="003E7612" w:rsidP="00584E28">
      <w:pPr>
        <w:spacing w:after="0" w:line="240" w:lineRule="auto"/>
        <w:jc w:val="both"/>
        <w:rPr>
          <w:rFonts w:ascii="Times New Roman" w:hAnsi="Times New Roman"/>
          <w:noProof/>
          <w:kern w:val="0"/>
          <w:lang w:val="lv-LV"/>
        </w:rPr>
      </w:pPr>
    </w:p>
    <w:p w14:paraId="5E8B2E85" w14:textId="4802AFDF" w:rsidR="004C16CB" w:rsidRPr="00431746" w:rsidRDefault="004C16CB" w:rsidP="003E7612">
      <w:pPr>
        <w:spacing w:after="0" w:line="240" w:lineRule="auto"/>
        <w:ind w:firstLine="709"/>
        <w:jc w:val="both"/>
        <w:rPr>
          <w:rFonts w:ascii="Times New Roman" w:hAnsi="Times New Roman"/>
          <w:noProof/>
          <w:kern w:val="0"/>
        </w:rPr>
      </w:pPr>
      <w:r>
        <w:rPr>
          <w:rFonts w:ascii="Times New Roman" w:hAnsi="Times New Roman"/>
        </w:rPr>
        <w:t>For the failure to comply with the reporting obligation specified in Article 9(1), (4), and (5) of Regulation No 2019/1148, a warning or a fine of up to one hundred and forty units of fine shall be imposed on a natural person, but on a legal person – from fourteen up to two thousand eight hundred units of fine.</w:t>
      </w:r>
    </w:p>
    <w:p w14:paraId="731921BC" w14:textId="77777777" w:rsidR="003E7612" w:rsidRDefault="003E7612" w:rsidP="00584E28">
      <w:pPr>
        <w:spacing w:after="0" w:line="240" w:lineRule="auto"/>
        <w:jc w:val="both"/>
        <w:rPr>
          <w:rFonts w:ascii="Times New Roman" w:hAnsi="Times New Roman"/>
          <w:b/>
          <w:bCs/>
          <w:noProof/>
          <w:kern w:val="0"/>
        </w:rPr>
      </w:pPr>
      <w:bookmarkStart w:id="17" w:name="p-1366130"/>
      <w:bookmarkEnd w:id="17"/>
    </w:p>
    <w:p w14:paraId="1C849BC1" w14:textId="31B11FAE" w:rsidR="004C16CB" w:rsidRPr="00431746" w:rsidRDefault="004C16CB" w:rsidP="00584E28">
      <w:pPr>
        <w:spacing w:after="0" w:line="240" w:lineRule="auto"/>
        <w:jc w:val="both"/>
        <w:rPr>
          <w:rFonts w:ascii="Times New Roman" w:hAnsi="Times New Roman"/>
          <w:b/>
          <w:bCs/>
          <w:noProof/>
          <w:kern w:val="0"/>
        </w:rPr>
      </w:pPr>
      <w:r>
        <w:rPr>
          <w:rFonts w:ascii="Times New Roman" w:hAnsi="Times New Roman"/>
          <w:b/>
        </w:rPr>
        <w:t>Section 9. Competence in Administrative Offence Proceedings</w:t>
      </w:r>
      <w:bookmarkStart w:id="18" w:name="p9"/>
      <w:bookmarkEnd w:id="18"/>
    </w:p>
    <w:p w14:paraId="213EDF0B" w14:textId="77777777" w:rsidR="003E7612" w:rsidRDefault="003E7612" w:rsidP="00584E28">
      <w:pPr>
        <w:spacing w:after="0" w:line="240" w:lineRule="auto"/>
        <w:jc w:val="both"/>
        <w:rPr>
          <w:rFonts w:ascii="Times New Roman" w:hAnsi="Times New Roman"/>
          <w:noProof/>
          <w:kern w:val="0"/>
          <w:lang w:val="lv-LV"/>
        </w:rPr>
      </w:pPr>
    </w:p>
    <w:p w14:paraId="2658031F" w14:textId="26302D19" w:rsidR="004C16CB" w:rsidRDefault="004C16CB" w:rsidP="003E7612">
      <w:pPr>
        <w:spacing w:after="0" w:line="240" w:lineRule="auto"/>
        <w:ind w:firstLine="709"/>
        <w:jc w:val="both"/>
        <w:rPr>
          <w:rFonts w:ascii="Times New Roman" w:hAnsi="Times New Roman"/>
          <w:noProof/>
          <w:kern w:val="0"/>
        </w:rPr>
      </w:pPr>
      <w:r>
        <w:rPr>
          <w:rFonts w:ascii="Times New Roman" w:hAnsi="Times New Roman"/>
        </w:rPr>
        <w:t>Administrative offence proceedings for the offences referred to in Sections 6, 7, and 8 of this Law shall be conducted by the State Police.</w:t>
      </w:r>
    </w:p>
    <w:p w14:paraId="5B3371A6" w14:textId="77777777" w:rsidR="003E7612" w:rsidRDefault="003E7612" w:rsidP="00584E28">
      <w:pPr>
        <w:spacing w:after="0" w:line="240" w:lineRule="auto"/>
        <w:jc w:val="both"/>
        <w:rPr>
          <w:rFonts w:ascii="Times New Roman" w:hAnsi="Times New Roman"/>
          <w:noProof/>
          <w:kern w:val="0"/>
          <w:lang w:val="lv-LV"/>
        </w:rPr>
      </w:pPr>
    </w:p>
    <w:p w14:paraId="77BA9686" w14:textId="77777777" w:rsidR="003E7612" w:rsidRPr="00431746" w:rsidRDefault="003E7612" w:rsidP="00584E28">
      <w:pPr>
        <w:spacing w:after="0" w:line="240" w:lineRule="auto"/>
        <w:jc w:val="both"/>
        <w:rPr>
          <w:rFonts w:ascii="Times New Roman" w:hAnsi="Times New Roman"/>
          <w:noProof/>
          <w:kern w:val="0"/>
          <w:lang w:val="lv-LV"/>
        </w:rPr>
      </w:pPr>
    </w:p>
    <w:p w14:paraId="197C8518" w14:textId="77777777" w:rsidR="004C16CB" w:rsidRDefault="004C16CB" w:rsidP="00584E28">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19 September 2024.</w:t>
      </w:r>
    </w:p>
    <w:p w14:paraId="07D6A2FA" w14:textId="77777777" w:rsidR="003E7612" w:rsidRDefault="003E7612" w:rsidP="00584E28">
      <w:pPr>
        <w:spacing w:after="0" w:line="240" w:lineRule="auto"/>
        <w:jc w:val="both"/>
        <w:rPr>
          <w:rFonts w:ascii="Times New Roman" w:hAnsi="Times New Roman"/>
          <w:noProof/>
          <w:kern w:val="0"/>
          <w:lang w:val="lv-LV"/>
        </w:rPr>
      </w:pPr>
    </w:p>
    <w:p w14:paraId="6B92736C" w14:textId="77777777" w:rsidR="003E7612" w:rsidRPr="00431746" w:rsidRDefault="003E7612" w:rsidP="00584E28">
      <w:pPr>
        <w:spacing w:after="0" w:line="240" w:lineRule="auto"/>
        <w:jc w:val="both"/>
        <w:rPr>
          <w:rFonts w:ascii="Times New Roman" w:hAnsi="Times New Roman"/>
          <w:noProof/>
          <w:kern w:val="0"/>
          <w:lang w:val="lv-LV"/>
        </w:rPr>
      </w:pPr>
    </w:p>
    <w:p w14:paraId="590AB279" w14:textId="6A106D5E" w:rsidR="004C16CB" w:rsidRDefault="004C16CB" w:rsidP="00194E5D">
      <w:pPr>
        <w:tabs>
          <w:tab w:val="left" w:pos="7797"/>
        </w:tabs>
        <w:spacing w:after="0" w:line="240" w:lineRule="auto"/>
        <w:jc w:val="both"/>
        <w:rPr>
          <w:rFonts w:ascii="Times New Roman" w:hAnsi="Times New Roman"/>
          <w:noProof/>
          <w:kern w:val="0"/>
        </w:rPr>
      </w:pPr>
      <w:r>
        <w:rPr>
          <w:rFonts w:ascii="Times New Roman" w:hAnsi="Times New Roman"/>
        </w:rPr>
        <w:t>President</w:t>
      </w:r>
      <w:r w:rsidR="00194E5D">
        <w:rPr>
          <w:rFonts w:ascii="Times New Roman" w:hAnsi="Times New Roman"/>
        </w:rPr>
        <w:tab/>
      </w:r>
      <w:r>
        <w:rPr>
          <w:rFonts w:ascii="Times New Roman" w:hAnsi="Times New Roman"/>
        </w:rPr>
        <w:t>E. Rinkēvičs</w:t>
      </w:r>
    </w:p>
    <w:p w14:paraId="2AA0A381" w14:textId="77777777" w:rsidR="003E7612" w:rsidRPr="00431746" w:rsidRDefault="003E7612" w:rsidP="00584E28">
      <w:pPr>
        <w:spacing w:after="0" w:line="240" w:lineRule="auto"/>
        <w:jc w:val="both"/>
        <w:rPr>
          <w:rFonts w:ascii="Times New Roman" w:hAnsi="Times New Roman"/>
          <w:noProof/>
          <w:kern w:val="0"/>
          <w:lang w:val="lv-LV"/>
        </w:rPr>
      </w:pPr>
    </w:p>
    <w:p w14:paraId="0A6DB41C" w14:textId="77777777" w:rsidR="004C16CB" w:rsidRPr="00431746" w:rsidRDefault="004C16CB" w:rsidP="00584E28">
      <w:pPr>
        <w:spacing w:after="0" w:line="240" w:lineRule="auto"/>
        <w:jc w:val="both"/>
        <w:rPr>
          <w:rFonts w:ascii="Times New Roman" w:hAnsi="Times New Roman"/>
          <w:noProof/>
          <w:kern w:val="0"/>
        </w:rPr>
      </w:pPr>
      <w:r>
        <w:rPr>
          <w:rFonts w:ascii="Times New Roman" w:hAnsi="Times New Roman"/>
        </w:rPr>
        <w:t>Rīga, 8 October 2024</w:t>
      </w:r>
    </w:p>
    <w:p w14:paraId="2DA35C15" w14:textId="77777777" w:rsidR="004C16CB" w:rsidRPr="004E4D86" w:rsidRDefault="004C16CB" w:rsidP="00584E28">
      <w:pPr>
        <w:spacing w:after="0" w:line="240" w:lineRule="auto"/>
        <w:jc w:val="both"/>
        <w:rPr>
          <w:rFonts w:ascii="Times New Roman" w:hAnsi="Times New Roman"/>
          <w:noProof/>
          <w:kern w:val="0"/>
          <w:lang w:val="lv-LV"/>
        </w:rPr>
      </w:pPr>
    </w:p>
    <w:sectPr w:rsidR="004C16CB" w:rsidRPr="004E4D86" w:rsidSect="008E0E2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FE9C" w14:textId="77777777" w:rsidR="00D867E0" w:rsidRPr="004C16CB" w:rsidRDefault="00D867E0" w:rsidP="004C16CB">
      <w:pPr>
        <w:spacing w:after="0" w:line="240" w:lineRule="auto"/>
        <w:rPr>
          <w:noProof/>
          <w:kern w:val="0"/>
          <w:lang w:val="en-US"/>
        </w:rPr>
      </w:pPr>
      <w:r w:rsidRPr="004C16CB">
        <w:rPr>
          <w:noProof/>
          <w:kern w:val="0"/>
          <w:lang w:val="en-US"/>
        </w:rPr>
        <w:separator/>
      </w:r>
    </w:p>
  </w:endnote>
  <w:endnote w:type="continuationSeparator" w:id="0">
    <w:p w14:paraId="4D791278" w14:textId="77777777" w:rsidR="00D867E0" w:rsidRPr="004C16CB" w:rsidRDefault="00D867E0" w:rsidP="004C16CB">
      <w:pPr>
        <w:spacing w:after="0" w:line="240" w:lineRule="auto"/>
        <w:rPr>
          <w:noProof/>
          <w:kern w:val="0"/>
          <w:lang w:val="en-US"/>
        </w:rPr>
      </w:pPr>
      <w:r w:rsidRPr="004C16C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CE4C" w14:textId="77777777" w:rsidR="004907FA" w:rsidRPr="008B5020" w:rsidRDefault="004907FA" w:rsidP="004907FA">
    <w:pPr>
      <w:tabs>
        <w:tab w:val="center" w:pos="4153"/>
        <w:tab w:val="right" w:pos="8306"/>
      </w:tabs>
      <w:spacing w:after="0" w:line="240" w:lineRule="auto"/>
      <w:rPr>
        <w:rFonts w:ascii="Times New Roman" w:eastAsia="Times New Roman" w:hAnsi="Times New Roman" w:cs="Times New Roman"/>
        <w:snapToGrid w:val="0"/>
        <w:sz w:val="20"/>
        <w:szCs w:val="20"/>
      </w:rPr>
    </w:pPr>
  </w:p>
  <w:p w14:paraId="5E8E1BFD" w14:textId="77777777" w:rsidR="004907FA" w:rsidRPr="008B5020" w:rsidRDefault="004907FA" w:rsidP="004907F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B5020">
      <w:rPr>
        <w:rFonts w:ascii="Times New Roman" w:eastAsia="Times New Roman" w:hAnsi="Times New Roman" w:cs="Times New Roman"/>
        <w:snapToGrid w:val="0"/>
        <w:sz w:val="20"/>
        <w:szCs w:val="20"/>
      </w:rPr>
      <w:fldChar w:fldCharType="begin"/>
    </w:r>
    <w:r w:rsidRPr="008B5020">
      <w:rPr>
        <w:rFonts w:ascii="Times New Roman" w:eastAsia="Times New Roman" w:hAnsi="Times New Roman" w:cs="Times New Roman"/>
        <w:snapToGrid w:val="0"/>
        <w:sz w:val="20"/>
        <w:szCs w:val="20"/>
      </w:rPr>
      <w:instrText xml:space="preserve"> PAGE </w:instrText>
    </w:r>
    <w:r w:rsidRPr="008B502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8B5020">
      <w:rPr>
        <w:rFonts w:ascii="Times New Roman" w:eastAsia="Times New Roman" w:hAnsi="Times New Roman" w:cs="Times New Roman"/>
        <w:snapToGrid w:val="0"/>
        <w:sz w:val="20"/>
        <w:szCs w:val="20"/>
      </w:rPr>
      <w:fldChar w:fldCharType="end"/>
    </w:r>
    <w:r w:rsidRPr="008B5020">
      <w:rPr>
        <w:rFonts w:ascii="Times New Roman" w:eastAsia="Times New Roman" w:hAnsi="Times New Roman" w:cs="Times New Roman"/>
        <w:snapToGrid w:val="0"/>
        <w:sz w:val="20"/>
        <w:szCs w:val="20"/>
      </w:rPr>
      <w:t xml:space="preserve"> </w:t>
    </w:r>
  </w:p>
  <w:p w14:paraId="7B91BCAA" w14:textId="378510B5" w:rsidR="00D7109A" w:rsidRPr="004907FA" w:rsidRDefault="004907FA" w:rsidP="004907FA">
    <w:pPr>
      <w:tabs>
        <w:tab w:val="center" w:pos="4153"/>
        <w:tab w:val="right" w:pos="8306"/>
      </w:tabs>
      <w:spacing w:after="0" w:line="240" w:lineRule="auto"/>
      <w:rPr>
        <w:rFonts w:ascii="Times New Roman" w:eastAsia="Times New Roman" w:hAnsi="Times New Roman" w:cs="Times New Roman"/>
        <w:snapToGrid w:val="0"/>
        <w:sz w:val="20"/>
        <w:szCs w:val="20"/>
      </w:rPr>
    </w:pPr>
    <w:r w:rsidRPr="008B5020">
      <w:rPr>
        <w:rFonts w:ascii="Times New Roman" w:eastAsia="Times New Roman" w:hAnsi="Times New Roman" w:cs="Times New Roman"/>
        <w:snapToGrid w:val="0"/>
        <w:sz w:val="20"/>
        <w:szCs w:val="20"/>
      </w:rPr>
      <w:t xml:space="preserve">Translation </w:t>
    </w:r>
    <w:r w:rsidRPr="008B5020">
      <w:rPr>
        <w:rFonts w:ascii="Times New Roman" w:eastAsia="Times New Roman" w:hAnsi="Times New Roman" w:cs="Times New Roman"/>
        <w:snapToGrid w:val="0"/>
        <w:sz w:val="20"/>
        <w:szCs w:val="20"/>
      </w:rPr>
      <w:fldChar w:fldCharType="begin"/>
    </w:r>
    <w:r w:rsidRPr="008B5020">
      <w:rPr>
        <w:rFonts w:ascii="Times New Roman" w:eastAsia="Times New Roman" w:hAnsi="Times New Roman" w:cs="Times New Roman"/>
        <w:snapToGrid w:val="0"/>
        <w:sz w:val="20"/>
        <w:szCs w:val="20"/>
      </w:rPr>
      <w:instrText>symbol 169 \f "UnivrstyRoman TL" \s 8</w:instrText>
    </w:r>
    <w:r w:rsidRPr="008B5020">
      <w:rPr>
        <w:rFonts w:ascii="Times New Roman" w:eastAsia="Times New Roman" w:hAnsi="Times New Roman" w:cs="Times New Roman"/>
        <w:snapToGrid w:val="0"/>
        <w:sz w:val="20"/>
        <w:szCs w:val="20"/>
      </w:rPr>
      <w:fldChar w:fldCharType="separate"/>
    </w:r>
    <w:r w:rsidRPr="008B5020">
      <w:rPr>
        <w:rFonts w:ascii="Times New Roman" w:eastAsia="Times New Roman" w:hAnsi="Times New Roman" w:cs="Times New Roman"/>
        <w:snapToGrid w:val="0"/>
        <w:sz w:val="20"/>
        <w:szCs w:val="20"/>
      </w:rPr>
      <w:t>©</w:t>
    </w:r>
    <w:r w:rsidRPr="008B5020">
      <w:rPr>
        <w:rFonts w:ascii="Times New Roman" w:eastAsia="Times New Roman" w:hAnsi="Times New Roman" w:cs="Times New Roman"/>
        <w:snapToGrid w:val="0"/>
        <w:sz w:val="20"/>
        <w:szCs w:val="20"/>
      </w:rPr>
      <w:fldChar w:fldCharType="end"/>
    </w:r>
    <w:r w:rsidRPr="008B5020">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6</w:t>
    </w:r>
    <w:r w:rsidRPr="008B5020">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8EAC" w14:textId="77777777" w:rsidR="00D7109A" w:rsidRPr="008B5020" w:rsidRDefault="00D7109A" w:rsidP="00D7109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9" w:name="_Hlk32478718"/>
    <w:bookmarkStart w:id="20" w:name="_Hlk32478719"/>
  </w:p>
  <w:p w14:paraId="3FA42AEF" w14:textId="77777777" w:rsidR="00D7109A" w:rsidRPr="008B5020" w:rsidRDefault="00D7109A" w:rsidP="00D7109A">
    <w:pPr>
      <w:tabs>
        <w:tab w:val="center" w:pos="4153"/>
        <w:tab w:val="right" w:pos="8306"/>
      </w:tabs>
      <w:spacing w:after="0" w:line="240" w:lineRule="auto"/>
      <w:rPr>
        <w:rFonts w:ascii="Times New Roman" w:eastAsia="Times New Roman" w:hAnsi="Times New Roman" w:cs="Times New Roman"/>
        <w:snapToGrid w:val="0"/>
        <w:sz w:val="20"/>
        <w:szCs w:val="20"/>
      </w:rPr>
    </w:pPr>
    <w:bookmarkStart w:id="21" w:name="_Hlk32310318"/>
    <w:bookmarkStart w:id="22" w:name="_Hlk32310319"/>
    <w:r w:rsidRPr="008B5020">
      <w:rPr>
        <w:rFonts w:ascii="Times New Roman" w:eastAsia="Times New Roman" w:hAnsi="Times New Roman" w:cs="Times New Roman"/>
        <w:snapToGrid w:val="0"/>
        <w:sz w:val="20"/>
        <w:szCs w:val="20"/>
        <w:vertAlign w:val="superscript"/>
      </w:rPr>
      <w:t>1</w:t>
    </w:r>
    <w:r w:rsidRPr="008B5020">
      <w:rPr>
        <w:rFonts w:ascii="Times New Roman" w:eastAsia="Times New Roman" w:hAnsi="Times New Roman" w:cs="Times New Roman"/>
        <w:snapToGrid w:val="0"/>
        <w:sz w:val="20"/>
        <w:szCs w:val="20"/>
      </w:rPr>
      <w:t xml:space="preserve"> The Parliament of the Republic of Latvia</w:t>
    </w:r>
  </w:p>
  <w:p w14:paraId="180FF37C" w14:textId="77777777" w:rsidR="00D7109A" w:rsidRPr="008B5020" w:rsidRDefault="00D7109A" w:rsidP="00D7109A">
    <w:pPr>
      <w:tabs>
        <w:tab w:val="center" w:pos="4153"/>
        <w:tab w:val="right" w:pos="8306"/>
      </w:tabs>
      <w:spacing w:after="0" w:line="240" w:lineRule="auto"/>
      <w:rPr>
        <w:rFonts w:ascii="Times New Roman" w:eastAsia="Times New Roman" w:hAnsi="Times New Roman" w:cs="Times New Roman"/>
        <w:snapToGrid w:val="0"/>
        <w:sz w:val="20"/>
        <w:szCs w:val="20"/>
      </w:rPr>
    </w:pPr>
  </w:p>
  <w:p w14:paraId="0F0778B6" w14:textId="6A8B0BC1" w:rsidR="00D7109A" w:rsidRPr="00D7109A" w:rsidRDefault="00D7109A" w:rsidP="00D7109A">
    <w:pPr>
      <w:tabs>
        <w:tab w:val="center" w:pos="4153"/>
        <w:tab w:val="right" w:pos="8306"/>
      </w:tabs>
      <w:spacing w:after="0" w:line="240" w:lineRule="auto"/>
      <w:rPr>
        <w:rFonts w:ascii="Times New Roman" w:eastAsia="Times New Roman" w:hAnsi="Times New Roman" w:cs="Times New Roman"/>
        <w:snapToGrid w:val="0"/>
        <w:sz w:val="20"/>
        <w:szCs w:val="20"/>
      </w:rPr>
    </w:pPr>
    <w:r w:rsidRPr="008B5020">
      <w:rPr>
        <w:rFonts w:ascii="Times New Roman" w:eastAsia="Times New Roman" w:hAnsi="Times New Roman" w:cs="Times New Roman"/>
        <w:snapToGrid w:val="0"/>
        <w:sz w:val="20"/>
        <w:szCs w:val="20"/>
      </w:rPr>
      <w:t xml:space="preserve">Translation </w:t>
    </w:r>
    <w:r w:rsidRPr="008B5020">
      <w:rPr>
        <w:rFonts w:ascii="Times New Roman" w:eastAsia="Times New Roman" w:hAnsi="Times New Roman" w:cs="Times New Roman"/>
        <w:snapToGrid w:val="0"/>
        <w:sz w:val="20"/>
        <w:szCs w:val="20"/>
      </w:rPr>
      <w:fldChar w:fldCharType="begin"/>
    </w:r>
    <w:r w:rsidRPr="008B5020">
      <w:rPr>
        <w:rFonts w:ascii="Times New Roman" w:eastAsia="Times New Roman" w:hAnsi="Times New Roman" w:cs="Times New Roman"/>
        <w:snapToGrid w:val="0"/>
        <w:sz w:val="20"/>
        <w:szCs w:val="20"/>
      </w:rPr>
      <w:instrText>symbol 169 \f "UnivrstyRoman TL" \s 8</w:instrText>
    </w:r>
    <w:r w:rsidRPr="008B5020">
      <w:rPr>
        <w:rFonts w:ascii="Times New Roman" w:eastAsia="Times New Roman" w:hAnsi="Times New Roman" w:cs="Times New Roman"/>
        <w:snapToGrid w:val="0"/>
        <w:sz w:val="20"/>
        <w:szCs w:val="20"/>
      </w:rPr>
      <w:fldChar w:fldCharType="separate"/>
    </w:r>
    <w:r w:rsidRPr="008B5020">
      <w:rPr>
        <w:rFonts w:ascii="Times New Roman" w:eastAsia="Times New Roman" w:hAnsi="Times New Roman" w:cs="Times New Roman"/>
        <w:snapToGrid w:val="0"/>
        <w:sz w:val="20"/>
        <w:szCs w:val="20"/>
      </w:rPr>
      <w:t>©</w:t>
    </w:r>
    <w:r w:rsidRPr="008B5020">
      <w:rPr>
        <w:rFonts w:ascii="Times New Roman" w:eastAsia="Times New Roman" w:hAnsi="Times New Roman" w:cs="Times New Roman"/>
        <w:snapToGrid w:val="0"/>
        <w:sz w:val="20"/>
        <w:szCs w:val="20"/>
      </w:rPr>
      <w:fldChar w:fldCharType="end"/>
    </w:r>
    <w:r w:rsidRPr="008B5020">
      <w:rPr>
        <w:rFonts w:ascii="Times New Roman" w:eastAsia="Times New Roman" w:hAnsi="Times New Roman" w:cs="Times New Roman"/>
        <w:snapToGrid w:val="0"/>
        <w:sz w:val="20"/>
        <w:szCs w:val="20"/>
      </w:rPr>
      <w:t xml:space="preserve"> </w:t>
    </w:r>
    <w:r>
      <w:rPr>
        <w:rFonts w:ascii="Times New Roman" w:eastAsia="Times New Roman" w:hAnsi="Times New Roman" w:cs="Times New Roman"/>
        <w:snapToGrid w:val="0"/>
        <w:sz w:val="20"/>
        <w:szCs w:val="20"/>
      </w:rPr>
      <w:t xml:space="preserve">2026 </w:t>
    </w:r>
    <w:r w:rsidRPr="008B5020">
      <w:rPr>
        <w:rFonts w:ascii="Times New Roman" w:eastAsia="Times New Roman" w:hAnsi="Times New Roman" w:cs="Times New Roman"/>
        <w:snapToGrid w:val="0"/>
        <w:sz w:val="20"/>
        <w:szCs w:val="20"/>
      </w:rPr>
      <w:t>Valsts valodas centrs (State Language Centre)</w:t>
    </w:r>
    <w:bookmarkEnd w:id="19"/>
    <w:bookmarkEnd w:id="20"/>
    <w:bookmarkEnd w:id="21"/>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12809" w14:textId="77777777" w:rsidR="00D867E0" w:rsidRPr="004C16CB" w:rsidRDefault="00D867E0" w:rsidP="004C16CB">
      <w:pPr>
        <w:spacing w:after="0" w:line="240" w:lineRule="auto"/>
        <w:rPr>
          <w:noProof/>
          <w:kern w:val="0"/>
          <w:lang w:val="en-US"/>
        </w:rPr>
      </w:pPr>
      <w:r w:rsidRPr="004C16CB">
        <w:rPr>
          <w:noProof/>
          <w:kern w:val="0"/>
          <w:lang w:val="en-US"/>
        </w:rPr>
        <w:separator/>
      </w:r>
    </w:p>
  </w:footnote>
  <w:footnote w:type="continuationSeparator" w:id="0">
    <w:p w14:paraId="7BA99FE7" w14:textId="77777777" w:rsidR="00D867E0" w:rsidRPr="004C16CB" w:rsidRDefault="00D867E0" w:rsidP="004C16CB">
      <w:pPr>
        <w:spacing w:after="0" w:line="240" w:lineRule="auto"/>
        <w:rPr>
          <w:noProof/>
          <w:kern w:val="0"/>
          <w:lang w:val="en-US"/>
        </w:rPr>
      </w:pPr>
      <w:r w:rsidRPr="004C16C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77D"/>
    <w:rsid w:val="00194E5D"/>
    <w:rsid w:val="0021303C"/>
    <w:rsid w:val="003E7612"/>
    <w:rsid w:val="00431746"/>
    <w:rsid w:val="004907FA"/>
    <w:rsid w:val="004C16CB"/>
    <w:rsid w:val="004E4D86"/>
    <w:rsid w:val="00584E28"/>
    <w:rsid w:val="0072377D"/>
    <w:rsid w:val="008074BA"/>
    <w:rsid w:val="008E0E27"/>
    <w:rsid w:val="009C4C98"/>
    <w:rsid w:val="00B3624A"/>
    <w:rsid w:val="00B6393D"/>
    <w:rsid w:val="00D7109A"/>
    <w:rsid w:val="00D867E0"/>
    <w:rsid w:val="00F17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E8C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7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7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7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7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77D"/>
    <w:rPr>
      <w:rFonts w:eastAsiaTheme="majorEastAsia" w:cstheme="majorBidi"/>
      <w:color w:val="272727" w:themeColor="text1" w:themeTint="D8"/>
    </w:rPr>
  </w:style>
  <w:style w:type="paragraph" w:styleId="Title">
    <w:name w:val="Title"/>
    <w:basedOn w:val="Normal"/>
    <w:next w:val="Normal"/>
    <w:link w:val="TitleChar"/>
    <w:uiPriority w:val="10"/>
    <w:qFormat/>
    <w:rsid w:val="00723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77D"/>
    <w:pPr>
      <w:spacing w:before="160"/>
      <w:jc w:val="center"/>
    </w:pPr>
    <w:rPr>
      <w:i/>
      <w:iCs/>
      <w:color w:val="404040" w:themeColor="text1" w:themeTint="BF"/>
    </w:rPr>
  </w:style>
  <w:style w:type="character" w:customStyle="1" w:styleId="QuoteChar">
    <w:name w:val="Quote Char"/>
    <w:basedOn w:val="DefaultParagraphFont"/>
    <w:link w:val="Quote"/>
    <w:uiPriority w:val="29"/>
    <w:rsid w:val="0072377D"/>
    <w:rPr>
      <w:i/>
      <w:iCs/>
      <w:color w:val="404040" w:themeColor="text1" w:themeTint="BF"/>
    </w:rPr>
  </w:style>
  <w:style w:type="paragraph" w:styleId="ListParagraph">
    <w:name w:val="List Paragraph"/>
    <w:basedOn w:val="Normal"/>
    <w:uiPriority w:val="34"/>
    <w:qFormat/>
    <w:rsid w:val="0072377D"/>
    <w:pPr>
      <w:ind w:left="720"/>
      <w:contextualSpacing/>
    </w:pPr>
  </w:style>
  <w:style w:type="character" w:styleId="IntenseEmphasis">
    <w:name w:val="Intense Emphasis"/>
    <w:basedOn w:val="DefaultParagraphFont"/>
    <w:uiPriority w:val="21"/>
    <w:qFormat/>
    <w:rsid w:val="0072377D"/>
    <w:rPr>
      <w:i/>
      <w:iCs/>
      <w:color w:val="0F4761" w:themeColor="accent1" w:themeShade="BF"/>
    </w:rPr>
  </w:style>
  <w:style w:type="paragraph" w:styleId="IntenseQuote">
    <w:name w:val="Intense Quote"/>
    <w:basedOn w:val="Normal"/>
    <w:next w:val="Normal"/>
    <w:link w:val="IntenseQuoteChar"/>
    <w:uiPriority w:val="30"/>
    <w:qFormat/>
    <w:rsid w:val="00723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77D"/>
    <w:rPr>
      <w:i/>
      <w:iCs/>
      <w:color w:val="0F4761" w:themeColor="accent1" w:themeShade="BF"/>
    </w:rPr>
  </w:style>
  <w:style w:type="character" w:styleId="IntenseReference">
    <w:name w:val="Intense Reference"/>
    <w:basedOn w:val="DefaultParagraphFont"/>
    <w:uiPriority w:val="32"/>
    <w:qFormat/>
    <w:rsid w:val="0072377D"/>
    <w:rPr>
      <w:b/>
      <w:bCs/>
      <w:smallCaps/>
      <w:color w:val="0F4761" w:themeColor="accent1" w:themeShade="BF"/>
      <w:spacing w:val="5"/>
    </w:rPr>
  </w:style>
  <w:style w:type="character" w:styleId="Hyperlink">
    <w:name w:val="Hyperlink"/>
    <w:basedOn w:val="DefaultParagraphFont"/>
    <w:uiPriority w:val="99"/>
    <w:unhideWhenUsed/>
    <w:rsid w:val="00431746"/>
    <w:rPr>
      <w:color w:val="467886" w:themeColor="hyperlink"/>
      <w:u w:val="single"/>
    </w:rPr>
  </w:style>
  <w:style w:type="character" w:styleId="UnresolvedMention">
    <w:name w:val="Unresolved Mention"/>
    <w:basedOn w:val="DefaultParagraphFont"/>
    <w:uiPriority w:val="99"/>
    <w:semiHidden/>
    <w:unhideWhenUsed/>
    <w:rsid w:val="00431746"/>
    <w:rPr>
      <w:color w:val="605E5C"/>
      <w:shd w:val="clear" w:color="auto" w:fill="E1DFDD"/>
    </w:rPr>
  </w:style>
  <w:style w:type="paragraph" w:styleId="Header">
    <w:name w:val="header"/>
    <w:basedOn w:val="Normal"/>
    <w:link w:val="HeaderChar"/>
    <w:uiPriority w:val="99"/>
    <w:unhideWhenUsed/>
    <w:rsid w:val="004C1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6CB"/>
  </w:style>
  <w:style w:type="paragraph" w:styleId="Footer">
    <w:name w:val="footer"/>
    <w:basedOn w:val="Normal"/>
    <w:link w:val="FooterChar"/>
    <w:uiPriority w:val="99"/>
    <w:unhideWhenUsed/>
    <w:rsid w:val="004C1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A466E-B076-4B20-9C84-714FF45527A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754DD3F-A5D3-43AD-9931-846DBCC0B26A}">
  <ds:schemaRefs>
    <ds:schemaRef ds:uri="http://schemas.microsoft.com/sharepoint/v3/contenttype/forms"/>
  </ds:schemaRefs>
</ds:datastoreItem>
</file>

<file path=customXml/itemProps3.xml><?xml version="1.0" encoding="utf-8"?>
<ds:datastoreItem xmlns:ds="http://schemas.openxmlformats.org/officeDocument/2006/customXml" ds:itemID="{5878BB69-1B7F-463F-AF9B-E0E6C062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3902</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2025-10-21T10:38:00Z</dcterms:created>
  <dcterms:modified xsi:type="dcterms:W3CDTF">2026-07-10T09:18:00Z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