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D19EA" w14:textId="77777777" w:rsidR="0096431A" w:rsidRPr="00706E7E" w:rsidRDefault="0096431A" w:rsidP="0096431A">
      <w:pPr>
        <w:spacing w:after="0" w:line="240" w:lineRule="auto"/>
        <w:jc w:val="right"/>
        <w:rPr>
          <w:rFonts w:ascii="Times New Roman" w:eastAsia="Times New Roman" w:hAnsi="Times New Roman" w:cs="Times New Roman"/>
          <w:noProof/>
          <w:kern w:val="0"/>
          <w:lang w:val="en-US"/>
        </w:rPr>
      </w:pPr>
      <w:r w:rsidRPr="00706E7E">
        <w:rPr>
          <w:rFonts w:ascii="Times New Roman" w:hAnsi="Times New Roman"/>
          <w:noProof/>
          <w:kern w:val="0"/>
          <w:lang w:val="en-US"/>
        </w:rPr>
        <w:t xml:space="preserve">The </w:t>
      </w:r>
      <w:r w:rsidRPr="00706E7E">
        <w:rPr>
          <w:rFonts w:ascii="Times New Roman" w:hAnsi="Times New Roman"/>
          <w:i/>
          <w:noProof/>
          <w:kern w:val="0"/>
          <w:lang w:val="en-US"/>
        </w:rPr>
        <w:t>Saeima </w:t>
      </w:r>
      <w:r w:rsidRPr="00706E7E">
        <w:rPr>
          <w:rFonts w:ascii="Times New Roman" w:hAnsi="Times New Roman"/>
          <w:iCs/>
          <w:noProof/>
          <w:kern w:val="0"/>
          <w:vertAlign w:val="superscript"/>
          <w:lang w:val="en-US"/>
        </w:rPr>
        <w:t xml:space="preserve">1 </w:t>
      </w:r>
      <w:r w:rsidRPr="00706E7E">
        <w:rPr>
          <w:rFonts w:ascii="Times New Roman" w:hAnsi="Times New Roman"/>
          <w:noProof/>
          <w:kern w:val="0"/>
          <w:lang w:val="en-US"/>
        </w:rPr>
        <w:t>has adopted and</w:t>
      </w:r>
    </w:p>
    <w:p w14:paraId="44280A43" w14:textId="77777777" w:rsidR="0096431A" w:rsidRPr="00706E7E" w:rsidRDefault="0096431A" w:rsidP="0096431A">
      <w:pPr>
        <w:shd w:val="clear" w:color="auto" w:fill="FFFFFF"/>
        <w:spacing w:after="0" w:line="240" w:lineRule="auto"/>
        <w:jc w:val="right"/>
        <w:rPr>
          <w:rFonts w:ascii="Times New Roman" w:hAnsi="Times New Roman"/>
          <w:noProof/>
          <w:kern w:val="0"/>
          <w:lang w:val="en-US"/>
        </w:rPr>
      </w:pPr>
      <w:r w:rsidRPr="00706E7E">
        <w:rPr>
          <w:rFonts w:ascii="Times New Roman" w:hAnsi="Times New Roman"/>
          <w:noProof/>
          <w:kern w:val="0"/>
          <w:lang w:val="en-US"/>
        </w:rPr>
        <w:t>the President has proclaimed the following law:</w:t>
      </w:r>
    </w:p>
    <w:p w14:paraId="250244A4" w14:textId="77777777" w:rsidR="00A56DFB" w:rsidRDefault="00A56DFB" w:rsidP="00A56DFB">
      <w:pPr>
        <w:spacing w:after="0" w:line="240" w:lineRule="auto"/>
        <w:jc w:val="both"/>
        <w:rPr>
          <w:rFonts w:ascii="Times New Roman" w:hAnsi="Times New Roman"/>
          <w:noProof/>
          <w:kern w:val="0"/>
          <w:lang w:val="lv-LV"/>
        </w:rPr>
      </w:pPr>
    </w:p>
    <w:p w14:paraId="78724A7F" w14:textId="77777777" w:rsidR="00A56DFB" w:rsidRPr="00A56DFB" w:rsidRDefault="00A56DFB" w:rsidP="00A56DFB">
      <w:pPr>
        <w:spacing w:after="0" w:line="240" w:lineRule="auto"/>
        <w:jc w:val="both"/>
        <w:rPr>
          <w:rFonts w:ascii="Times New Roman" w:hAnsi="Times New Roman"/>
          <w:noProof/>
          <w:kern w:val="0"/>
          <w:lang w:val="lv-LV"/>
        </w:rPr>
      </w:pPr>
    </w:p>
    <w:p w14:paraId="4345FBF0" w14:textId="77777777" w:rsidR="009E78B2" w:rsidRPr="00A56DFB" w:rsidRDefault="009E78B2" w:rsidP="00A56DFB">
      <w:pPr>
        <w:spacing w:after="0" w:line="240" w:lineRule="auto"/>
        <w:jc w:val="center"/>
        <w:rPr>
          <w:rFonts w:ascii="Times New Roman" w:hAnsi="Times New Roman"/>
          <w:b/>
          <w:bCs/>
          <w:noProof/>
          <w:kern w:val="0"/>
          <w:sz w:val="28"/>
          <w:szCs w:val="28"/>
        </w:rPr>
      </w:pPr>
      <w:r>
        <w:rPr>
          <w:rFonts w:ascii="Times New Roman" w:hAnsi="Times New Roman"/>
          <w:b/>
          <w:sz w:val="28"/>
        </w:rPr>
        <w:t>Law on Restricting Transactions That Threaten National Security</w:t>
      </w:r>
    </w:p>
    <w:p w14:paraId="5B570AE0" w14:textId="77777777" w:rsidR="00A56DFB" w:rsidRDefault="00A56DFB" w:rsidP="00A56DFB">
      <w:pPr>
        <w:spacing w:after="0" w:line="240" w:lineRule="auto"/>
        <w:jc w:val="both"/>
        <w:rPr>
          <w:rFonts w:ascii="Times New Roman" w:hAnsi="Times New Roman"/>
          <w:b/>
          <w:bCs/>
          <w:noProof/>
          <w:kern w:val="0"/>
          <w:lang w:val="lv-LV"/>
        </w:rPr>
      </w:pPr>
    </w:p>
    <w:p w14:paraId="4E72E9D1" w14:textId="77777777" w:rsidR="00A56DFB" w:rsidRPr="00A56DFB" w:rsidRDefault="00A56DFB" w:rsidP="00A56DFB">
      <w:pPr>
        <w:spacing w:after="0" w:line="240" w:lineRule="auto"/>
        <w:jc w:val="both"/>
        <w:rPr>
          <w:rFonts w:ascii="Times New Roman" w:hAnsi="Times New Roman"/>
          <w:b/>
          <w:bCs/>
          <w:noProof/>
          <w:kern w:val="0"/>
          <w:lang w:val="lv-LV"/>
        </w:rPr>
      </w:pPr>
    </w:p>
    <w:p w14:paraId="6EDEF935" w14:textId="77777777" w:rsidR="009E78B2" w:rsidRPr="00A56DFB" w:rsidRDefault="009E78B2" w:rsidP="00A56DFB">
      <w:pPr>
        <w:spacing w:after="0" w:line="240" w:lineRule="auto"/>
        <w:jc w:val="both"/>
        <w:rPr>
          <w:rFonts w:ascii="Times New Roman" w:hAnsi="Times New Roman"/>
          <w:noProof/>
          <w:kern w:val="0"/>
        </w:rPr>
      </w:pPr>
      <w:bookmarkStart w:id="0" w:name="p1"/>
      <w:bookmarkStart w:id="1" w:name="p-1438875"/>
      <w:bookmarkEnd w:id="0"/>
      <w:bookmarkEnd w:id="1"/>
      <w:r>
        <w:rPr>
          <w:rFonts w:ascii="Times New Roman" w:hAnsi="Times New Roman"/>
          <w:b/>
        </w:rPr>
        <w:t>Section 1. </w:t>
      </w:r>
      <w:r>
        <w:rPr>
          <w:rFonts w:ascii="Times New Roman" w:hAnsi="Times New Roman"/>
        </w:rPr>
        <w:t>Taking into account that the Republic of Latvia, as a democratic and lawful state, has the duty to implement special measures in accordance with the principle of militant democracy and persons must be prepared that some of their rights may be restricted, the purpose of this Law is to provide for the state action that is necessary, timely, proportionate, and corresponding to the principle of militant democracy in order to:</w:t>
      </w:r>
    </w:p>
    <w:p w14:paraId="7B0B49FB"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1) prohibit everyone from taking action against the Republic of Latvia as a democratic and lawful state and denying its right to existence;</w:t>
      </w:r>
    </w:p>
    <w:p w14:paraId="7B221964"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2) prohibit everyone from performing activities that are hostile, harmful, and dangerous to the Republic of Latvia;</w:t>
      </w:r>
    </w:p>
    <w:p w14:paraId="6635113B"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3) prevent the use of the capital accumulated by states, their citizens, and persons loyal to them who threaten the national and public safety of the Republic of Latvia to exercise ownership rights in the Republic of Latvia and to divert the relevant funds toward influence measures directed against the interests of the Republic of Latvia;</w:t>
      </w:r>
    </w:p>
    <w:p w14:paraId="1CE2E0AC"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4) prevent uncontrollable impact on the national economy (economic interests) of the Republic of Latvia which could result from the concentration in the Republic of Latvia of persons and capital belonging to the Russian Federation and the Republic of Belarus;</w:t>
      </w:r>
    </w:p>
    <w:p w14:paraId="46D1F0F7"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5) prevent the circumvention of international sanctions imposed on the Russian Federation and the Republic of Belarus.</w:t>
      </w:r>
    </w:p>
    <w:p w14:paraId="1470CF47" w14:textId="77777777" w:rsidR="00A56DFB" w:rsidRDefault="00A56DFB" w:rsidP="00A56DFB">
      <w:pPr>
        <w:spacing w:after="0" w:line="240" w:lineRule="auto"/>
        <w:jc w:val="both"/>
        <w:rPr>
          <w:rFonts w:ascii="Times New Roman" w:hAnsi="Times New Roman"/>
          <w:b/>
          <w:bCs/>
          <w:noProof/>
          <w:kern w:val="0"/>
        </w:rPr>
      </w:pPr>
      <w:bookmarkStart w:id="2" w:name="p2"/>
      <w:bookmarkStart w:id="3" w:name="p-1438876"/>
      <w:bookmarkEnd w:id="2"/>
      <w:bookmarkEnd w:id="3"/>
    </w:p>
    <w:p w14:paraId="7F15FC55" w14:textId="31B1FE2D" w:rsidR="009E78B2" w:rsidRPr="00A56DFB" w:rsidRDefault="009E78B2" w:rsidP="00A56DFB">
      <w:pPr>
        <w:spacing w:after="0" w:line="240" w:lineRule="auto"/>
        <w:jc w:val="both"/>
        <w:rPr>
          <w:rFonts w:ascii="Times New Roman" w:hAnsi="Times New Roman"/>
          <w:noProof/>
          <w:kern w:val="0"/>
        </w:rPr>
      </w:pPr>
      <w:r>
        <w:rPr>
          <w:rFonts w:ascii="Times New Roman" w:hAnsi="Times New Roman"/>
          <w:b/>
        </w:rPr>
        <w:t>Section 2. </w:t>
      </w:r>
      <w:r>
        <w:rPr>
          <w:rFonts w:ascii="Times New Roman" w:hAnsi="Times New Roman"/>
        </w:rPr>
        <w:t>It shall be determined with this Law that the following are prohibited from acquiring immovable property or part thereof in the Republic of Latvia:</w:t>
      </w:r>
    </w:p>
    <w:p w14:paraId="097E4976" w14:textId="77777777" w:rsidR="009E78B2" w:rsidRPr="00A56DFB" w:rsidRDefault="009E78B2" w:rsidP="00A56DFB">
      <w:pPr>
        <w:spacing w:after="0" w:line="240" w:lineRule="auto"/>
        <w:ind w:firstLine="567"/>
        <w:jc w:val="both"/>
        <w:rPr>
          <w:rFonts w:ascii="Times New Roman" w:hAnsi="Times New Roman"/>
          <w:noProof/>
          <w:kern w:val="0"/>
        </w:rPr>
      </w:pPr>
      <w:r>
        <w:rPr>
          <w:rFonts w:ascii="Times New Roman" w:hAnsi="Times New Roman"/>
        </w:rPr>
        <w:t>1) the Russian Federation and the Republic of Belarus;</w:t>
      </w:r>
    </w:p>
    <w:p w14:paraId="4CD4DBA7" w14:textId="77777777" w:rsidR="009E78B2" w:rsidRPr="00A56DFB" w:rsidRDefault="009E78B2" w:rsidP="00A56DFB">
      <w:pPr>
        <w:spacing w:after="0" w:line="240" w:lineRule="auto"/>
        <w:ind w:firstLine="567"/>
        <w:jc w:val="both"/>
        <w:rPr>
          <w:rFonts w:ascii="Times New Roman" w:hAnsi="Times New Roman"/>
          <w:noProof/>
          <w:kern w:val="0"/>
        </w:rPr>
      </w:pPr>
      <w:r>
        <w:rPr>
          <w:rFonts w:ascii="Times New Roman" w:hAnsi="Times New Roman"/>
        </w:rPr>
        <w:t>2) citizens of the Russian Federation and the Republic of Belarus;</w:t>
      </w:r>
    </w:p>
    <w:p w14:paraId="1CFB80D1" w14:textId="77777777" w:rsidR="009E78B2" w:rsidRPr="00A56DFB" w:rsidRDefault="009E78B2" w:rsidP="00A56DFB">
      <w:pPr>
        <w:spacing w:after="0" w:line="240" w:lineRule="auto"/>
        <w:ind w:firstLine="567"/>
        <w:jc w:val="both"/>
        <w:rPr>
          <w:rFonts w:ascii="Times New Roman" w:hAnsi="Times New Roman"/>
          <w:noProof/>
          <w:kern w:val="0"/>
        </w:rPr>
      </w:pPr>
      <w:r>
        <w:rPr>
          <w:rFonts w:ascii="Times New Roman" w:hAnsi="Times New Roman"/>
        </w:rPr>
        <w:t>3) legal persons registered in the Russian Federation and the Republic of Belarus;</w:t>
      </w:r>
    </w:p>
    <w:p w14:paraId="7789A205" w14:textId="77777777" w:rsidR="009E78B2" w:rsidRPr="00A56DFB" w:rsidRDefault="009E78B2" w:rsidP="00A56DFB">
      <w:pPr>
        <w:spacing w:after="0" w:line="240" w:lineRule="auto"/>
        <w:ind w:firstLine="567"/>
        <w:jc w:val="both"/>
        <w:rPr>
          <w:rFonts w:ascii="Times New Roman" w:hAnsi="Times New Roman"/>
          <w:noProof/>
          <w:kern w:val="0"/>
        </w:rPr>
      </w:pPr>
      <w:r>
        <w:rPr>
          <w:rFonts w:ascii="Times New Roman" w:hAnsi="Times New Roman"/>
        </w:rPr>
        <w:t>4) legal persons in which 25 per cent of the shares (stocks) of the equity capital of the relevant legal person belong to legal persons registered in the Russian Federation or the Republic of Belarus;</w:t>
      </w:r>
    </w:p>
    <w:p w14:paraId="7619A0AF" w14:textId="77777777" w:rsidR="009E78B2" w:rsidRPr="00A56DFB" w:rsidRDefault="009E78B2" w:rsidP="00A56DFB">
      <w:pPr>
        <w:spacing w:after="0" w:line="240" w:lineRule="auto"/>
        <w:ind w:firstLine="567"/>
        <w:jc w:val="both"/>
        <w:rPr>
          <w:rFonts w:ascii="Times New Roman" w:hAnsi="Times New Roman"/>
          <w:noProof/>
          <w:kern w:val="0"/>
        </w:rPr>
      </w:pPr>
      <w:r>
        <w:rPr>
          <w:rFonts w:ascii="Times New Roman" w:hAnsi="Times New Roman"/>
        </w:rPr>
        <w:t>5) legal persons in which the nationals of the Russian Federation or the Republic of Belarus own, in the form of direct or indirect participation, at least 25 per cent of the investment or shares (stocks) of the equity capital of the relevant legal person or whose beneficial owners are citizens of the Russian Federation or the Republic of Belarus;</w:t>
      </w:r>
    </w:p>
    <w:p w14:paraId="503657FA" w14:textId="77777777" w:rsidR="009E78B2" w:rsidRPr="00A56DFB" w:rsidRDefault="009E78B2" w:rsidP="00A56DFB">
      <w:pPr>
        <w:spacing w:after="0" w:line="240" w:lineRule="auto"/>
        <w:ind w:firstLine="567"/>
        <w:jc w:val="both"/>
        <w:rPr>
          <w:rFonts w:ascii="Times New Roman" w:hAnsi="Times New Roman"/>
          <w:noProof/>
          <w:kern w:val="0"/>
        </w:rPr>
      </w:pPr>
      <w:r>
        <w:rPr>
          <w:rFonts w:ascii="Times New Roman" w:hAnsi="Times New Roman"/>
        </w:rPr>
        <w:t>6) legal arrangements which have been established in the Russian Federation or the Republic of Belarus or whose beneficial owners are citizens of the Russian Federation or the Republic of Belarus.</w:t>
      </w:r>
    </w:p>
    <w:p w14:paraId="2BC11887" w14:textId="77777777" w:rsidR="00A56DFB" w:rsidRDefault="00A56DFB" w:rsidP="00A56DFB">
      <w:pPr>
        <w:spacing w:after="0" w:line="240" w:lineRule="auto"/>
        <w:jc w:val="both"/>
        <w:rPr>
          <w:rFonts w:ascii="Times New Roman" w:hAnsi="Times New Roman"/>
          <w:b/>
          <w:bCs/>
          <w:noProof/>
          <w:kern w:val="0"/>
        </w:rPr>
      </w:pPr>
      <w:bookmarkStart w:id="4" w:name="p3"/>
      <w:bookmarkStart w:id="5" w:name="p-1438877"/>
      <w:bookmarkEnd w:id="4"/>
      <w:bookmarkEnd w:id="5"/>
    </w:p>
    <w:p w14:paraId="4FD9FC25" w14:textId="4BDE571F" w:rsidR="009E78B2" w:rsidRPr="00A56DFB" w:rsidRDefault="009E78B2" w:rsidP="00A56DFB">
      <w:pPr>
        <w:spacing w:after="0" w:line="240" w:lineRule="auto"/>
        <w:jc w:val="both"/>
        <w:rPr>
          <w:rFonts w:ascii="Times New Roman" w:hAnsi="Times New Roman"/>
          <w:noProof/>
          <w:kern w:val="0"/>
        </w:rPr>
      </w:pPr>
      <w:r>
        <w:rPr>
          <w:rFonts w:ascii="Times New Roman" w:hAnsi="Times New Roman"/>
          <w:b/>
          <w:bCs/>
        </w:rPr>
        <w:t>Section 3.</w:t>
      </w:r>
      <w:r>
        <w:rPr>
          <w:rFonts w:ascii="Times New Roman" w:hAnsi="Times New Roman"/>
        </w:rPr>
        <w:t> (1) Alienation transactions of any kind and other transactions which have been concluded after the coming into force of this Law and by which the subjects referred to in Section 2 of this Law have acquired immovable property or part thereof in the Republic of Latvia shall be invalid and may not be corroborated.</w:t>
      </w:r>
    </w:p>
    <w:p w14:paraId="78AAE79D" w14:textId="000342D0" w:rsidR="009E78B2" w:rsidRPr="00A56DFB" w:rsidRDefault="009E78B2" w:rsidP="00A56DFB">
      <w:pPr>
        <w:spacing w:after="0" w:line="240" w:lineRule="auto"/>
        <w:jc w:val="both"/>
        <w:rPr>
          <w:rFonts w:ascii="Times New Roman" w:hAnsi="Times New Roman"/>
          <w:noProof/>
          <w:kern w:val="0"/>
        </w:rPr>
      </w:pPr>
      <w:r>
        <w:rPr>
          <w:rFonts w:ascii="Times New Roman" w:hAnsi="Times New Roman"/>
        </w:rPr>
        <w:t>(2) The subjects referred to in Section 2 of this Law are not entitled to participate in the auction of an immovable property or part thereof, and also to exercise rights of first refusal or pre-emption to an immovable property or part thereof.</w:t>
      </w:r>
    </w:p>
    <w:p w14:paraId="30568D96" w14:textId="77777777" w:rsidR="00A56DFB" w:rsidRDefault="00A56DFB" w:rsidP="00A56DFB">
      <w:pPr>
        <w:spacing w:after="0" w:line="240" w:lineRule="auto"/>
        <w:jc w:val="both"/>
        <w:rPr>
          <w:rFonts w:ascii="Times New Roman" w:hAnsi="Times New Roman"/>
          <w:b/>
          <w:bCs/>
          <w:noProof/>
          <w:kern w:val="0"/>
        </w:rPr>
      </w:pPr>
      <w:bookmarkStart w:id="6" w:name="p4"/>
      <w:bookmarkStart w:id="7" w:name="p-1438878"/>
      <w:bookmarkEnd w:id="6"/>
      <w:bookmarkEnd w:id="7"/>
    </w:p>
    <w:p w14:paraId="4F845983" w14:textId="29D6CBD6" w:rsidR="009E78B2" w:rsidRPr="00A56DFB" w:rsidRDefault="009E78B2" w:rsidP="00A56DFB">
      <w:pPr>
        <w:spacing w:after="0" w:line="240" w:lineRule="auto"/>
        <w:jc w:val="both"/>
        <w:rPr>
          <w:rFonts w:ascii="Times New Roman" w:hAnsi="Times New Roman"/>
          <w:noProof/>
          <w:kern w:val="0"/>
        </w:rPr>
      </w:pPr>
      <w:r>
        <w:rPr>
          <w:rFonts w:ascii="Times New Roman" w:hAnsi="Times New Roman"/>
          <w:b/>
        </w:rPr>
        <w:lastRenderedPageBreak/>
        <w:t>Section 4.</w:t>
      </w:r>
      <w:r>
        <w:rPr>
          <w:rFonts w:ascii="Times New Roman" w:hAnsi="Times New Roman"/>
        </w:rPr>
        <w:t> (1) The prohibition specified in Section 2 of this Law shall not be applicable to cases where a citizen of the Russian Federation or the Republic of Belarus acquires the immovable property or part thereof:</w:t>
      </w:r>
    </w:p>
    <w:p w14:paraId="236ACA96"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1) on the basis of a court ruling that has entered into effect and by which a dispute on the ownership of the immovable property has been resolved;</w:t>
      </w:r>
    </w:p>
    <w:p w14:paraId="52EAA7B8"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2) through inheritance if the property is inherited by the spouse or relatives to the fourth degree (inclusive);</w:t>
      </w:r>
    </w:p>
    <w:p w14:paraId="0F3125C6"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3) as a result of the termination of a transaction of forced shared property, adding the relevant undivided share of the functionally necessary land parcel to his or her residential property;</w:t>
      </w:r>
    </w:p>
    <w:p w14:paraId="6B82CDEE"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4) as a result of such a transaction which has been made to fulfil the international obligations of the Republic of Latvia;</w:t>
      </w:r>
    </w:p>
    <w:p w14:paraId="14231BB9" w14:textId="77777777" w:rsidR="009E78B2" w:rsidRPr="00A56DFB" w:rsidRDefault="009E78B2" w:rsidP="00A56DFB">
      <w:pPr>
        <w:spacing w:after="0" w:line="240" w:lineRule="auto"/>
        <w:ind w:firstLine="709"/>
        <w:jc w:val="both"/>
        <w:rPr>
          <w:rFonts w:ascii="Times New Roman" w:hAnsi="Times New Roman"/>
          <w:noProof/>
          <w:kern w:val="0"/>
        </w:rPr>
      </w:pPr>
      <w:r>
        <w:rPr>
          <w:rFonts w:ascii="Times New Roman" w:hAnsi="Times New Roman"/>
        </w:rPr>
        <w:t>5) as the sole immovable property intended for habitation, provided that the European Union long-term resident status has been granted to him or her in Latvia or he or she has a valid permanent residence permit which has been issued before the day of coming into force of this Law.</w:t>
      </w:r>
    </w:p>
    <w:p w14:paraId="21EB5037" w14:textId="19F33F1D" w:rsidR="009E78B2" w:rsidRPr="00A56DFB" w:rsidRDefault="009E78B2" w:rsidP="00A56DFB">
      <w:pPr>
        <w:spacing w:after="0" w:line="240" w:lineRule="auto"/>
        <w:jc w:val="both"/>
        <w:rPr>
          <w:rFonts w:ascii="Times New Roman" w:hAnsi="Times New Roman"/>
          <w:noProof/>
          <w:kern w:val="0"/>
        </w:rPr>
      </w:pPr>
      <w:r>
        <w:rPr>
          <w:rFonts w:ascii="Times New Roman" w:hAnsi="Times New Roman"/>
        </w:rPr>
        <w:t>(2) The condition referred to in Paragraph one, Clause 1 of this Section shall not be applicable to a settlement confirmed by a court by which the dispute is resolved by transferring the immovable property or part thereof to the subject referred to in Section 2 of this Law.</w:t>
      </w:r>
    </w:p>
    <w:p w14:paraId="5B7116CF" w14:textId="77777777" w:rsidR="009E78B2" w:rsidRPr="00A56DFB" w:rsidRDefault="009E78B2" w:rsidP="00A56DFB">
      <w:pPr>
        <w:spacing w:after="0" w:line="240" w:lineRule="auto"/>
        <w:jc w:val="both"/>
        <w:rPr>
          <w:rFonts w:ascii="Times New Roman" w:hAnsi="Times New Roman"/>
          <w:noProof/>
          <w:kern w:val="0"/>
        </w:rPr>
      </w:pPr>
      <w:r>
        <w:rPr>
          <w:rFonts w:ascii="Times New Roman" w:hAnsi="Times New Roman"/>
        </w:rPr>
        <w:t>(3) If the heir is another person invited to inherit who is not referred to in Paragraph one, Clause 2 of this Section and a succession has been opened in respect of the immovable property, a notary shall appoint a trustee who shall sell the immovable property and the person invited to inherit shall receive the obtained funds as an heir.</w:t>
      </w:r>
    </w:p>
    <w:p w14:paraId="4B9497DF" w14:textId="77777777" w:rsidR="00A56DFB" w:rsidRDefault="00A56DFB" w:rsidP="00A56DFB">
      <w:pPr>
        <w:spacing w:after="0" w:line="240" w:lineRule="auto"/>
        <w:jc w:val="both"/>
        <w:rPr>
          <w:rFonts w:ascii="Times New Roman" w:hAnsi="Times New Roman"/>
          <w:b/>
          <w:bCs/>
          <w:noProof/>
          <w:kern w:val="0"/>
        </w:rPr>
      </w:pPr>
      <w:bookmarkStart w:id="8" w:name="1438879"/>
      <w:bookmarkEnd w:id="8"/>
    </w:p>
    <w:p w14:paraId="1C84F252" w14:textId="406DB3B9" w:rsidR="009E78B2" w:rsidRDefault="009E78B2" w:rsidP="00A56DFB">
      <w:pPr>
        <w:spacing w:after="0" w:line="240" w:lineRule="auto"/>
        <w:jc w:val="center"/>
        <w:rPr>
          <w:rFonts w:ascii="Times New Roman" w:hAnsi="Times New Roman"/>
          <w:b/>
          <w:bCs/>
          <w:noProof/>
          <w:kern w:val="0"/>
        </w:rPr>
      </w:pPr>
      <w:r>
        <w:rPr>
          <w:rFonts w:ascii="Times New Roman" w:hAnsi="Times New Roman"/>
          <w:b/>
        </w:rPr>
        <w:t>Transitional Provisions</w:t>
      </w:r>
      <w:bookmarkStart w:id="9" w:name="pn-1438879"/>
      <w:bookmarkEnd w:id="9"/>
    </w:p>
    <w:p w14:paraId="10365D78" w14:textId="77777777" w:rsidR="00A56DFB" w:rsidRPr="00A56DFB" w:rsidRDefault="00A56DFB" w:rsidP="00A56DFB">
      <w:pPr>
        <w:spacing w:after="0" w:line="240" w:lineRule="auto"/>
        <w:jc w:val="both"/>
        <w:rPr>
          <w:rFonts w:ascii="Times New Roman" w:hAnsi="Times New Roman"/>
          <w:b/>
          <w:bCs/>
          <w:noProof/>
          <w:kern w:val="0"/>
          <w:lang w:val="lv-LV"/>
        </w:rPr>
      </w:pPr>
    </w:p>
    <w:p w14:paraId="3350F594" w14:textId="0A92879F" w:rsidR="009E78B2" w:rsidRDefault="009E78B2" w:rsidP="00A56DFB">
      <w:pPr>
        <w:spacing w:after="0" w:line="240" w:lineRule="auto"/>
        <w:jc w:val="both"/>
        <w:rPr>
          <w:rFonts w:ascii="Times New Roman" w:hAnsi="Times New Roman"/>
          <w:noProof/>
          <w:kern w:val="0"/>
        </w:rPr>
      </w:pPr>
      <w:bookmarkStart w:id="10" w:name="p-1438880"/>
      <w:bookmarkEnd w:id="10"/>
      <w:r>
        <w:rPr>
          <w:rFonts w:ascii="Times New Roman" w:hAnsi="Times New Roman"/>
        </w:rPr>
        <w:t>1. The persons referred to in Section 2 of this Law who have concluded transactions or have initiated an inheritance matter prior to the coming into force of this Law have the right, within three months from the day of coming into force of this Law or the day of receipt of an inheritance certificate, to submit documents for the corroboration of rights to the immovable property in the Land Register. A transaction which has not been entered in the Land Register within the specified term shall be invalid.</w:t>
      </w:r>
      <w:bookmarkStart w:id="11" w:name="pn1"/>
      <w:bookmarkEnd w:id="11"/>
    </w:p>
    <w:p w14:paraId="7F07CDC2" w14:textId="77777777" w:rsidR="00F627A6" w:rsidRPr="00A56DFB" w:rsidRDefault="00F627A6" w:rsidP="00A56DFB">
      <w:pPr>
        <w:spacing w:after="0" w:line="240" w:lineRule="auto"/>
        <w:jc w:val="both"/>
        <w:rPr>
          <w:rFonts w:ascii="Times New Roman" w:hAnsi="Times New Roman"/>
          <w:noProof/>
          <w:kern w:val="0"/>
          <w:lang w:val="lv-LV"/>
        </w:rPr>
      </w:pPr>
    </w:p>
    <w:p w14:paraId="43E9F4AC" w14:textId="77777777" w:rsidR="009E78B2" w:rsidRDefault="009E78B2" w:rsidP="00A56DFB">
      <w:pPr>
        <w:spacing w:after="0" w:line="240" w:lineRule="auto"/>
        <w:jc w:val="both"/>
        <w:rPr>
          <w:rFonts w:ascii="Times New Roman" w:hAnsi="Times New Roman"/>
          <w:noProof/>
          <w:kern w:val="0"/>
        </w:rPr>
      </w:pPr>
      <w:bookmarkStart w:id="12" w:name="p-1438881"/>
      <w:bookmarkEnd w:id="12"/>
      <w:r>
        <w:rPr>
          <w:rFonts w:ascii="Times New Roman" w:hAnsi="Times New Roman"/>
        </w:rPr>
        <w:t>2. The Cabinet shall, at least once a year, evaluate the necessity of the restriction of rights specified in this Law.</w:t>
      </w:r>
      <w:bookmarkStart w:id="13" w:name="pn2"/>
      <w:bookmarkEnd w:id="13"/>
    </w:p>
    <w:p w14:paraId="110B616F" w14:textId="77777777" w:rsidR="00F627A6" w:rsidRDefault="00F627A6" w:rsidP="00A56DFB">
      <w:pPr>
        <w:spacing w:after="0" w:line="240" w:lineRule="auto"/>
        <w:jc w:val="both"/>
        <w:rPr>
          <w:rFonts w:ascii="Times New Roman" w:hAnsi="Times New Roman"/>
          <w:noProof/>
          <w:kern w:val="0"/>
          <w:lang w:val="lv-LV"/>
        </w:rPr>
      </w:pPr>
    </w:p>
    <w:p w14:paraId="7834062D" w14:textId="77777777" w:rsidR="00F627A6" w:rsidRPr="00A56DFB" w:rsidRDefault="00F627A6" w:rsidP="00A56DFB">
      <w:pPr>
        <w:spacing w:after="0" w:line="240" w:lineRule="auto"/>
        <w:jc w:val="both"/>
        <w:rPr>
          <w:rFonts w:ascii="Times New Roman" w:hAnsi="Times New Roman"/>
          <w:noProof/>
          <w:kern w:val="0"/>
          <w:lang w:val="lv-LV"/>
        </w:rPr>
      </w:pPr>
    </w:p>
    <w:p w14:paraId="6F8B2942" w14:textId="77777777" w:rsidR="00AF5282" w:rsidRPr="00A56DFB" w:rsidRDefault="009E78B2" w:rsidP="00A56DFB">
      <w:pPr>
        <w:spacing w:after="0" w:line="240" w:lineRule="auto"/>
        <w:jc w:val="both"/>
        <w:rPr>
          <w:rFonts w:ascii="Times New Roman" w:hAnsi="Times New Roman"/>
          <w:noProof/>
          <w:kern w:val="0"/>
        </w:rPr>
      </w:pPr>
      <w:r>
        <w:rPr>
          <w:rFonts w:ascii="Times New Roman" w:hAnsi="Times New Roman"/>
        </w:rPr>
        <w:t>The Law shall come into force on the day following its proclamation.</w:t>
      </w:r>
    </w:p>
    <w:p w14:paraId="41A4F15F" w14:textId="77777777" w:rsidR="00AF5282" w:rsidRPr="00A56DFB" w:rsidRDefault="00AF5282" w:rsidP="00A56DFB">
      <w:pPr>
        <w:spacing w:after="0" w:line="240" w:lineRule="auto"/>
        <w:jc w:val="both"/>
        <w:rPr>
          <w:rFonts w:ascii="Times New Roman" w:hAnsi="Times New Roman"/>
          <w:noProof/>
          <w:kern w:val="0"/>
          <w:lang w:val="lv-LV"/>
        </w:rPr>
      </w:pPr>
    </w:p>
    <w:p w14:paraId="015C5663" w14:textId="48BACF06" w:rsidR="009E78B2" w:rsidRDefault="009E78B2" w:rsidP="00A56DFB">
      <w:pPr>
        <w:spacing w:after="0" w:line="240" w:lineRule="auto"/>
        <w:jc w:val="both"/>
        <w:rPr>
          <w:rFonts w:ascii="Times New Roman" w:hAnsi="Times New Roman"/>
          <w:noProof/>
          <w:kern w:val="0"/>
        </w:rPr>
      </w:pPr>
      <w:r>
        <w:rPr>
          <w:rFonts w:ascii="Times New Roman" w:hAnsi="Times New Roman"/>
        </w:rPr>
        <w:t xml:space="preserve">The Law has been adopted by the </w:t>
      </w:r>
      <w:r>
        <w:rPr>
          <w:rFonts w:ascii="Times New Roman" w:hAnsi="Times New Roman"/>
          <w:i/>
          <w:iCs/>
        </w:rPr>
        <w:t>Saeima</w:t>
      </w:r>
      <w:r>
        <w:rPr>
          <w:rFonts w:ascii="Times New Roman" w:hAnsi="Times New Roman"/>
        </w:rPr>
        <w:t xml:space="preserve"> on 19 June 2025.</w:t>
      </w:r>
    </w:p>
    <w:p w14:paraId="1F47D752" w14:textId="77777777" w:rsidR="00F627A6" w:rsidRDefault="00F627A6" w:rsidP="00A56DFB">
      <w:pPr>
        <w:spacing w:after="0" w:line="240" w:lineRule="auto"/>
        <w:jc w:val="both"/>
        <w:rPr>
          <w:rFonts w:ascii="Times New Roman" w:hAnsi="Times New Roman"/>
          <w:noProof/>
          <w:kern w:val="0"/>
          <w:lang w:val="lv-LV"/>
        </w:rPr>
      </w:pPr>
    </w:p>
    <w:p w14:paraId="2ECF8CDB" w14:textId="77777777" w:rsidR="00F627A6" w:rsidRPr="00A56DFB" w:rsidRDefault="00F627A6" w:rsidP="00A56DFB">
      <w:pPr>
        <w:spacing w:after="0" w:line="240" w:lineRule="auto"/>
        <w:jc w:val="both"/>
        <w:rPr>
          <w:rFonts w:ascii="Times New Roman" w:hAnsi="Times New Roman"/>
          <w:noProof/>
          <w:kern w:val="0"/>
          <w:lang w:val="lv-LV"/>
        </w:rPr>
      </w:pPr>
    </w:p>
    <w:p w14:paraId="4E6AB6A8" w14:textId="453C8D67" w:rsidR="009E78B2" w:rsidRDefault="009E78B2" w:rsidP="00FB5792">
      <w:pPr>
        <w:tabs>
          <w:tab w:val="left" w:pos="7797"/>
        </w:tabs>
        <w:spacing w:after="0" w:line="240" w:lineRule="auto"/>
        <w:jc w:val="both"/>
        <w:rPr>
          <w:rFonts w:ascii="Times New Roman" w:hAnsi="Times New Roman"/>
          <w:noProof/>
          <w:kern w:val="0"/>
        </w:rPr>
      </w:pPr>
      <w:r>
        <w:rPr>
          <w:rFonts w:ascii="Times New Roman" w:hAnsi="Times New Roman"/>
        </w:rPr>
        <w:t>President</w:t>
      </w:r>
      <w:r w:rsidR="00FB5792">
        <w:rPr>
          <w:rFonts w:ascii="Times New Roman" w:hAnsi="Times New Roman"/>
        </w:rPr>
        <w:tab/>
      </w:r>
      <w:r>
        <w:rPr>
          <w:rFonts w:ascii="Times New Roman" w:hAnsi="Times New Roman"/>
        </w:rPr>
        <w:t>E. Rinkēvičs</w:t>
      </w:r>
    </w:p>
    <w:p w14:paraId="2CA91C4E" w14:textId="77777777" w:rsidR="00F627A6" w:rsidRPr="00A56DFB" w:rsidRDefault="00F627A6" w:rsidP="00A56DFB">
      <w:pPr>
        <w:spacing w:after="0" w:line="240" w:lineRule="auto"/>
        <w:jc w:val="both"/>
        <w:rPr>
          <w:rFonts w:ascii="Times New Roman" w:hAnsi="Times New Roman"/>
          <w:noProof/>
          <w:kern w:val="0"/>
          <w:lang w:val="lv-LV"/>
        </w:rPr>
      </w:pPr>
    </w:p>
    <w:p w14:paraId="6EEE28B1" w14:textId="77777777" w:rsidR="009E78B2" w:rsidRPr="00A56DFB" w:rsidRDefault="009E78B2" w:rsidP="00A56DFB">
      <w:pPr>
        <w:spacing w:after="0" w:line="240" w:lineRule="auto"/>
        <w:jc w:val="both"/>
        <w:rPr>
          <w:rFonts w:ascii="Times New Roman" w:hAnsi="Times New Roman"/>
          <w:noProof/>
          <w:kern w:val="0"/>
        </w:rPr>
      </w:pPr>
      <w:r>
        <w:rPr>
          <w:rFonts w:ascii="Times New Roman" w:hAnsi="Times New Roman"/>
        </w:rPr>
        <w:t>Rīga, 2 July 2025</w:t>
      </w:r>
    </w:p>
    <w:p w14:paraId="419BF58D" w14:textId="77777777" w:rsidR="009E78B2" w:rsidRPr="00A56DFB" w:rsidRDefault="009E78B2" w:rsidP="00A56DFB">
      <w:pPr>
        <w:spacing w:after="0" w:line="240" w:lineRule="auto"/>
        <w:jc w:val="both"/>
        <w:rPr>
          <w:rFonts w:ascii="Times New Roman" w:hAnsi="Times New Roman"/>
          <w:noProof/>
          <w:kern w:val="0"/>
          <w:lang w:val="lv-LV"/>
        </w:rPr>
      </w:pPr>
    </w:p>
    <w:sectPr w:rsidR="009E78B2" w:rsidRPr="00A56DFB" w:rsidSect="00A56DFB">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1DC0B" w14:textId="77777777" w:rsidR="009134E4" w:rsidRPr="009E78B2" w:rsidRDefault="009134E4" w:rsidP="009E78B2">
      <w:pPr>
        <w:spacing w:after="0" w:line="240" w:lineRule="auto"/>
        <w:rPr>
          <w:noProof/>
          <w:kern w:val="0"/>
          <w:lang w:val="en-US"/>
        </w:rPr>
      </w:pPr>
      <w:r w:rsidRPr="009E78B2">
        <w:rPr>
          <w:noProof/>
          <w:kern w:val="0"/>
          <w:lang w:val="en-US"/>
        </w:rPr>
        <w:separator/>
      </w:r>
    </w:p>
  </w:endnote>
  <w:endnote w:type="continuationSeparator" w:id="0">
    <w:p w14:paraId="1D82A96B" w14:textId="77777777" w:rsidR="009134E4" w:rsidRPr="009E78B2" w:rsidRDefault="009134E4" w:rsidP="009E78B2">
      <w:pPr>
        <w:spacing w:after="0" w:line="240" w:lineRule="auto"/>
        <w:rPr>
          <w:noProof/>
          <w:kern w:val="0"/>
          <w:lang w:val="en-US"/>
        </w:rPr>
      </w:pPr>
      <w:r w:rsidRPr="009E78B2">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AB9A" w14:textId="77777777" w:rsidR="00071230" w:rsidRPr="00706E7E" w:rsidRDefault="00071230" w:rsidP="00071230">
    <w:pPr>
      <w:tabs>
        <w:tab w:val="center" w:pos="4153"/>
        <w:tab w:val="right" w:pos="8306"/>
      </w:tabs>
      <w:spacing w:after="0" w:line="240" w:lineRule="auto"/>
      <w:rPr>
        <w:rFonts w:ascii="Times New Roman" w:eastAsia="Times New Roman" w:hAnsi="Times New Roman" w:cs="Times New Roman"/>
        <w:noProof/>
        <w:snapToGrid w:val="0"/>
        <w:kern w:val="0"/>
        <w:sz w:val="20"/>
        <w:szCs w:val="20"/>
        <w:lang w:val="en-US"/>
      </w:rPr>
    </w:pPr>
  </w:p>
  <w:p w14:paraId="300A158D" w14:textId="77777777" w:rsidR="00071230" w:rsidRPr="00706E7E" w:rsidRDefault="00071230" w:rsidP="00071230">
    <w:pPr>
      <w:framePr w:wrap="around" w:vAnchor="text" w:hAnchor="margin" w:xAlign="right" w:y="1"/>
      <w:tabs>
        <w:tab w:val="center" w:pos="4153"/>
        <w:tab w:val="right" w:pos="8306"/>
      </w:tabs>
      <w:spacing w:after="0" w:line="240" w:lineRule="auto"/>
      <w:jc w:val="right"/>
      <w:rPr>
        <w:rFonts w:ascii="Times New Roman" w:eastAsia="Times New Roman" w:hAnsi="Times New Roman" w:cs="Times New Roman"/>
        <w:noProof/>
        <w:snapToGrid w:val="0"/>
        <w:kern w:val="0"/>
        <w:sz w:val="20"/>
        <w:szCs w:val="20"/>
        <w:lang w:val="en-US"/>
      </w:rPr>
    </w:pPr>
    <w:r w:rsidRPr="00706E7E">
      <w:rPr>
        <w:rFonts w:ascii="Times New Roman" w:eastAsia="Times New Roman" w:hAnsi="Times New Roman" w:cs="Times New Roman"/>
        <w:noProof/>
        <w:snapToGrid w:val="0"/>
        <w:kern w:val="0"/>
        <w:sz w:val="20"/>
        <w:szCs w:val="20"/>
        <w:lang w:val="en-US"/>
      </w:rPr>
      <w:fldChar w:fldCharType="begin"/>
    </w:r>
    <w:r w:rsidRPr="00706E7E">
      <w:rPr>
        <w:rFonts w:ascii="Times New Roman" w:eastAsia="Times New Roman" w:hAnsi="Times New Roman" w:cs="Times New Roman"/>
        <w:noProof/>
        <w:snapToGrid w:val="0"/>
        <w:kern w:val="0"/>
        <w:sz w:val="20"/>
        <w:szCs w:val="20"/>
        <w:lang w:val="en-US"/>
      </w:rPr>
      <w:instrText xml:space="preserve"> PAGE </w:instrText>
    </w:r>
    <w:r w:rsidRPr="00706E7E">
      <w:rPr>
        <w:rFonts w:ascii="Times New Roman" w:eastAsia="Times New Roman" w:hAnsi="Times New Roman" w:cs="Times New Roman"/>
        <w:noProof/>
        <w:snapToGrid w:val="0"/>
        <w:kern w:val="0"/>
        <w:sz w:val="20"/>
        <w:szCs w:val="20"/>
        <w:lang w:val="en-US"/>
      </w:rPr>
      <w:fldChar w:fldCharType="separate"/>
    </w:r>
    <w:r>
      <w:rPr>
        <w:rFonts w:ascii="Times New Roman" w:eastAsia="Times New Roman" w:hAnsi="Times New Roman" w:cs="Times New Roman"/>
        <w:noProof/>
        <w:snapToGrid w:val="0"/>
        <w:kern w:val="0"/>
        <w:sz w:val="20"/>
        <w:szCs w:val="20"/>
        <w:lang w:val="en-US"/>
      </w:rPr>
      <w:t>2</w:t>
    </w:r>
    <w:r w:rsidRPr="00706E7E">
      <w:rPr>
        <w:rFonts w:ascii="Times New Roman" w:eastAsia="Times New Roman" w:hAnsi="Times New Roman" w:cs="Times New Roman"/>
        <w:noProof/>
        <w:snapToGrid w:val="0"/>
        <w:kern w:val="0"/>
        <w:sz w:val="20"/>
        <w:szCs w:val="20"/>
        <w:lang w:val="en-US"/>
      </w:rPr>
      <w:fldChar w:fldCharType="end"/>
    </w:r>
    <w:r w:rsidRPr="00706E7E">
      <w:rPr>
        <w:rFonts w:ascii="Times New Roman" w:eastAsia="Times New Roman" w:hAnsi="Times New Roman" w:cs="Times New Roman"/>
        <w:noProof/>
        <w:snapToGrid w:val="0"/>
        <w:kern w:val="0"/>
        <w:sz w:val="20"/>
        <w:szCs w:val="20"/>
        <w:lang w:val="en-US"/>
      </w:rPr>
      <w:t xml:space="preserve"> </w:t>
    </w:r>
  </w:p>
  <w:p w14:paraId="1AE082AC" w14:textId="0A7C6D2F" w:rsidR="003B746D" w:rsidRPr="00071230" w:rsidRDefault="00071230" w:rsidP="00071230">
    <w:pPr>
      <w:tabs>
        <w:tab w:val="center" w:pos="4153"/>
        <w:tab w:val="right" w:pos="8306"/>
      </w:tabs>
      <w:spacing w:after="0" w:line="240" w:lineRule="auto"/>
      <w:rPr>
        <w:rFonts w:ascii="Times New Roman" w:eastAsia="Times New Roman" w:hAnsi="Times New Roman" w:cs="Times New Roman"/>
        <w:noProof/>
        <w:snapToGrid w:val="0"/>
        <w:kern w:val="0"/>
        <w:sz w:val="20"/>
        <w:szCs w:val="20"/>
        <w:lang w:val="en-US"/>
      </w:rPr>
    </w:pPr>
    <w:r w:rsidRPr="00706E7E">
      <w:rPr>
        <w:rFonts w:ascii="Times New Roman" w:eastAsia="Times New Roman" w:hAnsi="Times New Roman" w:cs="Times New Roman"/>
        <w:noProof/>
        <w:snapToGrid w:val="0"/>
        <w:kern w:val="0"/>
        <w:sz w:val="20"/>
        <w:szCs w:val="20"/>
        <w:lang w:val="en-US"/>
      </w:rPr>
      <w:t xml:space="preserve">Translation </w:t>
    </w:r>
    <w:r w:rsidRPr="00706E7E">
      <w:rPr>
        <w:rFonts w:ascii="Times New Roman" w:eastAsia="Times New Roman" w:hAnsi="Times New Roman" w:cs="Times New Roman"/>
        <w:noProof/>
        <w:snapToGrid w:val="0"/>
        <w:kern w:val="0"/>
        <w:sz w:val="20"/>
        <w:szCs w:val="20"/>
        <w:lang w:val="en-US"/>
      </w:rPr>
      <w:fldChar w:fldCharType="begin"/>
    </w:r>
    <w:r w:rsidRPr="00706E7E">
      <w:rPr>
        <w:rFonts w:ascii="Times New Roman" w:eastAsia="Times New Roman" w:hAnsi="Times New Roman" w:cs="Times New Roman"/>
        <w:noProof/>
        <w:snapToGrid w:val="0"/>
        <w:kern w:val="0"/>
        <w:sz w:val="20"/>
        <w:szCs w:val="20"/>
        <w:lang w:val="en-US"/>
      </w:rPr>
      <w:instrText>symbol 169 \f "UnivrstyRoman TL" \s 8</w:instrText>
    </w:r>
    <w:r w:rsidRPr="00706E7E">
      <w:rPr>
        <w:rFonts w:ascii="Times New Roman" w:eastAsia="Times New Roman" w:hAnsi="Times New Roman" w:cs="Times New Roman"/>
        <w:noProof/>
        <w:snapToGrid w:val="0"/>
        <w:kern w:val="0"/>
        <w:sz w:val="20"/>
        <w:szCs w:val="20"/>
        <w:lang w:val="en-US"/>
      </w:rPr>
      <w:fldChar w:fldCharType="separate"/>
    </w:r>
    <w:r w:rsidRPr="00706E7E">
      <w:rPr>
        <w:rFonts w:ascii="Times New Roman" w:eastAsia="Times New Roman" w:hAnsi="Times New Roman" w:cs="Times New Roman"/>
        <w:noProof/>
        <w:snapToGrid w:val="0"/>
        <w:kern w:val="0"/>
        <w:sz w:val="20"/>
        <w:szCs w:val="20"/>
        <w:lang w:val="en-US"/>
      </w:rPr>
      <w:t>©</w:t>
    </w:r>
    <w:r w:rsidRPr="00706E7E">
      <w:rPr>
        <w:rFonts w:ascii="Times New Roman" w:eastAsia="Times New Roman" w:hAnsi="Times New Roman" w:cs="Times New Roman"/>
        <w:noProof/>
        <w:snapToGrid w:val="0"/>
        <w:kern w:val="0"/>
        <w:sz w:val="20"/>
        <w:szCs w:val="20"/>
        <w:lang w:val="en-US"/>
      </w:rPr>
      <w:fldChar w:fldCharType="end"/>
    </w:r>
    <w:r w:rsidRPr="00706E7E">
      <w:rPr>
        <w:rFonts w:ascii="Times New Roman" w:eastAsia="Times New Roman" w:hAnsi="Times New Roman" w:cs="Times New Roman"/>
        <w:noProof/>
        <w:snapToGrid w:val="0"/>
        <w:kern w:val="0"/>
        <w:sz w:val="20"/>
        <w:szCs w:val="20"/>
        <w:lang w:val="en-US"/>
      </w:rPr>
      <w:t xml:space="preserve"> 202</w:t>
    </w:r>
    <w:r>
      <w:rPr>
        <w:rFonts w:ascii="Times New Roman" w:eastAsia="Times New Roman" w:hAnsi="Times New Roman" w:cs="Times New Roman"/>
        <w:noProof/>
        <w:snapToGrid w:val="0"/>
        <w:kern w:val="0"/>
        <w:sz w:val="20"/>
        <w:szCs w:val="20"/>
        <w:lang w:val="en-US"/>
      </w:rPr>
      <w:t>6</w:t>
    </w:r>
    <w:r w:rsidRPr="00706E7E">
      <w:rPr>
        <w:rFonts w:ascii="Times New Roman" w:eastAsia="Times New Roman" w:hAnsi="Times New Roman" w:cs="Times New Roman"/>
        <w:noProof/>
        <w:snapToGrid w:val="0"/>
        <w:kern w:val="0"/>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E743" w14:textId="77777777" w:rsidR="003B746D" w:rsidRPr="00706E7E" w:rsidRDefault="003B746D" w:rsidP="003B746D">
    <w:pPr>
      <w:tabs>
        <w:tab w:val="center" w:pos="4153"/>
        <w:tab w:val="right" w:pos="8306"/>
      </w:tabs>
      <w:spacing w:after="0" w:line="240" w:lineRule="auto"/>
      <w:rPr>
        <w:rFonts w:ascii="Times New Roman" w:eastAsia="Times New Roman" w:hAnsi="Times New Roman" w:cs="Times New Roman"/>
        <w:noProof/>
        <w:snapToGrid w:val="0"/>
        <w:kern w:val="0"/>
        <w:sz w:val="20"/>
        <w:szCs w:val="20"/>
        <w:vertAlign w:val="superscript"/>
        <w:lang w:val="en-US"/>
      </w:rPr>
    </w:pPr>
    <w:bookmarkStart w:id="14" w:name="_Hlk32478718"/>
    <w:bookmarkStart w:id="15" w:name="_Hlk32478719"/>
    <w:bookmarkStart w:id="16" w:name="_Hlk60650487"/>
    <w:bookmarkStart w:id="17" w:name="_Hlk60650488"/>
    <w:bookmarkStart w:id="18" w:name="_Hlk60650489"/>
    <w:bookmarkStart w:id="19" w:name="_Hlk60650490"/>
  </w:p>
  <w:p w14:paraId="6181C656" w14:textId="77777777" w:rsidR="003B746D" w:rsidRPr="00706E7E" w:rsidRDefault="003B746D" w:rsidP="003B746D">
    <w:pPr>
      <w:tabs>
        <w:tab w:val="center" w:pos="4153"/>
        <w:tab w:val="right" w:pos="8306"/>
      </w:tabs>
      <w:spacing w:after="0" w:line="240" w:lineRule="auto"/>
      <w:rPr>
        <w:rFonts w:ascii="Times New Roman" w:eastAsia="Times New Roman" w:hAnsi="Times New Roman" w:cs="Times New Roman"/>
        <w:noProof/>
        <w:snapToGrid w:val="0"/>
        <w:kern w:val="0"/>
        <w:sz w:val="20"/>
        <w:szCs w:val="20"/>
        <w:lang w:val="en-US"/>
      </w:rPr>
    </w:pPr>
    <w:bookmarkStart w:id="20" w:name="_Hlk32310318"/>
    <w:bookmarkStart w:id="21" w:name="_Hlk32310319"/>
    <w:r w:rsidRPr="00706E7E">
      <w:rPr>
        <w:rFonts w:ascii="Times New Roman" w:eastAsia="Times New Roman" w:hAnsi="Times New Roman" w:cs="Times New Roman"/>
        <w:noProof/>
        <w:snapToGrid w:val="0"/>
        <w:kern w:val="0"/>
        <w:sz w:val="20"/>
        <w:szCs w:val="20"/>
        <w:vertAlign w:val="superscript"/>
        <w:lang w:val="en-US"/>
      </w:rPr>
      <w:t xml:space="preserve">1 </w:t>
    </w:r>
    <w:r w:rsidRPr="00706E7E">
      <w:rPr>
        <w:rFonts w:ascii="Times New Roman" w:eastAsia="Times New Roman" w:hAnsi="Times New Roman" w:cs="Times New Roman"/>
        <w:noProof/>
        <w:snapToGrid w:val="0"/>
        <w:kern w:val="0"/>
        <w:sz w:val="20"/>
        <w:szCs w:val="20"/>
        <w:lang w:val="en-US"/>
      </w:rPr>
      <w:t>The Parliament of the Republic of Latvia</w:t>
    </w:r>
  </w:p>
  <w:p w14:paraId="4AA2B8A5" w14:textId="77777777" w:rsidR="003B746D" w:rsidRPr="00706E7E" w:rsidRDefault="003B746D" w:rsidP="003B746D">
    <w:pPr>
      <w:tabs>
        <w:tab w:val="center" w:pos="4153"/>
        <w:tab w:val="right" w:pos="8306"/>
      </w:tabs>
      <w:spacing w:after="0" w:line="240" w:lineRule="auto"/>
      <w:rPr>
        <w:rFonts w:ascii="Times New Roman" w:eastAsia="Times New Roman" w:hAnsi="Times New Roman" w:cs="Times New Roman"/>
        <w:noProof/>
        <w:snapToGrid w:val="0"/>
        <w:kern w:val="0"/>
        <w:sz w:val="20"/>
        <w:szCs w:val="20"/>
        <w:lang w:val="en-US"/>
      </w:rPr>
    </w:pPr>
  </w:p>
  <w:p w14:paraId="487E9BF5" w14:textId="5DAD8E09" w:rsidR="003B746D" w:rsidRPr="003B746D" w:rsidRDefault="003B746D" w:rsidP="003B746D">
    <w:pPr>
      <w:tabs>
        <w:tab w:val="center" w:pos="4153"/>
        <w:tab w:val="right" w:pos="8306"/>
      </w:tabs>
      <w:spacing w:after="0" w:line="240" w:lineRule="auto"/>
      <w:rPr>
        <w:rFonts w:ascii="Times New Roman" w:eastAsia="Times New Roman" w:hAnsi="Times New Roman" w:cs="Times New Roman"/>
        <w:noProof/>
        <w:snapToGrid w:val="0"/>
        <w:kern w:val="0"/>
        <w:sz w:val="20"/>
        <w:szCs w:val="20"/>
        <w:lang w:val="en-US"/>
      </w:rPr>
    </w:pPr>
    <w:r w:rsidRPr="00706E7E">
      <w:rPr>
        <w:rFonts w:ascii="Times New Roman" w:eastAsia="Times New Roman" w:hAnsi="Times New Roman" w:cs="Times New Roman"/>
        <w:noProof/>
        <w:snapToGrid w:val="0"/>
        <w:kern w:val="0"/>
        <w:sz w:val="20"/>
        <w:szCs w:val="20"/>
        <w:lang w:val="en-US"/>
      </w:rPr>
      <w:t xml:space="preserve">Translation </w:t>
    </w:r>
    <w:r w:rsidRPr="00706E7E">
      <w:rPr>
        <w:rFonts w:ascii="Times New Roman" w:eastAsia="Times New Roman" w:hAnsi="Times New Roman" w:cs="Times New Roman"/>
        <w:noProof/>
        <w:snapToGrid w:val="0"/>
        <w:kern w:val="0"/>
        <w:sz w:val="20"/>
        <w:szCs w:val="20"/>
        <w:lang w:val="en-US"/>
      </w:rPr>
      <w:fldChar w:fldCharType="begin"/>
    </w:r>
    <w:r w:rsidRPr="00706E7E">
      <w:rPr>
        <w:rFonts w:ascii="Times New Roman" w:eastAsia="Times New Roman" w:hAnsi="Times New Roman" w:cs="Times New Roman"/>
        <w:noProof/>
        <w:snapToGrid w:val="0"/>
        <w:kern w:val="0"/>
        <w:sz w:val="20"/>
        <w:szCs w:val="20"/>
        <w:lang w:val="en-US"/>
      </w:rPr>
      <w:instrText>symbol 169 \f "UnivrstyRoman TL" \s 8</w:instrText>
    </w:r>
    <w:r w:rsidRPr="00706E7E">
      <w:rPr>
        <w:rFonts w:ascii="Times New Roman" w:eastAsia="Times New Roman" w:hAnsi="Times New Roman" w:cs="Times New Roman"/>
        <w:noProof/>
        <w:snapToGrid w:val="0"/>
        <w:kern w:val="0"/>
        <w:sz w:val="20"/>
        <w:szCs w:val="20"/>
        <w:lang w:val="en-US"/>
      </w:rPr>
      <w:fldChar w:fldCharType="separate"/>
    </w:r>
    <w:r w:rsidRPr="00706E7E">
      <w:rPr>
        <w:rFonts w:ascii="Times New Roman" w:eastAsia="Times New Roman" w:hAnsi="Times New Roman" w:cs="Times New Roman"/>
        <w:noProof/>
        <w:snapToGrid w:val="0"/>
        <w:kern w:val="0"/>
        <w:sz w:val="20"/>
        <w:szCs w:val="20"/>
        <w:lang w:val="en-US"/>
      </w:rPr>
      <w:t>©</w:t>
    </w:r>
    <w:r w:rsidRPr="00706E7E">
      <w:rPr>
        <w:rFonts w:ascii="Times New Roman" w:eastAsia="Times New Roman" w:hAnsi="Times New Roman" w:cs="Times New Roman"/>
        <w:noProof/>
        <w:snapToGrid w:val="0"/>
        <w:kern w:val="0"/>
        <w:sz w:val="20"/>
        <w:szCs w:val="20"/>
        <w:lang w:val="en-US"/>
      </w:rPr>
      <w:fldChar w:fldCharType="end"/>
    </w:r>
    <w:r w:rsidRPr="00706E7E">
      <w:rPr>
        <w:rFonts w:ascii="Times New Roman" w:eastAsia="Times New Roman" w:hAnsi="Times New Roman" w:cs="Times New Roman"/>
        <w:noProof/>
        <w:snapToGrid w:val="0"/>
        <w:kern w:val="0"/>
        <w:sz w:val="20"/>
        <w:szCs w:val="20"/>
        <w:lang w:val="en-US"/>
      </w:rPr>
      <w:t xml:space="preserve"> 202</w:t>
    </w:r>
    <w:r>
      <w:rPr>
        <w:rFonts w:ascii="Times New Roman" w:eastAsia="Times New Roman" w:hAnsi="Times New Roman" w:cs="Times New Roman"/>
        <w:noProof/>
        <w:snapToGrid w:val="0"/>
        <w:kern w:val="0"/>
        <w:sz w:val="20"/>
        <w:szCs w:val="20"/>
        <w:lang w:val="en-US"/>
      </w:rPr>
      <w:t>6</w:t>
    </w:r>
    <w:r w:rsidRPr="00706E7E">
      <w:rPr>
        <w:rFonts w:ascii="Times New Roman" w:eastAsia="Times New Roman" w:hAnsi="Times New Roman" w:cs="Times New Roman"/>
        <w:noProof/>
        <w:snapToGrid w:val="0"/>
        <w:kern w:val="0"/>
        <w:sz w:val="20"/>
        <w:szCs w:val="20"/>
        <w:lang w:val="en-US"/>
      </w:rPr>
      <w:t xml:space="preserve"> Valsts valodas centrs (State Language Centre)</w:t>
    </w:r>
    <w:bookmarkEnd w:id="14"/>
    <w:bookmarkEnd w:id="15"/>
    <w:bookmarkEnd w:id="16"/>
    <w:bookmarkEnd w:id="17"/>
    <w:bookmarkEnd w:id="18"/>
    <w:bookmarkEnd w:id="19"/>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08A1F" w14:textId="77777777" w:rsidR="009134E4" w:rsidRPr="009E78B2" w:rsidRDefault="009134E4" w:rsidP="009E78B2">
      <w:pPr>
        <w:spacing w:after="0" w:line="240" w:lineRule="auto"/>
        <w:rPr>
          <w:noProof/>
          <w:kern w:val="0"/>
          <w:lang w:val="en-US"/>
        </w:rPr>
      </w:pPr>
      <w:r w:rsidRPr="009E78B2">
        <w:rPr>
          <w:noProof/>
          <w:kern w:val="0"/>
          <w:lang w:val="en-US"/>
        </w:rPr>
        <w:separator/>
      </w:r>
    </w:p>
  </w:footnote>
  <w:footnote w:type="continuationSeparator" w:id="0">
    <w:p w14:paraId="430C575A" w14:textId="77777777" w:rsidR="009134E4" w:rsidRPr="009E78B2" w:rsidRDefault="009134E4" w:rsidP="009E78B2">
      <w:pPr>
        <w:spacing w:after="0" w:line="240" w:lineRule="auto"/>
        <w:rPr>
          <w:noProof/>
          <w:kern w:val="0"/>
          <w:lang w:val="en-US"/>
        </w:rPr>
      </w:pPr>
      <w:r w:rsidRPr="009E78B2">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484"/>
    <w:rsid w:val="00063630"/>
    <w:rsid w:val="00071230"/>
    <w:rsid w:val="00204817"/>
    <w:rsid w:val="0021303C"/>
    <w:rsid w:val="003B746D"/>
    <w:rsid w:val="00647278"/>
    <w:rsid w:val="009134E4"/>
    <w:rsid w:val="0096431A"/>
    <w:rsid w:val="009C4C98"/>
    <w:rsid w:val="009E78B2"/>
    <w:rsid w:val="00A16F70"/>
    <w:rsid w:val="00A56DFB"/>
    <w:rsid w:val="00AF5282"/>
    <w:rsid w:val="00F627A6"/>
    <w:rsid w:val="00FB5792"/>
    <w:rsid w:val="00FC6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FF7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4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4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4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484"/>
    <w:rPr>
      <w:rFonts w:eastAsiaTheme="majorEastAsia" w:cstheme="majorBidi"/>
      <w:color w:val="272727" w:themeColor="text1" w:themeTint="D8"/>
    </w:rPr>
  </w:style>
  <w:style w:type="paragraph" w:styleId="Title">
    <w:name w:val="Title"/>
    <w:basedOn w:val="Normal"/>
    <w:next w:val="Normal"/>
    <w:link w:val="TitleChar"/>
    <w:uiPriority w:val="10"/>
    <w:qFormat/>
    <w:rsid w:val="00FC6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484"/>
    <w:pPr>
      <w:spacing w:before="160"/>
      <w:jc w:val="center"/>
    </w:pPr>
    <w:rPr>
      <w:i/>
      <w:iCs/>
      <w:color w:val="404040" w:themeColor="text1" w:themeTint="BF"/>
    </w:rPr>
  </w:style>
  <w:style w:type="character" w:customStyle="1" w:styleId="QuoteChar">
    <w:name w:val="Quote Char"/>
    <w:basedOn w:val="DefaultParagraphFont"/>
    <w:link w:val="Quote"/>
    <w:uiPriority w:val="29"/>
    <w:rsid w:val="00FC6484"/>
    <w:rPr>
      <w:i/>
      <w:iCs/>
      <w:color w:val="404040" w:themeColor="text1" w:themeTint="BF"/>
    </w:rPr>
  </w:style>
  <w:style w:type="paragraph" w:styleId="ListParagraph">
    <w:name w:val="List Paragraph"/>
    <w:basedOn w:val="Normal"/>
    <w:uiPriority w:val="34"/>
    <w:qFormat/>
    <w:rsid w:val="00FC6484"/>
    <w:pPr>
      <w:ind w:left="720"/>
      <w:contextualSpacing/>
    </w:pPr>
  </w:style>
  <w:style w:type="character" w:styleId="IntenseEmphasis">
    <w:name w:val="Intense Emphasis"/>
    <w:basedOn w:val="DefaultParagraphFont"/>
    <w:uiPriority w:val="21"/>
    <w:qFormat/>
    <w:rsid w:val="00FC6484"/>
    <w:rPr>
      <w:i/>
      <w:iCs/>
      <w:color w:val="0F4761" w:themeColor="accent1" w:themeShade="BF"/>
    </w:rPr>
  </w:style>
  <w:style w:type="paragraph" w:styleId="IntenseQuote">
    <w:name w:val="Intense Quote"/>
    <w:basedOn w:val="Normal"/>
    <w:next w:val="Normal"/>
    <w:link w:val="IntenseQuoteChar"/>
    <w:uiPriority w:val="30"/>
    <w:qFormat/>
    <w:rsid w:val="00FC6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484"/>
    <w:rPr>
      <w:i/>
      <w:iCs/>
      <w:color w:val="0F4761" w:themeColor="accent1" w:themeShade="BF"/>
    </w:rPr>
  </w:style>
  <w:style w:type="character" w:styleId="IntenseReference">
    <w:name w:val="Intense Reference"/>
    <w:basedOn w:val="DefaultParagraphFont"/>
    <w:uiPriority w:val="32"/>
    <w:qFormat/>
    <w:rsid w:val="00FC6484"/>
    <w:rPr>
      <w:b/>
      <w:bCs/>
      <w:smallCaps/>
      <w:color w:val="0F4761" w:themeColor="accent1" w:themeShade="BF"/>
      <w:spacing w:val="5"/>
    </w:rPr>
  </w:style>
  <w:style w:type="character" w:styleId="Hyperlink">
    <w:name w:val="Hyperlink"/>
    <w:basedOn w:val="DefaultParagraphFont"/>
    <w:uiPriority w:val="99"/>
    <w:unhideWhenUsed/>
    <w:rsid w:val="00204817"/>
    <w:rPr>
      <w:color w:val="467886" w:themeColor="hyperlink"/>
      <w:u w:val="single"/>
    </w:rPr>
  </w:style>
  <w:style w:type="character" w:styleId="UnresolvedMention">
    <w:name w:val="Unresolved Mention"/>
    <w:basedOn w:val="DefaultParagraphFont"/>
    <w:uiPriority w:val="99"/>
    <w:semiHidden/>
    <w:unhideWhenUsed/>
    <w:rsid w:val="00204817"/>
    <w:rPr>
      <w:color w:val="605E5C"/>
      <w:shd w:val="clear" w:color="auto" w:fill="E1DFDD"/>
    </w:rPr>
  </w:style>
  <w:style w:type="paragraph" w:styleId="Header">
    <w:name w:val="header"/>
    <w:basedOn w:val="Normal"/>
    <w:link w:val="HeaderChar"/>
    <w:uiPriority w:val="99"/>
    <w:unhideWhenUsed/>
    <w:rsid w:val="009E7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78B2"/>
  </w:style>
  <w:style w:type="paragraph" w:styleId="Footer">
    <w:name w:val="footer"/>
    <w:basedOn w:val="Normal"/>
    <w:link w:val="FooterChar"/>
    <w:uiPriority w:val="99"/>
    <w:unhideWhenUsed/>
    <w:rsid w:val="009E7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7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F56C94-F207-4FEA-BD99-A4DB5665547F}">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D58786E7-2C5C-4AF8-80E2-6DBF39AA1B83}">
  <ds:schemaRefs>
    <ds:schemaRef ds:uri="http://schemas.microsoft.com/sharepoint/v3/contenttype/forms"/>
  </ds:schemaRefs>
</ds:datastoreItem>
</file>

<file path=customXml/itemProps3.xml><?xml version="1.0" encoding="utf-8"?>
<ds:datastoreItem xmlns:ds="http://schemas.openxmlformats.org/officeDocument/2006/customXml" ds:itemID="{FA510DAB-590D-4411-A9C6-EB01E2AB8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4901</Characters>
  <Application>Microsoft Office Word</Application>
  <DocSecurity>0</DocSecurity>
  <Lines>40</Lines>
  <Paragraphs>11</Paragraphs>
  <ScaleCrop>false</ScaleCrop>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2026-02-03T13:15:00Z</dcterms:created>
  <dcterms:modified xsi:type="dcterms:W3CDTF">2026-08-05T11:47:00Z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