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E10EC" w14:textId="77777777" w:rsidR="006A6FA5" w:rsidRPr="00E908FA" w:rsidRDefault="006A6FA5" w:rsidP="006A6FA5">
      <w:pPr>
        <w:pStyle w:val="BodyText"/>
        <w:rPr>
          <w:rFonts w:ascii="Times New Roman" w:hAnsi="Times New Roman" w:cs="Times New Roman"/>
          <w:noProof/>
          <w:sz w:val="28"/>
        </w:rPr>
      </w:pPr>
      <w:r>
        <w:rPr>
          <w:rFonts w:ascii="Times New Roman" w:hAnsi="Times New Roman"/>
          <w:noProof/>
        </w:rPr>
        <w:drawing>
          <wp:anchor distT="0" distB="0" distL="0" distR="0" simplePos="0" relativeHeight="251658240" behindDoc="0" locked="0" layoutInCell="1" allowOverlap="1" wp14:anchorId="3A1C931E" wp14:editId="1F3049EB">
            <wp:simplePos x="0" y="0"/>
            <wp:positionH relativeFrom="page">
              <wp:posOffset>643764</wp:posOffset>
            </wp:positionH>
            <wp:positionV relativeFrom="page">
              <wp:posOffset>820773</wp:posOffset>
            </wp:positionV>
            <wp:extent cx="1266825" cy="397433"/>
            <wp:effectExtent l="0" t="0" r="0" b="0"/>
            <wp:wrapNone/>
            <wp:docPr id="2" name="Image 2">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hlinkClick r:id="rId11"/>
                    </pic:cNvPr>
                    <pic:cNvPicPr/>
                  </pic:nvPicPr>
                  <pic:blipFill>
                    <a:blip r:embed="rId12" cstate="print"/>
                    <a:stretch>
                      <a:fillRect/>
                    </a:stretch>
                  </pic:blipFill>
                  <pic:spPr>
                    <a:xfrm>
                      <a:off x="0" y="0"/>
                      <a:ext cx="1266825" cy="397433"/>
                    </a:xfrm>
                    <a:prstGeom prst="rect">
                      <a:avLst/>
                    </a:prstGeom>
                  </pic:spPr>
                </pic:pic>
              </a:graphicData>
            </a:graphic>
          </wp:anchor>
        </w:drawing>
      </w:r>
    </w:p>
    <w:p w14:paraId="334C1ECD" w14:textId="77777777" w:rsidR="006A6FA5" w:rsidRPr="00E908FA" w:rsidRDefault="006A6FA5" w:rsidP="006A6FA5">
      <w:pPr>
        <w:pStyle w:val="BodyText"/>
        <w:spacing w:before="38"/>
        <w:rPr>
          <w:rFonts w:ascii="Times New Roman" w:hAnsi="Times New Roman" w:cs="Times New Roman"/>
          <w:noProof/>
          <w:sz w:val="28"/>
        </w:rPr>
      </w:pPr>
    </w:p>
    <w:p w14:paraId="0A467BFD" w14:textId="77777777" w:rsidR="006A6FA5" w:rsidRPr="00E908FA" w:rsidRDefault="006A6FA5" w:rsidP="006A6FA5">
      <w:pPr>
        <w:spacing w:line="259" w:lineRule="auto"/>
        <w:ind w:left="1246" w:right="1244" w:hanging="4"/>
        <w:jc w:val="center"/>
        <w:rPr>
          <w:rFonts w:ascii="Times New Roman" w:hAnsi="Times New Roman" w:cs="Times New Roman"/>
          <w:b/>
          <w:noProof/>
          <w:sz w:val="28"/>
        </w:rPr>
      </w:pPr>
      <w:r>
        <w:rPr>
          <w:rFonts w:ascii="Times New Roman" w:hAnsi="Times New Roman"/>
          <w:b/>
          <w:sz w:val="28"/>
        </w:rPr>
        <w:t>Pieņemami atbilstības nodrošināšanas līdzekļi un vadlīnijas Regulai (ES) Nr. 1178/2011. 1. izdevums, 2. grozījums</w:t>
      </w:r>
    </w:p>
    <w:p w14:paraId="4D0F4066" w14:textId="77777777" w:rsidR="006A6FA5" w:rsidRPr="00E908FA" w:rsidRDefault="006A6FA5" w:rsidP="006A6FA5">
      <w:pPr>
        <w:pStyle w:val="BodyText"/>
        <w:rPr>
          <w:rFonts w:ascii="Times New Roman" w:hAnsi="Times New Roman" w:cs="Times New Roman"/>
          <w:b/>
          <w:noProof/>
          <w:sz w:val="28"/>
        </w:rPr>
      </w:pPr>
    </w:p>
    <w:p w14:paraId="5D265854" w14:textId="77777777" w:rsidR="006A6FA5" w:rsidRPr="00EE4A03" w:rsidRDefault="006A6FA5" w:rsidP="006A6FA5">
      <w:pPr>
        <w:pStyle w:val="BodyText"/>
        <w:spacing w:before="222"/>
        <w:rPr>
          <w:rFonts w:ascii="Times New Roman" w:hAnsi="Times New Roman" w:cs="Times New Roman"/>
          <w:b/>
          <w:noProof/>
          <w:sz w:val="26"/>
          <w:szCs w:val="26"/>
        </w:rPr>
      </w:pPr>
    </w:p>
    <w:p w14:paraId="23176F1A" w14:textId="77777777" w:rsidR="006A6FA5" w:rsidRPr="00EE4A03" w:rsidRDefault="006A6FA5" w:rsidP="006A6FA5">
      <w:pPr>
        <w:ind w:left="4" w:right="4"/>
        <w:jc w:val="center"/>
        <w:rPr>
          <w:rFonts w:ascii="Times New Roman" w:hAnsi="Times New Roman" w:cs="Times New Roman"/>
          <w:b/>
          <w:noProof/>
          <w:sz w:val="26"/>
          <w:szCs w:val="26"/>
        </w:rPr>
      </w:pPr>
      <w:bookmarkStart w:id="0" w:name="Annex_to_ED_Decision_2025/011/R_—_AMC_&amp;_"/>
      <w:bookmarkEnd w:id="0"/>
      <w:r>
        <w:rPr>
          <w:rFonts w:ascii="Times New Roman" w:hAnsi="Times New Roman"/>
          <w:b/>
          <w:i/>
          <w:iCs/>
          <w:sz w:val="26"/>
        </w:rPr>
        <w:t>ED</w:t>
      </w:r>
      <w:r>
        <w:rPr>
          <w:rFonts w:ascii="Times New Roman" w:hAnsi="Times New Roman"/>
          <w:b/>
          <w:sz w:val="26"/>
        </w:rPr>
        <w:t> Lēmuma 2025/011/R pielikums</w:t>
      </w:r>
    </w:p>
    <w:p w14:paraId="550DF117" w14:textId="77777777" w:rsidR="006A6FA5" w:rsidRPr="00EE4A03" w:rsidRDefault="006A6FA5" w:rsidP="006A6FA5">
      <w:pPr>
        <w:pStyle w:val="BodyText"/>
        <w:spacing w:before="239"/>
        <w:rPr>
          <w:rFonts w:ascii="Times New Roman" w:hAnsi="Times New Roman" w:cs="Times New Roman"/>
          <w:b/>
          <w:noProof/>
          <w:sz w:val="26"/>
          <w:szCs w:val="26"/>
        </w:rPr>
      </w:pPr>
    </w:p>
    <w:p w14:paraId="12E6E57C" w14:textId="77777777" w:rsidR="006A6FA5" w:rsidRPr="00EE4A03" w:rsidRDefault="006A6FA5" w:rsidP="006A6FA5">
      <w:pPr>
        <w:spacing w:before="1"/>
        <w:ind w:left="4"/>
        <w:jc w:val="center"/>
        <w:rPr>
          <w:rFonts w:ascii="Times New Roman" w:hAnsi="Times New Roman" w:cs="Times New Roman"/>
          <w:b/>
          <w:noProof/>
          <w:sz w:val="26"/>
          <w:szCs w:val="26"/>
        </w:rPr>
      </w:pPr>
      <w:r>
        <w:rPr>
          <w:rFonts w:ascii="Times New Roman" w:hAnsi="Times New Roman"/>
          <w:b/>
          <w:i/>
          <w:iCs/>
          <w:sz w:val="26"/>
        </w:rPr>
        <w:t>AMC</w:t>
      </w:r>
      <w:r>
        <w:rPr>
          <w:rFonts w:ascii="Times New Roman" w:hAnsi="Times New Roman"/>
          <w:b/>
          <w:sz w:val="26"/>
        </w:rPr>
        <w:t xml:space="preserve"> un </w:t>
      </w:r>
      <w:r>
        <w:rPr>
          <w:rFonts w:ascii="Times New Roman" w:hAnsi="Times New Roman"/>
          <w:b/>
          <w:i/>
          <w:iCs/>
          <w:sz w:val="26"/>
        </w:rPr>
        <w:t>GM</w:t>
      </w:r>
      <w:r>
        <w:rPr>
          <w:rFonts w:ascii="Times New Roman" w:hAnsi="Times New Roman"/>
          <w:b/>
          <w:sz w:val="26"/>
        </w:rPr>
        <w:t xml:space="preserve"> Regulai (ES) Nr. 1178/2011. 1. izdevums, 2. grozījums</w:t>
      </w:r>
    </w:p>
    <w:p w14:paraId="3EFE8FA0" w14:textId="77777777" w:rsidR="006A6FA5" w:rsidRPr="00E908FA" w:rsidRDefault="006A6FA5" w:rsidP="006A6FA5">
      <w:pPr>
        <w:pStyle w:val="BodyText"/>
        <w:rPr>
          <w:rFonts w:ascii="Times New Roman" w:hAnsi="Times New Roman" w:cs="Times New Roman"/>
          <w:b/>
          <w:noProof/>
          <w:sz w:val="24"/>
        </w:rPr>
      </w:pPr>
    </w:p>
    <w:p w14:paraId="46D8D533" w14:textId="77777777" w:rsidR="006A6FA5" w:rsidRPr="00E908FA" w:rsidRDefault="006A6FA5" w:rsidP="006A6FA5">
      <w:pPr>
        <w:pStyle w:val="BodyText"/>
        <w:spacing w:before="74"/>
        <w:rPr>
          <w:rFonts w:ascii="Times New Roman" w:hAnsi="Times New Roman" w:cs="Times New Roman"/>
          <w:b/>
          <w:noProof/>
          <w:sz w:val="24"/>
        </w:rPr>
      </w:pPr>
    </w:p>
    <w:p w14:paraId="0777EAD6" w14:textId="77777777" w:rsidR="006A6FA5" w:rsidRPr="00EE4A03" w:rsidRDefault="006A6FA5" w:rsidP="006A6FA5">
      <w:pPr>
        <w:pStyle w:val="BodyText"/>
        <w:ind w:left="140"/>
        <w:jc w:val="both"/>
        <w:rPr>
          <w:rFonts w:ascii="Times New Roman" w:hAnsi="Times New Roman" w:cs="Times New Roman"/>
          <w:noProof/>
          <w:sz w:val="24"/>
          <w:szCs w:val="24"/>
        </w:rPr>
      </w:pPr>
      <w:r>
        <w:rPr>
          <w:rFonts w:ascii="Times New Roman" w:hAnsi="Times New Roman"/>
          <w:sz w:val="24"/>
        </w:rPr>
        <w:t>Šajā dokumentā svītrotais, jaunais vai grozītais teksts ir attēlots šādi:</w:t>
      </w:r>
    </w:p>
    <w:p w14:paraId="1E78B709" w14:textId="77777777" w:rsidR="006A6FA5" w:rsidRPr="00EE4A03" w:rsidRDefault="006A6FA5" w:rsidP="006A6FA5">
      <w:pPr>
        <w:pStyle w:val="ListParagraph"/>
        <w:numPr>
          <w:ilvl w:val="0"/>
          <w:numId w:val="3"/>
        </w:numPr>
        <w:tabs>
          <w:tab w:val="left" w:pos="706"/>
        </w:tabs>
        <w:ind w:hanging="566"/>
        <w:jc w:val="left"/>
        <w:rPr>
          <w:rFonts w:ascii="Times New Roman" w:hAnsi="Times New Roman" w:cs="Times New Roman"/>
          <w:noProof/>
          <w:sz w:val="24"/>
          <w:szCs w:val="24"/>
        </w:rPr>
      </w:pPr>
      <w:r>
        <w:rPr>
          <w:rFonts w:ascii="Times New Roman" w:hAnsi="Times New Roman"/>
          <w:sz w:val="24"/>
        </w:rPr>
        <w:t xml:space="preserve">svītrotais teksts ir </w:t>
      </w:r>
      <w:r>
        <w:rPr>
          <w:rFonts w:ascii="Times New Roman" w:hAnsi="Times New Roman"/>
          <w:strike/>
          <w:color w:val="FF0000"/>
          <w:sz w:val="24"/>
        </w:rPr>
        <w:t>pārsvītrots</w:t>
      </w:r>
      <w:r>
        <w:rPr>
          <w:rFonts w:ascii="Times New Roman" w:hAnsi="Times New Roman"/>
          <w:sz w:val="24"/>
        </w:rPr>
        <w:t>;</w:t>
      </w:r>
    </w:p>
    <w:p w14:paraId="18129CF4" w14:textId="77777777" w:rsidR="006A6FA5" w:rsidRPr="00EE4A03" w:rsidRDefault="006A6FA5" w:rsidP="006A6FA5">
      <w:pPr>
        <w:pStyle w:val="ListParagraph"/>
        <w:numPr>
          <w:ilvl w:val="0"/>
          <w:numId w:val="3"/>
        </w:numPr>
        <w:tabs>
          <w:tab w:val="left" w:pos="706"/>
        </w:tabs>
        <w:spacing w:before="159"/>
        <w:ind w:hanging="566"/>
        <w:jc w:val="left"/>
        <w:rPr>
          <w:rFonts w:ascii="Times New Roman" w:hAnsi="Times New Roman" w:cs="Times New Roman"/>
          <w:noProof/>
          <w:sz w:val="24"/>
          <w:szCs w:val="24"/>
        </w:rPr>
      </w:pPr>
      <w:r>
        <w:rPr>
          <w:rFonts w:ascii="Times New Roman" w:hAnsi="Times New Roman"/>
          <w:sz w:val="24"/>
        </w:rPr>
        <w:t xml:space="preserve">jaunais vai grozītais teksts ir iekrāsots </w:t>
      </w:r>
      <w:r>
        <w:rPr>
          <w:rFonts w:ascii="Times New Roman" w:hAnsi="Times New Roman"/>
          <w:sz w:val="24"/>
          <w:highlight w:val="cyan"/>
        </w:rPr>
        <w:t>zilā</w:t>
      </w:r>
      <w:r>
        <w:rPr>
          <w:rFonts w:ascii="Times New Roman" w:hAnsi="Times New Roman"/>
          <w:sz w:val="24"/>
        </w:rPr>
        <w:t xml:space="preserve"> krāsā;</w:t>
      </w:r>
    </w:p>
    <w:p w14:paraId="1D1BF776" w14:textId="77777777" w:rsidR="006A6FA5" w:rsidRPr="00EE4A03" w:rsidRDefault="006A6FA5" w:rsidP="006A6FA5">
      <w:pPr>
        <w:pStyle w:val="ListParagraph"/>
        <w:numPr>
          <w:ilvl w:val="0"/>
          <w:numId w:val="3"/>
        </w:numPr>
        <w:tabs>
          <w:tab w:val="left" w:pos="706"/>
        </w:tabs>
        <w:ind w:hanging="566"/>
        <w:rPr>
          <w:rFonts w:ascii="Times New Roman" w:hAnsi="Times New Roman" w:cs="Times New Roman"/>
          <w:noProof/>
          <w:sz w:val="24"/>
          <w:szCs w:val="24"/>
        </w:rPr>
      </w:pPr>
      <w:r>
        <w:rPr>
          <w:rFonts w:ascii="Times New Roman" w:hAnsi="Times New Roman"/>
          <w:sz w:val="24"/>
        </w:rPr>
        <w:t>divpunkte “(..)” norāda, ka pārējais teksts nav grozīts.</w:t>
      </w:r>
    </w:p>
    <w:p w14:paraId="54F133E5" w14:textId="77777777" w:rsidR="006A6FA5" w:rsidRPr="00E908FA" w:rsidRDefault="006A6FA5" w:rsidP="006A6FA5">
      <w:pPr>
        <w:pStyle w:val="BodyText"/>
        <w:rPr>
          <w:rFonts w:ascii="Times New Roman" w:hAnsi="Times New Roman" w:cs="Times New Roman"/>
          <w:noProof/>
        </w:rPr>
      </w:pPr>
    </w:p>
    <w:p w14:paraId="4460C3B7" w14:textId="77777777" w:rsidR="006A6FA5" w:rsidRPr="00E908FA" w:rsidRDefault="006A6FA5" w:rsidP="006A6FA5">
      <w:pPr>
        <w:pStyle w:val="BodyText"/>
        <w:rPr>
          <w:rFonts w:ascii="Times New Roman" w:hAnsi="Times New Roman" w:cs="Times New Roman"/>
          <w:noProof/>
        </w:rPr>
      </w:pPr>
    </w:p>
    <w:p w14:paraId="4F41100E" w14:textId="77777777" w:rsidR="006A6FA5" w:rsidRPr="00E908FA" w:rsidRDefault="006A6FA5" w:rsidP="006A6FA5">
      <w:pPr>
        <w:pStyle w:val="BodyText"/>
        <w:rPr>
          <w:rFonts w:ascii="Times New Roman" w:hAnsi="Times New Roman" w:cs="Times New Roman"/>
          <w:noProof/>
        </w:rPr>
      </w:pPr>
    </w:p>
    <w:p w14:paraId="0E11DB5B" w14:textId="77777777" w:rsidR="006A6FA5" w:rsidRPr="00E908FA" w:rsidRDefault="006A6FA5" w:rsidP="006A6FA5">
      <w:pPr>
        <w:pStyle w:val="BodyText"/>
        <w:rPr>
          <w:rFonts w:ascii="Times New Roman" w:hAnsi="Times New Roman" w:cs="Times New Roman"/>
          <w:noProof/>
        </w:rPr>
      </w:pPr>
    </w:p>
    <w:p w14:paraId="5E18E59C" w14:textId="77777777" w:rsidR="006A6FA5" w:rsidRPr="00E908FA" w:rsidRDefault="006A6FA5" w:rsidP="006A6FA5">
      <w:pPr>
        <w:pStyle w:val="BodyText"/>
        <w:rPr>
          <w:rFonts w:ascii="Times New Roman" w:hAnsi="Times New Roman" w:cs="Times New Roman"/>
          <w:noProof/>
        </w:rPr>
      </w:pPr>
    </w:p>
    <w:p w14:paraId="7C2D6A4F" w14:textId="77777777" w:rsidR="006A6FA5" w:rsidRPr="00E908FA" w:rsidRDefault="006A6FA5" w:rsidP="006A6FA5">
      <w:pPr>
        <w:pStyle w:val="BodyText"/>
        <w:rPr>
          <w:rFonts w:ascii="Times New Roman" w:hAnsi="Times New Roman" w:cs="Times New Roman"/>
          <w:noProof/>
        </w:rPr>
      </w:pPr>
    </w:p>
    <w:p w14:paraId="75545454" w14:textId="77777777" w:rsidR="006A6FA5" w:rsidRPr="00E908FA" w:rsidRDefault="006A6FA5" w:rsidP="006A6FA5">
      <w:pPr>
        <w:pStyle w:val="BodyText"/>
        <w:rPr>
          <w:rFonts w:ascii="Times New Roman" w:hAnsi="Times New Roman" w:cs="Times New Roman"/>
          <w:noProof/>
        </w:rPr>
      </w:pPr>
    </w:p>
    <w:p w14:paraId="3F340FA1" w14:textId="77777777" w:rsidR="006A6FA5" w:rsidRPr="00E908FA" w:rsidRDefault="006A6FA5" w:rsidP="006A6FA5">
      <w:pPr>
        <w:pStyle w:val="BodyText"/>
        <w:rPr>
          <w:rFonts w:ascii="Times New Roman" w:hAnsi="Times New Roman" w:cs="Times New Roman"/>
          <w:noProof/>
        </w:rPr>
      </w:pPr>
    </w:p>
    <w:p w14:paraId="4B4869BB" w14:textId="77777777" w:rsidR="006A6FA5" w:rsidRPr="00E908FA" w:rsidRDefault="006A6FA5" w:rsidP="006A6FA5">
      <w:pPr>
        <w:pStyle w:val="BodyText"/>
        <w:rPr>
          <w:rFonts w:ascii="Times New Roman" w:hAnsi="Times New Roman" w:cs="Times New Roman"/>
          <w:noProof/>
        </w:rPr>
      </w:pPr>
    </w:p>
    <w:p w14:paraId="340D0765" w14:textId="77777777" w:rsidR="006A6FA5" w:rsidRPr="00E908FA" w:rsidRDefault="006A6FA5" w:rsidP="006A6FA5">
      <w:pPr>
        <w:pStyle w:val="BodyText"/>
        <w:rPr>
          <w:rFonts w:ascii="Times New Roman" w:hAnsi="Times New Roman" w:cs="Times New Roman"/>
          <w:noProof/>
        </w:rPr>
      </w:pPr>
    </w:p>
    <w:p w14:paraId="72E18D13" w14:textId="77777777" w:rsidR="006A6FA5" w:rsidRPr="00E908FA" w:rsidRDefault="006A6FA5" w:rsidP="006A6FA5">
      <w:pPr>
        <w:pStyle w:val="BodyText"/>
        <w:rPr>
          <w:rFonts w:ascii="Times New Roman" w:hAnsi="Times New Roman" w:cs="Times New Roman"/>
          <w:noProof/>
        </w:rPr>
      </w:pPr>
    </w:p>
    <w:p w14:paraId="51EDF482" w14:textId="77777777" w:rsidR="006A6FA5" w:rsidRPr="00E908FA" w:rsidRDefault="006A6FA5" w:rsidP="006A6FA5">
      <w:pPr>
        <w:pStyle w:val="BodyText"/>
        <w:rPr>
          <w:rFonts w:ascii="Times New Roman" w:hAnsi="Times New Roman" w:cs="Times New Roman"/>
          <w:noProof/>
        </w:rPr>
      </w:pPr>
    </w:p>
    <w:p w14:paraId="30C9FA91" w14:textId="77777777" w:rsidR="006A6FA5" w:rsidRPr="00E908FA" w:rsidRDefault="006A6FA5" w:rsidP="006A6FA5">
      <w:pPr>
        <w:pStyle w:val="BodyText"/>
        <w:rPr>
          <w:rFonts w:ascii="Times New Roman" w:hAnsi="Times New Roman" w:cs="Times New Roman"/>
          <w:noProof/>
        </w:rPr>
      </w:pPr>
    </w:p>
    <w:p w14:paraId="4F9E5043" w14:textId="77777777" w:rsidR="006A6FA5" w:rsidRPr="00E908FA" w:rsidRDefault="006A6FA5" w:rsidP="006A6FA5">
      <w:pPr>
        <w:pStyle w:val="BodyText"/>
        <w:rPr>
          <w:rFonts w:ascii="Times New Roman" w:hAnsi="Times New Roman" w:cs="Times New Roman"/>
          <w:noProof/>
        </w:rPr>
      </w:pPr>
    </w:p>
    <w:p w14:paraId="0779EE0A" w14:textId="77777777" w:rsidR="006A6FA5" w:rsidRPr="00E908FA" w:rsidRDefault="006A6FA5" w:rsidP="006A6FA5">
      <w:pPr>
        <w:pStyle w:val="BodyText"/>
        <w:rPr>
          <w:rFonts w:ascii="Times New Roman" w:hAnsi="Times New Roman" w:cs="Times New Roman"/>
          <w:noProof/>
        </w:rPr>
      </w:pPr>
    </w:p>
    <w:p w14:paraId="6BADA4FC" w14:textId="77777777" w:rsidR="006A6FA5" w:rsidRPr="00E908FA" w:rsidRDefault="006A6FA5" w:rsidP="006A6FA5">
      <w:pPr>
        <w:pStyle w:val="BodyText"/>
        <w:rPr>
          <w:rFonts w:ascii="Times New Roman" w:hAnsi="Times New Roman" w:cs="Times New Roman"/>
          <w:noProof/>
        </w:rPr>
      </w:pPr>
    </w:p>
    <w:p w14:paraId="7F9F4FF4" w14:textId="77777777" w:rsidR="006A6FA5" w:rsidRPr="00E908FA" w:rsidRDefault="006A6FA5" w:rsidP="006A6FA5">
      <w:pPr>
        <w:pStyle w:val="BodyText"/>
        <w:rPr>
          <w:rFonts w:ascii="Times New Roman" w:hAnsi="Times New Roman" w:cs="Times New Roman"/>
          <w:noProof/>
        </w:rPr>
      </w:pPr>
    </w:p>
    <w:p w14:paraId="1DCB3FF3" w14:textId="77777777" w:rsidR="006A6FA5" w:rsidRPr="00E908FA" w:rsidRDefault="006A6FA5" w:rsidP="006A6FA5">
      <w:pPr>
        <w:pStyle w:val="BodyText"/>
        <w:rPr>
          <w:rFonts w:ascii="Times New Roman" w:hAnsi="Times New Roman" w:cs="Times New Roman"/>
          <w:noProof/>
        </w:rPr>
      </w:pPr>
    </w:p>
    <w:p w14:paraId="19610DF1" w14:textId="77777777" w:rsidR="006A6FA5" w:rsidRPr="00E908FA" w:rsidRDefault="006A6FA5" w:rsidP="006A6FA5">
      <w:pPr>
        <w:pStyle w:val="BodyText"/>
        <w:rPr>
          <w:rFonts w:ascii="Times New Roman" w:hAnsi="Times New Roman" w:cs="Times New Roman"/>
          <w:noProof/>
        </w:rPr>
      </w:pPr>
    </w:p>
    <w:p w14:paraId="3B60A706" w14:textId="77777777" w:rsidR="006A6FA5" w:rsidRPr="00E908FA" w:rsidRDefault="006A6FA5" w:rsidP="006A6FA5">
      <w:pPr>
        <w:pStyle w:val="BodyText"/>
        <w:rPr>
          <w:rFonts w:ascii="Times New Roman" w:hAnsi="Times New Roman" w:cs="Times New Roman"/>
          <w:noProof/>
        </w:rPr>
      </w:pPr>
    </w:p>
    <w:p w14:paraId="05F46E2B" w14:textId="77777777" w:rsidR="006A6FA5" w:rsidRPr="00E908FA" w:rsidRDefault="006A6FA5" w:rsidP="006A6FA5">
      <w:pPr>
        <w:pStyle w:val="BodyText"/>
        <w:rPr>
          <w:rFonts w:ascii="Times New Roman" w:hAnsi="Times New Roman" w:cs="Times New Roman"/>
          <w:noProof/>
        </w:rPr>
      </w:pPr>
    </w:p>
    <w:p w14:paraId="0D332B0F" w14:textId="77777777" w:rsidR="006A6FA5" w:rsidRPr="00E908FA" w:rsidRDefault="006A6FA5" w:rsidP="006A6FA5">
      <w:pPr>
        <w:pStyle w:val="BodyText"/>
        <w:rPr>
          <w:rFonts w:ascii="Times New Roman" w:hAnsi="Times New Roman" w:cs="Times New Roman"/>
          <w:noProof/>
        </w:rPr>
      </w:pPr>
    </w:p>
    <w:p w14:paraId="7F07A434" w14:textId="77777777" w:rsidR="006A6FA5" w:rsidRPr="00E908FA" w:rsidRDefault="006A6FA5" w:rsidP="006A6FA5">
      <w:pPr>
        <w:pStyle w:val="BodyText"/>
        <w:rPr>
          <w:rFonts w:ascii="Times New Roman" w:hAnsi="Times New Roman" w:cs="Times New Roman"/>
          <w:noProof/>
        </w:rPr>
      </w:pPr>
    </w:p>
    <w:p w14:paraId="63336336" w14:textId="77777777" w:rsidR="006A6FA5" w:rsidRPr="00E908FA" w:rsidRDefault="006A6FA5" w:rsidP="006A6FA5">
      <w:pPr>
        <w:pStyle w:val="BodyText"/>
        <w:spacing w:before="215"/>
        <w:rPr>
          <w:rFonts w:ascii="Times New Roman" w:hAnsi="Times New Roman" w:cs="Times New Roman"/>
          <w:noProof/>
        </w:rPr>
      </w:pPr>
    </w:p>
    <w:p w14:paraId="4572066D" w14:textId="77777777" w:rsidR="006A6FA5" w:rsidRPr="00EE4A03" w:rsidRDefault="006A6FA5" w:rsidP="00EE4A03">
      <w:pPr>
        <w:jc w:val="both"/>
        <w:rPr>
          <w:rFonts w:ascii="Times New Roman" w:hAnsi="Times New Roman" w:cs="Times New Roman"/>
          <w:b/>
          <w:noProof/>
          <w:sz w:val="20"/>
          <w:szCs w:val="20"/>
        </w:rPr>
      </w:pPr>
      <w:r>
        <w:rPr>
          <w:rFonts w:ascii="Times New Roman" w:hAnsi="Times New Roman"/>
          <w:b/>
          <w:sz w:val="20"/>
        </w:rPr>
        <w:t>Piezīme lasītājam</w:t>
      </w:r>
    </w:p>
    <w:p w14:paraId="426D6E72" w14:textId="77777777" w:rsidR="006A6FA5" w:rsidRPr="00EE4A03" w:rsidRDefault="006A6FA5" w:rsidP="00EE4A03">
      <w:pPr>
        <w:spacing w:before="193" w:line="259" w:lineRule="auto"/>
        <w:jc w:val="both"/>
        <w:rPr>
          <w:rFonts w:ascii="Times New Roman" w:hAnsi="Times New Roman" w:cs="Times New Roman"/>
          <w:noProof/>
          <w:sz w:val="20"/>
          <w:szCs w:val="20"/>
        </w:rPr>
      </w:pPr>
      <w:r>
        <w:rPr>
          <w:rFonts w:ascii="Times New Roman" w:hAnsi="Times New Roman"/>
          <w:i/>
          <w:iCs/>
          <w:sz w:val="20"/>
        </w:rPr>
        <w:t xml:space="preserve">Grozītajā un jo īpaši spēkā esošajā (proti, nemainītajā) tekstā termins </w:t>
      </w:r>
      <w:r>
        <w:rPr>
          <w:rFonts w:ascii="Times New Roman" w:hAnsi="Times New Roman"/>
          <w:sz w:val="20"/>
        </w:rPr>
        <w:t xml:space="preserve">“aģentūra” </w:t>
      </w:r>
      <w:r>
        <w:rPr>
          <w:rFonts w:ascii="Times New Roman" w:hAnsi="Times New Roman"/>
          <w:i/>
          <w:iCs/>
          <w:sz w:val="20"/>
        </w:rPr>
        <w:t xml:space="preserve">tiek lietots pamīšus terminam </w:t>
      </w:r>
      <w:r>
        <w:rPr>
          <w:rFonts w:ascii="Times New Roman" w:hAnsi="Times New Roman"/>
          <w:sz w:val="20"/>
        </w:rPr>
        <w:t>“</w:t>
      </w:r>
      <w:r>
        <w:rPr>
          <w:rFonts w:ascii="Times New Roman" w:hAnsi="Times New Roman"/>
          <w:i/>
          <w:iCs/>
          <w:sz w:val="20"/>
        </w:rPr>
        <w:t>EASA</w:t>
      </w:r>
      <w:r>
        <w:rPr>
          <w:rFonts w:ascii="Times New Roman" w:hAnsi="Times New Roman"/>
          <w:sz w:val="20"/>
        </w:rPr>
        <w:t xml:space="preserve">”. Šo abu terminu pamīšais lietojums ir izteiktāks konsolidētajās redakcijās. </w:t>
      </w:r>
      <w:r>
        <w:rPr>
          <w:rFonts w:ascii="Times New Roman" w:hAnsi="Times New Roman"/>
          <w:i/>
          <w:iCs/>
          <w:sz w:val="20"/>
        </w:rPr>
        <w:t>Tāpēc ņemiet vērā, ka abi termini attiecas uz</w:t>
      </w:r>
      <w:r>
        <w:rPr>
          <w:rFonts w:ascii="Times New Roman" w:hAnsi="Times New Roman"/>
          <w:sz w:val="20"/>
        </w:rPr>
        <w:t xml:space="preserve"> “Eiropas Aviācijas drošības aģentūru (</w:t>
      </w:r>
      <w:r>
        <w:rPr>
          <w:rFonts w:ascii="Times New Roman" w:hAnsi="Times New Roman"/>
          <w:i/>
          <w:iCs/>
          <w:sz w:val="20"/>
        </w:rPr>
        <w:t>EASA</w:t>
      </w:r>
      <w:r>
        <w:rPr>
          <w:rFonts w:ascii="Times New Roman" w:hAnsi="Times New Roman"/>
          <w:sz w:val="20"/>
        </w:rPr>
        <w:t>)”.</w:t>
      </w:r>
    </w:p>
    <w:p w14:paraId="21F8CC0C" w14:textId="6645060D" w:rsidR="00EE4A03" w:rsidRDefault="00EE4A03">
      <w:pPr>
        <w:rPr>
          <w:rFonts w:ascii="Times New Roman" w:hAnsi="Times New Roman" w:cs="Times New Roman"/>
          <w:i/>
          <w:noProof/>
          <w:sz w:val="20"/>
        </w:rPr>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1"/>
      </w:tblGrid>
      <w:tr w:rsidR="00115159" w:rsidRPr="00115159" w14:paraId="024E2B98" w14:textId="77777777" w:rsidTr="00115159">
        <w:tc>
          <w:tcPr>
            <w:tcW w:w="5000" w:type="pct"/>
            <w:shd w:val="clear" w:color="auto" w:fill="FFC000"/>
          </w:tcPr>
          <w:p w14:paraId="7BABA10B" w14:textId="539666C1" w:rsidR="00115159" w:rsidRPr="00115159" w:rsidRDefault="00115159" w:rsidP="00C413A6">
            <w:pPr>
              <w:pStyle w:val="BodyText"/>
              <w:spacing w:before="20" w:after="20"/>
              <w:rPr>
                <w:rFonts w:ascii="Times New Roman" w:hAnsi="Times New Roman" w:cs="Times New Roman"/>
                <w:i/>
                <w:noProof/>
                <w:sz w:val="20"/>
              </w:rPr>
            </w:pPr>
            <w:r>
              <w:rPr>
                <w:rFonts w:ascii="Times New Roman" w:hAnsi="Times New Roman"/>
                <w:b/>
                <w:color w:val="FFFFFF"/>
                <w:sz w:val="32"/>
                <w:highlight w:val="cyan"/>
              </w:rPr>
              <w:lastRenderedPageBreak/>
              <w:t>AMC1 par 4.f panta 2. un 3. punktu</w:t>
            </w:r>
          </w:p>
        </w:tc>
      </w:tr>
    </w:tbl>
    <w:p w14:paraId="267E4410" w14:textId="77777777" w:rsidR="006A6FA5" w:rsidRPr="00EE4A03" w:rsidRDefault="006A6FA5" w:rsidP="00115159">
      <w:pPr>
        <w:pStyle w:val="Heading2"/>
        <w:ind w:left="284" w:hanging="284"/>
        <w:rPr>
          <w:rFonts w:ascii="Times New Roman" w:hAnsi="Times New Roman" w:cs="Times New Roman"/>
          <w:noProof/>
          <w:color w:val="000000"/>
          <w:sz w:val="24"/>
          <w:szCs w:val="24"/>
        </w:rPr>
      </w:pPr>
      <w:r>
        <w:rPr>
          <w:rFonts w:ascii="Times New Roman" w:hAnsi="Times New Roman"/>
          <w:color w:val="000000"/>
          <w:sz w:val="24"/>
          <w:highlight w:val="cyan"/>
        </w:rPr>
        <w:t xml:space="preserve">TIPA KVALIFIKĀCIJAS KURSI. GAISA KUĢI AR </w:t>
      </w:r>
      <w:r>
        <w:rPr>
          <w:rFonts w:ascii="Times New Roman" w:hAnsi="Times New Roman"/>
          <w:i/>
          <w:iCs/>
          <w:color w:val="000000"/>
          <w:sz w:val="24"/>
          <w:highlight w:val="cyan"/>
        </w:rPr>
        <w:t>VTOL</w:t>
      </w:r>
      <w:r>
        <w:rPr>
          <w:rFonts w:ascii="Times New Roman" w:hAnsi="Times New Roman"/>
          <w:color w:val="000000"/>
          <w:sz w:val="24"/>
          <w:highlight w:val="cyan"/>
        </w:rPr>
        <w:t xml:space="preserve"> FUNKCIONALITĀTI (</w:t>
      </w:r>
      <w:r>
        <w:rPr>
          <w:rFonts w:ascii="Times New Roman" w:hAnsi="Times New Roman"/>
          <w:i/>
          <w:iCs/>
          <w:color w:val="000000"/>
          <w:sz w:val="24"/>
          <w:highlight w:val="cyan"/>
        </w:rPr>
        <w:t>VCA</w:t>
      </w:r>
      <w:r>
        <w:rPr>
          <w:rFonts w:ascii="Times New Roman" w:hAnsi="Times New Roman"/>
          <w:color w:val="000000"/>
          <w:sz w:val="24"/>
          <w:highlight w:val="cyan"/>
        </w:rPr>
        <w:t>)</w:t>
      </w:r>
    </w:p>
    <w:p w14:paraId="5505CFC3" w14:textId="27BE5326" w:rsidR="006A6FA5" w:rsidRPr="00EE4A03" w:rsidRDefault="00EE4A03" w:rsidP="00115159">
      <w:pPr>
        <w:pStyle w:val="ListParagraph"/>
        <w:tabs>
          <w:tab w:val="left" w:pos="703"/>
        </w:tabs>
        <w:spacing w:before="120"/>
        <w:ind w:left="284" w:hanging="284"/>
        <w:rPr>
          <w:rFonts w:ascii="Times New Roman" w:hAnsi="Times New Roman" w:cs="Times New Roman"/>
          <w:noProof/>
          <w:color w:val="000000"/>
          <w:sz w:val="24"/>
          <w:szCs w:val="24"/>
        </w:rPr>
      </w:pPr>
      <w:r>
        <w:rPr>
          <w:rFonts w:ascii="Times New Roman" w:hAnsi="Times New Roman"/>
          <w:color w:val="000000"/>
          <w:sz w:val="24"/>
          <w:highlight w:val="cyan"/>
        </w:rPr>
        <w:t>a) Vispārīga informācija</w:t>
      </w:r>
    </w:p>
    <w:p w14:paraId="5B003D49" w14:textId="02EF564F" w:rsidR="006A6FA5" w:rsidRPr="00EE4A03" w:rsidRDefault="006A6FA5" w:rsidP="00115159">
      <w:pPr>
        <w:pStyle w:val="BodyText"/>
        <w:spacing w:before="120"/>
        <w:ind w:left="284"/>
        <w:jc w:val="both"/>
        <w:rPr>
          <w:rFonts w:ascii="Times New Roman" w:hAnsi="Times New Roman" w:cs="Times New Roman"/>
          <w:noProof/>
          <w:sz w:val="24"/>
          <w:szCs w:val="24"/>
        </w:rPr>
      </w:pPr>
      <w:r>
        <w:rPr>
          <w:rFonts w:ascii="Times New Roman" w:hAnsi="Times New Roman"/>
          <w:color w:val="000000"/>
          <w:sz w:val="24"/>
          <w:highlight w:val="cyan"/>
        </w:rPr>
        <w:t xml:space="preserve">Izstrādājot un sniedzot tipa kvalifikācijas mācību kursus gaisa kuģiem ar </w:t>
      </w:r>
      <w:r>
        <w:rPr>
          <w:rFonts w:ascii="Times New Roman" w:hAnsi="Times New Roman"/>
          <w:i/>
          <w:iCs/>
          <w:color w:val="000000"/>
          <w:sz w:val="24"/>
          <w:highlight w:val="cyan"/>
        </w:rPr>
        <w:t>VTOL</w:t>
      </w:r>
      <w:r>
        <w:rPr>
          <w:rFonts w:ascii="Times New Roman" w:hAnsi="Times New Roman"/>
          <w:color w:val="000000"/>
          <w:sz w:val="24"/>
          <w:highlight w:val="cyan"/>
        </w:rPr>
        <w:t xml:space="preserve"> funkcionalitāti (</w:t>
      </w:r>
      <w:r>
        <w:rPr>
          <w:rFonts w:ascii="Times New Roman" w:hAnsi="Times New Roman"/>
          <w:i/>
          <w:iCs/>
          <w:color w:val="000000"/>
          <w:sz w:val="24"/>
          <w:highlight w:val="cyan"/>
        </w:rPr>
        <w:t>VCA</w:t>
      </w:r>
      <w:r>
        <w:rPr>
          <w:rFonts w:ascii="Times New Roman" w:hAnsi="Times New Roman"/>
          <w:color w:val="000000"/>
          <w:sz w:val="24"/>
          <w:highlight w:val="cyan"/>
        </w:rPr>
        <w:t xml:space="preserve">), jāievēro atbilstības apliecināšanas līdzekļi helikoptera tipa kvalifikācijas mācību kursu izstrādei un sniegšanai, kas norādīti </w:t>
      </w:r>
      <w:r>
        <w:rPr>
          <w:rFonts w:ascii="Times New Roman" w:hAnsi="Times New Roman"/>
          <w:i/>
          <w:iCs/>
          <w:color w:val="000000"/>
          <w:sz w:val="24"/>
          <w:highlight w:val="cyan"/>
        </w:rPr>
        <w:t>ED</w:t>
      </w:r>
      <w:r>
        <w:rPr>
          <w:rFonts w:ascii="Times New Roman" w:hAnsi="Times New Roman"/>
          <w:color w:val="000000"/>
          <w:sz w:val="24"/>
          <w:highlight w:val="cyan"/>
        </w:rPr>
        <w:t xml:space="preserve"> lēmuma 2012/007/R</w:t>
      </w:r>
      <w:r>
        <w:rPr>
          <w:rStyle w:val="FootnoteReference"/>
          <w:rFonts w:ascii="Times New Roman" w:hAnsi="Times New Roman" w:cs="Times New Roman"/>
          <w:noProof/>
          <w:color w:val="000000"/>
          <w:sz w:val="24"/>
          <w:szCs w:val="24"/>
          <w:highlight w:val="cyan"/>
        </w:rPr>
        <w:footnoteReference w:customMarkFollows="1" w:id="1"/>
        <w:t>1</w:t>
      </w:r>
      <w:r>
        <w:rPr>
          <w:rFonts w:ascii="Times New Roman" w:hAnsi="Times New Roman"/>
          <w:color w:val="000000"/>
          <w:sz w:val="24"/>
          <w:highlight w:val="cyan"/>
        </w:rPr>
        <w:t xml:space="preserve"> AMC3 par ORA.ATO.125. punktu.</w:t>
      </w:r>
    </w:p>
    <w:p w14:paraId="333C045E" w14:textId="69519C05" w:rsidR="006A6FA5" w:rsidRPr="00EE4A03" w:rsidRDefault="00EE4A03" w:rsidP="00115159">
      <w:pPr>
        <w:pStyle w:val="ListParagraph"/>
        <w:tabs>
          <w:tab w:val="left" w:pos="704"/>
        </w:tabs>
        <w:spacing w:before="120"/>
        <w:ind w:left="284" w:hanging="284"/>
        <w:rPr>
          <w:rFonts w:ascii="Times New Roman" w:hAnsi="Times New Roman" w:cs="Times New Roman"/>
          <w:noProof/>
          <w:color w:val="000000"/>
          <w:sz w:val="24"/>
          <w:szCs w:val="24"/>
        </w:rPr>
      </w:pPr>
      <w:r>
        <w:rPr>
          <w:rFonts w:ascii="Times New Roman" w:hAnsi="Times New Roman"/>
          <w:color w:val="000000"/>
          <w:sz w:val="24"/>
          <w:highlight w:val="cyan"/>
        </w:rPr>
        <w:t>b) Teorētiskās mācības un eksāmeni</w:t>
      </w:r>
    </w:p>
    <w:p w14:paraId="78A57149" w14:textId="51890170" w:rsidR="006A6FA5" w:rsidRPr="00115159" w:rsidRDefault="00115159" w:rsidP="00115159">
      <w:pPr>
        <w:pStyle w:val="BodyText"/>
        <w:spacing w:before="120"/>
        <w:ind w:left="284"/>
        <w:jc w:val="both"/>
        <w:rPr>
          <w:rFonts w:ascii="Times New Roman" w:hAnsi="Times New Roman" w:cs="Times New Roman"/>
          <w:noProof/>
          <w:color w:val="000000"/>
          <w:sz w:val="24"/>
          <w:szCs w:val="24"/>
        </w:rPr>
      </w:pPr>
      <w:r>
        <w:rPr>
          <w:rFonts w:ascii="Times New Roman" w:hAnsi="Times New Roman"/>
          <w:color w:val="000000"/>
          <w:sz w:val="24"/>
          <w:highlight w:val="cyan"/>
        </w:rPr>
        <w:t>Ja vien datos par piemērotību ekspluatācijai (</w:t>
      </w:r>
      <w:r>
        <w:rPr>
          <w:rFonts w:ascii="Times New Roman" w:hAnsi="Times New Roman"/>
          <w:i/>
          <w:iCs/>
          <w:color w:val="000000"/>
          <w:sz w:val="24"/>
          <w:highlight w:val="cyan"/>
        </w:rPr>
        <w:t>OSD</w:t>
      </w:r>
      <w:r>
        <w:rPr>
          <w:rFonts w:ascii="Times New Roman" w:hAnsi="Times New Roman"/>
          <w:color w:val="000000"/>
          <w:sz w:val="24"/>
          <w:highlight w:val="cyan"/>
        </w:rPr>
        <w:t xml:space="preserve">), kas noteikti saskaņā ar Regulas (ES) Nr. 748/2012 I pielikumu (21. daļu), nav norādīts citādi, teorētiskajām mācībām un eksāmeniem par </w:t>
      </w:r>
      <w:r>
        <w:rPr>
          <w:rFonts w:ascii="Times New Roman" w:hAnsi="Times New Roman"/>
          <w:i/>
          <w:iCs/>
          <w:color w:val="000000"/>
          <w:sz w:val="24"/>
          <w:highlight w:val="cyan"/>
        </w:rPr>
        <w:t>VCA</w:t>
      </w:r>
      <w:r>
        <w:rPr>
          <w:rFonts w:ascii="Times New Roman" w:hAnsi="Times New Roman"/>
          <w:color w:val="000000"/>
          <w:sz w:val="24"/>
          <w:highlight w:val="cyan"/>
        </w:rPr>
        <w:t xml:space="preserve"> jānotiek saskaņā ar mācību programmām, kuras ietvertas AMC1 par FCL.725. punkta a) apakšpunktu un no kurām atbilstoši attiecīgajam </w:t>
      </w:r>
      <w:r>
        <w:rPr>
          <w:rFonts w:ascii="Times New Roman" w:hAnsi="Times New Roman"/>
          <w:i/>
          <w:iCs/>
          <w:color w:val="000000"/>
          <w:sz w:val="24"/>
          <w:highlight w:val="cyan"/>
        </w:rPr>
        <w:t>VCA</w:t>
      </w:r>
      <w:r>
        <w:rPr>
          <w:rFonts w:ascii="Times New Roman" w:hAnsi="Times New Roman"/>
          <w:color w:val="000000"/>
          <w:sz w:val="24"/>
          <w:highlight w:val="cyan"/>
        </w:rPr>
        <w:t xml:space="preserve"> tipam ir jāizvēlas, jāpielāgo vai jāpapildina temati. Jo īpaši ir pienācīgi jāapskata viss turpmāk norādītais:</w:t>
      </w:r>
    </w:p>
    <w:p w14:paraId="49CC04E2" w14:textId="0D6E328B" w:rsidR="006A6FA5" w:rsidRPr="00EE4A03" w:rsidRDefault="00115159" w:rsidP="00115159">
      <w:pPr>
        <w:pStyle w:val="ListParagraph"/>
        <w:tabs>
          <w:tab w:val="left" w:pos="1273"/>
        </w:tabs>
        <w:spacing w:before="120"/>
        <w:ind w:left="284" w:firstLine="0"/>
        <w:rPr>
          <w:rFonts w:ascii="Times New Roman" w:hAnsi="Times New Roman" w:cs="Times New Roman"/>
          <w:noProof/>
          <w:color w:val="000000"/>
          <w:sz w:val="24"/>
          <w:szCs w:val="24"/>
        </w:rPr>
      </w:pPr>
      <w:r>
        <w:rPr>
          <w:rFonts w:ascii="Times New Roman" w:hAnsi="Times New Roman"/>
          <w:color w:val="000000"/>
          <w:sz w:val="24"/>
          <w:highlight w:val="cyan"/>
        </w:rPr>
        <w:t xml:space="preserve">1) </w:t>
      </w:r>
      <w:r>
        <w:rPr>
          <w:rFonts w:ascii="Times New Roman" w:hAnsi="Times New Roman"/>
          <w:i/>
          <w:iCs/>
          <w:color w:val="000000"/>
          <w:sz w:val="24"/>
          <w:highlight w:val="cyan"/>
        </w:rPr>
        <w:t>VCA</w:t>
      </w:r>
      <w:r>
        <w:rPr>
          <w:rFonts w:ascii="Times New Roman" w:hAnsi="Times New Roman"/>
          <w:color w:val="000000"/>
          <w:sz w:val="24"/>
          <w:highlight w:val="cyan"/>
        </w:rPr>
        <w:t xml:space="preserve"> dzinēju un piedziņas sistēma;</w:t>
      </w:r>
    </w:p>
    <w:p w14:paraId="32E4390E" w14:textId="262B6682" w:rsidR="006A6FA5" w:rsidRDefault="00115159" w:rsidP="00115159">
      <w:pPr>
        <w:pStyle w:val="ListParagraph"/>
        <w:tabs>
          <w:tab w:val="left" w:pos="1273"/>
        </w:tabs>
        <w:spacing w:before="120"/>
        <w:ind w:left="284" w:firstLine="0"/>
        <w:rPr>
          <w:rFonts w:ascii="Times New Roman" w:hAnsi="Times New Roman" w:cs="Times New Roman"/>
          <w:noProof/>
          <w:color w:val="000000"/>
          <w:sz w:val="24"/>
          <w:szCs w:val="24"/>
        </w:rPr>
      </w:pPr>
      <w:r>
        <w:rPr>
          <w:rFonts w:ascii="Times New Roman" w:hAnsi="Times New Roman"/>
          <w:color w:val="000000"/>
          <w:sz w:val="24"/>
          <w:highlight w:val="cyan"/>
        </w:rPr>
        <w:t xml:space="preserve">2) vispārīgas zināšanas par </w:t>
      </w:r>
      <w:r>
        <w:rPr>
          <w:rFonts w:ascii="Times New Roman" w:hAnsi="Times New Roman"/>
          <w:i/>
          <w:iCs/>
          <w:color w:val="000000"/>
          <w:sz w:val="24"/>
          <w:highlight w:val="cyan"/>
        </w:rPr>
        <w:t>U-space</w:t>
      </w:r>
      <w:r>
        <w:rPr>
          <w:rFonts w:ascii="Times New Roman" w:hAnsi="Times New Roman"/>
          <w:color w:val="000000"/>
          <w:sz w:val="24"/>
          <w:highlight w:val="cyan"/>
        </w:rPr>
        <w:t xml:space="preserve"> gaisa telpu.</w:t>
      </w:r>
    </w:p>
    <w:p w14:paraId="53480498" w14:textId="77777777" w:rsidR="00115159" w:rsidRDefault="00115159" w:rsidP="00115159">
      <w:pPr>
        <w:pStyle w:val="ListParagraph"/>
        <w:tabs>
          <w:tab w:val="left" w:pos="1273"/>
        </w:tabs>
        <w:spacing w:before="120"/>
        <w:ind w:left="284" w:firstLine="0"/>
        <w:rPr>
          <w:rFonts w:ascii="Times New Roman" w:hAnsi="Times New Roman" w:cs="Times New Roman"/>
          <w:noProof/>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91"/>
      </w:tblGrid>
      <w:tr w:rsidR="00115159" w:rsidRPr="00115159" w14:paraId="70A51429" w14:textId="77777777" w:rsidTr="00115159">
        <w:tc>
          <w:tcPr>
            <w:tcW w:w="5000" w:type="pct"/>
            <w:shd w:val="clear" w:color="auto" w:fill="00B050"/>
          </w:tcPr>
          <w:p w14:paraId="75DE6A68" w14:textId="1B63334E" w:rsidR="00115159" w:rsidRPr="00115159" w:rsidRDefault="00115159" w:rsidP="00C413A6">
            <w:pPr>
              <w:pStyle w:val="Heading1"/>
              <w:spacing w:before="20" w:after="20"/>
              <w:ind w:left="0"/>
              <w:jc w:val="both"/>
              <w:rPr>
                <w:rFonts w:ascii="Times New Roman" w:hAnsi="Times New Roman" w:cs="Times New Roman"/>
                <w:noProof/>
                <w:color w:val="FFFFFF"/>
                <w:highlight w:val="cyan"/>
              </w:rPr>
            </w:pPr>
            <w:r>
              <w:rPr>
                <w:rFonts w:ascii="Times New Roman" w:hAnsi="Times New Roman"/>
                <w:color w:val="FFFFFF"/>
                <w:highlight w:val="cyan"/>
              </w:rPr>
              <w:t>GM1 par 4.f panta 3. punkta a) apakšpunkta i) daļu</w:t>
            </w:r>
          </w:p>
        </w:tc>
      </w:tr>
    </w:tbl>
    <w:p w14:paraId="5BC432CA" w14:textId="3F3C9936" w:rsidR="006A6FA5" w:rsidRDefault="006A6FA5" w:rsidP="00115159">
      <w:pPr>
        <w:pStyle w:val="BodyText"/>
        <w:spacing w:before="120"/>
        <w:ind w:right="3"/>
        <w:jc w:val="both"/>
        <w:rPr>
          <w:rFonts w:ascii="Times New Roman" w:hAnsi="Times New Roman" w:cs="Times New Roman"/>
          <w:noProof/>
          <w:color w:val="000000"/>
          <w:sz w:val="24"/>
          <w:szCs w:val="24"/>
        </w:rPr>
      </w:pPr>
      <w:r>
        <w:rPr>
          <w:rFonts w:ascii="Times New Roman" w:hAnsi="Times New Roman"/>
          <w:color w:val="000000"/>
          <w:sz w:val="24"/>
          <w:highlight w:val="cyan"/>
        </w:rPr>
        <w:t>Saskaņā ar Regulas (ES) Nr. 1178/2011</w:t>
      </w:r>
      <w:r>
        <w:rPr>
          <w:rStyle w:val="FootnoteReference"/>
          <w:rFonts w:ascii="Times New Roman" w:hAnsi="Times New Roman" w:cs="Times New Roman"/>
          <w:noProof/>
          <w:color w:val="000000"/>
          <w:sz w:val="24"/>
          <w:szCs w:val="24"/>
          <w:highlight w:val="cyan"/>
        </w:rPr>
        <w:footnoteReference w:customMarkFollows="1" w:id="2"/>
        <w:t>2</w:t>
      </w:r>
      <w:r>
        <w:rPr>
          <w:rFonts w:ascii="Times New Roman" w:hAnsi="Times New Roman"/>
          <w:color w:val="000000"/>
          <w:sz w:val="24"/>
          <w:highlight w:val="cyan"/>
        </w:rPr>
        <w:t xml:space="preserve"> 4.f panta 3. punkta a) apakšpunkta i) daļu </w:t>
      </w:r>
      <w:r>
        <w:rPr>
          <w:rFonts w:ascii="Times New Roman" w:hAnsi="Times New Roman"/>
          <w:i/>
          <w:iCs/>
          <w:color w:val="000000"/>
          <w:sz w:val="24"/>
          <w:highlight w:val="cyan"/>
        </w:rPr>
        <w:t>VCA</w:t>
      </w:r>
      <w:r>
        <w:rPr>
          <w:rFonts w:ascii="Times New Roman" w:hAnsi="Times New Roman"/>
          <w:color w:val="000000"/>
          <w:sz w:val="24"/>
          <w:highlight w:val="cyan"/>
        </w:rPr>
        <w:t xml:space="preserve"> tipa kvalifikācijas mācībām jāatbilst I pielikuma (</w:t>
      </w:r>
      <w:r>
        <w:rPr>
          <w:rFonts w:ascii="Times New Roman" w:hAnsi="Times New Roman"/>
          <w:i/>
          <w:iCs/>
          <w:color w:val="000000"/>
          <w:sz w:val="24"/>
          <w:highlight w:val="cyan"/>
        </w:rPr>
        <w:t>FCL</w:t>
      </w:r>
      <w:r>
        <w:rPr>
          <w:rFonts w:ascii="Times New Roman" w:hAnsi="Times New Roman"/>
          <w:color w:val="000000"/>
          <w:sz w:val="24"/>
          <w:highlight w:val="cyan"/>
        </w:rPr>
        <w:t xml:space="preserve"> daļas) 9. papildinājuma A iedaļas prasībām. </w:t>
      </w:r>
      <w:r>
        <w:rPr>
          <w:rFonts w:ascii="Times New Roman" w:hAnsi="Times New Roman"/>
          <w:i/>
          <w:iCs/>
          <w:color w:val="000000"/>
          <w:sz w:val="24"/>
          <w:highlight w:val="cyan"/>
        </w:rPr>
        <w:t>Inter alia</w:t>
      </w:r>
      <w:r>
        <w:rPr>
          <w:rFonts w:ascii="Times New Roman" w:hAnsi="Times New Roman"/>
          <w:color w:val="000000"/>
          <w:sz w:val="24"/>
          <w:highlight w:val="cyan"/>
        </w:rPr>
        <w:t xml:space="preserve"> tas nozīmē, ka ir piemērojami vispārīgie pamatprincipi </w:t>
      </w:r>
      <w:r>
        <w:rPr>
          <w:rFonts w:ascii="Times New Roman" w:hAnsi="Times New Roman"/>
          <w:i/>
          <w:iCs/>
          <w:color w:val="000000"/>
          <w:sz w:val="24"/>
          <w:highlight w:val="cyan"/>
        </w:rPr>
        <w:t>FSTD</w:t>
      </w:r>
      <w:r>
        <w:rPr>
          <w:rFonts w:ascii="Times New Roman" w:hAnsi="Times New Roman"/>
          <w:color w:val="000000"/>
          <w:sz w:val="24"/>
          <w:highlight w:val="cyan"/>
        </w:rPr>
        <w:t xml:space="preserve"> izmantošanai vienpilota gaisa kuģa mācībām, testēšanai un pārbaudei (9. papildinājuma A iedaļas 1.c punkts).</w:t>
      </w:r>
    </w:p>
    <w:p w14:paraId="7FA32778" w14:textId="77777777" w:rsidR="00115159" w:rsidRDefault="00115159" w:rsidP="00115159">
      <w:pPr>
        <w:pStyle w:val="BodyText"/>
        <w:spacing w:before="120"/>
        <w:ind w:left="142" w:right="130"/>
        <w:jc w:val="both"/>
        <w:rPr>
          <w:rFonts w:ascii="Times New Roman" w:hAnsi="Times New Roman" w:cs="Times New Roman"/>
          <w:noProof/>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1"/>
      </w:tblGrid>
      <w:tr w:rsidR="00115159" w:rsidRPr="00115159" w14:paraId="5ED51314" w14:textId="77777777" w:rsidTr="00C86D0D">
        <w:tc>
          <w:tcPr>
            <w:tcW w:w="5000" w:type="pct"/>
            <w:shd w:val="clear" w:color="auto" w:fill="FFC000"/>
          </w:tcPr>
          <w:p w14:paraId="2E466D1F" w14:textId="0D3CCBC1" w:rsidR="00115159" w:rsidRPr="00115159" w:rsidRDefault="00115159" w:rsidP="00C413A6">
            <w:pPr>
              <w:pStyle w:val="Heading1"/>
              <w:spacing w:before="20" w:after="20"/>
              <w:ind w:left="0"/>
              <w:rPr>
                <w:rFonts w:ascii="Times New Roman" w:hAnsi="Times New Roman" w:cs="Times New Roman"/>
                <w:noProof/>
                <w:color w:val="FFFFFF"/>
                <w:highlight w:val="cyan"/>
              </w:rPr>
            </w:pPr>
            <w:r>
              <w:rPr>
                <w:rFonts w:ascii="Times New Roman" w:hAnsi="Times New Roman"/>
                <w:color w:val="FFFFFF"/>
                <w:highlight w:val="cyan"/>
              </w:rPr>
              <w:t>AMC1 par 4.f panta 8. punkta a) apakšpunktu</w:t>
            </w:r>
          </w:p>
        </w:tc>
      </w:tr>
    </w:tbl>
    <w:p w14:paraId="17935BBF" w14:textId="6E33D6DD" w:rsidR="006A6FA5" w:rsidRPr="00115159" w:rsidRDefault="006A6FA5" w:rsidP="00115159">
      <w:pPr>
        <w:pStyle w:val="Heading2"/>
        <w:spacing w:before="120" w:line="276" w:lineRule="auto"/>
        <w:ind w:left="0"/>
        <w:rPr>
          <w:rFonts w:ascii="Times New Roman" w:hAnsi="Times New Roman" w:cs="Times New Roman"/>
          <w:noProof/>
          <w:color w:val="000000"/>
          <w:sz w:val="24"/>
          <w:szCs w:val="24"/>
        </w:rPr>
      </w:pPr>
      <w:r>
        <w:rPr>
          <w:rFonts w:ascii="Times New Roman" w:hAnsi="Times New Roman"/>
          <w:color w:val="000000"/>
          <w:sz w:val="24"/>
          <w:highlight w:val="cyan"/>
        </w:rPr>
        <w:t>INSTRUKTORA PRASMJU ATSVAIDZINĀŠANAS MĀCĪBAS GAISA KUĢIEM</w:t>
      </w:r>
      <w:r w:rsidR="009A6C26">
        <w:rPr>
          <w:rStyle w:val="FootnoteReference"/>
          <w:rFonts w:ascii="Times New Roman" w:hAnsi="Times New Roman"/>
          <w:color w:val="000000"/>
          <w:sz w:val="24"/>
          <w:highlight w:val="cyan"/>
        </w:rPr>
        <w:footnoteReference w:customMarkFollows="1" w:id="3"/>
        <w:t>*</w:t>
      </w:r>
      <w:r>
        <w:rPr>
          <w:rFonts w:ascii="Times New Roman" w:hAnsi="Times New Roman"/>
          <w:color w:val="000000"/>
          <w:sz w:val="24"/>
          <w:highlight w:val="cyan"/>
        </w:rPr>
        <w:t xml:space="preserve"> AR </w:t>
      </w:r>
      <w:r>
        <w:rPr>
          <w:rFonts w:ascii="Times New Roman" w:hAnsi="Times New Roman"/>
          <w:i/>
          <w:iCs/>
          <w:color w:val="000000"/>
          <w:sz w:val="24"/>
          <w:highlight w:val="cyan"/>
        </w:rPr>
        <w:t>VTOL</w:t>
      </w:r>
      <w:r>
        <w:rPr>
          <w:rFonts w:ascii="Times New Roman" w:hAnsi="Times New Roman"/>
          <w:color w:val="000000"/>
          <w:sz w:val="24"/>
          <w:highlight w:val="cyan"/>
        </w:rPr>
        <w:t xml:space="preserve"> FUNKCIONALITĀTI (</w:t>
      </w:r>
      <w:r>
        <w:rPr>
          <w:rFonts w:ascii="Times New Roman" w:hAnsi="Times New Roman"/>
          <w:i/>
          <w:iCs/>
          <w:color w:val="000000"/>
          <w:sz w:val="24"/>
          <w:highlight w:val="cyan"/>
        </w:rPr>
        <w:t>VCA</w:t>
      </w:r>
      <w:r>
        <w:rPr>
          <w:rFonts w:ascii="Times New Roman" w:hAnsi="Times New Roman"/>
          <w:color w:val="000000"/>
          <w:sz w:val="24"/>
          <w:highlight w:val="cyan"/>
        </w:rPr>
        <w:t>). TIPA KVALIFIKĀCIJAS INSTRUKTORA TIESĪBAS</w:t>
      </w:r>
    </w:p>
    <w:p w14:paraId="5494ED35" w14:textId="34AE93E5" w:rsidR="005F72B0" w:rsidRPr="005F72B0" w:rsidRDefault="005E6331" w:rsidP="005F72B0">
      <w:pPr>
        <w:pStyle w:val="ListParagraph"/>
        <w:tabs>
          <w:tab w:val="left" w:pos="702"/>
          <w:tab w:val="left" w:pos="706"/>
        </w:tabs>
        <w:spacing w:before="120"/>
        <w:ind w:left="284" w:hanging="284"/>
        <w:rPr>
          <w:rFonts w:ascii="Times New Roman" w:hAnsi="Times New Roman"/>
          <w:color w:val="000000"/>
          <w:sz w:val="24"/>
          <w:highlight w:val="cyan"/>
        </w:rPr>
      </w:pPr>
      <w:r>
        <w:rPr>
          <w:rFonts w:ascii="Times New Roman" w:hAnsi="Times New Roman"/>
          <w:color w:val="000000"/>
          <w:sz w:val="24"/>
          <w:highlight w:val="cyan"/>
        </w:rPr>
        <w:t xml:space="preserve">a) Ja pretendenti, kas piesakās Regulas (ES) Nr. 1178/2011 4.f panta 7. punktā minētā instruktora sertifikāta pagarināšanai, vēlas pagarināt </w:t>
      </w:r>
      <w:r>
        <w:rPr>
          <w:rFonts w:ascii="Times New Roman" w:hAnsi="Times New Roman"/>
          <w:i/>
          <w:iCs/>
          <w:color w:val="000000"/>
          <w:sz w:val="24"/>
          <w:highlight w:val="cyan"/>
        </w:rPr>
        <w:t>VCA</w:t>
      </w:r>
      <w:r>
        <w:rPr>
          <w:rFonts w:ascii="Times New Roman" w:hAnsi="Times New Roman"/>
          <w:color w:val="000000"/>
          <w:sz w:val="24"/>
          <w:highlight w:val="cyan"/>
        </w:rPr>
        <w:t xml:space="preserve"> instruktora tiesības saskaņā ar 4.f panta 8. punktu, viņiem jāpabeidz instruktora prasmju atsvaidzināšanas mācības semināra veidā.</w:t>
      </w:r>
    </w:p>
    <w:p w14:paraId="51B43BB9" w14:textId="2EA921FF" w:rsidR="006A6FA5" w:rsidRPr="000501AF" w:rsidRDefault="005E6331" w:rsidP="00203670">
      <w:pPr>
        <w:pStyle w:val="ListParagraph"/>
        <w:widowControl/>
        <w:tabs>
          <w:tab w:val="left" w:pos="703"/>
          <w:tab w:val="left" w:pos="706"/>
        </w:tabs>
        <w:spacing w:before="120"/>
        <w:ind w:left="284" w:hanging="284"/>
        <w:rPr>
          <w:rFonts w:ascii="Times New Roman" w:hAnsi="Times New Roman" w:cs="Times New Roman"/>
          <w:noProof/>
          <w:sz w:val="24"/>
          <w:szCs w:val="24"/>
          <w:highlight w:val="cyan"/>
        </w:rPr>
      </w:pPr>
      <w:r>
        <w:rPr>
          <w:rFonts w:ascii="Times New Roman" w:hAnsi="Times New Roman"/>
          <w:color w:val="000000"/>
          <w:sz w:val="24"/>
          <w:highlight w:val="cyan"/>
        </w:rPr>
        <w:t xml:space="preserve">b) Ja pretendenti, kas piesakās Regulas (ES) Nr. 1178/2011 4.f panta 7. punktā minētā instruktora sertifikāta atjaunošanai, vēlas atjaunot </w:t>
      </w:r>
      <w:r>
        <w:rPr>
          <w:rFonts w:ascii="Times New Roman" w:hAnsi="Times New Roman"/>
          <w:i/>
          <w:iCs/>
          <w:color w:val="000000"/>
          <w:sz w:val="24"/>
          <w:highlight w:val="cyan"/>
        </w:rPr>
        <w:t>VCA</w:t>
      </w:r>
      <w:r>
        <w:rPr>
          <w:rFonts w:ascii="Times New Roman" w:hAnsi="Times New Roman"/>
          <w:color w:val="000000"/>
          <w:sz w:val="24"/>
          <w:highlight w:val="cyan"/>
        </w:rPr>
        <w:t xml:space="preserve"> instruktora tiesības saskaņā ar 4.f panta 8. punktu, viņiem jāpabeidz instruktora prasmju atsvaidzināšanas mācības </w:t>
      </w:r>
      <w:r>
        <w:rPr>
          <w:rFonts w:ascii="Times New Roman" w:hAnsi="Times New Roman"/>
          <w:color w:val="000000"/>
          <w:sz w:val="24"/>
          <w:highlight w:val="cyan"/>
        </w:rPr>
        <w:lastRenderedPageBreak/>
        <w:t xml:space="preserve">saskaņā ar </w:t>
      </w:r>
      <w:r>
        <w:rPr>
          <w:rFonts w:ascii="Times New Roman" w:hAnsi="Times New Roman"/>
          <w:i/>
          <w:iCs/>
          <w:color w:val="000000"/>
          <w:sz w:val="24"/>
          <w:highlight w:val="cyan"/>
        </w:rPr>
        <w:t>ATO</w:t>
      </w:r>
      <w:r>
        <w:rPr>
          <w:rFonts w:ascii="Times New Roman" w:hAnsi="Times New Roman"/>
          <w:color w:val="000000"/>
          <w:sz w:val="24"/>
          <w:highlight w:val="cyan"/>
        </w:rPr>
        <w:t xml:space="preserve"> izveidotu individuālu mācību programmu, pēc tam, kad </w:t>
      </w:r>
      <w:r>
        <w:rPr>
          <w:rFonts w:ascii="Times New Roman" w:hAnsi="Times New Roman"/>
          <w:i/>
          <w:iCs/>
          <w:color w:val="000000"/>
          <w:sz w:val="24"/>
          <w:highlight w:val="cyan"/>
        </w:rPr>
        <w:t>ATO</w:t>
      </w:r>
      <w:r>
        <w:rPr>
          <w:rFonts w:ascii="Times New Roman" w:hAnsi="Times New Roman"/>
          <w:color w:val="000000"/>
          <w:sz w:val="24"/>
          <w:highlight w:val="cyan"/>
        </w:rPr>
        <w:t>, balstoties uz pretendenta novērtējumu, katrā konkrētajā gadījumā ir noteikusi nepieciešamo prasmju atsvaidzināšanas mācību apjomu. Šādu individuālo mācību programmu pamatā jābūt mācību saturam, kas minēts 4.f panta 7. punkta c) apakšpunktā.</w:t>
      </w:r>
      <w:bookmarkStart w:id="1" w:name="_bookmark0"/>
      <w:bookmarkEnd w:id="1"/>
    </w:p>
    <w:sectPr w:rsidR="006A6FA5" w:rsidRPr="000501AF" w:rsidSect="00190292">
      <w:headerReference w:type="default" r:id="rId13"/>
      <w:footerReference w:type="default" r:id="rId14"/>
      <w:headerReference w:type="first" r:id="rId15"/>
      <w:footerReference w:type="first" r:id="rId16"/>
      <w:pgSz w:w="11910"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692C7" w14:textId="77777777" w:rsidR="0016222E" w:rsidRPr="006A6FA5" w:rsidRDefault="0016222E">
      <w:pPr>
        <w:rPr>
          <w:noProof/>
        </w:rPr>
      </w:pPr>
      <w:r w:rsidRPr="006A6FA5">
        <w:rPr>
          <w:noProof/>
        </w:rPr>
        <w:separator/>
      </w:r>
    </w:p>
  </w:endnote>
  <w:endnote w:type="continuationSeparator" w:id="0">
    <w:p w14:paraId="30124723" w14:textId="77777777" w:rsidR="0016222E" w:rsidRPr="006A6FA5" w:rsidRDefault="0016222E">
      <w:pPr>
        <w:rPr>
          <w:noProof/>
        </w:rPr>
      </w:pPr>
      <w:r w:rsidRPr="006A6FA5">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371A" w14:textId="77777777" w:rsidR="00134367" w:rsidRPr="00134367" w:rsidRDefault="00134367" w:rsidP="00134367">
    <w:pPr>
      <w:tabs>
        <w:tab w:val="center" w:pos="4513"/>
        <w:tab w:val="right" w:pos="9026"/>
        <w:tab w:val="left" w:pos="9072"/>
      </w:tabs>
      <w:autoSpaceDE/>
      <w:autoSpaceDN/>
      <w:rPr>
        <w:rFonts w:ascii="Times New Roman" w:eastAsiaTheme="minorHAnsi" w:hAnsi="Times New Roman" w:cs="Times New Roman"/>
        <w:sz w:val="20"/>
        <w:szCs w:val="18"/>
      </w:rPr>
    </w:pPr>
  </w:p>
  <w:p w14:paraId="48D1D4F5" w14:textId="77777777" w:rsidR="00134367" w:rsidRPr="00134367" w:rsidRDefault="00134367" w:rsidP="00134367">
    <w:pPr>
      <w:tabs>
        <w:tab w:val="right" w:leader="underscore" w:pos="9072"/>
      </w:tabs>
      <w:autoSpaceDE/>
      <w:autoSpaceDN/>
      <w:rPr>
        <w:rFonts w:ascii="Times New Roman" w:eastAsiaTheme="minorHAnsi" w:hAnsi="Times New Roman" w:cs="Times New Roman"/>
        <w:sz w:val="20"/>
        <w:szCs w:val="18"/>
      </w:rPr>
    </w:pPr>
    <w:r w:rsidRPr="00134367">
      <w:rPr>
        <w:rFonts w:ascii="Times New Roman" w:eastAsiaTheme="minorHAnsi" w:hAnsi="Times New Roman" w:cs="Times New Roman"/>
        <w:sz w:val="20"/>
        <w:szCs w:val="18"/>
      </w:rPr>
      <w:tab/>
    </w:r>
  </w:p>
  <w:p w14:paraId="34E3A63A" w14:textId="77777777" w:rsidR="00134367" w:rsidRPr="00134367" w:rsidRDefault="00134367" w:rsidP="00134367">
    <w:pPr>
      <w:tabs>
        <w:tab w:val="center" w:pos="4513"/>
        <w:tab w:val="right" w:pos="9026"/>
        <w:tab w:val="right" w:pos="9072"/>
      </w:tabs>
      <w:autoSpaceDE/>
      <w:autoSpaceDN/>
      <w:rPr>
        <w:rFonts w:ascii="Times New Roman" w:eastAsiaTheme="minorHAnsi" w:hAnsi="Times New Roman" w:cs="Times New Roman"/>
        <w:sz w:val="20"/>
        <w:szCs w:val="18"/>
      </w:rPr>
    </w:pPr>
  </w:p>
  <w:p w14:paraId="26FEF892" w14:textId="70FC5040" w:rsidR="0017040F" w:rsidRPr="00134367" w:rsidRDefault="00134367" w:rsidP="00134367">
    <w:pPr>
      <w:tabs>
        <w:tab w:val="right" w:pos="9072"/>
      </w:tabs>
      <w:autoSpaceDE/>
      <w:autoSpaceDN/>
      <w:rPr>
        <w:rFonts w:ascii="Times New Roman" w:eastAsiaTheme="minorHAnsi" w:hAnsi="Times New Roman" w:cs="Times New Roman"/>
        <w:sz w:val="20"/>
        <w:szCs w:val="18"/>
      </w:rPr>
    </w:pPr>
    <w:r w:rsidRPr="00134367">
      <w:rPr>
        <w:rFonts w:ascii="Times New Roman" w:eastAsiaTheme="minorHAnsi" w:hAnsi="Times New Roman" w:cs="Times New Roman"/>
        <w:noProof/>
        <w:sz w:val="20"/>
        <w:szCs w:val="18"/>
      </w:rPr>
      <w:t xml:space="preserve">Tulkojums </w:t>
    </w:r>
    <w:r w:rsidRPr="00134367">
      <w:rPr>
        <w:rFonts w:ascii="Times New Roman" w:eastAsiaTheme="minorHAnsi" w:hAnsi="Times New Roman" w:cs="Times New Roman"/>
        <w:noProof/>
        <w:sz w:val="20"/>
        <w:szCs w:val="18"/>
      </w:rPr>
      <w:fldChar w:fldCharType="begin"/>
    </w:r>
    <w:r w:rsidRPr="00134367">
      <w:rPr>
        <w:rFonts w:ascii="Times New Roman" w:eastAsiaTheme="minorHAnsi" w:hAnsi="Times New Roman" w:cs="Times New Roman"/>
        <w:noProof/>
        <w:sz w:val="20"/>
        <w:szCs w:val="18"/>
      </w:rPr>
      <w:instrText>symbol 211 \f "Symbol" \s 9</w:instrText>
    </w:r>
    <w:r w:rsidRPr="00134367">
      <w:rPr>
        <w:rFonts w:ascii="Times New Roman" w:eastAsiaTheme="minorHAnsi" w:hAnsi="Times New Roman" w:cs="Times New Roman"/>
        <w:noProof/>
        <w:sz w:val="20"/>
        <w:szCs w:val="18"/>
      </w:rPr>
      <w:fldChar w:fldCharType="separate"/>
    </w:r>
    <w:r w:rsidRPr="00134367">
      <w:rPr>
        <w:rFonts w:ascii="Times New Roman" w:eastAsiaTheme="minorHAnsi" w:hAnsi="Times New Roman" w:cs="Times New Roman"/>
        <w:noProof/>
        <w:sz w:val="20"/>
        <w:szCs w:val="18"/>
      </w:rPr>
      <w:t>Ó</w:t>
    </w:r>
    <w:r w:rsidRPr="00134367">
      <w:rPr>
        <w:rFonts w:ascii="Times New Roman" w:eastAsiaTheme="minorHAnsi" w:hAnsi="Times New Roman" w:cs="Times New Roman"/>
        <w:noProof/>
        <w:sz w:val="20"/>
        <w:szCs w:val="18"/>
      </w:rPr>
      <w:fldChar w:fldCharType="end"/>
    </w:r>
    <w:r w:rsidRPr="00134367">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134367">
      <w:rPr>
        <w:rFonts w:ascii="Times New Roman" w:eastAsiaTheme="minorHAnsi" w:hAnsi="Times New Roman" w:cs="Times New Roman"/>
        <w:sz w:val="20"/>
        <w:szCs w:val="18"/>
      </w:rPr>
      <w:tab/>
    </w:r>
    <w:r w:rsidRPr="00134367">
      <w:rPr>
        <w:rFonts w:ascii="Times New Roman" w:eastAsiaTheme="minorHAnsi" w:hAnsi="Times New Roman" w:cs="Times New Roman"/>
        <w:sz w:val="20"/>
        <w:szCs w:val="18"/>
      </w:rPr>
      <w:fldChar w:fldCharType="begin"/>
    </w:r>
    <w:r w:rsidRPr="00134367">
      <w:rPr>
        <w:rFonts w:ascii="Times New Roman" w:eastAsiaTheme="minorHAnsi" w:hAnsi="Times New Roman" w:cs="Times New Roman"/>
        <w:sz w:val="20"/>
        <w:szCs w:val="18"/>
      </w:rPr>
      <w:instrText xml:space="preserve">page </w:instrText>
    </w:r>
    <w:r w:rsidRPr="00134367">
      <w:rPr>
        <w:rFonts w:ascii="Times New Roman" w:eastAsiaTheme="minorHAnsi" w:hAnsi="Times New Roman" w:cs="Times New Roman"/>
        <w:sz w:val="20"/>
        <w:szCs w:val="18"/>
      </w:rPr>
      <w:fldChar w:fldCharType="separate"/>
    </w:r>
    <w:r w:rsidRPr="00134367">
      <w:rPr>
        <w:rFonts w:ascii="Times New Roman" w:eastAsiaTheme="minorHAnsi" w:hAnsi="Times New Roman" w:cs="Times New Roman"/>
        <w:sz w:val="20"/>
        <w:szCs w:val="18"/>
      </w:rPr>
      <w:t>2</w:t>
    </w:r>
    <w:r w:rsidRPr="00134367">
      <w:rPr>
        <w:rFonts w:ascii="Times New Roman" w:eastAsiaTheme="minorHAnsi" w:hAnsi="Times New Roman" w:cs="Times New Roman"/>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DD99" w14:textId="77777777" w:rsidR="00F55C75" w:rsidRPr="00F55C75" w:rsidRDefault="00F55C75" w:rsidP="00F55C75">
    <w:pPr>
      <w:tabs>
        <w:tab w:val="left" w:leader="underscore" w:pos="9072"/>
      </w:tabs>
      <w:autoSpaceDE/>
      <w:autoSpaceDN/>
      <w:rPr>
        <w:rFonts w:ascii="Times New Roman" w:eastAsiaTheme="minorHAnsi" w:hAnsi="Times New Roman" w:cs="Times New Roman"/>
        <w:sz w:val="20"/>
        <w:szCs w:val="18"/>
      </w:rPr>
    </w:pPr>
    <w:bookmarkStart w:id="20" w:name="_Hlk496261764"/>
    <w:bookmarkStart w:id="21" w:name="_Hlk496261765"/>
    <w:bookmarkStart w:id="22" w:name="_Hlk496261766"/>
    <w:bookmarkStart w:id="23" w:name="_Hlk30491075"/>
    <w:bookmarkStart w:id="24" w:name="_Hlk30491076"/>
    <w:r w:rsidRPr="00F55C75">
      <w:rPr>
        <w:rFonts w:ascii="Times New Roman" w:eastAsiaTheme="minorHAnsi" w:hAnsi="Times New Roman" w:cs="Times New Roman"/>
        <w:sz w:val="20"/>
        <w:szCs w:val="18"/>
      </w:rPr>
      <w:tab/>
    </w:r>
  </w:p>
  <w:p w14:paraId="27E73896" w14:textId="77777777" w:rsidR="00F55C75" w:rsidRPr="00F55C75" w:rsidRDefault="00F55C75" w:rsidP="00F55C75">
    <w:pPr>
      <w:tabs>
        <w:tab w:val="center" w:pos="4513"/>
        <w:tab w:val="right" w:pos="9026"/>
        <w:tab w:val="left" w:pos="9072"/>
      </w:tabs>
      <w:autoSpaceDE/>
      <w:autoSpaceDN/>
      <w:rPr>
        <w:rFonts w:ascii="Times New Roman" w:eastAsiaTheme="minorHAnsi" w:hAnsi="Times New Roman" w:cs="Times New Roman"/>
        <w:sz w:val="20"/>
        <w:szCs w:val="18"/>
      </w:rPr>
    </w:pPr>
  </w:p>
  <w:p w14:paraId="6B2A7A32" w14:textId="10A3F0FE" w:rsidR="0017040F" w:rsidRPr="00F55C75" w:rsidRDefault="00F55C75" w:rsidP="00F55C75">
    <w:pPr>
      <w:tabs>
        <w:tab w:val="center" w:pos="4513"/>
        <w:tab w:val="right" w:pos="9026"/>
      </w:tabs>
      <w:autoSpaceDE/>
      <w:autoSpaceDN/>
      <w:rPr>
        <w:rFonts w:ascii="Times New Roman" w:eastAsiaTheme="minorHAnsi" w:hAnsi="Times New Roman" w:cs="Times New Roman"/>
        <w:sz w:val="20"/>
        <w:szCs w:val="18"/>
      </w:rPr>
    </w:pPr>
    <w:r w:rsidRPr="00F55C75">
      <w:rPr>
        <w:rFonts w:ascii="Times New Roman" w:eastAsiaTheme="minorHAnsi" w:hAnsi="Times New Roman" w:cs="Times New Roman"/>
        <w:noProof/>
        <w:sz w:val="20"/>
        <w:szCs w:val="18"/>
      </w:rPr>
      <w:t xml:space="preserve">Tulkojums </w:t>
    </w:r>
    <w:r w:rsidRPr="00F55C75">
      <w:rPr>
        <w:rFonts w:ascii="Times New Roman" w:eastAsiaTheme="minorHAnsi" w:hAnsi="Times New Roman" w:cs="Times New Roman"/>
        <w:noProof/>
        <w:sz w:val="20"/>
        <w:szCs w:val="18"/>
      </w:rPr>
      <w:fldChar w:fldCharType="begin"/>
    </w:r>
    <w:r w:rsidRPr="00F55C75">
      <w:rPr>
        <w:rFonts w:ascii="Times New Roman" w:eastAsiaTheme="minorHAnsi" w:hAnsi="Times New Roman" w:cs="Times New Roman"/>
        <w:noProof/>
        <w:sz w:val="20"/>
        <w:szCs w:val="18"/>
      </w:rPr>
      <w:instrText>symbol 211 \f "Symbol" \s 9</w:instrText>
    </w:r>
    <w:r w:rsidRPr="00F55C75">
      <w:rPr>
        <w:rFonts w:ascii="Times New Roman" w:eastAsiaTheme="minorHAnsi" w:hAnsi="Times New Roman" w:cs="Times New Roman"/>
        <w:noProof/>
        <w:sz w:val="20"/>
        <w:szCs w:val="18"/>
      </w:rPr>
      <w:fldChar w:fldCharType="separate"/>
    </w:r>
    <w:r w:rsidRPr="00F55C75">
      <w:rPr>
        <w:rFonts w:ascii="Times New Roman" w:eastAsiaTheme="minorHAnsi" w:hAnsi="Times New Roman" w:cs="Times New Roman"/>
        <w:noProof/>
        <w:sz w:val="20"/>
        <w:szCs w:val="18"/>
      </w:rPr>
      <w:t>Ó</w:t>
    </w:r>
    <w:r w:rsidRPr="00F55C75">
      <w:rPr>
        <w:rFonts w:ascii="Times New Roman" w:eastAsiaTheme="minorHAnsi" w:hAnsi="Times New Roman" w:cs="Times New Roman"/>
        <w:noProof/>
        <w:sz w:val="20"/>
        <w:szCs w:val="18"/>
      </w:rPr>
      <w:fldChar w:fldCharType="end"/>
    </w:r>
    <w:r w:rsidRPr="00F55C75">
      <w:rPr>
        <w:rFonts w:ascii="Times New Roman" w:eastAsiaTheme="minorHAnsi" w:hAnsi="Times New Roman" w:cs="Times New Roman"/>
        <w:noProof/>
        <w:sz w:val="20"/>
        <w:szCs w:val="18"/>
      </w:rPr>
      <w:t xml:space="preserve"> Valsts valodas centrs, 20</w:t>
    </w:r>
    <w:bookmarkEnd w:id="20"/>
    <w:bookmarkEnd w:id="21"/>
    <w:bookmarkEnd w:id="22"/>
    <w:r w:rsidRPr="00F55C75">
      <w:rPr>
        <w:rFonts w:ascii="Times New Roman" w:eastAsiaTheme="minorHAnsi" w:hAnsi="Times New Roman" w:cs="Times New Roman"/>
        <w:noProof/>
        <w:sz w:val="20"/>
        <w:szCs w:val="18"/>
      </w:rPr>
      <w:t>2</w:t>
    </w:r>
    <w:bookmarkEnd w:id="23"/>
    <w:bookmarkEnd w:id="24"/>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9407E" w14:textId="77777777" w:rsidR="0016222E" w:rsidRPr="006A6FA5" w:rsidRDefault="0016222E">
      <w:pPr>
        <w:rPr>
          <w:noProof/>
        </w:rPr>
      </w:pPr>
      <w:r w:rsidRPr="006A6FA5">
        <w:rPr>
          <w:noProof/>
        </w:rPr>
        <w:separator/>
      </w:r>
    </w:p>
  </w:footnote>
  <w:footnote w:type="continuationSeparator" w:id="0">
    <w:p w14:paraId="618CBB62" w14:textId="77777777" w:rsidR="0016222E" w:rsidRPr="006A6FA5" w:rsidRDefault="0016222E">
      <w:pPr>
        <w:rPr>
          <w:noProof/>
        </w:rPr>
      </w:pPr>
      <w:r w:rsidRPr="006A6FA5">
        <w:rPr>
          <w:noProof/>
        </w:rPr>
        <w:continuationSeparator/>
      </w:r>
    </w:p>
  </w:footnote>
  <w:footnote w:id="1">
    <w:p w14:paraId="32CED942" w14:textId="2FB75214" w:rsidR="000501AF" w:rsidRPr="00081EC8" w:rsidRDefault="000501AF" w:rsidP="00C413A6">
      <w:pPr>
        <w:pStyle w:val="FootnoteText"/>
        <w:ind w:left="142" w:hanging="142"/>
        <w:jc w:val="both"/>
        <w:rPr>
          <w:rFonts w:ascii="Times New Roman" w:hAnsi="Times New Roman" w:cs="Times New Roman"/>
          <w:highlight w:val="cyan"/>
        </w:rPr>
      </w:pPr>
      <w:r w:rsidRPr="00081EC8">
        <w:rPr>
          <w:rStyle w:val="FootnoteReference"/>
          <w:rFonts w:ascii="Times New Roman" w:hAnsi="Times New Roman" w:cs="Times New Roman"/>
          <w:highlight w:val="cyan"/>
        </w:rPr>
        <w:t>1</w:t>
      </w:r>
      <w:r w:rsidRPr="00081EC8">
        <w:rPr>
          <w:rFonts w:ascii="Times New Roman" w:hAnsi="Times New Roman" w:cs="Times New Roman"/>
          <w:highlight w:val="cyan"/>
        </w:rPr>
        <w:t xml:space="preserve"> </w:t>
      </w:r>
      <w:hyperlink r:id="rId1">
        <w:r w:rsidRPr="00081EC8">
          <w:rPr>
            <w:rFonts w:ascii="Times New Roman" w:hAnsi="Times New Roman" w:cs="Times New Roman"/>
            <w:i/>
            <w:iCs/>
            <w:color w:val="0000FF"/>
            <w:highlight w:val="cyan"/>
            <w:u w:val="single" w:color="0000FF"/>
          </w:rPr>
          <w:t>ED</w:t>
        </w:r>
        <w:r w:rsidRPr="00081EC8">
          <w:rPr>
            <w:rFonts w:ascii="Times New Roman" w:hAnsi="Times New Roman" w:cs="Times New Roman"/>
            <w:color w:val="0000FF"/>
            <w:highlight w:val="cyan"/>
            <w:u w:val="single" w:color="0000FF"/>
          </w:rPr>
          <w:t xml:space="preserve"> lēmums 2012/007/R. </w:t>
        </w:r>
        <w:r w:rsidRPr="00081EC8">
          <w:rPr>
            <w:rFonts w:ascii="Times New Roman" w:hAnsi="Times New Roman" w:cs="Times New Roman"/>
            <w:i/>
            <w:iCs/>
            <w:color w:val="0000FF"/>
            <w:highlight w:val="cyan"/>
            <w:u w:val="single" w:color="0000FF"/>
          </w:rPr>
          <w:t>AMC</w:t>
        </w:r>
        <w:r w:rsidRPr="00081EC8">
          <w:rPr>
            <w:rFonts w:ascii="Times New Roman" w:hAnsi="Times New Roman" w:cs="Times New Roman"/>
            <w:color w:val="0000FF"/>
            <w:highlight w:val="cyan"/>
            <w:u w:val="single" w:color="0000FF"/>
          </w:rPr>
          <w:t xml:space="preserve"> un </w:t>
        </w:r>
        <w:r w:rsidRPr="00081EC8">
          <w:rPr>
            <w:rFonts w:ascii="Times New Roman" w:hAnsi="Times New Roman" w:cs="Times New Roman"/>
            <w:i/>
            <w:iCs/>
            <w:color w:val="0000FF"/>
            <w:highlight w:val="cyan"/>
            <w:u w:val="single" w:color="0000FF"/>
          </w:rPr>
          <w:t>GM</w:t>
        </w:r>
        <w:r w:rsidRPr="00081EC8">
          <w:rPr>
            <w:rFonts w:ascii="Times New Roman" w:hAnsi="Times New Roman" w:cs="Times New Roman"/>
            <w:color w:val="0000FF"/>
            <w:highlight w:val="cyan"/>
            <w:u w:val="single" w:color="0000FF"/>
          </w:rPr>
          <w:t xml:space="preserve"> </w:t>
        </w:r>
        <w:r w:rsidRPr="00081EC8">
          <w:rPr>
            <w:rFonts w:ascii="Times New Roman" w:hAnsi="Times New Roman" w:cs="Times New Roman"/>
            <w:i/>
            <w:iCs/>
            <w:color w:val="0000FF"/>
            <w:highlight w:val="cyan"/>
            <w:u w:val="single" w:color="0000FF"/>
          </w:rPr>
          <w:t>ORA</w:t>
        </w:r>
        <w:r w:rsidRPr="00081EC8">
          <w:rPr>
            <w:rFonts w:ascii="Times New Roman" w:hAnsi="Times New Roman" w:cs="Times New Roman"/>
            <w:color w:val="0000FF"/>
            <w:highlight w:val="cyan"/>
            <w:u w:val="single" w:color="0000FF"/>
          </w:rPr>
          <w:t xml:space="preserve"> daļai | </w:t>
        </w:r>
        <w:r w:rsidRPr="00081EC8">
          <w:rPr>
            <w:rFonts w:ascii="Times New Roman" w:hAnsi="Times New Roman" w:cs="Times New Roman"/>
            <w:i/>
            <w:iCs/>
            <w:color w:val="0000FF"/>
            <w:highlight w:val="cyan"/>
            <w:u w:val="single" w:color="0000FF"/>
          </w:rPr>
          <w:t>EASA</w:t>
        </w:r>
      </w:hyperlink>
    </w:p>
  </w:footnote>
  <w:footnote w:id="2">
    <w:p w14:paraId="12CE9512" w14:textId="7BD01694" w:rsidR="000501AF" w:rsidRPr="00081EC8" w:rsidRDefault="000501AF" w:rsidP="00C413A6">
      <w:pPr>
        <w:pStyle w:val="FootnoteText"/>
        <w:ind w:left="142" w:hanging="142"/>
        <w:jc w:val="both"/>
        <w:rPr>
          <w:rFonts w:ascii="Times New Roman" w:hAnsi="Times New Roman" w:cs="Times New Roman"/>
        </w:rPr>
      </w:pPr>
      <w:r w:rsidRPr="00081EC8">
        <w:rPr>
          <w:rStyle w:val="FootnoteReference"/>
          <w:rFonts w:ascii="Times New Roman" w:hAnsi="Times New Roman" w:cs="Times New Roman"/>
          <w:highlight w:val="cyan"/>
        </w:rPr>
        <w:t>2</w:t>
      </w:r>
      <w:r w:rsidRPr="00081EC8">
        <w:rPr>
          <w:rFonts w:ascii="Times New Roman" w:hAnsi="Times New Roman" w:cs="Times New Roman"/>
          <w:highlight w:val="cyan"/>
        </w:rPr>
        <w:t xml:space="preserve"> </w:t>
      </w:r>
      <w:r w:rsidRPr="00081EC8">
        <w:rPr>
          <w:rFonts w:ascii="Times New Roman" w:hAnsi="Times New Roman" w:cs="Times New Roman"/>
          <w:color w:val="000000"/>
          <w:highlight w:val="cyan"/>
        </w:rPr>
        <w:t>Komisijas 2011. gada 3. novembra Regula (ES) Nr. 1178/2011, ar ko nosaka tehniskās prasības un administratīvās procedūras attiecībā uz civilās aviācijas gaisa kuģa apkalpi atbilstoši Eiropas Parlamenta un Padomes Regulai (EK) Nr. 216/2008 (OV L 311, 25.11.2011., 1. lpp.)</w:t>
      </w:r>
      <w:hyperlink r:id="rId2">
        <w:r w:rsidRPr="00081EC8">
          <w:rPr>
            <w:rFonts w:ascii="Times New Roman" w:hAnsi="Times New Roman" w:cs="Times New Roman"/>
            <w:color w:val="000000"/>
            <w:highlight w:val="cyan"/>
          </w:rPr>
          <w:t xml:space="preserve"> (</w:t>
        </w:r>
        <w:r w:rsidRPr="00081EC8">
          <w:rPr>
            <w:rFonts w:ascii="Times New Roman" w:hAnsi="Times New Roman" w:cs="Times New Roman"/>
            <w:color w:val="0000FF"/>
            <w:highlight w:val="cyan"/>
            <w:u w:val="single" w:color="0000FF"/>
          </w:rPr>
          <w:t>http://data.europa.eu/eli/reg/2011/1178/oj</w:t>
        </w:r>
      </w:hyperlink>
      <w:r w:rsidRPr="00081EC8">
        <w:rPr>
          <w:rFonts w:ascii="Times New Roman" w:hAnsi="Times New Roman" w:cs="Times New Roman"/>
          <w:color w:val="000000"/>
          <w:highlight w:val="cyan"/>
        </w:rPr>
        <w:t>).</w:t>
      </w:r>
    </w:p>
  </w:footnote>
  <w:footnote w:id="3">
    <w:p w14:paraId="55C6CD33" w14:textId="4C73EC70" w:rsidR="009A6C26" w:rsidRPr="009A6C26" w:rsidRDefault="009A6C26" w:rsidP="009A6C26">
      <w:pPr>
        <w:pStyle w:val="FootnoteText"/>
        <w:ind w:left="142" w:hanging="142"/>
        <w:rPr>
          <w:lang w:val="en-US"/>
        </w:rPr>
      </w:pPr>
      <w:r w:rsidRPr="00081EC8">
        <w:rPr>
          <w:rStyle w:val="FootnoteReference"/>
          <w:rFonts w:ascii="Times New Roman" w:hAnsi="Times New Roman" w:cs="Times New Roman"/>
        </w:rPr>
        <w:t>*</w:t>
      </w:r>
      <w:r w:rsidRPr="00081EC8">
        <w:rPr>
          <w:rFonts w:ascii="Times New Roman" w:hAnsi="Times New Roman" w:cs="Times New Roman"/>
        </w:rPr>
        <w:t xml:space="preserve"> Tulkotāja piezīme. Viscaur tulkojumā ar terminu “gaisa kuģis” saprot terminu “lidaparāts”, kas līdz ar Latviešu aviācijas radiofrazeoloģijas rokasgrāmatas apstiprināšanu apstiprināts kā “aircraft” atbilsme latviešu valodā (skat. Latvijas Zinātņu akadēmijas Terminoloģijas komisijas 2024. gada 9. aprīļa lēmumu Nr. 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768E" w14:textId="77777777" w:rsidR="002B10DB" w:rsidRPr="002B10DB" w:rsidRDefault="002B10DB" w:rsidP="002B10DB">
    <w:pPr>
      <w:tabs>
        <w:tab w:val="right" w:leader="underscore" w:pos="9072"/>
      </w:tabs>
      <w:autoSpaceDE/>
      <w:autoSpaceDN/>
      <w:rPr>
        <w:rFonts w:ascii="Times New Roman" w:eastAsia="Arial" w:hAnsi="Times New Roman" w:cs="Times New Roman"/>
        <w:sz w:val="20"/>
        <w:szCs w:val="20"/>
      </w:rPr>
    </w:pPr>
    <w:bookmarkStart w:id="2" w:name="_Hlk496261784"/>
    <w:bookmarkStart w:id="3" w:name="_Hlk496261785"/>
    <w:bookmarkStart w:id="4" w:name="_Hlk496261786"/>
    <w:bookmarkStart w:id="5" w:name="_Hlk502757728"/>
    <w:bookmarkStart w:id="6" w:name="_Hlk502757729"/>
    <w:bookmarkStart w:id="7" w:name="_Hlk502757738"/>
    <w:bookmarkStart w:id="8" w:name="_Hlk502757739"/>
    <w:bookmarkStart w:id="9" w:name="_Hlk30491084"/>
    <w:bookmarkStart w:id="10" w:name="_Hlk30491085"/>
    <w:bookmarkStart w:id="11" w:name="_Hlk63344778"/>
    <w:bookmarkStart w:id="12" w:name="_Hlk63344779"/>
    <w:bookmarkStart w:id="13" w:name="_Hlk63344780"/>
    <w:bookmarkStart w:id="14" w:name="_Hlk63344781"/>
    <w:r w:rsidRPr="002B10DB">
      <w:rPr>
        <w:rFonts w:ascii="Times New Roman" w:eastAsiaTheme="minorHAnsi" w:hAnsi="Times New Roman" w:cs="Times New Roman"/>
        <w:sz w:val="20"/>
        <w:szCs w:val="20"/>
      </w:rPr>
      <w:tab/>
    </w:r>
  </w:p>
  <w:bookmarkEnd w:id="2"/>
  <w:bookmarkEnd w:id="3"/>
  <w:bookmarkEnd w:id="4"/>
  <w:bookmarkEnd w:id="5"/>
  <w:bookmarkEnd w:id="6"/>
  <w:bookmarkEnd w:id="7"/>
  <w:bookmarkEnd w:id="8"/>
  <w:bookmarkEnd w:id="9"/>
  <w:bookmarkEnd w:id="10"/>
  <w:bookmarkEnd w:id="11"/>
  <w:bookmarkEnd w:id="12"/>
  <w:bookmarkEnd w:id="13"/>
  <w:bookmarkEnd w:id="14"/>
  <w:p w14:paraId="5338E3B3" w14:textId="77777777" w:rsidR="002B10DB" w:rsidRPr="002B10DB" w:rsidRDefault="002B10DB" w:rsidP="002B10DB">
    <w:pPr>
      <w:tabs>
        <w:tab w:val="center" w:pos="4513"/>
        <w:tab w:val="right" w:pos="9026"/>
      </w:tabs>
      <w:autoSpaceDE/>
      <w:autoSpaceDN/>
      <w:rPr>
        <w:rFonts w:ascii="Times New Roman" w:eastAsiaTheme="minorHAnsi" w:hAnsi="Times New Roman" w:cs="Times New Roman"/>
        <w:sz w:val="20"/>
        <w:szCs w:val="20"/>
      </w:rPr>
    </w:pPr>
  </w:p>
  <w:p w14:paraId="38234748" w14:textId="7CB0F83B" w:rsidR="000F661C" w:rsidRPr="006A6FA5" w:rsidRDefault="000F661C">
    <w:pPr>
      <w:pStyle w:val="BodyText"/>
      <w:spacing w:line="14" w:lineRule="auto"/>
      <w:rPr>
        <w:noProof/>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9AAC" w14:textId="77777777" w:rsidR="0017040F" w:rsidRPr="0017040F" w:rsidRDefault="0017040F" w:rsidP="0017040F">
    <w:pPr>
      <w:pBdr>
        <w:bottom w:val="single" w:sz="12" w:space="5" w:color="auto"/>
      </w:pBdr>
      <w:autoSpaceDE/>
      <w:autoSpaceDN/>
      <w:rPr>
        <w:rFonts w:ascii="Times New Roman" w:eastAsiaTheme="minorHAnsi" w:hAnsi="Times New Roman" w:cs="Times New Roman"/>
        <w:spacing w:val="-2"/>
        <w:sz w:val="20"/>
        <w:szCs w:val="20"/>
      </w:rPr>
    </w:pPr>
    <w:bookmarkStart w:id="15" w:name="_Hlk496261745"/>
    <w:bookmarkStart w:id="16" w:name="_Hlk496261746"/>
    <w:bookmarkStart w:id="17" w:name="_Hlk496261747"/>
    <w:bookmarkStart w:id="18" w:name="_Hlk30491063"/>
    <w:bookmarkStart w:id="19" w:name="_Hlk30491064"/>
  </w:p>
  <w:bookmarkEnd w:id="15"/>
  <w:bookmarkEnd w:id="16"/>
  <w:bookmarkEnd w:id="17"/>
  <w:bookmarkEnd w:id="18"/>
  <w:bookmarkEnd w:id="19"/>
  <w:p w14:paraId="7CD42B68" w14:textId="77777777" w:rsidR="0017040F" w:rsidRDefault="0017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36434"/>
    <w:multiLevelType w:val="hybridMultilevel"/>
    <w:tmpl w:val="18DAAA8A"/>
    <w:lvl w:ilvl="0" w:tplc="DCB24ABC">
      <w:start w:val="1"/>
      <w:numFmt w:val="lowerLetter"/>
      <w:lvlText w:val="(%1)"/>
      <w:lvlJc w:val="left"/>
      <w:pPr>
        <w:ind w:left="706" w:hanging="567"/>
      </w:pPr>
      <w:rPr>
        <w:rFonts w:ascii="Calibri" w:eastAsia="Calibri" w:hAnsi="Calibri" w:cs="Calibri" w:hint="default"/>
        <w:b w:val="0"/>
        <w:bCs w:val="0"/>
        <w:i w:val="0"/>
        <w:iCs w:val="0"/>
        <w:spacing w:val="-1"/>
        <w:w w:val="100"/>
        <w:sz w:val="22"/>
        <w:szCs w:val="22"/>
        <w:shd w:val="clear" w:color="auto" w:fill="00FFFF"/>
        <w:lang w:val="en-US" w:eastAsia="en-US" w:bidi="ar-SA"/>
      </w:rPr>
    </w:lvl>
    <w:lvl w:ilvl="1" w:tplc="93DA93A2">
      <w:numFmt w:val="bullet"/>
      <w:lvlText w:val="•"/>
      <w:lvlJc w:val="left"/>
      <w:pPr>
        <w:ind w:left="1560" w:hanging="567"/>
      </w:pPr>
      <w:rPr>
        <w:rFonts w:hint="default"/>
        <w:lang w:val="en-US" w:eastAsia="en-US" w:bidi="ar-SA"/>
      </w:rPr>
    </w:lvl>
    <w:lvl w:ilvl="2" w:tplc="475AC8E4">
      <w:numFmt w:val="bullet"/>
      <w:lvlText w:val="•"/>
      <w:lvlJc w:val="left"/>
      <w:pPr>
        <w:ind w:left="2421" w:hanging="567"/>
      </w:pPr>
      <w:rPr>
        <w:rFonts w:hint="default"/>
        <w:lang w:val="en-US" w:eastAsia="en-US" w:bidi="ar-SA"/>
      </w:rPr>
    </w:lvl>
    <w:lvl w:ilvl="3" w:tplc="828809EC">
      <w:numFmt w:val="bullet"/>
      <w:lvlText w:val="•"/>
      <w:lvlJc w:val="left"/>
      <w:pPr>
        <w:ind w:left="3281" w:hanging="567"/>
      </w:pPr>
      <w:rPr>
        <w:rFonts w:hint="default"/>
        <w:lang w:val="en-US" w:eastAsia="en-US" w:bidi="ar-SA"/>
      </w:rPr>
    </w:lvl>
    <w:lvl w:ilvl="4" w:tplc="FD66C84A">
      <w:numFmt w:val="bullet"/>
      <w:lvlText w:val="•"/>
      <w:lvlJc w:val="left"/>
      <w:pPr>
        <w:ind w:left="4142" w:hanging="567"/>
      </w:pPr>
      <w:rPr>
        <w:rFonts w:hint="default"/>
        <w:lang w:val="en-US" w:eastAsia="en-US" w:bidi="ar-SA"/>
      </w:rPr>
    </w:lvl>
    <w:lvl w:ilvl="5" w:tplc="31C23BDA">
      <w:numFmt w:val="bullet"/>
      <w:lvlText w:val="•"/>
      <w:lvlJc w:val="left"/>
      <w:pPr>
        <w:ind w:left="5003" w:hanging="567"/>
      </w:pPr>
      <w:rPr>
        <w:rFonts w:hint="default"/>
        <w:lang w:val="en-US" w:eastAsia="en-US" w:bidi="ar-SA"/>
      </w:rPr>
    </w:lvl>
    <w:lvl w:ilvl="6" w:tplc="88A0D71A">
      <w:numFmt w:val="bullet"/>
      <w:lvlText w:val="•"/>
      <w:lvlJc w:val="left"/>
      <w:pPr>
        <w:ind w:left="5863" w:hanging="567"/>
      </w:pPr>
      <w:rPr>
        <w:rFonts w:hint="default"/>
        <w:lang w:val="en-US" w:eastAsia="en-US" w:bidi="ar-SA"/>
      </w:rPr>
    </w:lvl>
    <w:lvl w:ilvl="7" w:tplc="84F64D8C">
      <w:numFmt w:val="bullet"/>
      <w:lvlText w:val="•"/>
      <w:lvlJc w:val="left"/>
      <w:pPr>
        <w:ind w:left="6724" w:hanging="567"/>
      </w:pPr>
      <w:rPr>
        <w:rFonts w:hint="default"/>
        <w:lang w:val="en-US" w:eastAsia="en-US" w:bidi="ar-SA"/>
      </w:rPr>
    </w:lvl>
    <w:lvl w:ilvl="8" w:tplc="87AE93B8">
      <w:numFmt w:val="bullet"/>
      <w:lvlText w:val="•"/>
      <w:lvlJc w:val="left"/>
      <w:pPr>
        <w:ind w:left="7585" w:hanging="567"/>
      </w:pPr>
      <w:rPr>
        <w:rFonts w:hint="default"/>
        <w:lang w:val="en-US" w:eastAsia="en-US" w:bidi="ar-SA"/>
      </w:rPr>
    </w:lvl>
  </w:abstractNum>
  <w:abstractNum w:abstractNumId="1" w15:restartNumberingAfterBreak="0">
    <w:nsid w:val="500505FD"/>
    <w:multiLevelType w:val="hybridMultilevel"/>
    <w:tmpl w:val="D77C7008"/>
    <w:lvl w:ilvl="0" w:tplc="517C71C8">
      <w:start w:val="1"/>
      <w:numFmt w:val="lowerLetter"/>
      <w:lvlText w:val="(%1)"/>
      <w:lvlJc w:val="left"/>
      <w:pPr>
        <w:ind w:left="706" w:hanging="567"/>
      </w:pPr>
      <w:rPr>
        <w:rFonts w:ascii="Calibri" w:eastAsia="Calibri" w:hAnsi="Calibri" w:cs="Calibri" w:hint="default"/>
        <w:b w:val="0"/>
        <w:bCs w:val="0"/>
        <w:i w:val="0"/>
        <w:iCs w:val="0"/>
        <w:spacing w:val="-1"/>
        <w:w w:val="100"/>
        <w:sz w:val="22"/>
        <w:szCs w:val="22"/>
        <w:shd w:val="clear" w:color="auto" w:fill="00FFFF"/>
        <w:lang w:val="en-US" w:eastAsia="en-US" w:bidi="ar-SA"/>
      </w:rPr>
    </w:lvl>
    <w:lvl w:ilvl="1" w:tplc="8FDA085C">
      <w:start w:val="1"/>
      <w:numFmt w:val="decimal"/>
      <w:lvlText w:val="(%2)"/>
      <w:lvlJc w:val="left"/>
      <w:pPr>
        <w:ind w:left="1273" w:hanging="567"/>
      </w:pPr>
      <w:rPr>
        <w:rFonts w:ascii="Calibri" w:eastAsia="Calibri" w:hAnsi="Calibri" w:cs="Calibri" w:hint="default"/>
        <w:b w:val="0"/>
        <w:bCs w:val="0"/>
        <w:i w:val="0"/>
        <w:iCs w:val="0"/>
        <w:spacing w:val="0"/>
        <w:w w:val="100"/>
        <w:sz w:val="22"/>
        <w:szCs w:val="22"/>
        <w:shd w:val="clear" w:color="auto" w:fill="00FFFF"/>
        <w:lang w:val="en-US" w:eastAsia="en-US" w:bidi="ar-SA"/>
      </w:rPr>
    </w:lvl>
    <w:lvl w:ilvl="2" w:tplc="13DEAB34">
      <w:numFmt w:val="bullet"/>
      <w:lvlText w:val="•"/>
      <w:lvlJc w:val="left"/>
      <w:pPr>
        <w:ind w:left="2171" w:hanging="567"/>
      </w:pPr>
      <w:rPr>
        <w:rFonts w:hint="default"/>
        <w:lang w:val="en-US" w:eastAsia="en-US" w:bidi="ar-SA"/>
      </w:rPr>
    </w:lvl>
    <w:lvl w:ilvl="3" w:tplc="568A5826">
      <w:numFmt w:val="bullet"/>
      <w:lvlText w:val="•"/>
      <w:lvlJc w:val="left"/>
      <w:pPr>
        <w:ind w:left="3063" w:hanging="567"/>
      </w:pPr>
      <w:rPr>
        <w:rFonts w:hint="default"/>
        <w:lang w:val="en-US" w:eastAsia="en-US" w:bidi="ar-SA"/>
      </w:rPr>
    </w:lvl>
    <w:lvl w:ilvl="4" w:tplc="197E8128">
      <w:numFmt w:val="bullet"/>
      <w:lvlText w:val="•"/>
      <w:lvlJc w:val="left"/>
      <w:pPr>
        <w:ind w:left="3955" w:hanging="567"/>
      </w:pPr>
      <w:rPr>
        <w:rFonts w:hint="default"/>
        <w:lang w:val="en-US" w:eastAsia="en-US" w:bidi="ar-SA"/>
      </w:rPr>
    </w:lvl>
    <w:lvl w:ilvl="5" w:tplc="7D72EFF8">
      <w:numFmt w:val="bullet"/>
      <w:lvlText w:val="•"/>
      <w:lvlJc w:val="left"/>
      <w:pPr>
        <w:ind w:left="4847" w:hanging="567"/>
      </w:pPr>
      <w:rPr>
        <w:rFonts w:hint="default"/>
        <w:lang w:val="en-US" w:eastAsia="en-US" w:bidi="ar-SA"/>
      </w:rPr>
    </w:lvl>
    <w:lvl w:ilvl="6" w:tplc="9628FA88">
      <w:numFmt w:val="bullet"/>
      <w:lvlText w:val="•"/>
      <w:lvlJc w:val="left"/>
      <w:pPr>
        <w:ind w:left="5739" w:hanging="567"/>
      </w:pPr>
      <w:rPr>
        <w:rFonts w:hint="default"/>
        <w:lang w:val="en-US" w:eastAsia="en-US" w:bidi="ar-SA"/>
      </w:rPr>
    </w:lvl>
    <w:lvl w:ilvl="7" w:tplc="CE3C5788">
      <w:numFmt w:val="bullet"/>
      <w:lvlText w:val="•"/>
      <w:lvlJc w:val="left"/>
      <w:pPr>
        <w:ind w:left="6630" w:hanging="567"/>
      </w:pPr>
      <w:rPr>
        <w:rFonts w:hint="default"/>
        <w:lang w:val="en-US" w:eastAsia="en-US" w:bidi="ar-SA"/>
      </w:rPr>
    </w:lvl>
    <w:lvl w:ilvl="8" w:tplc="9134E8D6">
      <w:numFmt w:val="bullet"/>
      <w:lvlText w:val="•"/>
      <w:lvlJc w:val="left"/>
      <w:pPr>
        <w:ind w:left="7522" w:hanging="567"/>
      </w:pPr>
      <w:rPr>
        <w:rFonts w:hint="default"/>
        <w:lang w:val="en-US" w:eastAsia="en-US" w:bidi="ar-SA"/>
      </w:rPr>
    </w:lvl>
  </w:abstractNum>
  <w:abstractNum w:abstractNumId="2" w15:restartNumberingAfterBreak="0">
    <w:nsid w:val="6CFB3867"/>
    <w:multiLevelType w:val="hybridMultilevel"/>
    <w:tmpl w:val="0F22DC48"/>
    <w:lvl w:ilvl="0" w:tplc="5DEEEBBE">
      <w:numFmt w:val="bullet"/>
      <w:lvlText w:val="—"/>
      <w:lvlJc w:val="left"/>
      <w:pPr>
        <w:ind w:left="706" w:hanging="567"/>
      </w:pPr>
      <w:rPr>
        <w:rFonts w:ascii="Calibri" w:eastAsia="Calibri" w:hAnsi="Calibri" w:cs="Calibri" w:hint="default"/>
        <w:b w:val="0"/>
        <w:bCs w:val="0"/>
        <w:i w:val="0"/>
        <w:iCs w:val="0"/>
        <w:spacing w:val="0"/>
        <w:w w:val="100"/>
        <w:sz w:val="22"/>
        <w:szCs w:val="22"/>
        <w:lang w:val="en-US" w:eastAsia="en-US" w:bidi="ar-SA"/>
      </w:rPr>
    </w:lvl>
    <w:lvl w:ilvl="1" w:tplc="9F4EF198">
      <w:numFmt w:val="bullet"/>
      <w:lvlText w:val="•"/>
      <w:lvlJc w:val="left"/>
      <w:pPr>
        <w:ind w:left="1560" w:hanging="567"/>
      </w:pPr>
      <w:rPr>
        <w:rFonts w:hint="default"/>
        <w:lang w:val="en-US" w:eastAsia="en-US" w:bidi="ar-SA"/>
      </w:rPr>
    </w:lvl>
    <w:lvl w:ilvl="2" w:tplc="D2C0C78C">
      <w:numFmt w:val="bullet"/>
      <w:lvlText w:val="•"/>
      <w:lvlJc w:val="left"/>
      <w:pPr>
        <w:ind w:left="2421" w:hanging="567"/>
      </w:pPr>
      <w:rPr>
        <w:rFonts w:hint="default"/>
        <w:lang w:val="en-US" w:eastAsia="en-US" w:bidi="ar-SA"/>
      </w:rPr>
    </w:lvl>
    <w:lvl w:ilvl="3" w:tplc="F81A85C8">
      <w:numFmt w:val="bullet"/>
      <w:lvlText w:val="•"/>
      <w:lvlJc w:val="left"/>
      <w:pPr>
        <w:ind w:left="3281" w:hanging="567"/>
      </w:pPr>
      <w:rPr>
        <w:rFonts w:hint="default"/>
        <w:lang w:val="en-US" w:eastAsia="en-US" w:bidi="ar-SA"/>
      </w:rPr>
    </w:lvl>
    <w:lvl w:ilvl="4" w:tplc="BED6C9EC">
      <w:numFmt w:val="bullet"/>
      <w:lvlText w:val="•"/>
      <w:lvlJc w:val="left"/>
      <w:pPr>
        <w:ind w:left="4142" w:hanging="567"/>
      </w:pPr>
      <w:rPr>
        <w:rFonts w:hint="default"/>
        <w:lang w:val="en-US" w:eastAsia="en-US" w:bidi="ar-SA"/>
      </w:rPr>
    </w:lvl>
    <w:lvl w:ilvl="5" w:tplc="DCC290CE">
      <w:numFmt w:val="bullet"/>
      <w:lvlText w:val="•"/>
      <w:lvlJc w:val="left"/>
      <w:pPr>
        <w:ind w:left="5003" w:hanging="567"/>
      </w:pPr>
      <w:rPr>
        <w:rFonts w:hint="default"/>
        <w:lang w:val="en-US" w:eastAsia="en-US" w:bidi="ar-SA"/>
      </w:rPr>
    </w:lvl>
    <w:lvl w:ilvl="6" w:tplc="C3AAE56C">
      <w:numFmt w:val="bullet"/>
      <w:lvlText w:val="•"/>
      <w:lvlJc w:val="left"/>
      <w:pPr>
        <w:ind w:left="5863" w:hanging="567"/>
      </w:pPr>
      <w:rPr>
        <w:rFonts w:hint="default"/>
        <w:lang w:val="en-US" w:eastAsia="en-US" w:bidi="ar-SA"/>
      </w:rPr>
    </w:lvl>
    <w:lvl w:ilvl="7" w:tplc="1FD6C056">
      <w:numFmt w:val="bullet"/>
      <w:lvlText w:val="•"/>
      <w:lvlJc w:val="left"/>
      <w:pPr>
        <w:ind w:left="6724" w:hanging="567"/>
      </w:pPr>
      <w:rPr>
        <w:rFonts w:hint="default"/>
        <w:lang w:val="en-US" w:eastAsia="en-US" w:bidi="ar-SA"/>
      </w:rPr>
    </w:lvl>
    <w:lvl w:ilvl="8" w:tplc="57527244">
      <w:numFmt w:val="bullet"/>
      <w:lvlText w:val="•"/>
      <w:lvlJc w:val="left"/>
      <w:pPr>
        <w:ind w:left="7585" w:hanging="567"/>
      </w:pPr>
      <w:rPr>
        <w:rFonts w:hint="default"/>
        <w:lang w:val="en-US" w:eastAsia="en-US" w:bidi="ar-SA"/>
      </w:rPr>
    </w:lvl>
  </w:abstractNum>
  <w:num w:numId="1" w16cid:durableId="1160346624">
    <w:abstractNumId w:val="0"/>
  </w:num>
  <w:num w:numId="2" w16cid:durableId="1318605801">
    <w:abstractNumId w:val="1"/>
  </w:num>
  <w:num w:numId="3" w16cid:durableId="194002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F661C"/>
    <w:rsid w:val="000501AF"/>
    <w:rsid w:val="00081EC8"/>
    <w:rsid w:val="000F661C"/>
    <w:rsid w:val="00115159"/>
    <w:rsid w:val="00134367"/>
    <w:rsid w:val="0016222E"/>
    <w:rsid w:val="0017040F"/>
    <w:rsid w:val="00190292"/>
    <w:rsid w:val="00203670"/>
    <w:rsid w:val="002B10DB"/>
    <w:rsid w:val="005D10C0"/>
    <w:rsid w:val="005E6331"/>
    <w:rsid w:val="005F72B0"/>
    <w:rsid w:val="006A0A85"/>
    <w:rsid w:val="006A6FA5"/>
    <w:rsid w:val="006B0C42"/>
    <w:rsid w:val="007F4950"/>
    <w:rsid w:val="00902A52"/>
    <w:rsid w:val="00976041"/>
    <w:rsid w:val="009A6C26"/>
    <w:rsid w:val="00A9304D"/>
    <w:rsid w:val="00C1445C"/>
    <w:rsid w:val="00C413A6"/>
    <w:rsid w:val="00C84EB9"/>
    <w:rsid w:val="00C86D0D"/>
    <w:rsid w:val="00D170DB"/>
    <w:rsid w:val="00E908FA"/>
    <w:rsid w:val="00EE4A03"/>
    <w:rsid w:val="00F55C75"/>
    <w:rsid w:val="00F760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3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32"/>
      <w:szCs w:val="32"/>
    </w:rPr>
  </w:style>
  <w:style w:type="paragraph" w:styleId="Heading2">
    <w:name w:val="heading 2"/>
    <w:basedOn w:val="Normal"/>
    <w:uiPriority w:val="9"/>
    <w:unhideWhenUsed/>
    <w:qFormat/>
    <w:pPr>
      <w:spacing w:before="78"/>
      <w:ind w:left="1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61"/>
      <w:ind w:left="706" w:hanging="56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A6FA5"/>
    <w:pPr>
      <w:tabs>
        <w:tab w:val="center" w:pos="4680"/>
        <w:tab w:val="right" w:pos="9360"/>
      </w:tabs>
    </w:pPr>
  </w:style>
  <w:style w:type="character" w:customStyle="1" w:styleId="HeaderChar">
    <w:name w:val="Header Char"/>
    <w:basedOn w:val="DefaultParagraphFont"/>
    <w:link w:val="Header"/>
    <w:uiPriority w:val="99"/>
    <w:rsid w:val="006A6FA5"/>
    <w:rPr>
      <w:rFonts w:ascii="Calibri" w:eastAsia="Calibri" w:hAnsi="Calibri" w:cs="Calibri"/>
    </w:rPr>
  </w:style>
  <w:style w:type="paragraph" w:styleId="Footer">
    <w:name w:val="footer"/>
    <w:basedOn w:val="Normal"/>
    <w:link w:val="FooterChar"/>
    <w:uiPriority w:val="99"/>
    <w:unhideWhenUsed/>
    <w:rsid w:val="006A6FA5"/>
    <w:pPr>
      <w:tabs>
        <w:tab w:val="center" w:pos="4680"/>
        <w:tab w:val="right" w:pos="9360"/>
      </w:tabs>
    </w:pPr>
  </w:style>
  <w:style w:type="character" w:customStyle="1" w:styleId="FooterChar">
    <w:name w:val="Footer Char"/>
    <w:basedOn w:val="DefaultParagraphFont"/>
    <w:link w:val="Footer"/>
    <w:uiPriority w:val="99"/>
    <w:rsid w:val="006A6FA5"/>
    <w:rPr>
      <w:rFonts w:ascii="Calibri" w:eastAsia="Calibri" w:hAnsi="Calibri" w:cs="Calibri"/>
    </w:rPr>
  </w:style>
  <w:style w:type="table" w:styleId="TableGrid">
    <w:name w:val="Table Grid"/>
    <w:basedOn w:val="TableNormal"/>
    <w:uiPriority w:val="39"/>
    <w:rsid w:val="00115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501AF"/>
    <w:rPr>
      <w:sz w:val="20"/>
      <w:szCs w:val="20"/>
    </w:rPr>
  </w:style>
  <w:style w:type="character" w:customStyle="1" w:styleId="FootnoteTextChar">
    <w:name w:val="Footnote Text Char"/>
    <w:basedOn w:val="DefaultParagraphFont"/>
    <w:link w:val="FootnoteText"/>
    <w:uiPriority w:val="99"/>
    <w:semiHidden/>
    <w:rsid w:val="000501AF"/>
    <w:rPr>
      <w:rFonts w:ascii="Calibri" w:eastAsia="Calibri" w:hAnsi="Calibri" w:cs="Calibri"/>
      <w:sz w:val="20"/>
      <w:szCs w:val="20"/>
    </w:rPr>
  </w:style>
  <w:style w:type="character" w:styleId="FootnoteReference">
    <w:name w:val="footnote reference"/>
    <w:basedOn w:val="DefaultParagraphFont"/>
    <w:uiPriority w:val="99"/>
    <w:semiHidden/>
    <w:unhideWhenUsed/>
    <w:rsid w:val="000501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asa.europa.e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178/oj" TargetMode="External"/><Relationship Id="rId1" Type="http://schemas.openxmlformats.org/officeDocument/2006/relationships/hyperlink" Target="https://www.easa.europa.eu/en/document-library/agency-decisions/ed-decision-2012007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A377A-4AE2-401F-97B2-474F842813DB}"/>
</file>

<file path=customXml/itemProps2.xml><?xml version="1.0" encoding="utf-8"?>
<ds:datastoreItem xmlns:ds="http://schemas.openxmlformats.org/officeDocument/2006/customXml" ds:itemID="{E4C8FC54-07ED-43AE-8193-61B870514221}">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1F164885-3065-47D5-8588-986B54234A38}">
  <ds:schemaRefs>
    <ds:schemaRef ds:uri="http://schemas.openxmlformats.org/officeDocument/2006/bibliography"/>
  </ds:schemaRefs>
</ds:datastoreItem>
</file>

<file path=customXml/itemProps4.xml><?xml version="1.0" encoding="utf-8"?>
<ds:datastoreItem xmlns:ds="http://schemas.openxmlformats.org/officeDocument/2006/customXml" ds:itemID="{8FD3D9C4-8B8A-4F25-8A3F-41994D61148E}">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2706</Characters>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2026-08-06T00:27:00Z</dcterms:created>
  <dcterms:modified xsi:type="dcterms:W3CDTF">2026-08-25T12:33:00Z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