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7D4E6" w14:textId="77777777" w:rsidR="00FA4B05" w:rsidRPr="00866E1C" w:rsidRDefault="00FA4B05" w:rsidP="00FA4B05">
      <w:pPr>
        <w:widowControl w:val="0"/>
        <w:spacing w:after="0" w:line="240" w:lineRule="auto"/>
        <w:jc w:val="both"/>
        <w:rPr>
          <w:rFonts w:ascii="Times New Roman" w:hAnsi="Times New Roman"/>
          <w:noProof/>
          <w:kern w:val="0"/>
          <w:sz w:val="20"/>
          <w:lang w:val="en-US"/>
        </w:rPr>
      </w:pPr>
      <w:r w:rsidRPr="00866E1C">
        <w:rPr>
          <w:rFonts w:ascii="Times New Roman" w:hAnsi="Times New Roman"/>
          <w:noProof/>
          <w:kern w:val="0"/>
          <w:sz w:val="20"/>
          <w:lang w:val="en-US"/>
        </w:rPr>
        <w:t>Text consolidated by Valsts valodas centrs (State Language Centre) with amending regulations of:</w:t>
      </w:r>
    </w:p>
    <w:p w14:paraId="1D03676A" w14:textId="2831ECA7" w:rsidR="00FA4B05" w:rsidRPr="00866E1C" w:rsidRDefault="00FA4B05" w:rsidP="00FA4B05">
      <w:pPr>
        <w:pStyle w:val="BlockText"/>
        <w:ind w:left="0" w:right="26"/>
        <w:jc w:val="center"/>
        <w:rPr>
          <w:noProof/>
          <w:szCs w:val="24"/>
          <w:lang w:val="en-US"/>
        </w:rPr>
      </w:pPr>
      <w:r>
        <w:rPr>
          <w:noProof/>
          <w:szCs w:val="24"/>
          <w:lang w:val="en-US"/>
        </w:rPr>
        <w:t>1</w:t>
      </w:r>
      <w:r w:rsidR="00F44CB6">
        <w:rPr>
          <w:noProof/>
          <w:szCs w:val="24"/>
          <w:lang w:val="en-US"/>
        </w:rPr>
        <w:t>9</w:t>
      </w:r>
      <w:r w:rsidRPr="00866E1C">
        <w:rPr>
          <w:noProof/>
          <w:szCs w:val="24"/>
          <w:lang w:val="en-US"/>
        </w:rPr>
        <w:t> </w:t>
      </w:r>
      <w:r w:rsidR="00F44CB6">
        <w:rPr>
          <w:noProof/>
          <w:szCs w:val="24"/>
          <w:lang w:val="en-US"/>
        </w:rPr>
        <w:t>December</w:t>
      </w:r>
      <w:r w:rsidRPr="00866E1C">
        <w:rPr>
          <w:noProof/>
          <w:szCs w:val="24"/>
          <w:lang w:val="en-US"/>
        </w:rPr>
        <w:t> 202</w:t>
      </w:r>
      <w:r w:rsidR="00F44CB6">
        <w:rPr>
          <w:noProof/>
          <w:szCs w:val="24"/>
          <w:lang w:val="en-US"/>
        </w:rPr>
        <w:t>4</w:t>
      </w:r>
      <w:r w:rsidRPr="00866E1C">
        <w:rPr>
          <w:noProof/>
          <w:szCs w:val="24"/>
          <w:lang w:val="en-US"/>
        </w:rPr>
        <w:t xml:space="preserve"> [shall come into force on </w:t>
      </w:r>
      <w:r w:rsidR="00F44CB6">
        <w:rPr>
          <w:noProof/>
          <w:szCs w:val="24"/>
          <w:lang w:val="en-US"/>
        </w:rPr>
        <w:t>29</w:t>
      </w:r>
      <w:r w:rsidRPr="00866E1C">
        <w:rPr>
          <w:noProof/>
          <w:szCs w:val="24"/>
          <w:lang w:val="en-US"/>
        </w:rPr>
        <w:t> </w:t>
      </w:r>
      <w:r w:rsidR="00F44CB6">
        <w:rPr>
          <w:noProof/>
          <w:szCs w:val="24"/>
          <w:lang w:val="en-US"/>
        </w:rPr>
        <w:t>Dec</w:t>
      </w:r>
      <w:r>
        <w:rPr>
          <w:noProof/>
          <w:szCs w:val="24"/>
          <w:lang w:val="en-US"/>
        </w:rPr>
        <w:t>ember</w:t>
      </w:r>
      <w:r w:rsidRPr="00866E1C">
        <w:rPr>
          <w:noProof/>
          <w:szCs w:val="24"/>
          <w:lang w:val="en-US"/>
        </w:rPr>
        <w:t> 202</w:t>
      </w:r>
      <w:r w:rsidR="00F44CB6">
        <w:rPr>
          <w:noProof/>
          <w:szCs w:val="24"/>
          <w:lang w:val="en-US"/>
        </w:rPr>
        <w:t>4</w:t>
      </w:r>
      <w:r w:rsidRPr="00866E1C">
        <w:rPr>
          <w:noProof/>
          <w:szCs w:val="24"/>
          <w:lang w:val="en-US"/>
        </w:rPr>
        <w:t>].</w:t>
      </w:r>
    </w:p>
    <w:p w14:paraId="26A3167D" w14:textId="77777777" w:rsidR="00FA4B05" w:rsidRPr="00866E1C" w:rsidRDefault="00FA4B05" w:rsidP="00FA4B05">
      <w:pPr>
        <w:widowControl w:val="0"/>
        <w:spacing w:after="0" w:line="240" w:lineRule="auto"/>
        <w:jc w:val="both"/>
        <w:rPr>
          <w:rFonts w:ascii="Times New Roman" w:hAnsi="Times New Roman"/>
          <w:noProof/>
          <w:kern w:val="0"/>
          <w:sz w:val="20"/>
          <w:lang w:val="en-US"/>
        </w:rPr>
      </w:pPr>
      <w:r w:rsidRPr="00866E1C">
        <w:rPr>
          <w:rFonts w:ascii="Times New Roman" w:hAnsi="Times New Roman"/>
          <w:noProof/>
          <w:kern w:val="0"/>
          <w:sz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4C7F155A" w14:textId="77777777" w:rsidR="00FA4B05" w:rsidRDefault="00FA4B05" w:rsidP="006B1BCE">
      <w:pPr>
        <w:spacing w:after="0" w:line="240" w:lineRule="auto"/>
        <w:jc w:val="center"/>
        <w:rPr>
          <w:rFonts w:ascii="Times New Roman" w:hAnsi="Times New Roman"/>
          <w:b/>
        </w:rPr>
      </w:pPr>
    </w:p>
    <w:p w14:paraId="6C9EF355" w14:textId="77777777" w:rsidR="00FA4B05" w:rsidRDefault="00FA4B05" w:rsidP="006B1BCE">
      <w:pPr>
        <w:spacing w:after="0" w:line="240" w:lineRule="auto"/>
        <w:jc w:val="center"/>
        <w:rPr>
          <w:rFonts w:ascii="Times New Roman" w:hAnsi="Times New Roman"/>
          <w:b/>
        </w:rPr>
      </w:pPr>
    </w:p>
    <w:p w14:paraId="542EC2E0" w14:textId="42630AB7" w:rsidR="006B1BCE" w:rsidRDefault="006740E0" w:rsidP="006B1BCE">
      <w:pPr>
        <w:spacing w:after="0" w:line="240" w:lineRule="auto"/>
        <w:jc w:val="center"/>
        <w:rPr>
          <w:rFonts w:ascii="Times New Roman" w:hAnsi="Times New Roman" w:cs="Times New Roman"/>
          <w:noProof/>
          <w:kern w:val="0"/>
        </w:rPr>
      </w:pPr>
      <w:r>
        <w:rPr>
          <w:rFonts w:ascii="Times New Roman" w:hAnsi="Times New Roman"/>
          <w:b/>
        </w:rPr>
        <w:t>Decision No. 1/24 of the Board of the Public Utilities Commission</w:t>
      </w:r>
    </w:p>
    <w:p w14:paraId="39A4CD96" w14:textId="77777777" w:rsidR="006B1BCE" w:rsidRDefault="006B1BCE" w:rsidP="006B1BCE">
      <w:pPr>
        <w:spacing w:after="0" w:line="240" w:lineRule="auto"/>
        <w:jc w:val="both"/>
        <w:rPr>
          <w:rFonts w:ascii="Times New Roman" w:hAnsi="Times New Roman" w:cs="Times New Roman"/>
          <w:noProof/>
          <w:kern w:val="0"/>
          <w:lang w:val="en-US"/>
        </w:rPr>
      </w:pPr>
    </w:p>
    <w:p w14:paraId="6B41ABB6" w14:textId="72B7262E" w:rsidR="006740E0" w:rsidRDefault="006740E0" w:rsidP="006B1BCE">
      <w:pPr>
        <w:spacing w:after="0" w:line="240" w:lineRule="auto"/>
        <w:jc w:val="center"/>
        <w:rPr>
          <w:rFonts w:ascii="Times New Roman" w:hAnsi="Times New Roman" w:cs="Times New Roman"/>
          <w:noProof/>
          <w:kern w:val="0"/>
        </w:rPr>
      </w:pPr>
      <w:r>
        <w:rPr>
          <w:rFonts w:ascii="Times New Roman" w:hAnsi="Times New Roman"/>
        </w:rPr>
        <w:t>Adopted 15 September 2022</w:t>
      </w:r>
    </w:p>
    <w:p w14:paraId="12BCBE3A" w14:textId="77777777" w:rsidR="006B1BCE" w:rsidRDefault="006B1BCE" w:rsidP="006B1BCE">
      <w:pPr>
        <w:spacing w:after="0" w:line="240" w:lineRule="auto"/>
        <w:jc w:val="center"/>
        <w:rPr>
          <w:rFonts w:ascii="Times New Roman" w:hAnsi="Times New Roman" w:cs="Times New Roman"/>
          <w:noProof/>
          <w:kern w:val="0"/>
          <w:lang w:val="en-US"/>
        </w:rPr>
      </w:pPr>
    </w:p>
    <w:p w14:paraId="051A2F6B" w14:textId="77777777" w:rsidR="006B1BCE" w:rsidRPr="006740E0" w:rsidRDefault="006B1BCE" w:rsidP="006B1BCE">
      <w:pPr>
        <w:spacing w:after="0" w:line="240" w:lineRule="auto"/>
        <w:jc w:val="center"/>
        <w:rPr>
          <w:rFonts w:ascii="Times New Roman" w:hAnsi="Times New Roman" w:cs="Times New Roman"/>
          <w:noProof/>
          <w:kern w:val="0"/>
          <w:lang w:val="en-US"/>
        </w:rPr>
      </w:pPr>
    </w:p>
    <w:p w14:paraId="51656698" w14:textId="77777777" w:rsidR="006740E0" w:rsidRPr="006B1BCE" w:rsidRDefault="006740E0" w:rsidP="006B1BCE">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Regulations Regarding Unbundled Access to the Subscriber Line</w:t>
      </w:r>
    </w:p>
    <w:p w14:paraId="1F7ADD98" w14:textId="77777777" w:rsidR="006B1BCE" w:rsidRDefault="006B1BCE" w:rsidP="006B1BCE">
      <w:pPr>
        <w:spacing w:after="0" w:line="240" w:lineRule="auto"/>
        <w:jc w:val="both"/>
        <w:rPr>
          <w:rFonts w:ascii="Times New Roman" w:hAnsi="Times New Roman" w:cs="Times New Roman"/>
          <w:b/>
          <w:bCs/>
          <w:noProof/>
          <w:kern w:val="0"/>
          <w:lang w:val="en-US"/>
        </w:rPr>
      </w:pPr>
    </w:p>
    <w:p w14:paraId="0B908C49" w14:textId="77777777" w:rsidR="006B1BCE" w:rsidRPr="006740E0" w:rsidRDefault="006B1BCE" w:rsidP="006B1BCE">
      <w:pPr>
        <w:spacing w:after="0" w:line="240" w:lineRule="auto"/>
        <w:jc w:val="both"/>
        <w:rPr>
          <w:rFonts w:ascii="Times New Roman" w:hAnsi="Times New Roman" w:cs="Times New Roman"/>
          <w:b/>
          <w:bCs/>
          <w:noProof/>
          <w:kern w:val="0"/>
          <w:lang w:val="en-US"/>
        </w:rPr>
      </w:pPr>
    </w:p>
    <w:p w14:paraId="366B432A" w14:textId="77777777" w:rsidR="003D0970" w:rsidRDefault="006740E0" w:rsidP="003D0970">
      <w:pPr>
        <w:spacing w:after="0" w:line="240" w:lineRule="auto"/>
        <w:jc w:val="right"/>
        <w:rPr>
          <w:rFonts w:ascii="Times New Roman" w:hAnsi="Times New Roman" w:cs="Times New Roman"/>
          <w:i/>
          <w:iCs/>
          <w:noProof/>
          <w:kern w:val="0"/>
        </w:rPr>
      </w:pPr>
      <w:r>
        <w:rPr>
          <w:rFonts w:ascii="Times New Roman" w:hAnsi="Times New Roman"/>
          <w:i/>
        </w:rPr>
        <w:t>Issued pursuant to</w:t>
      </w:r>
    </w:p>
    <w:p w14:paraId="3A1DAA43" w14:textId="181345D9" w:rsidR="006740E0" w:rsidRDefault="006740E0" w:rsidP="003D0970">
      <w:pPr>
        <w:spacing w:after="0" w:line="240" w:lineRule="auto"/>
        <w:jc w:val="right"/>
        <w:rPr>
          <w:rFonts w:ascii="Times New Roman" w:hAnsi="Times New Roman" w:cs="Times New Roman"/>
          <w:i/>
          <w:iCs/>
          <w:noProof/>
          <w:kern w:val="0"/>
        </w:rPr>
      </w:pPr>
      <w:r>
        <w:rPr>
          <w:rFonts w:ascii="Times New Roman" w:hAnsi="Times New Roman"/>
          <w:i/>
        </w:rPr>
        <w:t>Section 80, Paragraph three and Section 83, Paragraph one, Clause 2 of the Electronic Communications Law</w:t>
      </w:r>
    </w:p>
    <w:p w14:paraId="37870C45" w14:textId="77777777" w:rsidR="006B1BCE" w:rsidRPr="006740E0" w:rsidRDefault="006B1BCE" w:rsidP="006B1BCE">
      <w:pPr>
        <w:spacing w:after="0" w:line="240" w:lineRule="auto"/>
        <w:jc w:val="both"/>
        <w:rPr>
          <w:rFonts w:ascii="Times New Roman" w:hAnsi="Times New Roman" w:cs="Times New Roman"/>
          <w:i/>
          <w:iCs/>
          <w:noProof/>
          <w:kern w:val="0"/>
          <w:lang w:val="en-US"/>
        </w:rPr>
      </w:pPr>
    </w:p>
    <w:p w14:paraId="1F19AC66" w14:textId="77777777" w:rsidR="006740E0" w:rsidRDefault="006740E0" w:rsidP="006B1BCE">
      <w:pPr>
        <w:spacing w:after="0" w:line="240" w:lineRule="auto"/>
        <w:jc w:val="center"/>
        <w:rPr>
          <w:rFonts w:ascii="Times New Roman" w:hAnsi="Times New Roman" w:cs="Times New Roman"/>
          <w:b/>
          <w:bCs/>
          <w:noProof/>
          <w:kern w:val="0"/>
        </w:rPr>
      </w:pPr>
      <w:bookmarkStart w:id="0" w:name="n1"/>
      <w:bookmarkStart w:id="1" w:name="n-1135271"/>
      <w:bookmarkEnd w:id="0"/>
      <w:bookmarkEnd w:id="1"/>
      <w:r>
        <w:rPr>
          <w:rFonts w:ascii="Times New Roman" w:hAnsi="Times New Roman"/>
          <w:b/>
        </w:rPr>
        <w:t>I. General Provisions</w:t>
      </w:r>
    </w:p>
    <w:p w14:paraId="7BB67BDE" w14:textId="77777777" w:rsidR="006B1BCE" w:rsidRPr="006740E0" w:rsidRDefault="006B1BCE" w:rsidP="006B1BCE">
      <w:pPr>
        <w:spacing w:after="0" w:line="240" w:lineRule="auto"/>
        <w:jc w:val="center"/>
        <w:rPr>
          <w:rFonts w:ascii="Times New Roman" w:hAnsi="Times New Roman" w:cs="Times New Roman"/>
          <w:b/>
          <w:bCs/>
          <w:noProof/>
          <w:kern w:val="0"/>
          <w:lang w:val="en-US"/>
        </w:rPr>
      </w:pPr>
    </w:p>
    <w:p w14:paraId="36F799A6" w14:textId="77777777" w:rsidR="006740E0" w:rsidRPr="006740E0" w:rsidRDefault="006740E0" w:rsidP="006B1BCE">
      <w:pPr>
        <w:spacing w:after="0" w:line="240" w:lineRule="auto"/>
        <w:jc w:val="both"/>
        <w:rPr>
          <w:rFonts w:ascii="Times New Roman" w:hAnsi="Times New Roman" w:cs="Times New Roman"/>
          <w:noProof/>
          <w:kern w:val="0"/>
        </w:rPr>
      </w:pPr>
      <w:bookmarkStart w:id="2" w:name="p1"/>
      <w:bookmarkStart w:id="3" w:name="p-1396082"/>
      <w:bookmarkEnd w:id="2"/>
      <w:bookmarkEnd w:id="3"/>
      <w:r>
        <w:rPr>
          <w:rFonts w:ascii="Times New Roman" w:hAnsi="Times New Roman"/>
        </w:rPr>
        <w:t>1. The regulations prescribe:</w:t>
      </w:r>
    </w:p>
    <w:p w14:paraId="53CE51EA"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1.1. the technical and operational conditions of an electronic communications network for an electronic communications merchant with a significant market power who has a specific access obligation to ensure unbundled access to a subscriber line (hereinafter – the owner) for the following types of access:</w:t>
      </w:r>
    </w:p>
    <w:p w14:paraId="2D296B54" w14:textId="77777777" w:rsidR="006740E0" w:rsidRPr="006740E0"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1.1.1. full unbundled access to the subscriber line – an electronic communications service provided by the lessee to the end-user, using the subscriber line over its whole length;</w:t>
      </w:r>
    </w:p>
    <w:p w14:paraId="29074FE2" w14:textId="1398BFF9" w:rsidR="006740E0" w:rsidRPr="001B5623"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1.1.2. [19 December 2024];</w:t>
      </w:r>
    </w:p>
    <w:p w14:paraId="189046D4" w14:textId="77777777" w:rsidR="006740E0" w:rsidRPr="001B5623"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1.1.3. full unbundled access to the part of the subscriber line, including to the terminating segment – an electronic communications service provided by the lessee to the end-user, using the segment of the subscriber line from the distribution point to the termination point unless the owner and the lessee have agreed otherwise;</w:t>
      </w:r>
    </w:p>
    <w:p w14:paraId="71F9EF8E" w14:textId="7DE69BA4" w:rsidR="006740E0" w:rsidRPr="001B5623"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1.1.4. [19 December 2024];</w:t>
      </w:r>
    </w:p>
    <w:p w14:paraId="1C6811CD"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1.2. the technical information to be included in a reference offer for unbundled access to the subscriber line and the level of detail thereof.</w:t>
      </w:r>
    </w:p>
    <w:p w14:paraId="5F7F98A6" w14:textId="23C8D887" w:rsidR="006740E0" w:rsidRPr="001B5623" w:rsidRDefault="006740E0" w:rsidP="006B1BCE">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57AEE5C" w14:textId="77777777" w:rsidR="006B1BCE" w:rsidRDefault="006B1BCE" w:rsidP="006B1BCE">
      <w:pPr>
        <w:spacing w:after="0" w:line="240" w:lineRule="auto"/>
        <w:jc w:val="both"/>
        <w:rPr>
          <w:rFonts w:ascii="Times New Roman" w:hAnsi="Times New Roman" w:cs="Times New Roman"/>
          <w:noProof/>
          <w:kern w:val="0"/>
        </w:rPr>
      </w:pPr>
      <w:bookmarkStart w:id="4" w:name="p2"/>
      <w:bookmarkStart w:id="5" w:name="p-1396084"/>
      <w:bookmarkEnd w:id="4"/>
      <w:bookmarkEnd w:id="5"/>
    </w:p>
    <w:p w14:paraId="3D0FF478" w14:textId="22BADB47"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2. The following terms are used in the regulations:</w:t>
      </w:r>
    </w:p>
    <w:p w14:paraId="2822631B"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2.1. </w:t>
      </w:r>
      <w:r>
        <w:rPr>
          <w:rFonts w:ascii="Times New Roman" w:hAnsi="Times New Roman"/>
          <w:b/>
        </w:rPr>
        <w:t>unbundled access to the subscriber line (hereinafter – the unbundled access)</w:t>
      </w:r>
      <w:r>
        <w:rPr>
          <w:rFonts w:ascii="Times New Roman" w:hAnsi="Times New Roman"/>
        </w:rPr>
        <w:t> – an access service provided by the owner to another electronic communications merchant for the provision of the electronic communications service, using the subscriber line or part thereof fully or jointly;</w:t>
      </w:r>
    </w:p>
    <w:p w14:paraId="4A40CF89"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2.2. </w:t>
      </w:r>
      <w:r>
        <w:rPr>
          <w:rFonts w:ascii="Times New Roman" w:hAnsi="Times New Roman"/>
          <w:b/>
          <w:bCs/>
        </w:rPr>
        <w:t>backhaul</w:t>
      </w:r>
      <w:r>
        <w:rPr>
          <w:rFonts w:ascii="Times New Roman" w:hAnsi="Times New Roman"/>
        </w:rPr>
        <w:t> – the following service established between the unbundled access point and the electronic communications network facility of the lessee:</w:t>
      </w:r>
    </w:p>
    <w:p w14:paraId="3366949C" w14:textId="77777777" w:rsidR="006740E0" w:rsidRPr="006740E0"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2.2.1. Ethernet backhaul – a connection established at the Ethernet OSI Layer 2;</w:t>
      </w:r>
    </w:p>
    <w:p w14:paraId="015FF659" w14:textId="77777777" w:rsidR="006740E0" w:rsidRPr="006740E0"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2.2.2. access to cable ducts or poles;</w:t>
      </w:r>
    </w:p>
    <w:p w14:paraId="597A675B" w14:textId="77777777" w:rsidR="006740E0" w:rsidRPr="006740E0"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2.3.3. lease of dark fibre;</w:t>
      </w:r>
    </w:p>
    <w:p w14:paraId="47DC02A6"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2.3. </w:t>
      </w:r>
      <w:r>
        <w:rPr>
          <w:rFonts w:ascii="Times New Roman" w:hAnsi="Times New Roman"/>
          <w:b/>
        </w:rPr>
        <w:t>lessee</w:t>
      </w:r>
      <w:r>
        <w:rPr>
          <w:rFonts w:ascii="Times New Roman" w:hAnsi="Times New Roman"/>
        </w:rPr>
        <w:t> – an electronic communications merchant who has entered into a contract for the unbundled access with the owner;</w:t>
      </w:r>
    </w:p>
    <w:p w14:paraId="5E5E7185"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2.4. </w:t>
      </w:r>
      <w:r>
        <w:rPr>
          <w:rFonts w:ascii="Times New Roman" w:hAnsi="Times New Roman"/>
          <w:b/>
        </w:rPr>
        <w:t>central office</w:t>
      </w:r>
      <w:r>
        <w:rPr>
          <w:rFonts w:ascii="Times New Roman" w:hAnsi="Times New Roman"/>
        </w:rPr>
        <w:t> – a place where the access network and the core network interconnect;</w:t>
      </w:r>
    </w:p>
    <w:p w14:paraId="6835E5A3"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lastRenderedPageBreak/>
        <w:t xml:space="preserve">2.5. </w:t>
      </w:r>
      <w:r>
        <w:rPr>
          <w:rFonts w:ascii="Times New Roman" w:hAnsi="Times New Roman"/>
          <w:b/>
        </w:rPr>
        <w:t>unbundled access point</w:t>
      </w:r>
      <w:r>
        <w:rPr>
          <w:rFonts w:ascii="Times New Roman" w:hAnsi="Times New Roman"/>
        </w:rPr>
        <w:t> – a physical point collocated at the central office of the owner or another place over the electronic communications network, if technically possible, at which the owner provides the lessee with unbundled access to the subscriber line to provide the electronic communications services to the end-user over the subscriber line of the owner;</w:t>
      </w:r>
    </w:p>
    <w:p w14:paraId="76B794C0"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2.6. </w:t>
      </w:r>
      <w:r>
        <w:rPr>
          <w:rFonts w:ascii="Times New Roman" w:hAnsi="Times New Roman"/>
          <w:b/>
        </w:rPr>
        <w:t>backhaul access point</w:t>
      </w:r>
      <w:r>
        <w:rPr>
          <w:rFonts w:ascii="Times New Roman" w:hAnsi="Times New Roman"/>
        </w:rPr>
        <w:t> – a physical point collocated at the central office of the owner or another place over the electronic communications network, if technically possible, at which the owner provides the lessee with the backhaul;</w:t>
      </w:r>
    </w:p>
    <w:p w14:paraId="7BD27139"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2.7. </w:t>
      </w:r>
      <w:r>
        <w:rPr>
          <w:rFonts w:ascii="Times New Roman" w:hAnsi="Times New Roman"/>
          <w:b/>
        </w:rPr>
        <w:t>Ethernet backhaul access point</w:t>
      </w:r>
      <w:r>
        <w:rPr>
          <w:rFonts w:ascii="Times New Roman" w:hAnsi="Times New Roman"/>
        </w:rPr>
        <w:t> – an interface of the electronic communications network facility of the owner at which the owner provides the lessee with the Ethernet backhaul;</w:t>
      </w:r>
    </w:p>
    <w:p w14:paraId="534E9210"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2.8. </w:t>
      </w:r>
      <w:r>
        <w:rPr>
          <w:rFonts w:ascii="Times New Roman" w:hAnsi="Times New Roman"/>
          <w:b/>
        </w:rPr>
        <w:t>applicant</w:t>
      </w:r>
      <w:r>
        <w:rPr>
          <w:rFonts w:ascii="Times New Roman" w:hAnsi="Times New Roman"/>
        </w:rPr>
        <w:t> – an electronic communications merchant who wishes to obtain unbundled access;</w:t>
      </w:r>
    </w:p>
    <w:p w14:paraId="0846617C"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2.9. </w:t>
      </w:r>
      <w:r>
        <w:rPr>
          <w:rFonts w:ascii="Times New Roman" w:hAnsi="Times New Roman"/>
          <w:b/>
        </w:rPr>
        <w:t>distribution point</w:t>
      </w:r>
      <w:r>
        <w:rPr>
          <w:rFonts w:ascii="Times New Roman" w:hAnsi="Times New Roman"/>
        </w:rPr>
        <w:t> – a cable distribution device for the public electronic communications network which is intended for the distribution of metallic or optical fibre cables. The distribution point is a cable distribution cabinet, distribution box, small distribution box, or cable closure;</w:t>
      </w:r>
    </w:p>
    <w:p w14:paraId="0F167438" w14:textId="7F73A0B2"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2.10. [19 December 2024];</w:t>
      </w:r>
    </w:p>
    <w:p w14:paraId="6B753539"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2.11. </w:t>
      </w:r>
      <w:r>
        <w:rPr>
          <w:rFonts w:ascii="Times New Roman" w:hAnsi="Times New Roman"/>
          <w:b/>
        </w:rPr>
        <w:t>dark fibre</w:t>
      </w:r>
      <w:r>
        <w:rPr>
          <w:rFonts w:ascii="Times New Roman" w:hAnsi="Times New Roman"/>
        </w:rPr>
        <w:t> – an optical fibre in an installed or built cable line which is not active, i.e. its both ends are not connected to operating optoelectronic devices;</w:t>
      </w:r>
    </w:p>
    <w:p w14:paraId="0A87C458"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 xml:space="preserve">2.12. </w:t>
      </w:r>
      <w:r>
        <w:rPr>
          <w:rFonts w:ascii="Times New Roman" w:hAnsi="Times New Roman"/>
          <w:b/>
        </w:rPr>
        <w:t>virtual unbundled local access (VULA)</w:t>
      </w:r>
      <w:r>
        <w:rPr>
          <w:rFonts w:ascii="Times New Roman" w:hAnsi="Times New Roman"/>
        </w:rPr>
        <w:t> – an active access product which is a connection established at the Ethernet OSI Layer 2 between the connection point of the subscriber line of the owner and the unbundled access point and which is physically collocated at the central office of the owner or another place over the electronic communications network.</w:t>
      </w:r>
    </w:p>
    <w:p w14:paraId="7B83F663" w14:textId="77777777" w:rsidR="006B1BCE" w:rsidRDefault="006B1BCE" w:rsidP="006B1BCE">
      <w:pPr>
        <w:spacing w:after="0" w:line="240" w:lineRule="auto"/>
        <w:jc w:val="both"/>
        <w:rPr>
          <w:rFonts w:ascii="Times New Roman" w:hAnsi="Times New Roman" w:cs="Times New Roman"/>
          <w:noProof/>
          <w:kern w:val="0"/>
        </w:rPr>
      </w:pPr>
      <w:bookmarkStart w:id="6" w:name="p3"/>
      <w:bookmarkStart w:id="7" w:name="p-1396087"/>
      <w:bookmarkEnd w:id="6"/>
      <w:bookmarkEnd w:id="7"/>
    </w:p>
    <w:p w14:paraId="15842888" w14:textId="081728C6"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3. The following abbreviations are used in the regulations:</w:t>
      </w:r>
    </w:p>
    <w:p w14:paraId="0A13A49A"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3.1. </w:t>
      </w:r>
      <w:r>
        <w:rPr>
          <w:rFonts w:ascii="Times New Roman" w:hAnsi="Times New Roman"/>
          <w:b/>
        </w:rPr>
        <w:t>Ethernet P2P</w:t>
      </w:r>
      <w:r>
        <w:rPr>
          <w:rFonts w:ascii="Times New Roman" w:hAnsi="Times New Roman"/>
        </w:rPr>
        <w:t> – Ethernet Point to Point Technology;</w:t>
      </w:r>
    </w:p>
    <w:p w14:paraId="2E9E6E74"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3.2. </w:t>
      </w:r>
      <w:r>
        <w:rPr>
          <w:rFonts w:ascii="Times New Roman" w:hAnsi="Times New Roman"/>
          <w:b/>
          <w:bCs/>
        </w:rPr>
        <w:t>FTTB</w:t>
      </w:r>
      <w:r>
        <w:rPr>
          <w:rFonts w:ascii="Times New Roman" w:hAnsi="Times New Roman"/>
        </w:rPr>
        <w:t xml:space="preserve"> (Fibre to the Building) – ensuring of optical fibre cables to the building;</w:t>
      </w:r>
    </w:p>
    <w:p w14:paraId="0F002F10"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3.3. </w:t>
      </w:r>
      <w:r>
        <w:rPr>
          <w:rFonts w:ascii="Times New Roman" w:hAnsi="Times New Roman"/>
          <w:b/>
          <w:bCs/>
        </w:rPr>
        <w:t>FTTH</w:t>
      </w:r>
      <w:r>
        <w:rPr>
          <w:rFonts w:ascii="Times New Roman" w:hAnsi="Times New Roman"/>
        </w:rPr>
        <w:t xml:space="preserve"> (Fibre to the Home) – ensuring of optical fibre cables to the premises of an end-user;</w:t>
      </w:r>
    </w:p>
    <w:p w14:paraId="151A20E7"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3.4. </w:t>
      </w:r>
      <w:r>
        <w:rPr>
          <w:rFonts w:ascii="Times New Roman" w:hAnsi="Times New Roman"/>
          <w:b/>
          <w:bCs/>
        </w:rPr>
        <w:t>FTTN</w:t>
      </w:r>
      <w:r>
        <w:rPr>
          <w:rFonts w:ascii="Times New Roman" w:hAnsi="Times New Roman"/>
        </w:rPr>
        <w:t xml:space="preserve"> (Fibre to the Node) – ensuring of optical fibre cables to the distribution cabinet;</w:t>
      </w:r>
    </w:p>
    <w:p w14:paraId="266CF837"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3.5. </w:t>
      </w:r>
      <w:r>
        <w:rPr>
          <w:rFonts w:ascii="Times New Roman" w:hAnsi="Times New Roman"/>
          <w:b/>
        </w:rPr>
        <w:t>Gbit/s</w:t>
      </w:r>
      <w:r>
        <w:rPr>
          <w:rFonts w:ascii="Times New Roman" w:hAnsi="Times New Roman"/>
        </w:rPr>
        <w:t> – gigabits per second;</w:t>
      </w:r>
    </w:p>
    <w:p w14:paraId="3D7B1598" w14:textId="41A7ADD0"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3.6. [19 December 2024];</w:t>
      </w:r>
    </w:p>
    <w:p w14:paraId="35F84A3A"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3.7. </w:t>
      </w:r>
      <w:r>
        <w:rPr>
          <w:rFonts w:ascii="Times New Roman" w:hAnsi="Times New Roman"/>
          <w:b/>
        </w:rPr>
        <w:t>IGMP</w:t>
      </w:r>
      <w:r>
        <w:rPr>
          <w:rFonts w:ascii="Times New Roman" w:hAnsi="Times New Roman"/>
        </w:rPr>
        <w:t> – Internet Group Multicast Protocol;</w:t>
      </w:r>
    </w:p>
    <w:p w14:paraId="11445D07"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3.8. </w:t>
      </w:r>
      <w:r>
        <w:rPr>
          <w:rFonts w:ascii="Times New Roman" w:hAnsi="Times New Roman"/>
          <w:b/>
        </w:rPr>
        <w:t>ITU-T</w:t>
      </w:r>
      <w:r>
        <w:rPr>
          <w:rFonts w:ascii="Times New Roman" w:hAnsi="Times New Roman"/>
        </w:rPr>
        <w:t> – International Telecommunications Union, Telecommunication Standardization Sector;</w:t>
      </w:r>
    </w:p>
    <w:p w14:paraId="06B193BD"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3.9. </w:t>
      </w:r>
      <w:r>
        <w:rPr>
          <w:rFonts w:ascii="Times New Roman" w:hAnsi="Times New Roman"/>
          <w:b/>
        </w:rPr>
        <w:t>MDF</w:t>
      </w:r>
      <w:r>
        <w:rPr>
          <w:rFonts w:ascii="Times New Roman" w:hAnsi="Times New Roman"/>
        </w:rPr>
        <w:t xml:space="preserve"> (Main Distribution Frame) – shielded twisted pair cable cross;</w:t>
      </w:r>
    </w:p>
    <w:p w14:paraId="657D63FE"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3.10. </w:t>
      </w:r>
      <w:r>
        <w:rPr>
          <w:rFonts w:ascii="Times New Roman" w:hAnsi="Times New Roman"/>
          <w:b/>
        </w:rPr>
        <w:t>NTU</w:t>
      </w:r>
      <w:r>
        <w:rPr>
          <w:rFonts w:ascii="Times New Roman" w:hAnsi="Times New Roman"/>
        </w:rPr>
        <w:t> – Network Termination Unit;</w:t>
      </w:r>
    </w:p>
    <w:p w14:paraId="1671F92B"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3.11. </w:t>
      </w:r>
      <w:r>
        <w:rPr>
          <w:rFonts w:ascii="Times New Roman" w:hAnsi="Times New Roman"/>
          <w:b/>
        </w:rPr>
        <w:t>ODF</w:t>
      </w:r>
      <w:r>
        <w:rPr>
          <w:rFonts w:ascii="Times New Roman" w:hAnsi="Times New Roman"/>
        </w:rPr>
        <w:t xml:space="preserve"> (Optical Fibre Distribution Frame) – optical fibre cable cross;</w:t>
      </w:r>
    </w:p>
    <w:p w14:paraId="2D709DB2"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3.12. </w:t>
      </w:r>
      <w:r>
        <w:rPr>
          <w:rFonts w:ascii="Times New Roman" w:hAnsi="Times New Roman"/>
          <w:b/>
        </w:rPr>
        <w:t>OSI </w:t>
      </w:r>
      <w:r>
        <w:rPr>
          <w:rFonts w:ascii="Times New Roman" w:hAnsi="Times New Roman"/>
        </w:rPr>
        <w:t>– Open Systems Interconnection;</w:t>
      </w:r>
    </w:p>
    <w:p w14:paraId="545E7C8C" w14:textId="033A2624"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3.12.</w:t>
      </w:r>
      <w:r>
        <w:rPr>
          <w:rFonts w:ascii="Times New Roman" w:hAnsi="Times New Roman"/>
          <w:vertAlign w:val="superscript"/>
        </w:rPr>
        <w:t>1</w:t>
      </w:r>
      <w:r>
        <w:rPr>
          <w:rFonts w:ascii="Times New Roman" w:hAnsi="Times New Roman"/>
        </w:rPr>
        <w:t> </w:t>
      </w:r>
      <w:r>
        <w:rPr>
          <w:rFonts w:ascii="Times New Roman" w:hAnsi="Times New Roman"/>
          <w:b/>
        </w:rPr>
        <w:t>PON</w:t>
      </w:r>
      <w:r>
        <w:rPr>
          <w:rFonts w:ascii="Times New Roman" w:hAnsi="Times New Roman"/>
        </w:rPr>
        <w:t> – passive optical network</w:t>
      </w:r>
      <w:r w:rsidR="00F61DC6">
        <w:rPr>
          <w:rFonts w:ascii="Times New Roman" w:hAnsi="Times New Roman"/>
        </w:rPr>
        <w:t>;</w:t>
      </w:r>
    </w:p>
    <w:p w14:paraId="47DCDA41" w14:textId="0AD6B4C6"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3.13. [19 December 2024];</w:t>
      </w:r>
    </w:p>
    <w:p w14:paraId="7EADCFD1"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3.14. </w:t>
      </w:r>
      <w:r>
        <w:rPr>
          <w:rFonts w:ascii="Times New Roman" w:hAnsi="Times New Roman"/>
          <w:b/>
        </w:rPr>
        <w:t>TP</w:t>
      </w:r>
      <w:r>
        <w:rPr>
          <w:rFonts w:ascii="Times New Roman" w:hAnsi="Times New Roman"/>
        </w:rPr>
        <w:t> – termination point;</w:t>
      </w:r>
    </w:p>
    <w:p w14:paraId="6D0A8DD1"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3.15. </w:t>
      </w:r>
      <w:r>
        <w:rPr>
          <w:rFonts w:ascii="Times New Roman" w:hAnsi="Times New Roman"/>
          <w:b/>
          <w:bCs/>
        </w:rPr>
        <w:t>P2P</w:t>
      </w:r>
      <w:r>
        <w:rPr>
          <w:rFonts w:ascii="Times New Roman" w:hAnsi="Times New Roman"/>
        </w:rPr>
        <w:t xml:space="preserve"> (Point to Point) – access network point-to-point architecture;</w:t>
      </w:r>
    </w:p>
    <w:p w14:paraId="48EF85BC"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3.16. </w:t>
      </w:r>
      <w:r>
        <w:rPr>
          <w:rFonts w:ascii="Times New Roman" w:hAnsi="Times New Roman"/>
          <w:b/>
        </w:rPr>
        <w:t>RJ</w:t>
      </w:r>
      <w:r>
        <w:rPr>
          <w:rFonts w:ascii="Times New Roman" w:hAnsi="Times New Roman"/>
        </w:rPr>
        <w:t xml:space="preserve"> (Registered Jack) – a standardised physical interface of an electronic communications network;</w:t>
      </w:r>
    </w:p>
    <w:p w14:paraId="27EA4C0C" w14:textId="6607F22D"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3.17. [19 December 2024];</w:t>
      </w:r>
    </w:p>
    <w:p w14:paraId="62743E86" w14:textId="336C6ECD"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3.18. [19 December 2024];</w:t>
      </w:r>
    </w:p>
    <w:p w14:paraId="208F968A"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3.19. </w:t>
      </w:r>
      <w:r>
        <w:rPr>
          <w:rFonts w:ascii="Times New Roman" w:hAnsi="Times New Roman"/>
          <w:b/>
        </w:rPr>
        <w:t>VLAN</w:t>
      </w:r>
      <w:r>
        <w:rPr>
          <w:rFonts w:ascii="Times New Roman" w:hAnsi="Times New Roman"/>
        </w:rPr>
        <w:t> – Virtual Local Area Network;</w:t>
      </w:r>
    </w:p>
    <w:p w14:paraId="3F8EE946" w14:textId="2EB887CA"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3.20. </w:t>
      </w:r>
      <w:r>
        <w:rPr>
          <w:rFonts w:ascii="Times New Roman" w:hAnsi="Times New Roman"/>
          <w:b/>
        </w:rPr>
        <w:t>VULA</w:t>
      </w:r>
      <w:r>
        <w:rPr>
          <w:rFonts w:ascii="Times New Roman" w:hAnsi="Times New Roman"/>
        </w:rPr>
        <w:t> – Virtual Unbundled Local Access</w:t>
      </w:r>
      <w:r w:rsidR="00F61DC6">
        <w:rPr>
          <w:rFonts w:ascii="Times New Roman" w:hAnsi="Times New Roman"/>
        </w:rPr>
        <w:t>;</w:t>
      </w:r>
    </w:p>
    <w:p w14:paraId="689804A9" w14:textId="770B0693"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3.21. [19 December 2024].</w:t>
      </w:r>
    </w:p>
    <w:p w14:paraId="2AF7A641" w14:textId="0BF4EE64" w:rsidR="006740E0" w:rsidRPr="001B5623" w:rsidRDefault="006740E0" w:rsidP="001B5623">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07D7BFD1" w14:textId="77777777" w:rsidR="006B1BCE" w:rsidRDefault="006B1BCE" w:rsidP="006B1BCE">
      <w:pPr>
        <w:spacing w:after="0" w:line="240" w:lineRule="auto"/>
        <w:jc w:val="both"/>
        <w:rPr>
          <w:rFonts w:ascii="Times New Roman" w:hAnsi="Times New Roman" w:cs="Times New Roman"/>
          <w:noProof/>
          <w:kern w:val="0"/>
        </w:rPr>
      </w:pPr>
      <w:bookmarkStart w:id="8" w:name="p4"/>
      <w:bookmarkStart w:id="9" w:name="p-1396088"/>
      <w:bookmarkEnd w:id="8"/>
      <w:bookmarkEnd w:id="9"/>
    </w:p>
    <w:p w14:paraId="79B1E3CD" w14:textId="10903897"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lastRenderedPageBreak/>
        <w:t>4. Technological solutions for unbundling refer to the subscriber line established in accordance with the general organisation chart of the access network indicated in Annex 1 to these regulations and the access network architecture of optical fibre cables indicated in Annex 2 to these regulations.</w:t>
      </w:r>
    </w:p>
    <w:p w14:paraId="387D27A9" w14:textId="2B85DFE9" w:rsidR="006740E0" w:rsidRPr="001B5623" w:rsidRDefault="006740E0" w:rsidP="006B1BCE">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454282F" w14:textId="77777777" w:rsidR="006B1BCE" w:rsidRDefault="006B1BCE" w:rsidP="006B1BCE">
      <w:pPr>
        <w:spacing w:after="0" w:line="240" w:lineRule="auto"/>
        <w:jc w:val="both"/>
        <w:rPr>
          <w:rFonts w:ascii="Times New Roman" w:hAnsi="Times New Roman" w:cs="Times New Roman"/>
          <w:noProof/>
          <w:kern w:val="0"/>
        </w:rPr>
      </w:pPr>
      <w:bookmarkStart w:id="10" w:name="p5"/>
      <w:bookmarkStart w:id="11" w:name="p-1135290"/>
      <w:bookmarkEnd w:id="10"/>
      <w:bookmarkEnd w:id="11"/>
    </w:p>
    <w:p w14:paraId="34673F5C" w14:textId="7AE668EC"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5. The owner shall include in the reference offer for unbundled access to the subscriber line at least the following technological solutions used over its access network and indicated in Annex 3 to these regulations:</w:t>
      </w:r>
    </w:p>
    <w:p w14:paraId="77F67267"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5.1. access network architecture;</w:t>
      </w:r>
    </w:p>
    <w:p w14:paraId="448FCC48"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5.2. access network technology;</w:t>
      </w:r>
    </w:p>
    <w:p w14:paraId="5B9CD187"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5.3. type of unbundled access;</w:t>
      </w:r>
    </w:p>
    <w:p w14:paraId="2A1F0D0C"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5.4. unbundling technology;</w:t>
      </w:r>
    </w:p>
    <w:p w14:paraId="04445982"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5.5. place for the implementation of unbundled access.</w:t>
      </w:r>
    </w:p>
    <w:p w14:paraId="363BCEFA" w14:textId="77777777" w:rsidR="006B1BCE" w:rsidRDefault="006B1BCE" w:rsidP="006B1BCE">
      <w:pPr>
        <w:spacing w:after="0" w:line="240" w:lineRule="auto"/>
        <w:jc w:val="both"/>
        <w:rPr>
          <w:rFonts w:ascii="Times New Roman" w:hAnsi="Times New Roman" w:cs="Times New Roman"/>
          <w:noProof/>
          <w:kern w:val="0"/>
        </w:rPr>
      </w:pPr>
      <w:bookmarkStart w:id="12" w:name="p6"/>
      <w:bookmarkStart w:id="13" w:name="p-1396089"/>
      <w:bookmarkEnd w:id="12"/>
      <w:bookmarkEnd w:id="13"/>
    </w:p>
    <w:p w14:paraId="4D2A8307" w14:textId="5B96760E"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6. The owner shall use at least the following unbundling technologies for the implementation of unbundled access:</w:t>
      </w:r>
    </w:p>
    <w:p w14:paraId="72F18339"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6.1. physical switching:</w:t>
      </w:r>
    </w:p>
    <w:p w14:paraId="36442030" w14:textId="2367FE9D" w:rsidR="006740E0" w:rsidRPr="006740E0"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6.1.1. the physical switching of the terminating segment of the FTTB subscriber line is the mechanical switching of the shielded twisted pairs at the distribution point using a terminator, a connector module, or a connector; it also includes the switching of the pair not in use of the terminating segment of the FTTB subscriber line at the subscriber line distribution point;</w:t>
      </w:r>
    </w:p>
    <w:p w14:paraId="6E939C4A" w14:textId="77777777" w:rsidR="006740E0" w:rsidRPr="006740E0" w:rsidRDefault="006740E0" w:rsidP="001B5623">
      <w:pPr>
        <w:spacing w:after="0" w:line="240" w:lineRule="auto"/>
        <w:ind w:left="709" w:firstLine="709"/>
        <w:jc w:val="both"/>
        <w:rPr>
          <w:rFonts w:ascii="Times New Roman" w:hAnsi="Times New Roman" w:cs="Times New Roman"/>
          <w:noProof/>
          <w:kern w:val="0"/>
        </w:rPr>
      </w:pPr>
      <w:r>
        <w:rPr>
          <w:rFonts w:ascii="Times New Roman" w:hAnsi="Times New Roman"/>
        </w:rPr>
        <w:t>6.1.2. physical switching over the optical fibre cable subscriber line is mechanical switching of the optical fibres at the central office or distribution point by using the optical plug and coupler or fibre connection; it also includes switching of the dark fibre over the access network at the unbundling place necessary for the applicant – at the ODF of the central office, distribution point of the subscriber line, or termination point, and also connection for the drawable fibre cable fibre;</w:t>
      </w:r>
    </w:p>
    <w:p w14:paraId="2FDFAE55" w14:textId="264BE61B"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6.2. [19 December 2024];</w:t>
      </w:r>
    </w:p>
    <w:p w14:paraId="332FB8A3"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6.3. VULA.</w:t>
      </w:r>
    </w:p>
    <w:p w14:paraId="48CB232D" w14:textId="75FA513A" w:rsidR="006740E0" w:rsidRPr="001B5623" w:rsidRDefault="006740E0" w:rsidP="006B1BCE">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3E05441D" w14:textId="77777777" w:rsidR="001B5623" w:rsidRDefault="001B5623" w:rsidP="006B1BCE">
      <w:pPr>
        <w:spacing w:after="0" w:line="240" w:lineRule="auto"/>
        <w:jc w:val="both"/>
        <w:rPr>
          <w:rFonts w:ascii="Times New Roman" w:hAnsi="Times New Roman" w:cs="Times New Roman"/>
          <w:noProof/>
          <w:kern w:val="0"/>
        </w:rPr>
      </w:pPr>
      <w:bookmarkStart w:id="14" w:name="p7"/>
      <w:bookmarkStart w:id="15" w:name="p-1396090"/>
      <w:bookmarkEnd w:id="14"/>
      <w:bookmarkEnd w:id="15"/>
    </w:p>
    <w:p w14:paraId="341146A5" w14:textId="3B9AD5B5"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7. [19 December 2024]</w:t>
      </w:r>
    </w:p>
    <w:p w14:paraId="50CECF05" w14:textId="77777777" w:rsidR="001B5623" w:rsidRDefault="001B5623" w:rsidP="006B1BCE">
      <w:pPr>
        <w:spacing w:after="0" w:line="240" w:lineRule="auto"/>
        <w:jc w:val="both"/>
        <w:rPr>
          <w:rFonts w:ascii="Times New Roman" w:hAnsi="Times New Roman" w:cs="Times New Roman"/>
          <w:noProof/>
          <w:kern w:val="0"/>
        </w:rPr>
      </w:pPr>
      <w:bookmarkStart w:id="16" w:name="p8"/>
      <w:bookmarkStart w:id="17" w:name="p-1135299"/>
      <w:bookmarkEnd w:id="16"/>
      <w:bookmarkEnd w:id="17"/>
    </w:p>
    <w:p w14:paraId="15D004DB" w14:textId="6B12F1B0"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8. In the reference offer for unbundled access to the subscriber line, the owner shall include the technical requirements for the shielded optical fibre cable subscriber line and dark fibre which are applicable to unbundled access, covering at least the following conditions:</w:t>
      </w:r>
    </w:p>
    <w:p w14:paraId="68570206"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8.1. the requirements for the optical fibre, indicating the European standard and ITU-T recommendation to which the optical fibre conforms;</w:t>
      </w:r>
    </w:p>
    <w:p w14:paraId="6CF5906B"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8.2. attenuation in optical fibre (dB/km) at wavelengths of electromagnetic waves of 1310 nm, 490 nm, and 1550 nm if the applicant intends to use a facility operating at other wavelengths of electromagnetic waves, the owner shall, upon request of the applicant, within five working days, provide the applicant individually with attenuation in optical fibre (dB/km) at the requested wavelengths of electromagnetic waves;</w:t>
      </w:r>
    </w:p>
    <w:p w14:paraId="23B25CD2"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8.3. the requirements for the optical plug and coupler;</w:t>
      </w:r>
    </w:p>
    <w:p w14:paraId="0C9FB930"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8.4. the requirements for lightning and over-voltage protection equipment and the procedures for the installation thereof.</w:t>
      </w:r>
    </w:p>
    <w:p w14:paraId="04ACE9F8" w14:textId="77777777" w:rsidR="001B5623" w:rsidRDefault="001B5623" w:rsidP="006B1BCE">
      <w:pPr>
        <w:spacing w:after="0" w:line="240" w:lineRule="auto"/>
        <w:jc w:val="both"/>
        <w:rPr>
          <w:rFonts w:ascii="Times New Roman" w:hAnsi="Times New Roman" w:cs="Times New Roman"/>
          <w:noProof/>
          <w:kern w:val="0"/>
        </w:rPr>
      </w:pPr>
      <w:bookmarkStart w:id="18" w:name="p9"/>
      <w:bookmarkStart w:id="19" w:name="p-1396092"/>
      <w:bookmarkEnd w:id="18"/>
      <w:bookmarkEnd w:id="19"/>
    </w:p>
    <w:p w14:paraId="66901232" w14:textId="28E8C3D1" w:rsidR="006740E0" w:rsidRPr="006740E0" w:rsidRDefault="006740E0" w:rsidP="00077007">
      <w:pPr>
        <w:keepNext/>
        <w:keepLines/>
        <w:spacing w:after="0" w:line="240" w:lineRule="auto"/>
        <w:jc w:val="both"/>
        <w:rPr>
          <w:rFonts w:ascii="Times New Roman" w:hAnsi="Times New Roman" w:cs="Times New Roman"/>
          <w:noProof/>
          <w:kern w:val="0"/>
        </w:rPr>
      </w:pPr>
      <w:r>
        <w:rPr>
          <w:rFonts w:ascii="Times New Roman" w:hAnsi="Times New Roman"/>
        </w:rPr>
        <w:lastRenderedPageBreak/>
        <w:t>9. For unbundled access to FTTH P2P or PON, FTTB access network architectures and technology, except for terminating segment, the owner shall provide, upon request of the lessee, the backhaul for Ethernet, lease of dark fibre, or access cable ducts. In case of other access network technologies, the owner shall provide the backhaul upon agreement with the lessee.</w:t>
      </w:r>
    </w:p>
    <w:p w14:paraId="4016E500" w14:textId="1ED960DB" w:rsidR="006740E0" w:rsidRPr="001B5623" w:rsidRDefault="006740E0" w:rsidP="006B1BCE">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0BE782F5" w14:textId="77777777" w:rsidR="001B5623" w:rsidRDefault="001B5623" w:rsidP="006B1BCE">
      <w:pPr>
        <w:spacing w:after="0" w:line="240" w:lineRule="auto"/>
        <w:jc w:val="both"/>
        <w:rPr>
          <w:rFonts w:ascii="Times New Roman" w:hAnsi="Times New Roman" w:cs="Times New Roman"/>
          <w:noProof/>
          <w:kern w:val="0"/>
        </w:rPr>
      </w:pPr>
      <w:bookmarkStart w:id="20" w:name="p10"/>
      <w:bookmarkStart w:id="21" w:name="p-1396093"/>
      <w:bookmarkEnd w:id="20"/>
      <w:bookmarkEnd w:id="21"/>
    </w:p>
    <w:p w14:paraId="495C0CDD" w14:textId="789875AE"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10. For unbundled access to FTTH P2P or PON, FTTB access network architectures and technology, except for terminating segment, the following additional requirements shall be complied with by the owner when providing the Ethernet backhaul:</w:t>
      </w:r>
    </w:p>
    <w:p w14:paraId="6B664848"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10.1. an access point shall be established for the Ethernet backhaul as the optical fibre connector of the Ethernet OSI Layer 2 distribution frame where the following maximum download and upload data transmission speed (hereinafter – the transmission speed) shall be ensured: 1*n Gbit/s where n is a natural figure which is greater than 0 and the value of which is determined upon agreement between the lessee and the owner;</w:t>
      </w:r>
    </w:p>
    <w:p w14:paraId="4DEFF5BB"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10.2. it shall be ensured at the access point for the Ethernet backhaul that the lessee has a possibility to control the transmission speed of the service provided to the end-users;</w:t>
      </w:r>
    </w:p>
    <w:p w14:paraId="09B2DF47"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10.3. the quality requirements in accordance with Paragraph 20 of these regulations.</w:t>
      </w:r>
    </w:p>
    <w:p w14:paraId="2E2C6031" w14:textId="6CCAC559" w:rsidR="006740E0" w:rsidRPr="001B5623" w:rsidRDefault="006740E0" w:rsidP="006B1BCE">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163FB552" w14:textId="77777777" w:rsidR="001B5623" w:rsidRDefault="001B5623" w:rsidP="006B1BCE">
      <w:pPr>
        <w:spacing w:after="0" w:line="240" w:lineRule="auto"/>
        <w:jc w:val="both"/>
        <w:rPr>
          <w:rFonts w:ascii="Times New Roman" w:hAnsi="Times New Roman" w:cs="Times New Roman"/>
          <w:noProof/>
          <w:kern w:val="0"/>
        </w:rPr>
      </w:pPr>
      <w:bookmarkStart w:id="22" w:name="p11"/>
      <w:bookmarkStart w:id="23" w:name="p-1135316"/>
      <w:bookmarkEnd w:id="22"/>
      <w:bookmarkEnd w:id="23"/>
    </w:p>
    <w:p w14:paraId="7772F085" w14:textId="4B97B676"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11. The owner shall ensure the guaranteed transmission speed for the Ethernet backhaul which is not less than 80 % of the connection speed.</w:t>
      </w:r>
    </w:p>
    <w:p w14:paraId="358FBAAB" w14:textId="77777777" w:rsidR="001B5623" w:rsidRDefault="001B5623" w:rsidP="006B1BCE">
      <w:pPr>
        <w:spacing w:after="0" w:line="240" w:lineRule="auto"/>
        <w:jc w:val="both"/>
        <w:rPr>
          <w:rFonts w:ascii="Times New Roman" w:hAnsi="Times New Roman" w:cs="Times New Roman"/>
          <w:noProof/>
          <w:kern w:val="0"/>
        </w:rPr>
      </w:pPr>
      <w:bookmarkStart w:id="24" w:name="p12"/>
      <w:bookmarkStart w:id="25" w:name="p-1135318"/>
      <w:bookmarkEnd w:id="24"/>
      <w:bookmarkEnd w:id="25"/>
    </w:p>
    <w:p w14:paraId="0F820B6A" w14:textId="251BC636"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12. The owner and the lessee shall agree upon the technical requirements for the subscriber line, and also upon the wavelength of electromagnetic wave to be used, the range of frequency spectrum, the level of signal transmission, the line code to be used in the signal transmission, or any other conditions, taking into account the technical requirements for the facility to be used if other or additional parameters are applicable to the connection of the facility used by the lessee, and also if it is indented to use such technology or technical solution for unbundled access which does not correspond to the technical parameters ensured for the subscriber line.</w:t>
      </w:r>
    </w:p>
    <w:p w14:paraId="1C02486D" w14:textId="77777777" w:rsidR="001B5623" w:rsidRDefault="001B5623" w:rsidP="006B1BCE">
      <w:pPr>
        <w:spacing w:after="0" w:line="240" w:lineRule="auto"/>
        <w:jc w:val="both"/>
        <w:rPr>
          <w:rFonts w:ascii="Times New Roman" w:hAnsi="Times New Roman" w:cs="Times New Roman"/>
          <w:noProof/>
          <w:kern w:val="0"/>
        </w:rPr>
      </w:pPr>
      <w:bookmarkStart w:id="26" w:name="p13"/>
      <w:bookmarkStart w:id="27" w:name="p-1135320"/>
      <w:bookmarkEnd w:id="26"/>
      <w:bookmarkEnd w:id="27"/>
    </w:p>
    <w:p w14:paraId="0AFCA6F8" w14:textId="65F8FCAC"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13. In the reference offer for unbundled access to the subscriber line, the owner shall include the technical requirements for electrical interfaces for virtual unbundling at the following points of the electronic communications network:</w:t>
      </w:r>
    </w:p>
    <w:p w14:paraId="199E3A2F"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13.1. termination point;</w:t>
      </w:r>
    </w:p>
    <w:p w14:paraId="662AD87E"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13.2. unbundled access point;</w:t>
      </w:r>
    </w:p>
    <w:p w14:paraId="14C03530"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13.3. access point for the Ethernet backhaul.</w:t>
      </w:r>
    </w:p>
    <w:p w14:paraId="2854BE0B" w14:textId="77777777" w:rsidR="001B5623" w:rsidRDefault="001B5623" w:rsidP="006B1BCE">
      <w:pPr>
        <w:spacing w:after="0" w:line="240" w:lineRule="auto"/>
        <w:jc w:val="both"/>
        <w:rPr>
          <w:rFonts w:ascii="Times New Roman" w:hAnsi="Times New Roman" w:cs="Times New Roman"/>
          <w:noProof/>
          <w:kern w:val="0"/>
        </w:rPr>
      </w:pPr>
      <w:bookmarkStart w:id="28" w:name="p14"/>
      <w:bookmarkStart w:id="29" w:name="p-1396094"/>
      <w:bookmarkEnd w:id="28"/>
      <w:bookmarkEnd w:id="29"/>
    </w:p>
    <w:p w14:paraId="2CC53CFE" w14:textId="1EA12D54"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14. The owner shall ensure the applicant with the following interfaces for NTUs at the network termination point for unbundled access:</w:t>
      </w:r>
    </w:p>
    <w:p w14:paraId="25C1ABD9"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14.1. without an active NTU. At the termination point of shielded twisted pair cables of the terminating segment of the FTTB subscriber line, a physical NTU is an outlet with an appropriate RJ type socket. At the termination point of optical fibre cables, a physical NTU is an optical plug;</w:t>
      </w:r>
    </w:p>
    <w:p w14:paraId="11EA79EE"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14.2. with an active NTU. If chosen by the applicant, the owner shall ensure an active NTU at the termination point.</w:t>
      </w:r>
    </w:p>
    <w:p w14:paraId="6B54479F" w14:textId="540ED02C" w:rsidR="006740E0" w:rsidRPr="001B5623" w:rsidRDefault="006740E0" w:rsidP="006B1BCE">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0F6B5ED6" w14:textId="77777777" w:rsidR="001B5623" w:rsidRDefault="001B5623" w:rsidP="006B1BCE">
      <w:pPr>
        <w:spacing w:after="0" w:line="240" w:lineRule="auto"/>
        <w:jc w:val="both"/>
        <w:rPr>
          <w:rFonts w:ascii="Times New Roman" w:hAnsi="Times New Roman" w:cs="Times New Roman"/>
          <w:noProof/>
          <w:kern w:val="0"/>
        </w:rPr>
      </w:pPr>
      <w:bookmarkStart w:id="30" w:name="p15"/>
      <w:bookmarkStart w:id="31" w:name="p-1135328"/>
      <w:bookmarkEnd w:id="30"/>
      <w:bookmarkEnd w:id="31"/>
    </w:p>
    <w:p w14:paraId="1B4C8664" w14:textId="560B6D42"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15. In the reference offer for unbundled access to the subscriber line, the owner shall include a list of compatible active NTUs, indicating the manufacturer and the name of facility assigned by the manufacturer, and shall update the list once a year. If the owner ensures an active NTU, then the brand of the owner or other information identifying the owner shall not be indicated on the NTU.</w:t>
      </w:r>
    </w:p>
    <w:p w14:paraId="22914646" w14:textId="77777777" w:rsidR="001B5623" w:rsidRDefault="001B5623" w:rsidP="006B1BCE">
      <w:pPr>
        <w:spacing w:after="0" w:line="240" w:lineRule="auto"/>
        <w:jc w:val="both"/>
        <w:rPr>
          <w:rFonts w:ascii="Times New Roman" w:hAnsi="Times New Roman" w:cs="Times New Roman"/>
          <w:noProof/>
          <w:kern w:val="0"/>
        </w:rPr>
      </w:pPr>
      <w:bookmarkStart w:id="32" w:name="p16"/>
      <w:bookmarkStart w:id="33" w:name="p-1135329"/>
      <w:bookmarkEnd w:id="32"/>
      <w:bookmarkEnd w:id="33"/>
    </w:p>
    <w:p w14:paraId="61CC65E5" w14:textId="2521F3C3"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16. In the case of virtual unbundling, the owner shall ensure an Ethernet access point for unbundled access with the following physical interfaces and the maximum transmission speeds, offering the lessee a possibility to control the transmission speed of the service provided to the end-user:</w:t>
      </w:r>
    </w:p>
    <w:p w14:paraId="796DEB8A"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16.1. an RJ type socket in which the following transmission speed is ensured: 0.1*n Gbit/s where n is a natural figure which is greater than 0 and the value of which is determined upon agreement between the lessee and the owner;</w:t>
      </w:r>
    </w:p>
    <w:p w14:paraId="08F1F5D0"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16.2. an optical fibre connector in which the following transmission speed is ensured: 1*n Gbit/s where n is a natural figure which is greater than 0 and the value of which is determined upon agreement between the lessee and the owner;</w:t>
      </w:r>
    </w:p>
    <w:p w14:paraId="456FD699"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16.3. the quality requirements in accordance with Paragraph 20 of these regulations.</w:t>
      </w:r>
    </w:p>
    <w:p w14:paraId="06BE4AD0" w14:textId="77777777" w:rsidR="001B5623" w:rsidRDefault="001B5623" w:rsidP="006B1BCE">
      <w:pPr>
        <w:spacing w:after="0" w:line="240" w:lineRule="auto"/>
        <w:jc w:val="both"/>
        <w:rPr>
          <w:rFonts w:ascii="Times New Roman" w:hAnsi="Times New Roman" w:cs="Times New Roman"/>
          <w:noProof/>
          <w:kern w:val="0"/>
        </w:rPr>
      </w:pPr>
      <w:bookmarkStart w:id="34" w:name="p17"/>
      <w:bookmarkStart w:id="35" w:name="p-1135330"/>
      <w:bookmarkEnd w:id="34"/>
      <w:bookmarkEnd w:id="35"/>
    </w:p>
    <w:p w14:paraId="6E888199" w14:textId="3A41BB61"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17. The owner shall ensure the guaranteed transmission speed at the Ethernet access point for unbundled access which is not less than 80 % of the connection speed.</w:t>
      </w:r>
    </w:p>
    <w:p w14:paraId="7C19A32E" w14:textId="77777777" w:rsidR="001B5623" w:rsidRDefault="001B5623" w:rsidP="006B1BCE">
      <w:pPr>
        <w:spacing w:after="0" w:line="240" w:lineRule="auto"/>
        <w:jc w:val="both"/>
        <w:rPr>
          <w:rFonts w:ascii="Times New Roman" w:hAnsi="Times New Roman" w:cs="Times New Roman"/>
          <w:noProof/>
          <w:kern w:val="0"/>
        </w:rPr>
      </w:pPr>
      <w:bookmarkStart w:id="36" w:name="p18"/>
      <w:bookmarkStart w:id="37" w:name="p-1135331"/>
      <w:bookmarkEnd w:id="36"/>
      <w:bookmarkEnd w:id="37"/>
    </w:p>
    <w:p w14:paraId="05E0B881" w14:textId="4D48C77B"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18. The owner shall ensure the access point for the Ethernet backhaul for the unbundled access voice service, Internet access service, and television programme distribution service with a contention ratio in accordance with the agreement between the lessee and the owner.</w:t>
      </w:r>
    </w:p>
    <w:p w14:paraId="5E49C24F" w14:textId="77777777" w:rsidR="001B5623" w:rsidRDefault="001B5623" w:rsidP="006B1BCE">
      <w:pPr>
        <w:spacing w:after="0" w:line="240" w:lineRule="auto"/>
        <w:jc w:val="both"/>
        <w:rPr>
          <w:rFonts w:ascii="Times New Roman" w:hAnsi="Times New Roman" w:cs="Times New Roman"/>
          <w:noProof/>
          <w:kern w:val="0"/>
        </w:rPr>
      </w:pPr>
      <w:bookmarkStart w:id="38" w:name="p19"/>
      <w:bookmarkStart w:id="39" w:name="p-1135332"/>
      <w:bookmarkEnd w:id="38"/>
      <w:bookmarkEnd w:id="39"/>
    </w:p>
    <w:p w14:paraId="1912F253" w14:textId="7E961252"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19. In the case of virtual unbundling, the owner shall include in the reference offer for unbundled access to the subscriber line at least the following service categories for the Ethernet backhaul for download and upload:</w:t>
      </w:r>
    </w:p>
    <w:p w14:paraId="06E71C3E"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19.1. voice telephony service category;</w:t>
      </w:r>
    </w:p>
    <w:p w14:paraId="6B3331F0"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19.2. Internet access service category;</w:t>
      </w:r>
    </w:p>
    <w:p w14:paraId="260FC5F7"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19.3. television programme distribution service category.</w:t>
      </w:r>
    </w:p>
    <w:p w14:paraId="56E9C6FA" w14:textId="77777777" w:rsidR="001B5623" w:rsidRDefault="001B5623" w:rsidP="006B1BCE">
      <w:pPr>
        <w:spacing w:after="0" w:line="240" w:lineRule="auto"/>
        <w:jc w:val="both"/>
        <w:rPr>
          <w:rFonts w:ascii="Times New Roman" w:hAnsi="Times New Roman" w:cs="Times New Roman"/>
          <w:noProof/>
          <w:kern w:val="0"/>
        </w:rPr>
      </w:pPr>
      <w:bookmarkStart w:id="40" w:name="p20"/>
      <w:bookmarkStart w:id="41" w:name="p-1396095"/>
      <w:bookmarkEnd w:id="40"/>
      <w:bookmarkEnd w:id="41"/>
    </w:p>
    <w:p w14:paraId="462A5F49" w14:textId="4EB0278A"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20. In the case of virtual unbundling, the owner shall include in the reference offer for unbundled access to the subscriber line at least the following quality requirements for the Ethernet backhaul for each service category which shall not be lower than those for the service provided by the owner in retail:</w:t>
      </w:r>
    </w:p>
    <w:p w14:paraId="62964317"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20.1. traffic transmission priorities in the network of the owner, indicating the methods for setting priorities which have been specified in the priority frame and offering a possibility for the lessee to determine the priority for the traffic;</w:t>
      </w:r>
    </w:p>
    <w:p w14:paraId="3998C5D0"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20.2. one-way frame delay;</w:t>
      </w:r>
    </w:p>
    <w:p w14:paraId="34E98B17"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20.3. inter-frame delay variation;</w:t>
      </w:r>
    </w:p>
    <w:p w14:paraId="7E89B29D"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20.4. frame loss;</w:t>
      </w:r>
    </w:p>
    <w:p w14:paraId="03963942" w14:textId="77777777" w:rsidR="006740E0" w:rsidRPr="001B5623"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20.5. availability.</w:t>
      </w:r>
    </w:p>
    <w:p w14:paraId="351F5525" w14:textId="22F37EEF" w:rsidR="006740E0" w:rsidRPr="001B5623" w:rsidRDefault="006740E0" w:rsidP="006B1BCE">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04AB5830" w14:textId="77777777" w:rsidR="001B5623" w:rsidRDefault="001B5623" w:rsidP="006B1BCE">
      <w:pPr>
        <w:spacing w:after="0" w:line="240" w:lineRule="auto"/>
        <w:jc w:val="both"/>
        <w:rPr>
          <w:rFonts w:ascii="Times New Roman" w:hAnsi="Times New Roman" w:cs="Times New Roman"/>
          <w:noProof/>
          <w:kern w:val="0"/>
        </w:rPr>
      </w:pPr>
      <w:bookmarkStart w:id="42" w:name="p21"/>
      <w:bookmarkStart w:id="43" w:name="p-1135335"/>
      <w:bookmarkEnd w:id="42"/>
      <w:bookmarkEnd w:id="43"/>
    </w:p>
    <w:p w14:paraId="0E1240D0" w14:textId="61834999"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21. In the case of virtual unbundling, the owner shall, upon request of the lessee, provide multicast in the following manner:</w:t>
      </w:r>
    </w:p>
    <w:p w14:paraId="6D4D3344"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21.1. by using the IGMP protocol with replication of television flow for the end-user in the owner’s central office facilities of the local level;</w:t>
      </w:r>
    </w:p>
    <w:p w14:paraId="45B4B163" w14:textId="77777777" w:rsidR="006740E0" w:rsidRPr="006740E0" w:rsidRDefault="006740E0" w:rsidP="001B5623">
      <w:pPr>
        <w:spacing w:after="0" w:line="240" w:lineRule="auto"/>
        <w:ind w:firstLine="709"/>
        <w:jc w:val="both"/>
        <w:rPr>
          <w:rFonts w:ascii="Times New Roman" w:hAnsi="Times New Roman" w:cs="Times New Roman"/>
          <w:noProof/>
          <w:kern w:val="0"/>
        </w:rPr>
      </w:pPr>
      <w:r>
        <w:rPr>
          <w:rFonts w:ascii="Times New Roman" w:hAnsi="Times New Roman"/>
        </w:rPr>
        <w:t>21.2. by assigning the lessee a separate VLAN for the television programme distributions service.</w:t>
      </w:r>
    </w:p>
    <w:p w14:paraId="39823A81" w14:textId="77777777" w:rsidR="001B5623" w:rsidRDefault="001B5623" w:rsidP="006B1BCE">
      <w:pPr>
        <w:spacing w:after="0" w:line="240" w:lineRule="auto"/>
        <w:jc w:val="both"/>
        <w:rPr>
          <w:rFonts w:ascii="Times New Roman" w:hAnsi="Times New Roman" w:cs="Times New Roman"/>
          <w:noProof/>
          <w:kern w:val="0"/>
        </w:rPr>
      </w:pPr>
      <w:bookmarkStart w:id="44" w:name="p22"/>
      <w:bookmarkStart w:id="45" w:name="p-1135337"/>
      <w:bookmarkEnd w:id="44"/>
      <w:bookmarkEnd w:id="45"/>
    </w:p>
    <w:p w14:paraId="4005FC34" w14:textId="3C62E89A"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22. In the case of virtual unbundling and if requested by the lessee, the owner shall provide each end-user of the lessee with its own VLAN when providing the voice service or Internet access service. In the case of virtual unbundling, the lessee shall determine security requirements in its electronic communications network.</w:t>
      </w:r>
    </w:p>
    <w:p w14:paraId="50113BCD" w14:textId="77777777" w:rsidR="001B5623" w:rsidRDefault="001B5623" w:rsidP="006B1BCE">
      <w:pPr>
        <w:spacing w:after="0" w:line="240" w:lineRule="auto"/>
        <w:jc w:val="both"/>
        <w:rPr>
          <w:rFonts w:ascii="Times New Roman" w:hAnsi="Times New Roman" w:cs="Times New Roman"/>
          <w:noProof/>
          <w:kern w:val="0"/>
        </w:rPr>
      </w:pPr>
      <w:bookmarkStart w:id="46" w:name="p23"/>
      <w:bookmarkStart w:id="47" w:name="p-1135339"/>
      <w:bookmarkEnd w:id="46"/>
      <w:bookmarkEnd w:id="47"/>
    </w:p>
    <w:p w14:paraId="40A93D8B" w14:textId="540B498B"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lastRenderedPageBreak/>
        <w:t>23. In the case of virtual unbundling and Ethernet backhaul, the owner shall ensure the lessee with a possibility to apply security measures.</w:t>
      </w:r>
    </w:p>
    <w:p w14:paraId="0E7B170C" w14:textId="77777777" w:rsidR="001B5623" w:rsidRDefault="001B5623" w:rsidP="006B1BCE">
      <w:pPr>
        <w:spacing w:after="0" w:line="240" w:lineRule="auto"/>
        <w:jc w:val="both"/>
        <w:rPr>
          <w:rFonts w:ascii="Times New Roman" w:hAnsi="Times New Roman" w:cs="Times New Roman"/>
          <w:noProof/>
          <w:kern w:val="0"/>
        </w:rPr>
      </w:pPr>
      <w:bookmarkStart w:id="48" w:name="p24"/>
      <w:bookmarkStart w:id="49" w:name="p-1135340"/>
      <w:bookmarkEnd w:id="48"/>
      <w:bookmarkEnd w:id="49"/>
    </w:p>
    <w:p w14:paraId="37AAD17E" w14:textId="40300D4D"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24. In the case of virtual unbundling and Ethernet backhaul, the owner shall provide the lessee with a possibility to identify its end-users on the level of central office facilities or VLAN.</w:t>
      </w:r>
    </w:p>
    <w:p w14:paraId="7CC5E29A" w14:textId="77777777" w:rsidR="001B5623" w:rsidRDefault="001B5623" w:rsidP="006B1BCE">
      <w:pPr>
        <w:spacing w:after="0" w:line="240" w:lineRule="auto"/>
        <w:jc w:val="both"/>
        <w:rPr>
          <w:rFonts w:ascii="Times New Roman" w:hAnsi="Times New Roman" w:cs="Times New Roman"/>
          <w:noProof/>
          <w:kern w:val="0"/>
        </w:rPr>
      </w:pPr>
      <w:bookmarkStart w:id="50" w:name="p25"/>
      <w:bookmarkStart w:id="51" w:name="p-1135341"/>
      <w:bookmarkEnd w:id="50"/>
      <w:bookmarkEnd w:id="51"/>
    </w:p>
    <w:p w14:paraId="2F339A01" w14:textId="232FD332"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25. Decision No. 1/11 of the Public Utilities Commission of 18 June 2014, Regulations Regarding Unbundled Access to the Subscriber Line or Part Thereof (</w:t>
      </w:r>
      <w:r>
        <w:rPr>
          <w:rFonts w:ascii="Times New Roman" w:hAnsi="Times New Roman"/>
          <w:i/>
          <w:iCs/>
        </w:rPr>
        <w:t>Latvijas Vēstnesis</w:t>
      </w:r>
      <w:r>
        <w:rPr>
          <w:rFonts w:ascii="Times New Roman" w:hAnsi="Times New Roman"/>
        </w:rPr>
        <w:t>, 2014, No. 120; 2018, No. 199), is repealed.</w:t>
      </w:r>
    </w:p>
    <w:p w14:paraId="7F0DBD2B" w14:textId="77777777" w:rsidR="001B5623" w:rsidRDefault="001B5623" w:rsidP="006B1BCE">
      <w:pPr>
        <w:spacing w:after="0" w:line="240" w:lineRule="auto"/>
        <w:jc w:val="both"/>
        <w:rPr>
          <w:rFonts w:ascii="Times New Roman" w:hAnsi="Times New Roman" w:cs="Times New Roman"/>
          <w:noProof/>
          <w:kern w:val="0"/>
        </w:rPr>
      </w:pPr>
      <w:bookmarkStart w:id="52" w:name="p26"/>
      <w:bookmarkStart w:id="53" w:name="p-1135342"/>
      <w:bookmarkEnd w:id="52"/>
      <w:bookmarkEnd w:id="53"/>
    </w:p>
    <w:p w14:paraId="69A7D9EC" w14:textId="4E932C0D"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rPr>
        <w:t>26. The regulations shall come into force on 1 October 2022.</w:t>
      </w:r>
    </w:p>
    <w:p w14:paraId="4DD0E918" w14:textId="77777777" w:rsidR="001B5623" w:rsidRDefault="001B5623" w:rsidP="006B1BCE">
      <w:pPr>
        <w:spacing w:after="0" w:line="240" w:lineRule="auto"/>
        <w:jc w:val="both"/>
        <w:rPr>
          <w:rFonts w:ascii="Times New Roman" w:hAnsi="Times New Roman" w:cs="Times New Roman"/>
          <w:noProof/>
          <w:kern w:val="0"/>
          <w:lang w:val="en-US"/>
        </w:rPr>
      </w:pPr>
    </w:p>
    <w:p w14:paraId="0E38CD6F" w14:textId="77777777" w:rsidR="001B5623" w:rsidRDefault="001B5623" w:rsidP="006B1BCE">
      <w:pPr>
        <w:spacing w:after="0" w:line="240" w:lineRule="auto"/>
        <w:jc w:val="both"/>
        <w:rPr>
          <w:rFonts w:ascii="Times New Roman" w:hAnsi="Times New Roman" w:cs="Times New Roman"/>
          <w:noProof/>
          <w:kern w:val="0"/>
          <w:lang w:val="en-US"/>
        </w:rPr>
      </w:pPr>
    </w:p>
    <w:p w14:paraId="67603076" w14:textId="0EE103F6" w:rsidR="006740E0" w:rsidRPr="001B5623" w:rsidRDefault="006740E0" w:rsidP="00B87E05">
      <w:pPr>
        <w:tabs>
          <w:tab w:val="left" w:pos="8080"/>
        </w:tabs>
        <w:spacing w:after="0" w:line="240" w:lineRule="auto"/>
        <w:jc w:val="both"/>
        <w:rPr>
          <w:rFonts w:ascii="Times New Roman" w:hAnsi="Times New Roman" w:cs="Times New Roman"/>
          <w:noProof/>
          <w:kern w:val="0"/>
        </w:rPr>
      </w:pPr>
      <w:r>
        <w:rPr>
          <w:rFonts w:ascii="Times New Roman" w:hAnsi="Times New Roman"/>
        </w:rPr>
        <w:t>Chair of the Board of the Public Utilities Commission</w:t>
      </w:r>
      <w:r w:rsidR="00B87E05">
        <w:rPr>
          <w:rFonts w:ascii="Times New Roman" w:hAnsi="Times New Roman"/>
        </w:rPr>
        <w:tab/>
      </w:r>
      <w:r>
        <w:rPr>
          <w:rFonts w:ascii="Times New Roman" w:hAnsi="Times New Roman"/>
        </w:rPr>
        <w:t>A. Ozola</w:t>
      </w:r>
    </w:p>
    <w:p w14:paraId="3E5A76B5" w14:textId="77777777" w:rsidR="001B5623" w:rsidRPr="001B5623" w:rsidRDefault="001B5623">
      <w:pPr>
        <w:rPr>
          <w:rFonts w:ascii="Times New Roman" w:hAnsi="Times New Roman" w:cs="Times New Roman"/>
          <w:noProof/>
          <w:kern w:val="0"/>
        </w:rPr>
      </w:pPr>
      <w:r>
        <w:br w:type="page"/>
      </w:r>
    </w:p>
    <w:p w14:paraId="229EC4E3" w14:textId="77777777" w:rsidR="00B87E05" w:rsidRDefault="00B87E05" w:rsidP="001B5623">
      <w:pPr>
        <w:spacing w:after="0" w:line="240" w:lineRule="auto"/>
        <w:jc w:val="right"/>
        <w:rPr>
          <w:rFonts w:ascii="Times New Roman" w:hAnsi="Times New Roman"/>
          <w:b/>
          <w:bCs/>
        </w:rPr>
      </w:pPr>
    </w:p>
    <w:p w14:paraId="15BE640B" w14:textId="24CE8A5D" w:rsidR="006B1BCE" w:rsidRPr="001B5623" w:rsidRDefault="006740E0" w:rsidP="001B5623">
      <w:pPr>
        <w:spacing w:after="0" w:line="240" w:lineRule="auto"/>
        <w:jc w:val="right"/>
        <w:rPr>
          <w:rFonts w:ascii="Times New Roman" w:hAnsi="Times New Roman" w:cs="Times New Roman"/>
          <w:b/>
          <w:bCs/>
          <w:noProof/>
          <w:kern w:val="0"/>
        </w:rPr>
      </w:pPr>
      <w:r>
        <w:rPr>
          <w:rFonts w:ascii="Times New Roman" w:hAnsi="Times New Roman"/>
          <w:b/>
          <w:bCs/>
        </w:rPr>
        <w:t>Annex 1</w:t>
      </w:r>
    </w:p>
    <w:p w14:paraId="51684F45" w14:textId="77777777" w:rsidR="006B1BCE" w:rsidRDefault="006740E0" w:rsidP="001B5623">
      <w:pPr>
        <w:spacing w:after="0" w:line="240" w:lineRule="auto"/>
        <w:jc w:val="right"/>
        <w:rPr>
          <w:rFonts w:ascii="Times New Roman" w:hAnsi="Times New Roman" w:cs="Times New Roman"/>
          <w:noProof/>
          <w:kern w:val="0"/>
        </w:rPr>
      </w:pPr>
      <w:r>
        <w:rPr>
          <w:rFonts w:ascii="Times New Roman" w:hAnsi="Times New Roman"/>
        </w:rPr>
        <w:t>Decision No. 1/24 of the Public Utilities Commission</w:t>
      </w:r>
    </w:p>
    <w:p w14:paraId="70301720" w14:textId="4410BE7B" w:rsidR="006740E0" w:rsidRDefault="006740E0" w:rsidP="001B5623">
      <w:pPr>
        <w:spacing w:after="0" w:line="240" w:lineRule="auto"/>
        <w:jc w:val="right"/>
        <w:rPr>
          <w:rFonts w:ascii="Times New Roman" w:hAnsi="Times New Roman" w:cs="Times New Roman"/>
          <w:noProof/>
          <w:kern w:val="0"/>
        </w:rPr>
      </w:pPr>
      <w:r>
        <w:rPr>
          <w:rFonts w:ascii="Times New Roman" w:hAnsi="Times New Roman"/>
        </w:rPr>
        <w:t>15 September 2022</w:t>
      </w:r>
      <w:bookmarkStart w:id="54" w:name="piel-1135347"/>
      <w:bookmarkStart w:id="55" w:name="piel1"/>
      <w:bookmarkEnd w:id="54"/>
      <w:bookmarkEnd w:id="55"/>
    </w:p>
    <w:p w14:paraId="725D234A" w14:textId="77777777" w:rsidR="001B5623" w:rsidRDefault="001B5623" w:rsidP="006B1BCE">
      <w:pPr>
        <w:spacing w:after="0" w:line="240" w:lineRule="auto"/>
        <w:jc w:val="both"/>
        <w:rPr>
          <w:rFonts w:ascii="Times New Roman" w:hAnsi="Times New Roman" w:cs="Times New Roman"/>
          <w:noProof/>
          <w:kern w:val="0"/>
          <w:lang w:val="en-US"/>
        </w:rPr>
      </w:pPr>
    </w:p>
    <w:p w14:paraId="30FE3611" w14:textId="77777777" w:rsidR="001B5623" w:rsidRPr="006740E0" w:rsidRDefault="001B5623" w:rsidP="006B1BCE">
      <w:pPr>
        <w:spacing w:after="0" w:line="240" w:lineRule="auto"/>
        <w:jc w:val="both"/>
        <w:rPr>
          <w:rFonts w:ascii="Times New Roman" w:hAnsi="Times New Roman" w:cs="Times New Roman"/>
          <w:noProof/>
          <w:kern w:val="0"/>
          <w:lang w:val="en-US"/>
        </w:rPr>
      </w:pPr>
    </w:p>
    <w:p w14:paraId="7FF414EA" w14:textId="77777777" w:rsidR="006740E0" w:rsidRPr="001B5623" w:rsidRDefault="006740E0" w:rsidP="001B5623">
      <w:pPr>
        <w:spacing w:after="0" w:line="240" w:lineRule="auto"/>
        <w:jc w:val="center"/>
        <w:rPr>
          <w:rFonts w:ascii="Times New Roman" w:hAnsi="Times New Roman" w:cs="Times New Roman"/>
          <w:b/>
          <w:bCs/>
          <w:noProof/>
          <w:kern w:val="0"/>
          <w:sz w:val="28"/>
          <w:szCs w:val="28"/>
        </w:rPr>
      </w:pPr>
      <w:bookmarkStart w:id="56" w:name="1135348"/>
      <w:bookmarkStart w:id="57" w:name="n-1135348"/>
      <w:bookmarkEnd w:id="56"/>
      <w:bookmarkEnd w:id="57"/>
      <w:r>
        <w:rPr>
          <w:rFonts w:ascii="Times New Roman" w:hAnsi="Times New Roman"/>
          <w:b/>
          <w:sz w:val="28"/>
        </w:rPr>
        <w:t>General Organisation Chart of the Access Network</w:t>
      </w:r>
    </w:p>
    <w:p w14:paraId="28DB1825" w14:textId="77777777" w:rsidR="001B5623" w:rsidRDefault="001B5623" w:rsidP="006B1BCE">
      <w:pPr>
        <w:spacing w:after="0" w:line="240" w:lineRule="auto"/>
        <w:jc w:val="both"/>
        <w:rPr>
          <w:rFonts w:ascii="Times New Roman" w:hAnsi="Times New Roman" w:cs="Times New Roman"/>
          <w:b/>
          <w:bCs/>
          <w:noProof/>
          <w:kern w:val="0"/>
          <w:lang w:val="en-US"/>
        </w:rPr>
      </w:pPr>
    </w:p>
    <w:p w14:paraId="63D65AA0" w14:textId="77777777" w:rsidR="001B5623" w:rsidRPr="006740E0" w:rsidRDefault="001B5623" w:rsidP="006B1BCE">
      <w:pPr>
        <w:spacing w:after="0" w:line="240" w:lineRule="auto"/>
        <w:jc w:val="both"/>
        <w:rPr>
          <w:rFonts w:ascii="Times New Roman" w:hAnsi="Times New Roman" w:cs="Times New Roman"/>
          <w:b/>
          <w:bCs/>
          <w:noProof/>
          <w:kern w:val="0"/>
          <w:lang w:val="en-US"/>
        </w:rPr>
      </w:pPr>
    </w:p>
    <w:p w14:paraId="51D36398" w14:textId="03E6F3E8" w:rsidR="006740E0" w:rsidRDefault="00E34E88" w:rsidP="006B1BCE">
      <w:pPr>
        <w:spacing w:after="0" w:line="240" w:lineRule="auto"/>
        <w:jc w:val="both"/>
        <w:rPr>
          <w:rFonts w:ascii="Times New Roman" w:hAnsi="Times New Roman" w:cs="Times New Roman"/>
          <w:noProof/>
          <w:kern w:val="0"/>
        </w:rPr>
      </w:pPr>
      <w:r w:rsidRPr="00AC5B98">
        <w:rPr>
          <w:noProof/>
          <w:lang w:val="en-US"/>
        </w:rPr>
        <w:drawing>
          <wp:inline distT="0" distB="0" distL="0" distR="0" wp14:anchorId="4E27ABBA" wp14:editId="62F3CAFF">
            <wp:extent cx="5760085" cy="1728470"/>
            <wp:effectExtent l="0" t="0" r="0" b="5080"/>
            <wp:docPr id="612401497" name="Picture 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01497" name="Picture 1" descr="A diagram of a network&#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60085" cy="1728470"/>
                    </a:xfrm>
                    <a:prstGeom prst="rect">
                      <a:avLst/>
                    </a:prstGeom>
                  </pic:spPr>
                </pic:pic>
              </a:graphicData>
            </a:graphic>
          </wp:inline>
        </w:drawing>
      </w:r>
    </w:p>
    <w:p w14:paraId="070A158E" w14:textId="77777777" w:rsidR="00436AD0" w:rsidRDefault="00436AD0" w:rsidP="006B1BCE">
      <w:pPr>
        <w:spacing w:after="0" w:line="240" w:lineRule="auto"/>
        <w:jc w:val="both"/>
        <w:rPr>
          <w:rFonts w:ascii="Times New Roman" w:hAnsi="Times New Roman" w:cs="Times New Roman"/>
          <w:noProof/>
          <w:kern w:val="0"/>
          <w:lang w:val="en-US"/>
        </w:rPr>
      </w:pPr>
    </w:p>
    <w:p w14:paraId="3C8B7966" w14:textId="77777777" w:rsidR="001B5623" w:rsidRDefault="001B5623">
      <w:pPr>
        <w:rPr>
          <w:rFonts w:ascii="Times New Roman" w:hAnsi="Times New Roman" w:cs="Times New Roman"/>
          <w:noProof/>
          <w:kern w:val="0"/>
        </w:rPr>
      </w:pPr>
      <w:r>
        <w:br w:type="page"/>
      </w:r>
    </w:p>
    <w:p w14:paraId="456D44FE" w14:textId="315FA00A" w:rsidR="006B1BCE" w:rsidRPr="00436AD0" w:rsidRDefault="006740E0" w:rsidP="00436AD0">
      <w:pPr>
        <w:spacing w:after="0" w:line="240" w:lineRule="auto"/>
        <w:jc w:val="right"/>
        <w:rPr>
          <w:rFonts w:ascii="Times New Roman" w:hAnsi="Times New Roman" w:cs="Times New Roman"/>
          <w:b/>
          <w:bCs/>
          <w:noProof/>
          <w:kern w:val="0"/>
        </w:rPr>
      </w:pPr>
      <w:r>
        <w:rPr>
          <w:rFonts w:ascii="Times New Roman" w:hAnsi="Times New Roman"/>
          <w:b/>
          <w:bCs/>
        </w:rPr>
        <w:lastRenderedPageBreak/>
        <w:t>Annex 2</w:t>
      </w:r>
    </w:p>
    <w:p w14:paraId="741CBDC9" w14:textId="77777777" w:rsidR="006B1BCE" w:rsidRDefault="006740E0" w:rsidP="00436AD0">
      <w:pPr>
        <w:spacing w:after="0" w:line="240" w:lineRule="auto"/>
        <w:jc w:val="right"/>
        <w:rPr>
          <w:rFonts w:ascii="Times New Roman" w:hAnsi="Times New Roman" w:cs="Times New Roman"/>
          <w:noProof/>
          <w:kern w:val="0"/>
        </w:rPr>
      </w:pPr>
      <w:r>
        <w:rPr>
          <w:rFonts w:ascii="Times New Roman" w:hAnsi="Times New Roman"/>
        </w:rPr>
        <w:t>Decision No. 1/24 of the Public Utilities Commission</w:t>
      </w:r>
    </w:p>
    <w:p w14:paraId="35A0B189" w14:textId="0BFC9640" w:rsidR="006740E0" w:rsidRDefault="006740E0" w:rsidP="00436AD0">
      <w:pPr>
        <w:spacing w:after="0" w:line="240" w:lineRule="auto"/>
        <w:jc w:val="right"/>
        <w:rPr>
          <w:rFonts w:ascii="Times New Roman" w:hAnsi="Times New Roman" w:cs="Times New Roman"/>
          <w:noProof/>
          <w:kern w:val="0"/>
        </w:rPr>
      </w:pPr>
      <w:r>
        <w:rPr>
          <w:rFonts w:ascii="Times New Roman" w:hAnsi="Times New Roman"/>
        </w:rPr>
        <w:t>15 September 2022</w:t>
      </w:r>
      <w:bookmarkStart w:id="58" w:name="piel-1135354"/>
      <w:bookmarkStart w:id="59" w:name="piel2"/>
      <w:bookmarkEnd w:id="58"/>
      <w:bookmarkEnd w:id="59"/>
    </w:p>
    <w:p w14:paraId="6805D7FC" w14:textId="77777777" w:rsidR="001B5623" w:rsidRDefault="001B5623" w:rsidP="006B1BCE">
      <w:pPr>
        <w:spacing w:after="0" w:line="240" w:lineRule="auto"/>
        <w:jc w:val="both"/>
        <w:rPr>
          <w:rFonts w:ascii="Times New Roman" w:hAnsi="Times New Roman" w:cs="Times New Roman"/>
          <w:noProof/>
          <w:kern w:val="0"/>
          <w:lang w:val="en-US"/>
        </w:rPr>
      </w:pPr>
    </w:p>
    <w:p w14:paraId="6911521D" w14:textId="77777777" w:rsidR="001B5623" w:rsidRPr="006740E0" w:rsidRDefault="001B5623" w:rsidP="006B1BCE">
      <w:pPr>
        <w:spacing w:after="0" w:line="240" w:lineRule="auto"/>
        <w:jc w:val="both"/>
        <w:rPr>
          <w:rFonts w:ascii="Times New Roman" w:hAnsi="Times New Roman" w:cs="Times New Roman"/>
          <w:noProof/>
          <w:kern w:val="0"/>
          <w:lang w:val="en-US"/>
        </w:rPr>
      </w:pPr>
    </w:p>
    <w:p w14:paraId="70C79D26" w14:textId="77777777" w:rsidR="006740E0" w:rsidRPr="00436AD0" w:rsidRDefault="006740E0" w:rsidP="00436AD0">
      <w:pPr>
        <w:spacing w:after="0" w:line="240" w:lineRule="auto"/>
        <w:jc w:val="center"/>
        <w:rPr>
          <w:rFonts w:ascii="Times New Roman" w:hAnsi="Times New Roman" w:cs="Times New Roman"/>
          <w:b/>
          <w:bCs/>
          <w:noProof/>
          <w:kern w:val="0"/>
          <w:sz w:val="28"/>
          <w:szCs w:val="28"/>
        </w:rPr>
      </w:pPr>
      <w:bookmarkStart w:id="60" w:name="1135356"/>
      <w:bookmarkStart w:id="61" w:name="n-1135356"/>
      <w:bookmarkEnd w:id="60"/>
      <w:bookmarkEnd w:id="61"/>
      <w:r>
        <w:rPr>
          <w:rFonts w:ascii="Times New Roman" w:hAnsi="Times New Roman"/>
          <w:b/>
          <w:sz w:val="28"/>
        </w:rPr>
        <w:t>Access Network Architecture of Shielded Twisted Pairs and Optical Fibre Cables</w:t>
      </w:r>
    </w:p>
    <w:p w14:paraId="74EC74E8" w14:textId="77777777" w:rsidR="001B5623" w:rsidRDefault="001B5623" w:rsidP="00436AD0">
      <w:pPr>
        <w:spacing w:after="0" w:line="240" w:lineRule="auto"/>
        <w:jc w:val="center"/>
        <w:rPr>
          <w:rFonts w:ascii="Times New Roman" w:hAnsi="Times New Roman" w:cs="Times New Roman"/>
          <w:b/>
          <w:bCs/>
          <w:noProof/>
          <w:kern w:val="0"/>
          <w:lang w:val="en-US"/>
        </w:rPr>
      </w:pPr>
    </w:p>
    <w:p w14:paraId="79F45BCC" w14:textId="77777777" w:rsidR="001B5623" w:rsidRPr="006740E0" w:rsidRDefault="001B5623" w:rsidP="00436AD0">
      <w:pPr>
        <w:spacing w:after="0" w:line="240" w:lineRule="auto"/>
        <w:jc w:val="center"/>
        <w:rPr>
          <w:rFonts w:ascii="Times New Roman" w:hAnsi="Times New Roman" w:cs="Times New Roman"/>
          <w:b/>
          <w:bCs/>
          <w:noProof/>
          <w:kern w:val="0"/>
          <w:lang w:val="en-US"/>
        </w:rPr>
      </w:pPr>
    </w:p>
    <w:p w14:paraId="34E4A67A" w14:textId="77777777" w:rsidR="006740E0" w:rsidRDefault="006740E0" w:rsidP="00436AD0">
      <w:pPr>
        <w:spacing w:after="0" w:line="240" w:lineRule="auto"/>
        <w:jc w:val="center"/>
        <w:rPr>
          <w:rFonts w:ascii="Times New Roman" w:hAnsi="Times New Roman" w:cs="Times New Roman"/>
          <w:b/>
          <w:bCs/>
          <w:noProof/>
          <w:kern w:val="0"/>
        </w:rPr>
      </w:pPr>
      <w:r>
        <w:rPr>
          <w:rFonts w:ascii="Times New Roman" w:hAnsi="Times New Roman"/>
          <w:b/>
        </w:rPr>
        <w:t>1. Division of access network architectures</w:t>
      </w:r>
    </w:p>
    <w:p w14:paraId="7C11097F" w14:textId="77777777" w:rsidR="001B5623" w:rsidRPr="006740E0" w:rsidRDefault="001B5623" w:rsidP="006B1BCE">
      <w:pPr>
        <w:spacing w:after="0" w:line="240" w:lineRule="auto"/>
        <w:jc w:val="both"/>
        <w:rPr>
          <w:rFonts w:ascii="Times New Roman" w:hAnsi="Times New Roman" w:cs="Times New Roman"/>
          <w:b/>
          <w:bCs/>
          <w:noProof/>
          <w:kern w:val="0"/>
          <w:lang w:val="en-US"/>
        </w:rPr>
      </w:pPr>
    </w:p>
    <w:p w14:paraId="42D370E9" w14:textId="3443105C" w:rsidR="006740E0" w:rsidRPr="006740E0" w:rsidRDefault="00005225" w:rsidP="006B1BCE">
      <w:pPr>
        <w:spacing w:after="0" w:line="240" w:lineRule="auto"/>
        <w:jc w:val="both"/>
        <w:rPr>
          <w:rFonts w:ascii="Times New Roman" w:hAnsi="Times New Roman" w:cs="Times New Roman"/>
          <w:noProof/>
          <w:kern w:val="0"/>
        </w:rPr>
      </w:pPr>
      <w:r w:rsidRPr="00AC5B98">
        <w:rPr>
          <w:noProof/>
          <w:lang w:val="en-US"/>
        </w:rPr>
        <w:drawing>
          <wp:inline distT="0" distB="0" distL="0" distR="0" wp14:anchorId="595886E2" wp14:editId="343B7B5F">
            <wp:extent cx="5334462" cy="3490262"/>
            <wp:effectExtent l="0" t="0" r="0" b="0"/>
            <wp:docPr id="1157755762" name="Picture 2" descr="A diagram of a network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55762" name="Picture 2" descr="A diagram of a network structur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34462" cy="3490262"/>
                    </a:xfrm>
                    <a:prstGeom prst="rect">
                      <a:avLst/>
                    </a:prstGeom>
                  </pic:spPr>
                </pic:pic>
              </a:graphicData>
            </a:graphic>
          </wp:inline>
        </w:drawing>
      </w:r>
    </w:p>
    <w:p w14:paraId="6448192E" w14:textId="77777777" w:rsidR="00005225" w:rsidRDefault="00005225" w:rsidP="006B1BCE">
      <w:pPr>
        <w:spacing w:after="0" w:line="240" w:lineRule="auto"/>
        <w:jc w:val="both"/>
        <w:rPr>
          <w:rFonts w:ascii="Times New Roman" w:hAnsi="Times New Roman"/>
          <w:b/>
        </w:rPr>
      </w:pPr>
    </w:p>
    <w:p w14:paraId="449F6546" w14:textId="0BD778F5" w:rsidR="006740E0" w:rsidRDefault="006740E0" w:rsidP="00005225">
      <w:pPr>
        <w:spacing w:after="0" w:line="240" w:lineRule="auto"/>
        <w:jc w:val="center"/>
        <w:rPr>
          <w:rFonts w:ascii="Times New Roman" w:hAnsi="Times New Roman"/>
          <w:b/>
        </w:rPr>
      </w:pPr>
      <w:r>
        <w:rPr>
          <w:rFonts w:ascii="Times New Roman" w:hAnsi="Times New Roman"/>
          <w:b/>
        </w:rPr>
        <w:t>2. Access network point-to-point architecture</w:t>
      </w:r>
    </w:p>
    <w:p w14:paraId="024FA353" w14:textId="77777777" w:rsidR="00005225" w:rsidRPr="006740E0" w:rsidRDefault="00005225" w:rsidP="006B1BCE">
      <w:pPr>
        <w:spacing w:after="0" w:line="240" w:lineRule="auto"/>
        <w:jc w:val="both"/>
        <w:rPr>
          <w:rFonts w:ascii="Times New Roman" w:hAnsi="Times New Roman" w:cs="Times New Roman"/>
          <w:b/>
          <w:bCs/>
          <w:noProof/>
          <w:kern w:val="0"/>
        </w:rPr>
      </w:pPr>
    </w:p>
    <w:p w14:paraId="31FD04F9" w14:textId="5B93F17C" w:rsidR="006740E0" w:rsidRPr="006740E0" w:rsidRDefault="009540A0" w:rsidP="006B1BCE">
      <w:pPr>
        <w:spacing w:after="0" w:line="240" w:lineRule="auto"/>
        <w:jc w:val="both"/>
        <w:rPr>
          <w:rFonts w:ascii="Times New Roman" w:hAnsi="Times New Roman" w:cs="Times New Roman"/>
          <w:noProof/>
          <w:kern w:val="0"/>
        </w:rPr>
      </w:pPr>
      <w:r w:rsidRPr="00AC5B98">
        <w:rPr>
          <w:noProof/>
          <w:lang w:val="en-US"/>
        </w:rPr>
        <w:drawing>
          <wp:inline distT="0" distB="0" distL="0" distR="0" wp14:anchorId="54CA2384" wp14:editId="69C1538C">
            <wp:extent cx="5760085" cy="2084705"/>
            <wp:effectExtent l="0" t="0" r="0" b="0"/>
            <wp:docPr id="877761490" name="Picture 3" descr="A screenshot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61490" name="Picture 3" descr="A screenshot of a for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60085" cy="2084705"/>
                    </a:xfrm>
                    <a:prstGeom prst="rect">
                      <a:avLst/>
                    </a:prstGeom>
                  </pic:spPr>
                </pic:pic>
              </a:graphicData>
            </a:graphic>
          </wp:inline>
        </w:drawing>
      </w:r>
    </w:p>
    <w:p w14:paraId="1516DB59" w14:textId="77777777" w:rsidR="000D11C3" w:rsidRDefault="000D11C3" w:rsidP="006B1BCE">
      <w:pPr>
        <w:spacing w:after="0" w:line="240" w:lineRule="auto"/>
        <w:jc w:val="both"/>
        <w:rPr>
          <w:rFonts w:ascii="Times New Roman" w:hAnsi="Times New Roman" w:cs="Times New Roman"/>
          <w:b/>
          <w:bCs/>
          <w:noProof/>
          <w:kern w:val="0"/>
          <w:lang w:val="en-US"/>
        </w:rPr>
      </w:pPr>
    </w:p>
    <w:p w14:paraId="52B4966E" w14:textId="60F1FAFE" w:rsidR="006740E0" w:rsidRDefault="006740E0" w:rsidP="00BC273B">
      <w:pPr>
        <w:keepNext/>
        <w:keepLines/>
        <w:spacing w:after="0" w:line="240" w:lineRule="auto"/>
        <w:jc w:val="center"/>
        <w:rPr>
          <w:rFonts w:ascii="Times New Roman" w:hAnsi="Times New Roman"/>
          <w:b/>
        </w:rPr>
      </w:pPr>
      <w:r>
        <w:rPr>
          <w:rFonts w:ascii="Times New Roman" w:hAnsi="Times New Roman"/>
          <w:b/>
        </w:rPr>
        <w:lastRenderedPageBreak/>
        <w:t>3. Access network point-to-multipoint architecture and three basic options of the placement of a point-to-multipoint facility</w:t>
      </w:r>
    </w:p>
    <w:p w14:paraId="65638E59" w14:textId="77777777" w:rsidR="00BC273B" w:rsidRPr="006740E0" w:rsidRDefault="00BC273B" w:rsidP="00BC273B">
      <w:pPr>
        <w:keepNext/>
        <w:keepLines/>
        <w:spacing w:after="0" w:line="240" w:lineRule="auto"/>
        <w:jc w:val="center"/>
        <w:rPr>
          <w:rFonts w:ascii="Times New Roman" w:hAnsi="Times New Roman" w:cs="Times New Roman"/>
          <w:b/>
          <w:bCs/>
          <w:noProof/>
          <w:kern w:val="0"/>
        </w:rPr>
      </w:pPr>
    </w:p>
    <w:p w14:paraId="74FBC8DC" w14:textId="122A79B2" w:rsidR="006740E0" w:rsidRPr="006740E0" w:rsidRDefault="000C309E" w:rsidP="00BC273B">
      <w:pPr>
        <w:keepNext/>
        <w:keepLines/>
        <w:spacing w:after="0" w:line="240" w:lineRule="auto"/>
        <w:jc w:val="both"/>
        <w:rPr>
          <w:rFonts w:ascii="Times New Roman" w:hAnsi="Times New Roman" w:cs="Times New Roman"/>
          <w:noProof/>
          <w:kern w:val="0"/>
        </w:rPr>
      </w:pPr>
      <w:r w:rsidRPr="00AC5B98">
        <w:rPr>
          <w:noProof/>
          <w:lang w:val="en-US"/>
        </w:rPr>
        <w:drawing>
          <wp:inline distT="0" distB="0" distL="0" distR="0" wp14:anchorId="40D4B8E4" wp14:editId="3BC5C7EA">
            <wp:extent cx="5760085" cy="3645535"/>
            <wp:effectExtent l="0" t="0" r="0" b="0"/>
            <wp:docPr id="385767869" name="Picture 4" descr="A diagram of a person with lin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67869" name="Picture 4" descr="A diagram of a person with lines and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60085" cy="3645535"/>
                    </a:xfrm>
                    <a:prstGeom prst="rect">
                      <a:avLst/>
                    </a:prstGeom>
                  </pic:spPr>
                </pic:pic>
              </a:graphicData>
            </a:graphic>
          </wp:inline>
        </w:drawing>
      </w:r>
    </w:p>
    <w:p w14:paraId="1156318E" w14:textId="77777777" w:rsidR="00012FEE" w:rsidRDefault="00012FEE" w:rsidP="006B1BCE">
      <w:pPr>
        <w:spacing w:after="0" w:line="240" w:lineRule="auto"/>
        <w:jc w:val="both"/>
        <w:rPr>
          <w:rFonts w:ascii="Times New Roman" w:hAnsi="Times New Roman" w:cs="Times New Roman"/>
          <w:b/>
          <w:bCs/>
          <w:noProof/>
          <w:kern w:val="0"/>
          <w:lang w:val="en-US"/>
        </w:rPr>
      </w:pPr>
    </w:p>
    <w:p w14:paraId="7A558406" w14:textId="5768D72E" w:rsidR="006740E0" w:rsidRDefault="006740E0" w:rsidP="007E0C88">
      <w:pPr>
        <w:spacing w:after="0" w:line="240" w:lineRule="auto"/>
        <w:jc w:val="center"/>
        <w:rPr>
          <w:rFonts w:ascii="Times New Roman" w:hAnsi="Times New Roman"/>
          <w:b/>
        </w:rPr>
      </w:pPr>
      <w:r>
        <w:rPr>
          <w:rFonts w:ascii="Times New Roman" w:hAnsi="Times New Roman"/>
          <w:b/>
        </w:rPr>
        <w:t>4. Access network architecture of optical fibre cables – depending on the termination point of optical fibre cable over the subscriber line</w:t>
      </w:r>
    </w:p>
    <w:p w14:paraId="675AADC1" w14:textId="77777777" w:rsidR="00BC273B" w:rsidRPr="006740E0" w:rsidRDefault="00BC273B" w:rsidP="007E0C88">
      <w:pPr>
        <w:spacing w:after="0" w:line="240" w:lineRule="auto"/>
        <w:jc w:val="center"/>
        <w:rPr>
          <w:rFonts w:ascii="Times New Roman" w:hAnsi="Times New Roman" w:cs="Times New Roman"/>
          <w:b/>
          <w:bCs/>
          <w:noProof/>
          <w:kern w:val="0"/>
        </w:rPr>
      </w:pPr>
    </w:p>
    <w:p w14:paraId="3DB6CDCB" w14:textId="30B14B4D" w:rsidR="006740E0" w:rsidRDefault="0091090E" w:rsidP="006B1BCE">
      <w:pPr>
        <w:spacing w:after="0" w:line="240" w:lineRule="auto"/>
        <w:jc w:val="both"/>
        <w:rPr>
          <w:rFonts w:ascii="Times New Roman" w:hAnsi="Times New Roman" w:cs="Times New Roman"/>
          <w:noProof/>
          <w:kern w:val="0"/>
        </w:rPr>
      </w:pPr>
      <w:r w:rsidRPr="00AC5B98">
        <w:rPr>
          <w:noProof/>
          <w:lang w:val="en-US"/>
        </w:rPr>
        <w:drawing>
          <wp:inline distT="0" distB="0" distL="0" distR="0" wp14:anchorId="1CA29687" wp14:editId="24756C72">
            <wp:extent cx="5760085" cy="3924935"/>
            <wp:effectExtent l="0" t="0" r="0" b="0"/>
            <wp:docPr id="1333715956" name="Picture 5"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15956" name="Picture 5" descr="A diagram of a network&#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760085" cy="3924935"/>
                    </a:xfrm>
                    <a:prstGeom prst="rect">
                      <a:avLst/>
                    </a:prstGeom>
                  </pic:spPr>
                </pic:pic>
              </a:graphicData>
            </a:graphic>
          </wp:inline>
        </w:drawing>
      </w:r>
    </w:p>
    <w:p w14:paraId="6D848D5E" w14:textId="77777777" w:rsidR="00012FEE" w:rsidRDefault="00012FEE" w:rsidP="006B1BCE">
      <w:pPr>
        <w:spacing w:after="0" w:line="240" w:lineRule="auto"/>
        <w:jc w:val="both"/>
        <w:rPr>
          <w:rFonts w:ascii="Times New Roman" w:hAnsi="Times New Roman" w:cs="Times New Roman"/>
          <w:noProof/>
          <w:kern w:val="0"/>
          <w:lang w:val="en-US"/>
        </w:rPr>
      </w:pPr>
    </w:p>
    <w:p w14:paraId="1236A37F" w14:textId="77777777" w:rsidR="00012FEE" w:rsidRDefault="00012FEE">
      <w:pPr>
        <w:rPr>
          <w:rFonts w:ascii="Times New Roman" w:hAnsi="Times New Roman" w:cs="Times New Roman"/>
          <w:noProof/>
          <w:kern w:val="0"/>
        </w:rPr>
      </w:pPr>
      <w:r>
        <w:br w:type="page"/>
      </w:r>
    </w:p>
    <w:p w14:paraId="413D14E0" w14:textId="21BE079C" w:rsidR="006B1BCE" w:rsidRPr="0033120E" w:rsidRDefault="006740E0" w:rsidP="0033120E">
      <w:pPr>
        <w:spacing w:after="0" w:line="240" w:lineRule="auto"/>
        <w:jc w:val="right"/>
        <w:rPr>
          <w:rFonts w:ascii="Times New Roman" w:hAnsi="Times New Roman" w:cs="Times New Roman"/>
          <w:b/>
          <w:bCs/>
          <w:noProof/>
          <w:kern w:val="0"/>
        </w:rPr>
      </w:pPr>
      <w:r>
        <w:rPr>
          <w:rFonts w:ascii="Times New Roman" w:hAnsi="Times New Roman"/>
          <w:b/>
          <w:bCs/>
        </w:rPr>
        <w:lastRenderedPageBreak/>
        <w:t>Annex 3</w:t>
      </w:r>
    </w:p>
    <w:p w14:paraId="1D1C30AE" w14:textId="77777777" w:rsidR="006B1BCE" w:rsidRDefault="006740E0" w:rsidP="0033120E">
      <w:pPr>
        <w:spacing w:after="0" w:line="240" w:lineRule="auto"/>
        <w:jc w:val="right"/>
        <w:rPr>
          <w:rFonts w:ascii="Times New Roman" w:hAnsi="Times New Roman" w:cs="Times New Roman"/>
          <w:noProof/>
          <w:kern w:val="0"/>
        </w:rPr>
      </w:pPr>
      <w:r>
        <w:rPr>
          <w:rFonts w:ascii="Times New Roman" w:hAnsi="Times New Roman"/>
        </w:rPr>
        <w:t>Decision No. 1/24 of the Public Utilities Commission</w:t>
      </w:r>
    </w:p>
    <w:p w14:paraId="2901C914" w14:textId="5F56B9A1" w:rsidR="006740E0" w:rsidRPr="006740E0" w:rsidRDefault="006740E0" w:rsidP="0033120E">
      <w:pPr>
        <w:spacing w:after="0" w:line="240" w:lineRule="auto"/>
        <w:jc w:val="right"/>
        <w:rPr>
          <w:rFonts w:ascii="Times New Roman" w:hAnsi="Times New Roman" w:cs="Times New Roman"/>
          <w:noProof/>
          <w:kern w:val="0"/>
        </w:rPr>
      </w:pPr>
      <w:r>
        <w:rPr>
          <w:rFonts w:ascii="Times New Roman" w:hAnsi="Times New Roman"/>
        </w:rPr>
        <w:t>15 September 2022</w:t>
      </w:r>
      <w:bookmarkStart w:id="62" w:name="piel-1396097"/>
      <w:bookmarkStart w:id="63" w:name="piel3"/>
      <w:bookmarkEnd w:id="62"/>
      <w:bookmarkEnd w:id="63"/>
    </w:p>
    <w:p w14:paraId="448BC00F" w14:textId="12E0EC48" w:rsidR="006740E0" w:rsidRPr="0033120E" w:rsidRDefault="006740E0" w:rsidP="0033120E">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3313CF12" w14:textId="77777777" w:rsidR="0033120E" w:rsidRDefault="0033120E" w:rsidP="006B1BCE">
      <w:pPr>
        <w:spacing w:after="0" w:line="240" w:lineRule="auto"/>
        <w:jc w:val="both"/>
        <w:rPr>
          <w:rFonts w:ascii="Times New Roman" w:hAnsi="Times New Roman" w:cs="Times New Roman"/>
          <w:b/>
          <w:bCs/>
          <w:noProof/>
          <w:kern w:val="0"/>
        </w:rPr>
      </w:pPr>
      <w:bookmarkStart w:id="64" w:name="1135367"/>
      <w:bookmarkStart w:id="65" w:name="n-1135367"/>
      <w:bookmarkEnd w:id="64"/>
      <w:bookmarkEnd w:id="65"/>
    </w:p>
    <w:p w14:paraId="664C278D" w14:textId="77777777" w:rsidR="0033120E" w:rsidRDefault="0033120E" w:rsidP="006B1BCE">
      <w:pPr>
        <w:spacing w:after="0" w:line="240" w:lineRule="auto"/>
        <w:jc w:val="both"/>
        <w:rPr>
          <w:rFonts w:ascii="Times New Roman" w:hAnsi="Times New Roman" w:cs="Times New Roman"/>
          <w:b/>
          <w:bCs/>
          <w:noProof/>
          <w:kern w:val="0"/>
          <w:lang w:val="en-US"/>
        </w:rPr>
      </w:pPr>
    </w:p>
    <w:p w14:paraId="4053D757" w14:textId="19FBA741" w:rsidR="006740E0" w:rsidRPr="0033120E" w:rsidRDefault="006740E0" w:rsidP="0033120E">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Technological Solutions for Unbundled Access</w:t>
      </w:r>
    </w:p>
    <w:p w14:paraId="2891DF35" w14:textId="77777777" w:rsidR="0033120E" w:rsidRDefault="0033120E" w:rsidP="006B1BCE">
      <w:pPr>
        <w:spacing w:after="0" w:line="240" w:lineRule="auto"/>
        <w:jc w:val="both"/>
        <w:rPr>
          <w:rFonts w:ascii="Times New Roman" w:hAnsi="Times New Roman" w:cs="Times New Roman"/>
          <w:b/>
          <w:bCs/>
          <w:noProof/>
          <w:kern w:val="0"/>
          <w:lang w:val="en-US"/>
        </w:rPr>
      </w:pPr>
    </w:p>
    <w:p w14:paraId="704535EE" w14:textId="77777777" w:rsidR="0033120E" w:rsidRPr="006740E0" w:rsidRDefault="0033120E" w:rsidP="0033120E">
      <w:pPr>
        <w:spacing w:after="0" w:line="240" w:lineRule="auto"/>
        <w:jc w:val="center"/>
        <w:rPr>
          <w:rFonts w:ascii="Times New Roman" w:hAnsi="Times New Roman" w:cs="Times New Roman"/>
          <w:b/>
          <w:bCs/>
          <w:noProof/>
          <w:kern w:val="0"/>
          <w:lang w:val="en-US"/>
        </w:rPr>
      </w:pPr>
    </w:p>
    <w:p w14:paraId="6B7900EA" w14:textId="2D61DA6B" w:rsidR="006740E0" w:rsidRDefault="006740E0" w:rsidP="0033120E">
      <w:pPr>
        <w:spacing w:after="0" w:line="240" w:lineRule="auto"/>
        <w:jc w:val="center"/>
        <w:rPr>
          <w:rFonts w:ascii="Times New Roman" w:hAnsi="Times New Roman" w:cs="Times New Roman"/>
          <w:i/>
          <w:iCs/>
          <w:noProof/>
          <w:kern w:val="0"/>
        </w:rPr>
      </w:pPr>
      <w:r>
        <w:rPr>
          <w:rFonts w:ascii="Times New Roman" w:hAnsi="Times New Roman"/>
          <w:b/>
        </w:rPr>
        <w:t>1.</w:t>
      </w:r>
      <w:r>
        <w:rPr>
          <w:rFonts w:ascii="Times New Roman" w:hAnsi="Times New Roman"/>
        </w:rPr>
        <w:t> [19 December 2024]</w:t>
      </w:r>
    </w:p>
    <w:p w14:paraId="7B6E4E32" w14:textId="77777777" w:rsidR="0033120E" w:rsidRPr="006740E0" w:rsidRDefault="0033120E" w:rsidP="0033120E">
      <w:pPr>
        <w:spacing w:after="0" w:line="240" w:lineRule="auto"/>
        <w:jc w:val="center"/>
        <w:rPr>
          <w:rFonts w:ascii="Times New Roman" w:hAnsi="Times New Roman" w:cs="Times New Roman"/>
          <w:noProof/>
          <w:kern w:val="0"/>
          <w:lang w:val="en-US"/>
        </w:rPr>
      </w:pPr>
    </w:p>
    <w:p w14:paraId="1C2508D2" w14:textId="77777777" w:rsidR="006740E0" w:rsidRDefault="006740E0" w:rsidP="0033120E">
      <w:pPr>
        <w:spacing w:after="0" w:line="240" w:lineRule="auto"/>
        <w:jc w:val="center"/>
        <w:rPr>
          <w:rFonts w:ascii="Times New Roman" w:hAnsi="Times New Roman" w:cs="Times New Roman"/>
          <w:b/>
          <w:bCs/>
          <w:noProof/>
          <w:kern w:val="0"/>
        </w:rPr>
      </w:pPr>
      <w:r>
        <w:rPr>
          <w:rFonts w:ascii="Times New Roman" w:hAnsi="Times New Roman"/>
          <w:b/>
        </w:rPr>
        <w:t>2. Unbundled access in the optical fibre cable access network (FTTH)</w:t>
      </w:r>
    </w:p>
    <w:p w14:paraId="06669800" w14:textId="77777777" w:rsidR="0033120E" w:rsidRPr="006740E0" w:rsidRDefault="0033120E" w:rsidP="006B1BCE">
      <w:pPr>
        <w:spacing w:after="0" w:line="240" w:lineRule="auto"/>
        <w:jc w:val="both"/>
        <w:rPr>
          <w:rFonts w:ascii="Times New Roman" w:hAnsi="Times New Roman" w:cs="Times New Roman"/>
          <w:b/>
          <w:bCs/>
          <w:noProof/>
          <w:kern w:val="0"/>
          <w:lang w:val="en-US"/>
        </w:rPr>
      </w:pPr>
    </w:p>
    <w:p w14:paraId="53D024D9" w14:textId="77777777"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noProof/>
        </w:rPr>
        <w:drawing>
          <wp:inline distT="0" distB="0" distL="0" distR="0" wp14:anchorId="2FE6E700" wp14:editId="4838BF38">
            <wp:extent cx="5585460" cy="3200400"/>
            <wp:effectExtent l="0" t="0" r="0" b="0"/>
            <wp:docPr id="16436201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5460" cy="3200400"/>
                    </a:xfrm>
                    <a:prstGeom prst="rect">
                      <a:avLst/>
                    </a:prstGeom>
                    <a:noFill/>
                    <a:ln>
                      <a:noFill/>
                    </a:ln>
                  </pic:spPr>
                </pic:pic>
              </a:graphicData>
            </a:graphic>
          </wp:inline>
        </w:drawing>
      </w:r>
    </w:p>
    <w:p w14:paraId="537B1132" w14:textId="77777777" w:rsidR="00E01E88" w:rsidRDefault="00E01E88" w:rsidP="006B1BCE">
      <w:pPr>
        <w:spacing w:after="0" w:line="240" w:lineRule="auto"/>
        <w:jc w:val="both"/>
        <w:rPr>
          <w:rFonts w:ascii="Times New Roman" w:hAnsi="Times New Roman" w:cs="Times New Roman"/>
          <w:b/>
          <w:bCs/>
          <w:noProof/>
          <w:kern w:val="0"/>
          <w:lang w:val="en-US"/>
        </w:rPr>
      </w:pPr>
    </w:p>
    <w:tbl>
      <w:tblPr>
        <w:tblStyle w:val="TableGrid8"/>
        <w:tblW w:w="0" w:type="auto"/>
        <w:tblLook w:val="04A0" w:firstRow="1" w:lastRow="0" w:firstColumn="1" w:lastColumn="0" w:noHBand="0" w:noVBand="1"/>
      </w:tblPr>
      <w:tblGrid>
        <w:gridCol w:w="4530"/>
        <w:gridCol w:w="4531"/>
      </w:tblGrid>
      <w:tr w:rsidR="00270574" w:rsidRPr="00E01E88" w14:paraId="18DEC662" w14:textId="77777777" w:rsidTr="00F90FBC">
        <w:tc>
          <w:tcPr>
            <w:tcW w:w="4530" w:type="dxa"/>
          </w:tcPr>
          <w:p w14:paraId="708DFB7C" w14:textId="23B343EC" w:rsidR="00270574" w:rsidRPr="00270574" w:rsidRDefault="00270574" w:rsidP="00845779">
            <w:pPr>
              <w:widowControl w:val="0"/>
              <w:jc w:val="center"/>
              <w:rPr>
                <w:rFonts w:ascii="Times New Roman" w:eastAsia="Calibri" w:hAnsi="Times New Roman" w:cs="Times New Roman"/>
                <w:b/>
                <w:bCs/>
                <w:sz w:val="24"/>
                <w:szCs w:val="24"/>
              </w:rPr>
            </w:pPr>
            <w:r w:rsidRPr="00270574">
              <w:rPr>
                <w:rFonts w:ascii="Times New Roman" w:hAnsi="Times New Roman" w:cs="Times New Roman"/>
                <w:sz w:val="24"/>
                <w:szCs w:val="24"/>
              </w:rPr>
              <w:t>Latviešu val.</w:t>
            </w:r>
          </w:p>
        </w:tc>
        <w:tc>
          <w:tcPr>
            <w:tcW w:w="4531" w:type="dxa"/>
          </w:tcPr>
          <w:p w14:paraId="11F5AC46" w14:textId="2F418A61" w:rsidR="00270574" w:rsidRPr="00270574" w:rsidRDefault="00270574" w:rsidP="00845779">
            <w:pPr>
              <w:widowControl w:val="0"/>
              <w:jc w:val="center"/>
              <w:rPr>
                <w:rFonts w:ascii="Times New Roman" w:eastAsia="Calibri" w:hAnsi="Times New Roman" w:cs="Times New Roman"/>
                <w:sz w:val="24"/>
                <w:szCs w:val="24"/>
              </w:rPr>
            </w:pPr>
            <w:r w:rsidRPr="00270574">
              <w:rPr>
                <w:rFonts w:ascii="Times New Roman" w:hAnsi="Times New Roman" w:cs="Times New Roman"/>
                <w:sz w:val="24"/>
                <w:szCs w:val="24"/>
              </w:rPr>
              <w:t>Angļu val.</w:t>
            </w:r>
          </w:p>
        </w:tc>
      </w:tr>
      <w:tr w:rsidR="000D7085" w:rsidRPr="00E01E88" w14:paraId="2414381A" w14:textId="77777777" w:rsidTr="00F90FBC">
        <w:tc>
          <w:tcPr>
            <w:tcW w:w="4530" w:type="dxa"/>
          </w:tcPr>
          <w:p w14:paraId="4B2B325D" w14:textId="6EDE61D7" w:rsidR="000D7085" w:rsidRDefault="000D7085" w:rsidP="000D7085">
            <w:pPr>
              <w:widowControl w:val="0"/>
              <w:jc w:val="both"/>
              <w:rPr>
                <w:rFonts w:ascii="Times New Roman" w:hAnsi="Times New Roman"/>
                <w:b/>
              </w:rPr>
            </w:pPr>
            <w:r w:rsidRPr="00E01E88">
              <w:rPr>
                <w:rFonts w:ascii="Times New Roman" w:eastAsia="Calibri" w:hAnsi="Times New Roman" w:cs="Times New Roman"/>
                <w:b/>
                <w:bCs/>
              </w:rPr>
              <w:t>Atsaistīta piekļuve optisko šķiedru kabeļu piekļuves tīklā (FTTH)</w:t>
            </w:r>
          </w:p>
        </w:tc>
        <w:tc>
          <w:tcPr>
            <w:tcW w:w="4531" w:type="dxa"/>
          </w:tcPr>
          <w:p w14:paraId="5337F08D" w14:textId="18BB39F0" w:rsidR="000D7085" w:rsidRPr="00E01E88" w:rsidRDefault="000D7085" w:rsidP="000D7085">
            <w:pPr>
              <w:widowControl w:val="0"/>
              <w:jc w:val="both"/>
              <w:rPr>
                <w:rFonts w:ascii="Times New Roman" w:eastAsia="Calibri" w:hAnsi="Times New Roman" w:cs="Times New Roman"/>
              </w:rPr>
            </w:pPr>
            <w:r>
              <w:rPr>
                <w:rFonts w:ascii="Times New Roman" w:hAnsi="Times New Roman"/>
                <w:b/>
              </w:rPr>
              <w:t>Unbundled access in the optical fibre cable access network (FTTH)</w:t>
            </w:r>
          </w:p>
        </w:tc>
      </w:tr>
      <w:tr w:rsidR="000D7085" w:rsidRPr="00E01E88" w14:paraId="0E2E6113" w14:textId="77777777" w:rsidTr="00F90FBC">
        <w:tc>
          <w:tcPr>
            <w:tcW w:w="4530" w:type="dxa"/>
          </w:tcPr>
          <w:p w14:paraId="356D65FC" w14:textId="645C686B" w:rsidR="000D7085" w:rsidRPr="00E01E88" w:rsidRDefault="000D7085" w:rsidP="000D7085">
            <w:pPr>
              <w:widowControl w:val="0"/>
              <w:jc w:val="both"/>
              <w:rPr>
                <w:rFonts w:ascii="Times New Roman" w:eastAsia="Calibri" w:hAnsi="Times New Roman" w:cs="Times New Roman"/>
                <w:b/>
                <w:bCs/>
              </w:rPr>
            </w:pPr>
            <w:r w:rsidRPr="00E01E88">
              <w:rPr>
                <w:rFonts w:ascii="Times New Roman" w:eastAsia="Calibri" w:hAnsi="Times New Roman" w:cs="Times New Roman"/>
                <w:b/>
                <w:bCs/>
              </w:rPr>
              <w:t>Piekļuves tīkla arhitektūra</w:t>
            </w:r>
          </w:p>
        </w:tc>
        <w:tc>
          <w:tcPr>
            <w:tcW w:w="4531" w:type="dxa"/>
          </w:tcPr>
          <w:p w14:paraId="40EE39DB" w14:textId="61AA7D8F"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b/>
              </w:rPr>
              <w:t>Access network architecture</w:t>
            </w:r>
          </w:p>
        </w:tc>
      </w:tr>
      <w:tr w:rsidR="000D7085" w:rsidRPr="00E01E88" w14:paraId="32259F6B" w14:textId="77777777" w:rsidTr="00F90FBC">
        <w:tc>
          <w:tcPr>
            <w:tcW w:w="4530" w:type="dxa"/>
          </w:tcPr>
          <w:p w14:paraId="244ED991" w14:textId="481EBFB1" w:rsidR="000D7085" w:rsidRPr="00E01E88" w:rsidRDefault="000D7085" w:rsidP="000D7085">
            <w:pPr>
              <w:widowControl w:val="0"/>
              <w:jc w:val="both"/>
              <w:rPr>
                <w:rFonts w:ascii="Times New Roman" w:eastAsia="Calibri" w:hAnsi="Times New Roman" w:cs="Times New Roman"/>
                <w:b/>
                <w:bCs/>
              </w:rPr>
            </w:pPr>
            <w:r w:rsidRPr="00E01E88">
              <w:rPr>
                <w:rFonts w:ascii="Times New Roman" w:eastAsia="Calibri" w:hAnsi="Times New Roman" w:cs="Times New Roman"/>
                <w:b/>
                <w:bCs/>
              </w:rPr>
              <w:t>Piekļuves tīkla tehnoloģija</w:t>
            </w:r>
          </w:p>
        </w:tc>
        <w:tc>
          <w:tcPr>
            <w:tcW w:w="4531" w:type="dxa"/>
          </w:tcPr>
          <w:p w14:paraId="7FFD43F9" w14:textId="649FBAD4"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b/>
              </w:rPr>
              <w:t>Access network technology</w:t>
            </w:r>
          </w:p>
        </w:tc>
      </w:tr>
      <w:tr w:rsidR="000D7085" w:rsidRPr="00E01E88" w14:paraId="5BAC7D7C" w14:textId="77777777" w:rsidTr="00F90FBC">
        <w:tc>
          <w:tcPr>
            <w:tcW w:w="4530" w:type="dxa"/>
          </w:tcPr>
          <w:p w14:paraId="68619E5D" w14:textId="5EACB594" w:rsidR="000D7085" w:rsidRPr="00E01E88" w:rsidRDefault="000D7085" w:rsidP="000D7085">
            <w:pPr>
              <w:widowControl w:val="0"/>
              <w:jc w:val="both"/>
              <w:rPr>
                <w:rFonts w:ascii="Times New Roman" w:eastAsia="Calibri" w:hAnsi="Times New Roman" w:cs="Times New Roman"/>
                <w:b/>
                <w:bCs/>
              </w:rPr>
            </w:pPr>
            <w:r w:rsidRPr="00E01E88">
              <w:rPr>
                <w:rFonts w:ascii="Times New Roman" w:eastAsia="Calibri" w:hAnsi="Times New Roman" w:cs="Times New Roman"/>
                <w:b/>
                <w:bCs/>
              </w:rPr>
              <w:t>Atsaistītas piekļuves veidi</w:t>
            </w:r>
          </w:p>
        </w:tc>
        <w:tc>
          <w:tcPr>
            <w:tcW w:w="4531" w:type="dxa"/>
          </w:tcPr>
          <w:p w14:paraId="04055578" w14:textId="5ECF35B9"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b/>
              </w:rPr>
              <w:t>Types of unbundled access</w:t>
            </w:r>
          </w:p>
        </w:tc>
      </w:tr>
      <w:tr w:rsidR="000D7085" w:rsidRPr="00E01E88" w14:paraId="560269AA" w14:textId="77777777" w:rsidTr="00F90FBC">
        <w:tc>
          <w:tcPr>
            <w:tcW w:w="4530" w:type="dxa"/>
          </w:tcPr>
          <w:p w14:paraId="0356F44A" w14:textId="22BEC529" w:rsidR="000D7085" w:rsidRPr="00E01E88" w:rsidRDefault="000D7085" w:rsidP="000D7085">
            <w:pPr>
              <w:widowControl w:val="0"/>
              <w:jc w:val="both"/>
              <w:rPr>
                <w:rFonts w:ascii="Times New Roman" w:eastAsia="Calibri" w:hAnsi="Times New Roman" w:cs="Times New Roman"/>
                <w:b/>
                <w:bCs/>
              </w:rPr>
            </w:pPr>
            <w:r w:rsidRPr="00E01E88">
              <w:rPr>
                <w:rFonts w:ascii="Times New Roman" w:eastAsia="Calibri" w:hAnsi="Times New Roman" w:cs="Times New Roman"/>
                <w:b/>
                <w:bCs/>
              </w:rPr>
              <w:t>Atsaistīšanas tehnoloģija</w:t>
            </w:r>
          </w:p>
        </w:tc>
        <w:tc>
          <w:tcPr>
            <w:tcW w:w="4531" w:type="dxa"/>
          </w:tcPr>
          <w:p w14:paraId="39E6601F" w14:textId="4E4CEAD3"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b/>
              </w:rPr>
              <w:t>Unbundling technology</w:t>
            </w:r>
          </w:p>
        </w:tc>
      </w:tr>
      <w:tr w:rsidR="000D7085" w:rsidRPr="00E01E88" w14:paraId="49FB93B3" w14:textId="77777777" w:rsidTr="00F90FBC">
        <w:tc>
          <w:tcPr>
            <w:tcW w:w="4530" w:type="dxa"/>
          </w:tcPr>
          <w:p w14:paraId="359C87E2" w14:textId="0B9E79EF" w:rsidR="000D7085" w:rsidRPr="00E01E88" w:rsidRDefault="000D7085" w:rsidP="000D7085">
            <w:pPr>
              <w:widowControl w:val="0"/>
              <w:jc w:val="both"/>
              <w:rPr>
                <w:rFonts w:ascii="Times New Roman" w:eastAsia="Calibri" w:hAnsi="Times New Roman" w:cs="Times New Roman"/>
                <w:b/>
                <w:bCs/>
              </w:rPr>
            </w:pPr>
            <w:r w:rsidRPr="00E01E88">
              <w:rPr>
                <w:rFonts w:ascii="Times New Roman" w:eastAsia="Calibri" w:hAnsi="Times New Roman" w:cs="Times New Roman"/>
                <w:b/>
                <w:bCs/>
              </w:rPr>
              <w:t>Atsaistītas piekļuves realizācijas vieta</w:t>
            </w:r>
          </w:p>
        </w:tc>
        <w:tc>
          <w:tcPr>
            <w:tcW w:w="4531" w:type="dxa"/>
          </w:tcPr>
          <w:p w14:paraId="5115BCDF" w14:textId="77D97AB7"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b/>
              </w:rPr>
              <w:t>Place for the implementation of unbundled access</w:t>
            </w:r>
          </w:p>
        </w:tc>
      </w:tr>
      <w:tr w:rsidR="000D7085" w:rsidRPr="00E01E88" w14:paraId="6A434790" w14:textId="77777777" w:rsidTr="00F90FBC">
        <w:tc>
          <w:tcPr>
            <w:tcW w:w="4530" w:type="dxa"/>
          </w:tcPr>
          <w:p w14:paraId="535E07F4" w14:textId="59B8769A"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Piekļuves tīkla punkta-punkta arhitektūra</w:t>
            </w:r>
          </w:p>
        </w:tc>
        <w:tc>
          <w:tcPr>
            <w:tcW w:w="4531" w:type="dxa"/>
          </w:tcPr>
          <w:p w14:paraId="5963F1E2" w14:textId="6D45A50E"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rPr>
              <w:t>Access network point-to-point architecture</w:t>
            </w:r>
          </w:p>
        </w:tc>
      </w:tr>
      <w:tr w:rsidR="000D7085" w:rsidRPr="00E01E88" w14:paraId="096BD368" w14:textId="77777777" w:rsidTr="00F90FBC">
        <w:tc>
          <w:tcPr>
            <w:tcW w:w="4530" w:type="dxa"/>
          </w:tcPr>
          <w:p w14:paraId="321D3EB3" w14:textId="14AAD54E"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Piekļuves tīkla punkta-daudzpunktu arhitektūra</w:t>
            </w:r>
          </w:p>
        </w:tc>
        <w:tc>
          <w:tcPr>
            <w:tcW w:w="4531" w:type="dxa"/>
          </w:tcPr>
          <w:p w14:paraId="26FB1546" w14:textId="23D9FD8D"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rPr>
              <w:t>Access network point-to-multipoint architecture</w:t>
            </w:r>
          </w:p>
        </w:tc>
      </w:tr>
      <w:tr w:rsidR="000D7085" w:rsidRPr="00E01E88" w14:paraId="6573D92F" w14:textId="77777777" w:rsidTr="00F90FBC">
        <w:tc>
          <w:tcPr>
            <w:tcW w:w="4530" w:type="dxa"/>
          </w:tcPr>
          <w:p w14:paraId="089A005F" w14:textId="78C5BF44"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Ethernet P2P</w:t>
            </w:r>
          </w:p>
        </w:tc>
        <w:tc>
          <w:tcPr>
            <w:tcW w:w="4531" w:type="dxa"/>
          </w:tcPr>
          <w:p w14:paraId="170CE9D9" w14:textId="7CE0E09D" w:rsidR="000D7085" w:rsidRPr="00E01E88" w:rsidRDefault="000D7085" w:rsidP="000D7085">
            <w:pPr>
              <w:widowControl w:val="0"/>
              <w:jc w:val="both"/>
              <w:rPr>
                <w:rFonts w:ascii="Times New Roman" w:eastAsia="Calibri" w:hAnsi="Times New Roman" w:cs="Times New Roman"/>
              </w:rPr>
            </w:pPr>
            <w:r>
              <w:rPr>
                <w:rFonts w:ascii="Times New Roman" w:hAnsi="Times New Roman"/>
              </w:rPr>
              <w:t>Ethernet P2P</w:t>
            </w:r>
          </w:p>
        </w:tc>
      </w:tr>
      <w:tr w:rsidR="000D7085" w:rsidRPr="00E01E88" w14:paraId="3D0E0AFE" w14:textId="77777777" w:rsidTr="00F90FBC">
        <w:tc>
          <w:tcPr>
            <w:tcW w:w="4530" w:type="dxa"/>
          </w:tcPr>
          <w:p w14:paraId="285FD87C" w14:textId="28E2E1B9"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PON</w:t>
            </w:r>
          </w:p>
        </w:tc>
        <w:tc>
          <w:tcPr>
            <w:tcW w:w="4531" w:type="dxa"/>
          </w:tcPr>
          <w:p w14:paraId="0000E2EB" w14:textId="7EF68BAB" w:rsidR="000D7085" w:rsidRPr="00E01E88" w:rsidRDefault="000D7085" w:rsidP="000D7085">
            <w:pPr>
              <w:widowControl w:val="0"/>
              <w:jc w:val="both"/>
              <w:rPr>
                <w:rFonts w:ascii="Times New Roman" w:eastAsia="Calibri" w:hAnsi="Times New Roman" w:cs="Times New Roman"/>
              </w:rPr>
            </w:pPr>
            <w:r>
              <w:rPr>
                <w:rFonts w:ascii="Times New Roman" w:hAnsi="Times New Roman"/>
              </w:rPr>
              <w:t>PON</w:t>
            </w:r>
          </w:p>
        </w:tc>
      </w:tr>
      <w:tr w:rsidR="000D7085" w:rsidRPr="00E01E88" w14:paraId="369A74AC" w14:textId="77777777" w:rsidTr="00F90FBC">
        <w:tc>
          <w:tcPr>
            <w:tcW w:w="4530" w:type="dxa"/>
          </w:tcPr>
          <w:p w14:paraId="5EC87FE6" w14:textId="323F0847"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Pilnībā atsaistīta piekļuve abonentlīnijai vai tās daļai</w:t>
            </w:r>
          </w:p>
        </w:tc>
        <w:tc>
          <w:tcPr>
            <w:tcW w:w="4531" w:type="dxa"/>
          </w:tcPr>
          <w:p w14:paraId="4CDF8913" w14:textId="12106678"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rPr>
              <w:t>Full unbundled access to the subscriber line or its part</w:t>
            </w:r>
          </w:p>
        </w:tc>
      </w:tr>
      <w:tr w:rsidR="000D7085" w:rsidRPr="00E01E88" w14:paraId="271F2A00" w14:textId="77777777" w:rsidTr="00F90FBC">
        <w:tc>
          <w:tcPr>
            <w:tcW w:w="4530" w:type="dxa"/>
          </w:tcPr>
          <w:p w14:paraId="5E7AAAFF" w14:textId="372D64A9"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Pilnībā atsaistīta piekļuve abonentlīnijai</w:t>
            </w:r>
          </w:p>
        </w:tc>
        <w:tc>
          <w:tcPr>
            <w:tcW w:w="4531" w:type="dxa"/>
          </w:tcPr>
          <w:p w14:paraId="22FEE18A" w14:textId="1A37C697"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rPr>
              <w:t>Full unbundled access to the subscriber line</w:t>
            </w:r>
          </w:p>
        </w:tc>
      </w:tr>
      <w:tr w:rsidR="000D7085" w:rsidRPr="00E01E88" w14:paraId="6996538A" w14:textId="77777777" w:rsidTr="00F90FBC">
        <w:tc>
          <w:tcPr>
            <w:tcW w:w="4530" w:type="dxa"/>
          </w:tcPr>
          <w:p w14:paraId="719B04AF" w14:textId="637B6B34"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Pilnībā atsaistīta piekļuve abonentlīnijas daļai</w:t>
            </w:r>
          </w:p>
        </w:tc>
        <w:tc>
          <w:tcPr>
            <w:tcW w:w="4531" w:type="dxa"/>
          </w:tcPr>
          <w:p w14:paraId="630FA0BD" w14:textId="68CA3CC9"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rPr>
              <w:t>Full unbundled access to the part of the subscriber line</w:t>
            </w:r>
          </w:p>
        </w:tc>
      </w:tr>
      <w:tr w:rsidR="000D7085" w:rsidRPr="00E01E88" w14:paraId="15662D2A" w14:textId="77777777" w:rsidTr="00F90FBC">
        <w:tc>
          <w:tcPr>
            <w:tcW w:w="4530" w:type="dxa"/>
          </w:tcPr>
          <w:p w14:paraId="470FD004" w14:textId="10CC927E"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Fiziska pārslēgšana</w:t>
            </w:r>
          </w:p>
        </w:tc>
        <w:tc>
          <w:tcPr>
            <w:tcW w:w="4531" w:type="dxa"/>
          </w:tcPr>
          <w:p w14:paraId="44ABFF19" w14:textId="318AD21F" w:rsidR="000D7085" w:rsidRPr="00E01E88" w:rsidRDefault="000D7085" w:rsidP="000D7085">
            <w:pPr>
              <w:widowControl w:val="0"/>
              <w:jc w:val="both"/>
              <w:rPr>
                <w:rFonts w:ascii="Times New Roman" w:eastAsia="Calibri" w:hAnsi="Times New Roman" w:cs="Times New Roman"/>
                <w:b/>
                <w:bCs/>
              </w:rPr>
            </w:pPr>
            <w:r>
              <w:rPr>
                <w:rFonts w:ascii="Times New Roman" w:hAnsi="Times New Roman"/>
              </w:rPr>
              <w:t>Physical switching</w:t>
            </w:r>
          </w:p>
        </w:tc>
      </w:tr>
      <w:tr w:rsidR="000D7085" w:rsidRPr="00E01E88" w14:paraId="09C70F45" w14:textId="77777777" w:rsidTr="00F90FBC">
        <w:tc>
          <w:tcPr>
            <w:tcW w:w="4530" w:type="dxa"/>
          </w:tcPr>
          <w:p w14:paraId="0BDF57E3" w14:textId="131CB522"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VULA</w:t>
            </w:r>
          </w:p>
        </w:tc>
        <w:tc>
          <w:tcPr>
            <w:tcW w:w="4531" w:type="dxa"/>
          </w:tcPr>
          <w:p w14:paraId="123B58B7" w14:textId="35ABC6B4" w:rsidR="000D7085" w:rsidRPr="00E01E88" w:rsidRDefault="000D7085" w:rsidP="000D7085">
            <w:pPr>
              <w:widowControl w:val="0"/>
              <w:jc w:val="both"/>
              <w:rPr>
                <w:rFonts w:ascii="Times New Roman" w:eastAsia="Calibri" w:hAnsi="Times New Roman" w:cs="Times New Roman"/>
              </w:rPr>
            </w:pPr>
            <w:r>
              <w:rPr>
                <w:rFonts w:ascii="Times New Roman" w:hAnsi="Times New Roman"/>
              </w:rPr>
              <w:t>VULA</w:t>
            </w:r>
          </w:p>
        </w:tc>
      </w:tr>
      <w:tr w:rsidR="000D7085" w:rsidRPr="00E01E88" w14:paraId="4E22C3DD" w14:textId="77777777" w:rsidTr="00F90FBC">
        <w:tc>
          <w:tcPr>
            <w:tcW w:w="4530" w:type="dxa"/>
          </w:tcPr>
          <w:p w14:paraId="34A172AE" w14:textId="4F5D8628"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ODF – piekļuves mezglā</w:t>
            </w:r>
          </w:p>
        </w:tc>
        <w:tc>
          <w:tcPr>
            <w:tcW w:w="4531" w:type="dxa"/>
          </w:tcPr>
          <w:p w14:paraId="30B941EC" w14:textId="19F2C042" w:rsidR="000D7085" w:rsidRPr="00E01E88" w:rsidRDefault="000D7085" w:rsidP="000D7085">
            <w:pPr>
              <w:widowControl w:val="0"/>
              <w:jc w:val="both"/>
              <w:rPr>
                <w:rFonts w:ascii="Times New Roman" w:eastAsia="Calibri" w:hAnsi="Times New Roman" w:cs="Times New Roman"/>
              </w:rPr>
            </w:pPr>
            <w:r>
              <w:rPr>
                <w:rFonts w:ascii="Times New Roman" w:hAnsi="Times New Roman"/>
              </w:rPr>
              <w:t>ODF – at the central office</w:t>
            </w:r>
          </w:p>
        </w:tc>
      </w:tr>
      <w:tr w:rsidR="000D7085" w:rsidRPr="00E01E88" w14:paraId="4C9D5D41" w14:textId="77777777" w:rsidTr="00F90FBC">
        <w:tc>
          <w:tcPr>
            <w:tcW w:w="4530" w:type="dxa"/>
          </w:tcPr>
          <w:p w14:paraId="26C0D9EA" w14:textId="51F09E32"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lastRenderedPageBreak/>
              <w:t>Sadales punktā, pie kuras sākas gala posms</w:t>
            </w:r>
          </w:p>
        </w:tc>
        <w:tc>
          <w:tcPr>
            <w:tcW w:w="4531" w:type="dxa"/>
          </w:tcPr>
          <w:p w14:paraId="4F74BDAC" w14:textId="10C667CA" w:rsidR="000D7085" w:rsidRPr="00E01E88" w:rsidRDefault="000D7085" w:rsidP="000D7085">
            <w:pPr>
              <w:widowControl w:val="0"/>
              <w:jc w:val="both"/>
              <w:rPr>
                <w:rFonts w:ascii="Times New Roman" w:eastAsia="Calibri" w:hAnsi="Times New Roman" w:cs="Times New Roman"/>
              </w:rPr>
            </w:pPr>
            <w:r>
              <w:rPr>
                <w:rFonts w:ascii="Times New Roman" w:hAnsi="Times New Roman"/>
              </w:rPr>
              <w:t>At the distribution point at which the terminating segment starts</w:t>
            </w:r>
          </w:p>
        </w:tc>
      </w:tr>
      <w:tr w:rsidR="000D7085" w:rsidRPr="00E01E88" w14:paraId="773CD827" w14:textId="77777777" w:rsidTr="00F90FBC">
        <w:tc>
          <w:tcPr>
            <w:tcW w:w="4530" w:type="dxa"/>
          </w:tcPr>
          <w:p w14:paraId="4C0F646C" w14:textId="16F1D310"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Pie pasīvā optiskā sadalītāja – sadales punktā, pie kura sākas gala posms</w:t>
            </w:r>
          </w:p>
        </w:tc>
        <w:tc>
          <w:tcPr>
            <w:tcW w:w="4531" w:type="dxa"/>
          </w:tcPr>
          <w:p w14:paraId="058C6CF6" w14:textId="2688729F" w:rsidR="000D7085" w:rsidRPr="00E01E88" w:rsidRDefault="000D7085" w:rsidP="000D7085">
            <w:pPr>
              <w:widowControl w:val="0"/>
              <w:jc w:val="both"/>
              <w:rPr>
                <w:rFonts w:ascii="Times New Roman" w:eastAsia="Calibri" w:hAnsi="Times New Roman" w:cs="Times New Roman"/>
              </w:rPr>
            </w:pPr>
            <w:r>
              <w:rPr>
                <w:rFonts w:ascii="Times New Roman" w:hAnsi="Times New Roman"/>
              </w:rPr>
              <w:t>At the passive Optical Splitter – at the distribution point at which the terminating segment starts</w:t>
            </w:r>
          </w:p>
        </w:tc>
      </w:tr>
      <w:tr w:rsidR="000D7085" w:rsidRPr="00E01E88" w14:paraId="12742A63" w14:textId="77777777" w:rsidTr="00F90FBC">
        <w:tc>
          <w:tcPr>
            <w:tcW w:w="4530" w:type="dxa"/>
          </w:tcPr>
          <w:p w14:paraId="743D589C" w14:textId="563AB9B2" w:rsidR="000D7085" w:rsidRPr="00E01E88" w:rsidRDefault="000D7085" w:rsidP="000D7085">
            <w:pPr>
              <w:widowControl w:val="0"/>
              <w:jc w:val="both"/>
              <w:rPr>
                <w:rFonts w:ascii="Times New Roman" w:eastAsia="Calibri" w:hAnsi="Times New Roman" w:cs="Times New Roman"/>
              </w:rPr>
            </w:pPr>
            <w:r w:rsidRPr="00E01E88">
              <w:rPr>
                <w:rFonts w:ascii="Times New Roman" w:eastAsia="Calibri" w:hAnsi="Times New Roman" w:cs="Times New Roman"/>
              </w:rPr>
              <w:t>Piekļuves mezglā, kur atrodas OLT</w:t>
            </w:r>
          </w:p>
        </w:tc>
        <w:tc>
          <w:tcPr>
            <w:tcW w:w="4531" w:type="dxa"/>
          </w:tcPr>
          <w:p w14:paraId="707D5008" w14:textId="5BA2071D" w:rsidR="000D7085" w:rsidRPr="00E01E88" w:rsidRDefault="000D7085" w:rsidP="000D7085">
            <w:pPr>
              <w:widowControl w:val="0"/>
              <w:jc w:val="both"/>
              <w:rPr>
                <w:rFonts w:ascii="Times New Roman" w:eastAsia="Calibri" w:hAnsi="Times New Roman" w:cs="Times New Roman"/>
              </w:rPr>
            </w:pPr>
            <w:r>
              <w:rPr>
                <w:rFonts w:ascii="Times New Roman" w:hAnsi="Times New Roman"/>
              </w:rPr>
              <w:t>At the central office where OLT is located</w:t>
            </w:r>
          </w:p>
        </w:tc>
      </w:tr>
    </w:tbl>
    <w:p w14:paraId="37F5ECE6" w14:textId="77777777" w:rsidR="00E01E88" w:rsidRDefault="00E01E88" w:rsidP="006B1BCE">
      <w:pPr>
        <w:spacing w:after="0" w:line="240" w:lineRule="auto"/>
        <w:jc w:val="both"/>
        <w:rPr>
          <w:rFonts w:ascii="Times New Roman" w:hAnsi="Times New Roman" w:cs="Times New Roman"/>
          <w:b/>
          <w:bCs/>
          <w:noProof/>
          <w:kern w:val="0"/>
          <w:lang w:val="en-US"/>
        </w:rPr>
      </w:pPr>
    </w:p>
    <w:p w14:paraId="73227A63" w14:textId="2265D700" w:rsidR="006740E0" w:rsidRDefault="006740E0" w:rsidP="00E01E88">
      <w:pPr>
        <w:spacing w:after="0" w:line="240" w:lineRule="auto"/>
        <w:jc w:val="center"/>
        <w:rPr>
          <w:rFonts w:ascii="Times New Roman" w:hAnsi="Times New Roman" w:cs="Times New Roman"/>
          <w:b/>
          <w:bCs/>
          <w:noProof/>
          <w:kern w:val="0"/>
        </w:rPr>
      </w:pPr>
      <w:r>
        <w:rPr>
          <w:rFonts w:ascii="Times New Roman" w:hAnsi="Times New Roman"/>
          <w:b/>
        </w:rPr>
        <w:t>3. Unbundled access in the optical fibre cable access network (FTTB)</w:t>
      </w:r>
    </w:p>
    <w:p w14:paraId="502E4E3B" w14:textId="77777777" w:rsidR="00DB6EB2" w:rsidRPr="006740E0" w:rsidRDefault="00DB6EB2" w:rsidP="00E01E88">
      <w:pPr>
        <w:spacing w:after="0" w:line="240" w:lineRule="auto"/>
        <w:jc w:val="center"/>
        <w:rPr>
          <w:rFonts w:ascii="Times New Roman" w:hAnsi="Times New Roman" w:cs="Times New Roman"/>
          <w:b/>
          <w:bCs/>
          <w:noProof/>
          <w:kern w:val="0"/>
          <w:lang w:val="en-US"/>
        </w:rPr>
      </w:pPr>
    </w:p>
    <w:p w14:paraId="0CBE14D7" w14:textId="77777777" w:rsidR="006740E0" w:rsidRPr="006740E0" w:rsidRDefault="006740E0" w:rsidP="006B1BCE">
      <w:pPr>
        <w:spacing w:after="0" w:line="240" w:lineRule="auto"/>
        <w:jc w:val="both"/>
        <w:rPr>
          <w:rFonts w:ascii="Times New Roman" w:hAnsi="Times New Roman" w:cs="Times New Roman"/>
          <w:noProof/>
          <w:kern w:val="0"/>
        </w:rPr>
      </w:pPr>
      <w:r>
        <w:rPr>
          <w:rFonts w:ascii="Times New Roman" w:hAnsi="Times New Roman"/>
          <w:noProof/>
        </w:rPr>
        <w:drawing>
          <wp:inline distT="0" distB="0" distL="0" distR="0" wp14:anchorId="440CA77A" wp14:editId="3481CEE2">
            <wp:extent cx="5585460" cy="3108960"/>
            <wp:effectExtent l="0" t="0" r="0" b="0"/>
            <wp:docPr id="10067768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5460" cy="3108960"/>
                    </a:xfrm>
                    <a:prstGeom prst="rect">
                      <a:avLst/>
                    </a:prstGeom>
                    <a:noFill/>
                    <a:ln>
                      <a:noFill/>
                    </a:ln>
                  </pic:spPr>
                </pic:pic>
              </a:graphicData>
            </a:graphic>
          </wp:inline>
        </w:drawing>
      </w:r>
    </w:p>
    <w:p w14:paraId="66EAFDB7" w14:textId="77777777" w:rsidR="006740E0" w:rsidRDefault="006740E0" w:rsidP="006B1BCE">
      <w:pPr>
        <w:spacing w:after="0" w:line="240" w:lineRule="auto"/>
        <w:jc w:val="both"/>
        <w:rPr>
          <w:rFonts w:ascii="Times New Roman" w:hAnsi="Times New Roman" w:cs="Times New Roman"/>
          <w:noProof/>
          <w:kern w:val="0"/>
          <w:lang w:val="en-US"/>
        </w:rPr>
      </w:pPr>
    </w:p>
    <w:tbl>
      <w:tblPr>
        <w:tblStyle w:val="TableGrid9"/>
        <w:tblW w:w="0" w:type="auto"/>
        <w:tblLook w:val="04A0" w:firstRow="1" w:lastRow="0" w:firstColumn="1" w:lastColumn="0" w:noHBand="0" w:noVBand="1"/>
      </w:tblPr>
      <w:tblGrid>
        <w:gridCol w:w="4530"/>
        <w:gridCol w:w="4531"/>
      </w:tblGrid>
      <w:tr w:rsidR="00845779" w:rsidRPr="00DB6EB2" w14:paraId="1ECC7E52" w14:textId="77777777" w:rsidTr="00F90FBC">
        <w:tc>
          <w:tcPr>
            <w:tcW w:w="4530" w:type="dxa"/>
          </w:tcPr>
          <w:p w14:paraId="5705383B" w14:textId="57D85B1D" w:rsidR="00845779" w:rsidRPr="00845779" w:rsidRDefault="00845779" w:rsidP="00845779">
            <w:pPr>
              <w:widowControl w:val="0"/>
              <w:jc w:val="center"/>
              <w:rPr>
                <w:rFonts w:ascii="Times New Roman" w:eastAsia="Calibri" w:hAnsi="Times New Roman" w:cs="Times New Roman"/>
                <w:b/>
                <w:bCs/>
                <w:sz w:val="24"/>
                <w:szCs w:val="24"/>
              </w:rPr>
            </w:pPr>
            <w:r w:rsidRPr="00845779">
              <w:rPr>
                <w:rFonts w:ascii="Times New Roman" w:hAnsi="Times New Roman" w:cs="Times New Roman"/>
                <w:sz w:val="24"/>
                <w:szCs w:val="24"/>
              </w:rPr>
              <w:t>Latviešu val.</w:t>
            </w:r>
          </w:p>
        </w:tc>
        <w:tc>
          <w:tcPr>
            <w:tcW w:w="4531" w:type="dxa"/>
          </w:tcPr>
          <w:p w14:paraId="7E4B035A" w14:textId="222C5E13" w:rsidR="00845779" w:rsidRPr="00845779" w:rsidRDefault="00845779" w:rsidP="00845779">
            <w:pPr>
              <w:widowControl w:val="0"/>
              <w:jc w:val="center"/>
              <w:rPr>
                <w:rFonts w:ascii="Times New Roman" w:eastAsia="Calibri" w:hAnsi="Times New Roman" w:cs="Times New Roman"/>
                <w:sz w:val="24"/>
                <w:szCs w:val="24"/>
              </w:rPr>
            </w:pPr>
            <w:r w:rsidRPr="00845779">
              <w:rPr>
                <w:rFonts w:ascii="Times New Roman" w:hAnsi="Times New Roman" w:cs="Times New Roman"/>
                <w:sz w:val="24"/>
                <w:szCs w:val="24"/>
              </w:rPr>
              <w:t>Angļu val.</w:t>
            </w:r>
          </w:p>
        </w:tc>
      </w:tr>
      <w:tr w:rsidR="007C1830" w:rsidRPr="00DB6EB2" w14:paraId="194ADAF0" w14:textId="77777777" w:rsidTr="00F90FBC">
        <w:tc>
          <w:tcPr>
            <w:tcW w:w="4530" w:type="dxa"/>
          </w:tcPr>
          <w:p w14:paraId="65BBB7BD" w14:textId="2EB59FE8" w:rsidR="007C1830" w:rsidRDefault="007C1830" w:rsidP="007C1830">
            <w:pPr>
              <w:widowControl w:val="0"/>
              <w:jc w:val="both"/>
              <w:rPr>
                <w:rFonts w:ascii="Times New Roman" w:hAnsi="Times New Roman"/>
                <w:b/>
              </w:rPr>
            </w:pPr>
            <w:r w:rsidRPr="00DB6EB2">
              <w:rPr>
                <w:rFonts w:ascii="Times New Roman" w:eastAsia="Calibri" w:hAnsi="Times New Roman" w:cs="Times New Roman"/>
                <w:b/>
                <w:bCs/>
              </w:rPr>
              <w:t>Atsaistīta piekļuve optisko šķiedru kabeļu piekļuves tīklā (FTTH)</w:t>
            </w:r>
          </w:p>
        </w:tc>
        <w:tc>
          <w:tcPr>
            <w:tcW w:w="4531" w:type="dxa"/>
          </w:tcPr>
          <w:p w14:paraId="6D84C372" w14:textId="2D751D18" w:rsidR="007C1830" w:rsidRPr="00DB6EB2" w:rsidRDefault="007C1830" w:rsidP="007C1830">
            <w:pPr>
              <w:widowControl w:val="0"/>
              <w:jc w:val="both"/>
              <w:rPr>
                <w:rFonts w:ascii="Times New Roman" w:eastAsia="Calibri" w:hAnsi="Times New Roman" w:cs="Times New Roman"/>
              </w:rPr>
            </w:pPr>
            <w:r>
              <w:rPr>
                <w:rFonts w:ascii="Times New Roman" w:hAnsi="Times New Roman"/>
                <w:b/>
              </w:rPr>
              <w:t>Unbundled access in the optical fibre cable access network (FTTH)</w:t>
            </w:r>
          </w:p>
        </w:tc>
      </w:tr>
      <w:tr w:rsidR="007C1830" w:rsidRPr="00DB6EB2" w14:paraId="2AB5FE96" w14:textId="77777777" w:rsidTr="00F90FBC">
        <w:tc>
          <w:tcPr>
            <w:tcW w:w="4530" w:type="dxa"/>
          </w:tcPr>
          <w:p w14:paraId="2616D58D" w14:textId="08C459C8" w:rsidR="007C1830" w:rsidRPr="00DB6EB2" w:rsidRDefault="007C1830" w:rsidP="007C1830">
            <w:pPr>
              <w:widowControl w:val="0"/>
              <w:jc w:val="both"/>
              <w:rPr>
                <w:rFonts w:ascii="Times New Roman" w:eastAsia="Calibri" w:hAnsi="Times New Roman" w:cs="Times New Roman"/>
                <w:b/>
                <w:bCs/>
              </w:rPr>
            </w:pPr>
            <w:r w:rsidRPr="00DB6EB2">
              <w:rPr>
                <w:rFonts w:ascii="Times New Roman" w:eastAsia="Calibri" w:hAnsi="Times New Roman" w:cs="Times New Roman"/>
                <w:b/>
                <w:bCs/>
              </w:rPr>
              <w:t>Piekļuves tīkla arhitektūra</w:t>
            </w:r>
          </w:p>
        </w:tc>
        <w:tc>
          <w:tcPr>
            <w:tcW w:w="4531" w:type="dxa"/>
          </w:tcPr>
          <w:p w14:paraId="550B39D2" w14:textId="00E9FCC3"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b/>
              </w:rPr>
              <w:t>Access network architecture</w:t>
            </w:r>
          </w:p>
        </w:tc>
      </w:tr>
      <w:tr w:rsidR="007C1830" w:rsidRPr="00DB6EB2" w14:paraId="55847021" w14:textId="77777777" w:rsidTr="00F90FBC">
        <w:tc>
          <w:tcPr>
            <w:tcW w:w="4530" w:type="dxa"/>
          </w:tcPr>
          <w:p w14:paraId="22F49D68" w14:textId="6FB5009B" w:rsidR="007C1830" w:rsidRPr="00DB6EB2" w:rsidRDefault="007C1830" w:rsidP="007C1830">
            <w:pPr>
              <w:widowControl w:val="0"/>
              <w:jc w:val="both"/>
              <w:rPr>
                <w:rFonts w:ascii="Times New Roman" w:eastAsia="Calibri" w:hAnsi="Times New Roman" w:cs="Times New Roman"/>
                <w:b/>
                <w:bCs/>
              </w:rPr>
            </w:pPr>
            <w:r w:rsidRPr="00DB6EB2">
              <w:rPr>
                <w:rFonts w:ascii="Times New Roman" w:eastAsia="Calibri" w:hAnsi="Times New Roman" w:cs="Times New Roman"/>
                <w:b/>
                <w:bCs/>
              </w:rPr>
              <w:t>Piekļuves tīkla tehnoloģija</w:t>
            </w:r>
          </w:p>
        </w:tc>
        <w:tc>
          <w:tcPr>
            <w:tcW w:w="4531" w:type="dxa"/>
          </w:tcPr>
          <w:p w14:paraId="1D475B40" w14:textId="2B926C8E"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b/>
              </w:rPr>
              <w:t>Access network technology</w:t>
            </w:r>
          </w:p>
        </w:tc>
      </w:tr>
      <w:tr w:rsidR="007C1830" w:rsidRPr="00DB6EB2" w14:paraId="6E4BF8DC" w14:textId="77777777" w:rsidTr="00F90FBC">
        <w:tc>
          <w:tcPr>
            <w:tcW w:w="4530" w:type="dxa"/>
          </w:tcPr>
          <w:p w14:paraId="54CE7F93" w14:textId="0DE527EF" w:rsidR="007C1830" w:rsidRPr="00DB6EB2" w:rsidRDefault="007C1830" w:rsidP="007C1830">
            <w:pPr>
              <w:widowControl w:val="0"/>
              <w:jc w:val="both"/>
              <w:rPr>
                <w:rFonts w:ascii="Times New Roman" w:eastAsia="Calibri" w:hAnsi="Times New Roman" w:cs="Times New Roman"/>
                <w:b/>
                <w:bCs/>
              </w:rPr>
            </w:pPr>
            <w:r w:rsidRPr="00DB6EB2">
              <w:rPr>
                <w:rFonts w:ascii="Times New Roman" w:eastAsia="Calibri" w:hAnsi="Times New Roman" w:cs="Times New Roman"/>
                <w:b/>
                <w:bCs/>
              </w:rPr>
              <w:t>Atsaistītas piekļuves veidi</w:t>
            </w:r>
          </w:p>
        </w:tc>
        <w:tc>
          <w:tcPr>
            <w:tcW w:w="4531" w:type="dxa"/>
          </w:tcPr>
          <w:p w14:paraId="1100FF39" w14:textId="2B5B4168"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b/>
              </w:rPr>
              <w:t>Types of unbundled access</w:t>
            </w:r>
          </w:p>
        </w:tc>
      </w:tr>
      <w:tr w:rsidR="007C1830" w:rsidRPr="00DB6EB2" w14:paraId="258B1969" w14:textId="77777777" w:rsidTr="00F90FBC">
        <w:tc>
          <w:tcPr>
            <w:tcW w:w="4530" w:type="dxa"/>
          </w:tcPr>
          <w:p w14:paraId="7396F0E0" w14:textId="2B39A569" w:rsidR="007C1830" w:rsidRPr="00DB6EB2" w:rsidRDefault="007C1830" w:rsidP="007C1830">
            <w:pPr>
              <w:widowControl w:val="0"/>
              <w:jc w:val="both"/>
              <w:rPr>
                <w:rFonts w:ascii="Times New Roman" w:eastAsia="Calibri" w:hAnsi="Times New Roman" w:cs="Times New Roman"/>
                <w:b/>
                <w:bCs/>
              </w:rPr>
            </w:pPr>
            <w:r w:rsidRPr="00DB6EB2">
              <w:rPr>
                <w:rFonts w:ascii="Times New Roman" w:eastAsia="Calibri" w:hAnsi="Times New Roman" w:cs="Times New Roman"/>
                <w:b/>
                <w:bCs/>
              </w:rPr>
              <w:t>Atsaistīšanas tehnoloģija</w:t>
            </w:r>
          </w:p>
        </w:tc>
        <w:tc>
          <w:tcPr>
            <w:tcW w:w="4531" w:type="dxa"/>
          </w:tcPr>
          <w:p w14:paraId="00A3C361" w14:textId="66E8EC23"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b/>
              </w:rPr>
              <w:t>Unbundling technology</w:t>
            </w:r>
          </w:p>
        </w:tc>
      </w:tr>
      <w:tr w:rsidR="007C1830" w:rsidRPr="00DB6EB2" w14:paraId="0981A1C6" w14:textId="77777777" w:rsidTr="00F90FBC">
        <w:tc>
          <w:tcPr>
            <w:tcW w:w="4530" w:type="dxa"/>
          </w:tcPr>
          <w:p w14:paraId="645A9B53" w14:textId="5D8B7FB7" w:rsidR="007C1830" w:rsidRPr="00DB6EB2" w:rsidRDefault="007C1830" w:rsidP="007C1830">
            <w:pPr>
              <w:widowControl w:val="0"/>
              <w:jc w:val="both"/>
              <w:rPr>
                <w:rFonts w:ascii="Times New Roman" w:eastAsia="Calibri" w:hAnsi="Times New Roman" w:cs="Times New Roman"/>
                <w:b/>
                <w:bCs/>
              </w:rPr>
            </w:pPr>
            <w:r w:rsidRPr="00DB6EB2">
              <w:rPr>
                <w:rFonts w:ascii="Times New Roman" w:eastAsia="Calibri" w:hAnsi="Times New Roman" w:cs="Times New Roman"/>
                <w:b/>
                <w:bCs/>
              </w:rPr>
              <w:t>Atsaistītas piekļuves realizācijas vieta</w:t>
            </w:r>
          </w:p>
        </w:tc>
        <w:tc>
          <w:tcPr>
            <w:tcW w:w="4531" w:type="dxa"/>
          </w:tcPr>
          <w:p w14:paraId="03059DC1" w14:textId="10B7E980"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b/>
              </w:rPr>
              <w:t>Place for the implementation of unbundled access</w:t>
            </w:r>
          </w:p>
        </w:tc>
      </w:tr>
      <w:tr w:rsidR="007C1830" w:rsidRPr="00DB6EB2" w14:paraId="31321862" w14:textId="77777777" w:rsidTr="00F90FBC">
        <w:tc>
          <w:tcPr>
            <w:tcW w:w="4530" w:type="dxa"/>
          </w:tcPr>
          <w:p w14:paraId="4D27E64C" w14:textId="4BAF6FC3"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Piekļuves tīkla punkta-daudzpunktu arhitektūra</w:t>
            </w:r>
          </w:p>
        </w:tc>
        <w:tc>
          <w:tcPr>
            <w:tcW w:w="4531" w:type="dxa"/>
          </w:tcPr>
          <w:p w14:paraId="0EBAD961" w14:textId="7A858925"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rPr>
              <w:t>Access network point-to-multipoint architecture</w:t>
            </w:r>
          </w:p>
        </w:tc>
      </w:tr>
      <w:tr w:rsidR="007C1830" w:rsidRPr="00DB6EB2" w14:paraId="3D5B6E39" w14:textId="77777777" w:rsidTr="00F90FBC">
        <w:tc>
          <w:tcPr>
            <w:tcW w:w="4530" w:type="dxa"/>
          </w:tcPr>
          <w:p w14:paraId="69DE3FA4" w14:textId="22FA2FAE"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PON</w:t>
            </w:r>
          </w:p>
        </w:tc>
        <w:tc>
          <w:tcPr>
            <w:tcW w:w="4531" w:type="dxa"/>
          </w:tcPr>
          <w:p w14:paraId="0E3C60D4" w14:textId="485D1472" w:rsidR="007C1830" w:rsidRPr="00DB6EB2" w:rsidRDefault="007C1830" w:rsidP="007C1830">
            <w:pPr>
              <w:widowControl w:val="0"/>
              <w:jc w:val="both"/>
              <w:rPr>
                <w:rFonts w:ascii="Times New Roman" w:eastAsia="Calibri" w:hAnsi="Times New Roman" w:cs="Times New Roman"/>
              </w:rPr>
            </w:pPr>
            <w:r>
              <w:rPr>
                <w:rFonts w:ascii="Times New Roman" w:hAnsi="Times New Roman"/>
              </w:rPr>
              <w:t>PON</w:t>
            </w:r>
          </w:p>
        </w:tc>
      </w:tr>
      <w:tr w:rsidR="007C1830" w:rsidRPr="00DB6EB2" w14:paraId="7A6540EF" w14:textId="77777777" w:rsidTr="00F90FBC">
        <w:tc>
          <w:tcPr>
            <w:tcW w:w="4530" w:type="dxa"/>
          </w:tcPr>
          <w:p w14:paraId="77A045F0" w14:textId="7D255ADA"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Active Ethernet, ja gala posmā ir metālisko vīto pāru kabeļi</w:t>
            </w:r>
          </w:p>
        </w:tc>
        <w:tc>
          <w:tcPr>
            <w:tcW w:w="4531" w:type="dxa"/>
          </w:tcPr>
          <w:p w14:paraId="5AA80218" w14:textId="31D21811" w:rsidR="007C1830" w:rsidRPr="00DB6EB2" w:rsidRDefault="007C1830" w:rsidP="007C1830">
            <w:pPr>
              <w:widowControl w:val="0"/>
              <w:jc w:val="both"/>
              <w:rPr>
                <w:rFonts w:ascii="Times New Roman" w:eastAsia="Calibri" w:hAnsi="Times New Roman" w:cs="Times New Roman"/>
              </w:rPr>
            </w:pPr>
            <w:r>
              <w:rPr>
                <w:rFonts w:ascii="Times New Roman" w:hAnsi="Times New Roman"/>
              </w:rPr>
              <w:t>Active Ethernet if shielded twisted pair cables are at the terminating segment</w:t>
            </w:r>
          </w:p>
        </w:tc>
      </w:tr>
      <w:tr w:rsidR="007C1830" w:rsidRPr="00DB6EB2" w14:paraId="33EEC94A" w14:textId="77777777" w:rsidTr="00F90FBC">
        <w:tc>
          <w:tcPr>
            <w:tcW w:w="4530" w:type="dxa"/>
          </w:tcPr>
          <w:p w14:paraId="19791872" w14:textId="1D1B4BA4"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Pilnībā atsaistīta piekļuve abonentlīnijas daļai</w:t>
            </w:r>
          </w:p>
        </w:tc>
        <w:tc>
          <w:tcPr>
            <w:tcW w:w="4531" w:type="dxa"/>
          </w:tcPr>
          <w:p w14:paraId="55AB9E8F" w14:textId="63F2244F"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rPr>
              <w:t>Full unbundled access to the part of the subscriber line</w:t>
            </w:r>
          </w:p>
        </w:tc>
      </w:tr>
      <w:tr w:rsidR="007C1830" w:rsidRPr="00DB6EB2" w14:paraId="41816AF6" w14:textId="77777777" w:rsidTr="00F90FBC">
        <w:tc>
          <w:tcPr>
            <w:tcW w:w="4530" w:type="dxa"/>
          </w:tcPr>
          <w:p w14:paraId="6AACE097" w14:textId="3B31A287"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Pilnībā atsaistīta piekļuve abonentlīnijai</w:t>
            </w:r>
          </w:p>
        </w:tc>
        <w:tc>
          <w:tcPr>
            <w:tcW w:w="4531" w:type="dxa"/>
          </w:tcPr>
          <w:p w14:paraId="0530F05A" w14:textId="5B67C643"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rPr>
              <w:t>Full unbundled access to the subscriber line</w:t>
            </w:r>
          </w:p>
        </w:tc>
      </w:tr>
      <w:tr w:rsidR="007C1830" w:rsidRPr="00DB6EB2" w14:paraId="600799A8" w14:textId="77777777" w:rsidTr="00F90FBC">
        <w:tc>
          <w:tcPr>
            <w:tcW w:w="4530" w:type="dxa"/>
          </w:tcPr>
          <w:p w14:paraId="1CF13709" w14:textId="7A34E79C"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Pilnībā atsaistīta piekļuve abonentlīnijas daļai (gala posmā)</w:t>
            </w:r>
          </w:p>
        </w:tc>
        <w:tc>
          <w:tcPr>
            <w:tcW w:w="4531" w:type="dxa"/>
          </w:tcPr>
          <w:p w14:paraId="6CD91BAC" w14:textId="372DD0D5"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rPr>
              <w:t>Full unbundled access to the part of the subscriber line (at the terminating segment)</w:t>
            </w:r>
          </w:p>
        </w:tc>
      </w:tr>
      <w:tr w:rsidR="007C1830" w:rsidRPr="00DB6EB2" w14:paraId="722142C8" w14:textId="77777777" w:rsidTr="00F90FBC">
        <w:tc>
          <w:tcPr>
            <w:tcW w:w="4530" w:type="dxa"/>
          </w:tcPr>
          <w:p w14:paraId="1E9EABC2" w14:textId="5AA65251"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Fiziska pārslēgšana*</w:t>
            </w:r>
          </w:p>
        </w:tc>
        <w:tc>
          <w:tcPr>
            <w:tcW w:w="4531" w:type="dxa"/>
          </w:tcPr>
          <w:p w14:paraId="482FF044" w14:textId="73B142B5" w:rsidR="007C1830" w:rsidRPr="00DB6EB2" w:rsidRDefault="007C1830" w:rsidP="007C1830">
            <w:pPr>
              <w:widowControl w:val="0"/>
              <w:jc w:val="both"/>
              <w:rPr>
                <w:rFonts w:ascii="Times New Roman" w:eastAsia="Calibri" w:hAnsi="Times New Roman" w:cs="Times New Roman"/>
                <w:b/>
                <w:bCs/>
              </w:rPr>
            </w:pPr>
            <w:r>
              <w:rPr>
                <w:rFonts w:ascii="Times New Roman" w:hAnsi="Times New Roman"/>
              </w:rPr>
              <w:t>Physical switching*</w:t>
            </w:r>
          </w:p>
        </w:tc>
      </w:tr>
      <w:tr w:rsidR="007C1830" w:rsidRPr="00DB6EB2" w14:paraId="35EB6E9F" w14:textId="77777777" w:rsidTr="00F90FBC">
        <w:tc>
          <w:tcPr>
            <w:tcW w:w="4530" w:type="dxa"/>
          </w:tcPr>
          <w:p w14:paraId="010BE9F2" w14:textId="39B0D700"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VULA</w:t>
            </w:r>
          </w:p>
        </w:tc>
        <w:tc>
          <w:tcPr>
            <w:tcW w:w="4531" w:type="dxa"/>
          </w:tcPr>
          <w:p w14:paraId="411AA2FC" w14:textId="725916F5" w:rsidR="007C1830" w:rsidRPr="00DB6EB2" w:rsidRDefault="007C1830" w:rsidP="007C1830">
            <w:pPr>
              <w:widowControl w:val="0"/>
              <w:jc w:val="both"/>
              <w:rPr>
                <w:rFonts w:ascii="Times New Roman" w:eastAsia="Calibri" w:hAnsi="Times New Roman" w:cs="Times New Roman"/>
              </w:rPr>
            </w:pPr>
            <w:r>
              <w:rPr>
                <w:rFonts w:ascii="Times New Roman" w:hAnsi="Times New Roman"/>
              </w:rPr>
              <w:t>VULA</w:t>
            </w:r>
          </w:p>
        </w:tc>
      </w:tr>
      <w:tr w:rsidR="007C1830" w:rsidRPr="00DB6EB2" w14:paraId="49D98A15" w14:textId="77777777" w:rsidTr="00F90FBC">
        <w:tc>
          <w:tcPr>
            <w:tcW w:w="4530" w:type="dxa"/>
          </w:tcPr>
          <w:p w14:paraId="23FF9D3C" w14:textId="5034F237"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Pie maršrutētāja – sadales punktā, pie kura sākas gala posms</w:t>
            </w:r>
          </w:p>
        </w:tc>
        <w:tc>
          <w:tcPr>
            <w:tcW w:w="4531" w:type="dxa"/>
          </w:tcPr>
          <w:p w14:paraId="203FC79D" w14:textId="5ED2A2EC" w:rsidR="007C1830" w:rsidRPr="00DB6EB2" w:rsidRDefault="007C1830" w:rsidP="007C1830">
            <w:pPr>
              <w:widowControl w:val="0"/>
              <w:jc w:val="both"/>
              <w:rPr>
                <w:rFonts w:ascii="Times New Roman" w:eastAsia="Calibri" w:hAnsi="Times New Roman" w:cs="Times New Roman"/>
              </w:rPr>
            </w:pPr>
            <w:r>
              <w:rPr>
                <w:rFonts w:ascii="Times New Roman" w:hAnsi="Times New Roman"/>
              </w:rPr>
              <w:t>At the router – at the distribution point at which the terminating segment starts</w:t>
            </w:r>
          </w:p>
        </w:tc>
      </w:tr>
      <w:tr w:rsidR="007C1830" w:rsidRPr="00DB6EB2" w14:paraId="2FE34B87" w14:textId="77777777" w:rsidTr="00F90FBC">
        <w:tc>
          <w:tcPr>
            <w:tcW w:w="4530" w:type="dxa"/>
          </w:tcPr>
          <w:p w14:paraId="39931C60" w14:textId="1A3D124E"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Piekļuves mezglā, kur atrodas OLT</w:t>
            </w:r>
          </w:p>
        </w:tc>
        <w:tc>
          <w:tcPr>
            <w:tcW w:w="4531" w:type="dxa"/>
          </w:tcPr>
          <w:p w14:paraId="5BB4530F" w14:textId="51C1238E" w:rsidR="007C1830" w:rsidRPr="00DB6EB2" w:rsidRDefault="007C1830" w:rsidP="007C1830">
            <w:pPr>
              <w:widowControl w:val="0"/>
              <w:jc w:val="both"/>
              <w:rPr>
                <w:rFonts w:ascii="Times New Roman" w:eastAsia="Calibri" w:hAnsi="Times New Roman" w:cs="Times New Roman"/>
              </w:rPr>
            </w:pPr>
            <w:r>
              <w:rPr>
                <w:rFonts w:ascii="Times New Roman" w:hAnsi="Times New Roman"/>
              </w:rPr>
              <w:t>At the central office where OLT is located</w:t>
            </w:r>
          </w:p>
        </w:tc>
      </w:tr>
      <w:tr w:rsidR="007C1830" w:rsidRPr="00DB6EB2" w14:paraId="338C4B76" w14:textId="77777777" w:rsidTr="00F90FBC">
        <w:tc>
          <w:tcPr>
            <w:tcW w:w="4530" w:type="dxa"/>
          </w:tcPr>
          <w:p w14:paraId="3DD55528" w14:textId="33F40A83"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Pie maršrutētāja – sadales punktā, pie kura sākas gala posms</w:t>
            </w:r>
          </w:p>
        </w:tc>
        <w:tc>
          <w:tcPr>
            <w:tcW w:w="4531" w:type="dxa"/>
          </w:tcPr>
          <w:p w14:paraId="3C30B493" w14:textId="797DE708" w:rsidR="007C1830" w:rsidRPr="00DB6EB2" w:rsidRDefault="007C1830" w:rsidP="007C1830">
            <w:pPr>
              <w:widowControl w:val="0"/>
              <w:jc w:val="both"/>
              <w:rPr>
                <w:rFonts w:ascii="Times New Roman" w:eastAsia="Calibri" w:hAnsi="Times New Roman" w:cs="Times New Roman"/>
              </w:rPr>
            </w:pPr>
            <w:r>
              <w:rPr>
                <w:rFonts w:ascii="Times New Roman" w:hAnsi="Times New Roman"/>
              </w:rPr>
              <w:t>At the router – at the distribution point at which the terminating segment starts</w:t>
            </w:r>
          </w:p>
        </w:tc>
      </w:tr>
      <w:tr w:rsidR="007C1830" w:rsidRPr="00DB6EB2" w14:paraId="79DB06A3" w14:textId="77777777" w:rsidTr="00F90FBC">
        <w:tc>
          <w:tcPr>
            <w:tcW w:w="4530" w:type="dxa"/>
          </w:tcPr>
          <w:p w14:paraId="2837C277" w14:textId="344404B4"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Pie maršrutētāja – piekļuves mezglā</w:t>
            </w:r>
          </w:p>
        </w:tc>
        <w:tc>
          <w:tcPr>
            <w:tcW w:w="4531" w:type="dxa"/>
          </w:tcPr>
          <w:p w14:paraId="7E2C057A" w14:textId="6E15260C" w:rsidR="007C1830" w:rsidRPr="00DB6EB2" w:rsidRDefault="007C1830" w:rsidP="007C1830">
            <w:pPr>
              <w:widowControl w:val="0"/>
              <w:jc w:val="both"/>
              <w:rPr>
                <w:rFonts w:ascii="Times New Roman" w:eastAsia="Calibri" w:hAnsi="Times New Roman" w:cs="Times New Roman"/>
              </w:rPr>
            </w:pPr>
            <w:r>
              <w:rPr>
                <w:rFonts w:ascii="Times New Roman" w:hAnsi="Times New Roman"/>
              </w:rPr>
              <w:t>At the router – at the central office</w:t>
            </w:r>
          </w:p>
        </w:tc>
      </w:tr>
      <w:tr w:rsidR="007C1830" w:rsidRPr="00DB6EB2" w14:paraId="3277C834" w14:textId="77777777" w:rsidTr="00F90FBC">
        <w:tc>
          <w:tcPr>
            <w:tcW w:w="4530" w:type="dxa"/>
          </w:tcPr>
          <w:p w14:paraId="30754150" w14:textId="77777777"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lastRenderedPageBreak/>
              <w:t>Piezīme:</w:t>
            </w:r>
          </w:p>
          <w:p w14:paraId="60602895" w14:textId="1D575E53" w:rsidR="007C1830" w:rsidRPr="00DB6EB2" w:rsidRDefault="007C1830" w:rsidP="007C1830">
            <w:pPr>
              <w:widowControl w:val="0"/>
              <w:jc w:val="both"/>
              <w:rPr>
                <w:rFonts w:ascii="Times New Roman" w:eastAsia="Calibri" w:hAnsi="Times New Roman" w:cs="Times New Roman"/>
              </w:rPr>
            </w:pPr>
            <w:r w:rsidRPr="00DB6EB2">
              <w:rPr>
                <w:rFonts w:ascii="Times New Roman" w:eastAsia="Calibri" w:hAnsi="Times New Roman" w:cs="Times New Roman"/>
              </w:rPr>
              <w:t>* Izņemot VDSL2 Vectoring</w:t>
            </w:r>
          </w:p>
        </w:tc>
        <w:tc>
          <w:tcPr>
            <w:tcW w:w="4531" w:type="dxa"/>
          </w:tcPr>
          <w:p w14:paraId="3C619C36" w14:textId="77777777" w:rsidR="007C1830" w:rsidRPr="00DB6EB2" w:rsidRDefault="007C1830" w:rsidP="007C1830">
            <w:pPr>
              <w:widowControl w:val="0"/>
              <w:jc w:val="both"/>
              <w:rPr>
                <w:rFonts w:ascii="Times New Roman" w:eastAsia="Calibri" w:hAnsi="Times New Roman" w:cs="Times New Roman"/>
              </w:rPr>
            </w:pPr>
            <w:r>
              <w:rPr>
                <w:rFonts w:ascii="Times New Roman" w:hAnsi="Times New Roman"/>
              </w:rPr>
              <w:t>Note:</w:t>
            </w:r>
          </w:p>
          <w:p w14:paraId="6401C1E1" w14:textId="07B29538" w:rsidR="007C1830" w:rsidRPr="00DB6EB2" w:rsidRDefault="007C1830" w:rsidP="007C1830">
            <w:pPr>
              <w:widowControl w:val="0"/>
              <w:jc w:val="both"/>
              <w:rPr>
                <w:rFonts w:ascii="Times New Roman" w:eastAsia="Calibri" w:hAnsi="Times New Roman" w:cs="Times New Roman"/>
              </w:rPr>
            </w:pPr>
            <w:r>
              <w:rPr>
                <w:rFonts w:ascii="Times New Roman" w:hAnsi="Times New Roman"/>
              </w:rPr>
              <w:t>* Except for VDSL2 Vectoring</w:t>
            </w:r>
          </w:p>
        </w:tc>
      </w:tr>
    </w:tbl>
    <w:p w14:paraId="436E8D04" w14:textId="77777777" w:rsidR="00A10AD9" w:rsidRDefault="00A10AD9" w:rsidP="00CA2E1D">
      <w:pPr>
        <w:spacing w:after="0" w:line="240" w:lineRule="auto"/>
        <w:jc w:val="both"/>
        <w:rPr>
          <w:rFonts w:ascii="Times New Roman" w:hAnsi="Times New Roman" w:cs="Times New Roman"/>
          <w:noProof/>
          <w:kern w:val="0"/>
          <w:lang w:val="en-US"/>
        </w:rPr>
      </w:pPr>
    </w:p>
    <w:p w14:paraId="325CBAA0" w14:textId="09BCDFA6" w:rsidR="00A10AD9" w:rsidRPr="006740E0" w:rsidRDefault="00A10AD9" w:rsidP="00A10AD9">
      <w:pPr>
        <w:spacing w:after="0" w:line="240" w:lineRule="auto"/>
        <w:jc w:val="center"/>
        <w:rPr>
          <w:rFonts w:ascii="Times New Roman" w:hAnsi="Times New Roman" w:cs="Times New Roman"/>
          <w:noProof/>
          <w:kern w:val="0"/>
          <w:lang w:val="en-US"/>
        </w:rPr>
      </w:pPr>
      <w:r w:rsidRPr="00A10AD9">
        <w:rPr>
          <w:rFonts w:ascii="Times New Roman" w:hAnsi="Times New Roman" w:cs="Times New Roman"/>
          <w:b/>
          <w:bCs/>
          <w:noProof/>
          <w:kern w:val="0"/>
          <w:lang w:val="en-US"/>
        </w:rPr>
        <w:t>4.</w:t>
      </w:r>
      <w:r w:rsidRPr="00A10AD9">
        <w:rPr>
          <w:rFonts w:ascii="Times New Roman" w:hAnsi="Times New Roman" w:cs="Times New Roman"/>
          <w:noProof/>
          <w:kern w:val="0"/>
          <w:lang w:val="en-US"/>
        </w:rPr>
        <w:t xml:space="preserve"> [19 December 2024]</w:t>
      </w:r>
    </w:p>
    <w:sectPr w:rsidR="00A10AD9" w:rsidRPr="006740E0" w:rsidSect="0040670B">
      <w:footerReference w:type="default" r:id="rId17"/>
      <w:footerReference w:type="first" r:id="rId18"/>
      <w:type w:val="continuous"/>
      <w:pgSz w:w="11910"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87094" w14:textId="77777777" w:rsidR="006A2282" w:rsidRPr="006740E0" w:rsidRDefault="006A2282" w:rsidP="006740E0">
      <w:pPr>
        <w:spacing w:after="0" w:line="240" w:lineRule="auto"/>
        <w:rPr>
          <w:noProof/>
          <w:kern w:val="0"/>
          <w:lang w:val="en-US"/>
        </w:rPr>
      </w:pPr>
      <w:r w:rsidRPr="006740E0">
        <w:rPr>
          <w:noProof/>
          <w:kern w:val="0"/>
          <w:lang w:val="en-US"/>
        </w:rPr>
        <w:separator/>
      </w:r>
    </w:p>
  </w:endnote>
  <w:endnote w:type="continuationSeparator" w:id="0">
    <w:p w14:paraId="280CC618" w14:textId="77777777" w:rsidR="006A2282" w:rsidRPr="006740E0" w:rsidRDefault="006A2282" w:rsidP="006740E0">
      <w:pPr>
        <w:spacing w:after="0" w:line="240" w:lineRule="auto"/>
        <w:rPr>
          <w:noProof/>
          <w:kern w:val="0"/>
          <w:lang w:val="en-US"/>
        </w:rPr>
      </w:pPr>
      <w:r w:rsidRPr="006740E0">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C990" w14:textId="77777777" w:rsidR="00C91BD3" w:rsidRPr="00866E1C" w:rsidRDefault="00C91BD3" w:rsidP="00C91BD3">
    <w:pPr>
      <w:pStyle w:val="Footer"/>
      <w:tabs>
        <w:tab w:val="right" w:pos="9072"/>
      </w:tabs>
      <w:rPr>
        <w:rFonts w:ascii="Times New Roman" w:hAnsi="Times New Roman"/>
        <w:noProof/>
        <w:kern w:val="0"/>
        <w:sz w:val="20"/>
        <w:lang w:val="en-US"/>
      </w:rPr>
    </w:pPr>
  </w:p>
  <w:p w14:paraId="2B27E8E8" w14:textId="3076A8D2" w:rsidR="00FB77D5" w:rsidRPr="00C91BD3" w:rsidRDefault="00C91BD3" w:rsidP="00C91BD3">
    <w:pPr>
      <w:pStyle w:val="Footer"/>
      <w:tabs>
        <w:tab w:val="right" w:pos="9072"/>
      </w:tabs>
      <w:rPr>
        <w:rFonts w:ascii="Times New Roman" w:hAnsi="Times New Roman"/>
        <w:noProof/>
        <w:kern w:val="0"/>
        <w:sz w:val="20"/>
        <w:lang w:val="en-US"/>
      </w:rPr>
    </w:pPr>
    <w:r w:rsidRPr="00866E1C">
      <w:rPr>
        <w:rFonts w:ascii="Times New Roman" w:hAnsi="Times New Roman"/>
        <w:noProof/>
        <w:kern w:val="0"/>
        <w:sz w:val="20"/>
        <w:lang w:val="en-US"/>
      </w:rPr>
      <w:t xml:space="preserve">Translation </w:t>
    </w:r>
    <w:r w:rsidRPr="00866E1C">
      <w:rPr>
        <w:rFonts w:ascii="Times New Roman" w:hAnsi="Times New Roman"/>
        <w:noProof/>
        <w:kern w:val="0"/>
        <w:sz w:val="20"/>
        <w:lang w:val="en-US"/>
      </w:rPr>
      <w:fldChar w:fldCharType="begin"/>
    </w:r>
    <w:r w:rsidRPr="00866E1C">
      <w:rPr>
        <w:rFonts w:ascii="Times New Roman" w:hAnsi="Times New Roman"/>
        <w:noProof/>
        <w:kern w:val="0"/>
        <w:sz w:val="20"/>
        <w:lang w:val="en-US"/>
      </w:rPr>
      <w:instrText>symbol 169 \f "UnivrstyRoman TL" \s 8</w:instrText>
    </w:r>
    <w:r w:rsidRPr="00866E1C">
      <w:rPr>
        <w:rFonts w:ascii="Times New Roman" w:hAnsi="Times New Roman"/>
        <w:noProof/>
        <w:kern w:val="0"/>
        <w:sz w:val="20"/>
        <w:lang w:val="en-US"/>
      </w:rPr>
      <w:fldChar w:fldCharType="separate"/>
    </w:r>
    <w:r w:rsidRPr="00866E1C">
      <w:rPr>
        <w:rFonts w:ascii="Times New Roman" w:hAnsi="Times New Roman"/>
        <w:noProof/>
        <w:kern w:val="0"/>
        <w:sz w:val="20"/>
        <w:lang w:val="en-US"/>
      </w:rPr>
      <w:t>©</w:t>
    </w:r>
    <w:r w:rsidRPr="00866E1C">
      <w:rPr>
        <w:rFonts w:ascii="Times New Roman" w:hAnsi="Times New Roman"/>
        <w:noProof/>
        <w:kern w:val="0"/>
        <w:sz w:val="20"/>
        <w:lang w:val="en-US"/>
      </w:rPr>
      <w:fldChar w:fldCharType="end"/>
    </w:r>
    <w:r w:rsidRPr="00866E1C">
      <w:rPr>
        <w:rFonts w:ascii="Times New Roman" w:hAnsi="Times New Roman"/>
        <w:noProof/>
        <w:kern w:val="0"/>
        <w:sz w:val="20"/>
        <w:lang w:val="en-US"/>
      </w:rPr>
      <w:t xml:space="preserve"> 202</w:t>
    </w:r>
    <w:r>
      <w:rPr>
        <w:rFonts w:ascii="Times New Roman" w:hAnsi="Times New Roman"/>
        <w:noProof/>
        <w:kern w:val="0"/>
        <w:sz w:val="20"/>
        <w:lang w:val="en-US"/>
      </w:rPr>
      <w:t>6</w:t>
    </w:r>
    <w:r w:rsidRPr="00866E1C">
      <w:rPr>
        <w:rFonts w:ascii="Times New Roman" w:hAnsi="Times New Roman"/>
        <w:noProof/>
        <w:kern w:val="0"/>
        <w:sz w:val="20"/>
        <w:lang w:val="en-US"/>
      </w:rPr>
      <w:t xml:space="preserve"> Valsts valodas centrs (State Language Centre)</w:t>
    </w:r>
    <w:r w:rsidRPr="00866E1C">
      <w:rPr>
        <w:rFonts w:ascii="Times New Roman" w:hAnsi="Times New Roman"/>
        <w:noProof/>
        <w:kern w:val="0"/>
        <w:sz w:val="20"/>
        <w:lang w:val="en-US"/>
      </w:rPr>
      <w:tab/>
    </w:r>
    <w:r w:rsidRPr="00866E1C">
      <w:rPr>
        <w:rStyle w:val="PageNumber"/>
        <w:rFonts w:ascii="Times New Roman" w:hAnsi="Times New Roman"/>
        <w:noProof/>
        <w:kern w:val="0"/>
        <w:sz w:val="20"/>
        <w:lang w:val="en-US"/>
      </w:rPr>
      <w:fldChar w:fldCharType="begin"/>
    </w:r>
    <w:r w:rsidRPr="00866E1C">
      <w:rPr>
        <w:rStyle w:val="PageNumber"/>
        <w:rFonts w:ascii="Times New Roman" w:hAnsi="Times New Roman"/>
        <w:noProof/>
        <w:kern w:val="0"/>
        <w:sz w:val="20"/>
        <w:lang w:val="en-US"/>
      </w:rPr>
      <w:instrText xml:space="preserve"> PAGE </w:instrText>
    </w:r>
    <w:r w:rsidRPr="00866E1C">
      <w:rPr>
        <w:rStyle w:val="PageNumber"/>
        <w:rFonts w:ascii="Times New Roman" w:hAnsi="Times New Roman"/>
        <w:noProof/>
        <w:kern w:val="0"/>
        <w:sz w:val="20"/>
        <w:lang w:val="en-US"/>
      </w:rPr>
      <w:fldChar w:fldCharType="separate"/>
    </w:r>
    <w:r>
      <w:rPr>
        <w:rStyle w:val="PageNumber"/>
        <w:rFonts w:ascii="Times New Roman" w:hAnsi="Times New Roman"/>
        <w:noProof/>
        <w:kern w:val="0"/>
        <w:sz w:val="20"/>
        <w:lang w:val="en-US"/>
      </w:rPr>
      <w:t>2</w:t>
    </w:r>
    <w:r w:rsidRPr="00866E1C">
      <w:rPr>
        <w:rStyle w:val="PageNumber"/>
        <w:rFonts w:ascii="Times New Roman" w:hAnsi="Times New Roman"/>
        <w:noProof/>
        <w:kern w:val="0"/>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37E0" w14:textId="77777777" w:rsidR="00FB77D5" w:rsidRPr="00866E1C" w:rsidRDefault="00FB77D5" w:rsidP="00FB77D5">
    <w:pPr>
      <w:pStyle w:val="Footer"/>
      <w:rPr>
        <w:rFonts w:ascii="Times New Roman" w:hAnsi="Times New Roman"/>
        <w:noProof/>
        <w:kern w:val="0"/>
        <w:sz w:val="20"/>
        <w:lang w:val="en-US"/>
      </w:rPr>
    </w:pPr>
    <w:bookmarkStart w:id="66" w:name="_Hlk60653308"/>
    <w:bookmarkStart w:id="67" w:name="_Hlk60653309"/>
  </w:p>
  <w:p w14:paraId="3C95756A" w14:textId="337D2492" w:rsidR="00FB77D5" w:rsidRPr="00FB77D5" w:rsidRDefault="00FB77D5">
    <w:pPr>
      <w:pStyle w:val="Footer"/>
      <w:rPr>
        <w:rFonts w:ascii="Times New Roman" w:hAnsi="Times New Roman"/>
        <w:noProof/>
        <w:kern w:val="0"/>
        <w:sz w:val="20"/>
        <w:lang w:val="en-US"/>
      </w:rPr>
    </w:pPr>
    <w:bookmarkStart w:id="68" w:name="_Hlk31896922"/>
    <w:bookmarkStart w:id="69" w:name="_Hlk31896923"/>
    <w:r w:rsidRPr="00866E1C">
      <w:rPr>
        <w:rFonts w:ascii="Times New Roman" w:hAnsi="Times New Roman"/>
        <w:noProof/>
        <w:kern w:val="0"/>
        <w:sz w:val="20"/>
        <w:lang w:val="en-US"/>
      </w:rPr>
      <w:t xml:space="preserve">Translation </w:t>
    </w:r>
    <w:r w:rsidRPr="00866E1C">
      <w:rPr>
        <w:rFonts w:ascii="Times New Roman" w:hAnsi="Times New Roman"/>
        <w:noProof/>
        <w:kern w:val="0"/>
        <w:sz w:val="20"/>
        <w:lang w:val="en-US"/>
      </w:rPr>
      <w:fldChar w:fldCharType="begin"/>
    </w:r>
    <w:r w:rsidRPr="00866E1C">
      <w:rPr>
        <w:rFonts w:ascii="Times New Roman" w:hAnsi="Times New Roman"/>
        <w:noProof/>
        <w:kern w:val="0"/>
        <w:sz w:val="20"/>
        <w:lang w:val="en-US"/>
      </w:rPr>
      <w:instrText>symbol 169 \f "UnivrstyRoman TL" \s 8</w:instrText>
    </w:r>
    <w:r w:rsidRPr="00866E1C">
      <w:rPr>
        <w:rFonts w:ascii="Times New Roman" w:hAnsi="Times New Roman"/>
        <w:noProof/>
        <w:kern w:val="0"/>
        <w:sz w:val="20"/>
        <w:lang w:val="en-US"/>
      </w:rPr>
      <w:fldChar w:fldCharType="separate"/>
    </w:r>
    <w:r w:rsidRPr="00866E1C">
      <w:rPr>
        <w:rFonts w:ascii="Times New Roman" w:hAnsi="Times New Roman"/>
        <w:noProof/>
        <w:kern w:val="0"/>
        <w:sz w:val="20"/>
        <w:lang w:val="en-US"/>
      </w:rPr>
      <w:t>©</w:t>
    </w:r>
    <w:r w:rsidRPr="00866E1C">
      <w:rPr>
        <w:rFonts w:ascii="Times New Roman" w:hAnsi="Times New Roman"/>
        <w:noProof/>
        <w:kern w:val="0"/>
        <w:sz w:val="20"/>
        <w:lang w:val="en-US"/>
      </w:rPr>
      <w:fldChar w:fldCharType="end"/>
    </w:r>
    <w:r w:rsidRPr="00866E1C">
      <w:rPr>
        <w:rFonts w:ascii="Times New Roman" w:hAnsi="Times New Roman"/>
        <w:noProof/>
        <w:kern w:val="0"/>
        <w:sz w:val="20"/>
        <w:lang w:val="en-US"/>
      </w:rPr>
      <w:t xml:space="preserve"> 202</w:t>
    </w:r>
    <w:r>
      <w:rPr>
        <w:rFonts w:ascii="Times New Roman" w:hAnsi="Times New Roman"/>
        <w:noProof/>
        <w:kern w:val="0"/>
        <w:sz w:val="20"/>
        <w:lang w:val="en-US"/>
      </w:rPr>
      <w:t>6</w:t>
    </w:r>
    <w:r w:rsidRPr="00866E1C">
      <w:rPr>
        <w:rFonts w:ascii="Times New Roman" w:hAnsi="Times New Roman"/>
        <w:noProof/>
        <w:kern w:val="0"/>
        <w:sz w:val="20"/>
        <w:lang w:val="en-US"/>
      </w:rPr>
      <w:t xml:space="preserve"> Valsts valodas centrs (State Language Centre)</w:t>
    </w:r>
    <w:bookmarkEnd w:id="66"/>
    <w:bookmarkEnd w:id="67"/>
    <w:bookmarkEnd w:id="68"/>
    <w:bookmarkEnd w:id="6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BB4DD" w14:textId="77777777" w:rsidR="006A2282" w:rsidRPr="006740E0" w:rsidRDefault="006A2282" w:rsidP="006740E0">
      <w:pPr>
        <w:spacing w:after="0" w:line="240" w:lineRule="auto"/>
        <w:rPr>
          <w:noProof/>
          <w:kern w:val="0"/>
          <w:lang w:val="en-US"/>
        </w:rPr>
      </w:pPr>
      <w:r w:rsidRPr="006740E0">
        <w:rPr>
          <w:noProof/>
          <w:kern w:val="0"/>
          <w:lang w:val="en-US"/>
        </w:rPr>
        <w:separator/>
      </w:r>
    </w:p>
  </w:footnote>
  <w:footnote w:type="continuationSeparator" w:id="0">
    <w:p w14:paraId="7425FFD0" w14:textId="77777777" w:rsidR="006A2282" w:rsidRPr="006740E0" w:rsidRDefault="006A2282" w:rsidP="006740E0">
      <w:pPr>
        <w:spacing w:after="0" w:line="240" w:lineRule="auto"/>
        <w:rPr>
          <w:noProof/>
          <w:kern w:val="0"/>
          <w:lang w:val="en-US"/>
        </w:rPr>
      </w:pPr>
      <w:r w:rsidRPr="006740E0">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removePersonalInformation/>
  <w:removeDateAndTime/>
  <w:hideSpellingErrors/>
  <w:hideGrammaticalErrors/>
  <w:defaultTabStop w:val="720"/>
  <w:doNotHyphenateCap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81"/>
    <w:rsid w:val="000007E9"/>
    <w:rsid w:val="00005225"/>
    <w:rsid w:val="00012FEE"/>
    <w:rsid w:val="00017C02"/>
    <w:rsid w:val="00077007"/>
    <w:rsid w:val="000C309E"/>
    <w:rsid w:val="000D11C3"/>
    <w:rsid w:val="000D7085"/>
    <w:rsid w:val="00165243"/>
    <w:rsid w:val="001B5623"/>
    <w:rsid w:val="001D0BF7"/>
    <w:rsid w:val="002009DB"/>
    <w:rsid w:val="00212715"/>
    <w:rsid w:val="00226FE5"/>
    <w:rsid w:val="0023443C"/>
    <w:rsid w:val="00270574"/>
    <w:rsid w:val="002B1A9F"/>
    <w:rsid w:val="002F31E3"/>
    <w:rsid w:val="0033120E"/>
    <w:rsid w:val="003C0440"/>
    <w:rsid w:val="003D0970"/>
    <w:rsid w:val="003D72C3"/>
    <w:rsid w:val="0040670B"/>
    <w:rsid w:val="00436AD0"/>
    <w:rsid w:val="00442ABD"/>
    <w:rsid w:val="004704EE"/>
    <w:rsid w:val="0052023D"/>
    <w:rsid w:val="00543BA3"/>
    <w:rsid w:val="005979F9"/>
    <w:rsid w:val="005A5ED7"/>
    <w:rsid w:val="005D7564"/>
    <w:rsid w:val="00646688"/>
    <w:rsid w:val="00647263"/>
    <w:rsid w:val="006740E0"/>
    <w:rsid w:val="006A2282"/>
    <w:rsid w:val="006B1BCE"/>
    <w:rsid w:val="00707CCA"/>
    <w:rsid w:val="00712B8B"/>
    <w:rsid w:val="00795F81"/>
    <w:rsid w:val="007C1830"/>
    <w:rsid w:val="007E0C88"/>
    <w:rsid w:val="00841AEF"/>
    <w:rsid w:val="00845779"/>
    <w:rsid w:val="0086161A"/>
    <w:rsid w:val="0087025A"/>
    <w:rsid w:val="008E2793"/>
    <w:rsid w:val="0091090E"/>
    <w:rsid w:val="009540A0"/>
    <w:rsid w:val="00A10AD9"/>
    <w:rsid w:val="00A44664"/>
    <w:rsid w:val="00AE76A4"/>
    <w:rsid w:val="00B87E05"/>
    <w:rsid w:val="00BB014E"/>
    <w:rsid w:val="00BB3EB9"/>
    <w:rsid w:val="00BB585F"/>
    <w:rsid w:val="00BC273B"/>
    <w:rsid w:val="00C07E8A"/>
    <w:rsid w:val="00C11C60"/>
    <w:rsid w:val="00C457EC"/>
    <w:rsid w:val="00C65A9A"/>
    <w:rsid w:val="00C91BD3"/>
    <w:rsid w:val="00CA2E1D"/>
    <w:rsid w:val="00DB6EB2"/>
    <w:rsid w:val="00DF1695"/>
    <w:rsid w:val="00E01E88"/>
    <w:rsid w:val="00E34E88"/>
    <w:rsid w:val="00E425C6"/>
    <w:rsid w:val="00F44CB6"/>
    <w:rsid w:val="00F61DC6"/>
    <w:rsid w:val="00FA4B05"/>
    <w:rsid w:val="00FB0441"/>
    <w:rsid w:val="00FB7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03D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F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F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F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F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F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F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F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F81"/>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95F81"/>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95F81"/>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95F81"/>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95F81"/>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95F8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95F8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95F8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95F8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95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F8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95F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F8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95F81"/>
    <w:pPr>
      <w:spacing w:before="160"/>
      <w:jc w:val="center"/>
    </w:pPr>
    <w:rPr>
      <w:i/>
      <w:iCs/>
      <w:color w:val="404040" w:themeColor="text1" w:themeTint="BF"/>
    </w:rPr>
  </w:style>
  <w:style w:type="character" w:customStyle="1" w:styleId="QuoteChar">
    <w:name w:val="Quote Char"/>
    <w:basedOn w:val="DefaultParagraphFont"/>
    <w:link w:val="Quote"/>
    <w:uiPriority w:val="29"/>
    <w:rsid w:val="00795F81"/>
    <w:rPr>
      <w:i/>
      <w:iCs/>
      <w:color w:val="404040" w:themeColor="text1" w:themeTint="BF"/>
      <w:lang w:val="en-GB"/>
    </w:rPr>
  </w:style>
  <w:style w:type="paragraph" w:styleId="ListParagraph">
    <w:name w:val="List Paragraph"/>
    <w:basedOn w:val="Normal"/>
    <w:uiPriority w:val="34"/>
    <w:qFormat/>
    <w:rsid w:val="00795F81"/>
    <w:pPr>
      <w:ind w:left="720"/>
      <w:contextualSpacing/>
    </w:pPr>
  </w:style>
  <w:style w:type="character" w:styleId="IntenseEmphasis">
    <w:name w:val="Intense Emphasis"/>
    <w:basedOn w:val="DefaultParagraphFont"/>
    <w:uiPriority w:val="21"/>
    <w:qFormat/>
    <w:rsid w:val="00795F81"/>
    <w:rPr>
      <w:i/>
      <w:iCs/>
      <w:color w:val="0F4761" w:themeColor="accent1" w:themeShade="BF"/>
    </w:rPr>
  </w:style>
  <w:style w:type="paragraph" w:styleId="IntenseQuote">
    <w:name w:val="Intense Quote"/>
    <w:basedOn w:val="Normal"/>
    <w:next w:val="Normal"/>
    <w:link w:val="IntenseQuoteChar"/>
    <w:uiPriority w:val="30"/>
    <w:qFormat/>
    <w:rsid w:val="00795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F81"/>
    <w:rPr>
      <w:i/>
      <w:iCs/>
      <w:color w:val="0F4761" w:themeColor="accent1" w:themeShade="BF"/>
      <w:lang w:val="en-GB"/>
    </w:rPr>
  </w:style>
  <w:style w:type="character" w:styleId="IntenseReference">
    <w:name w:val="Intense Reference"/>
    <w:basedOn w:val="DefaultParagraphFont"/>
    <w:uiPriority w:val="32"/>
    <w:qFormat/>
    <w:rsid w:val="00795F81"/>
    <w:rPr>
      <w:b/>
      <w:bCs/>
      <w:smallCaps/>
      <w:color w:val="0F4761" w:themeColor="accent1" w:themeShade="BF"/>
      <w:spacing w:val="5"/>
    </w:rPr>
  </w:style>
  <w:style w:type="character" w:styleId="Hyperlink">
    <w:name w:val="Hyperlink"/>
    <w:basedOn w:val="DefaultParagraphFont"/>
    <w:uiPriority w:val="99"/>
    <w:unhideWhenUsed/>
    <w:rsid w:val="00AE76A4"/>
    <w:rPr>
      <w:color w:val="467886" w:themeColor="hyperlink"/>
      <w:u w:val="single"/>
    </w:rPr>
  </w:style>
  <w:style w:type="character" w:styleId="UnresolvedMention">
    <w:name w:val="Unresolved Mention"/>
    <w:basedOn w:val="DefaultParagraphFont"/>
    <w:uiPriority w:val="99"/>
    <w:semiHidden/>
    <w:unhideWhenUsed/>
    <w:rsid w:val="00AE76A4"/>
    <w:rPr>
      <w:color w:val="605E5C"/>
      <w:shd w:val="clear" w:color="auto" w:fill="E1DFDD"/>
    </w:rPr>
  </w:style>
  <w:style w:type="paragraph" w:styleId="Header">
    <w:name w:val="header"/>
    <w:basedOn w:val="Normal"/>
    <w:link w:val="HeaderChar"/>
    <w:uiPriority w:val="99"/>
    <w:unhideWhenUsed/>
    <w:rsid w:val="00674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0E0"/>
    <w:rPr>
      <w:lang w:val="en-GB"/>
    </w:rPr>
  </w:style>
  <w:style w:type="paragraph" w:styleId="Footer">
    <w:name w:val="footer"/>
    <w:basedOn w:val="Normal"/>
    <w:link w:val="FooterChar"/>
    <w:unhideWhenUsed/>
    <w:rsid w:val="00674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E0"/>
    <w:rPr>
      <w:lang w:val="en-GB"/>
    </w:rPr>
  </w:style>
  <w:style w:type="table" w:customStyle="1" w:styleId="TableGrid1">
    <w:name w:val="Table Grid1"/>
    <w:basedOn w:val="TableNormal"/>
    <w:next w:val="TableGrid"/>
    <w:uiPriority w:val="39"/>
    <w:rsid w:val="002009D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0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11C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26FE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1271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07CC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12F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3443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01E8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B6EB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FA4B05"/>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C9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50658-0B85-4342-8FA4-27D992ED8D55}">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9B58B649-34F4-41E0-9EF3-24201D477BCC}">
  <ds:schemaRefs>
    <ds:schemaRef ds:uri="http://schemas.microsoft.com/sharepoint/v3/contenttype/forms"/>
  </ds:schemaRefs>
</ds:datastoreItem>
</file>

<file path=customXml/itemProps3.xml><?xml version="1.0" encoding="utf-8"?>
<ds:datastoreItem xmlns:ds="http://schemas.openxmlformats.org/officeDocument/2006/customXml" ds:itemID="{5522A876-B275-466E-B4A2-8FCA3969A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E3FBAF-843E-4E4E-B5B4-77DD26906E06}">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2949</Words>
  <Characters>16812</Characters>
  <Application>Microsoft Office Word</Application>
  <DocSecurity>0</DocSecurity>
  <Lines>140</Lines>
  <Paragraphs>39</Paragraphs>
  <ScaleCrop>false</ScaleCrop>
  <Company/>
  <LinksUpToDate>false</LinksUpToDate>
  <CharactersWithSpaces>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2026-06-04T07:13:00Z</dcterms:created>
  <dcterms:modified xsi:type="dcterms:W3CDTF">2026-09-09T08:28:00Z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