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2818C" w14:textId="3FFB6676" w:rsidR="00DD0A96" w:rsidRPr="0073510E" w:rsidRDefault="001F62D3" w:rsidP="00D23617">
      <w:pPr>
        <w:pStyle w:val="BodyText"/>
        <w:spacing w:before="60" w:after="60"/>
        <w:ind w:left="3141"/>
        <w:jc w:val="center"/>
        <w:rPr>
          <w:noProof/>
          <w:sz w:val="24"/>
          <w:szCs w:val="24"/>
        </w:rPr>
      </w:pPr>
      <w:r>
        <w:rPr>
          <w:noProof/>
          <w:sz w:val="24"/>
        </w:rPr>
        <w:drawing>
          <wp:anchor distT="0" distB="0" distL="114300" distR="114300" simplePos="0" relativeHeight="251658241" behindDoc="1" locked="0" layoutInCell="1" allowOverlap="1" wp14:anchorId="2A96A2C5" wp14:editId="2FF8A35B">
            <wp:simplePos x="0" y="0"/>
            <wp:positionH relativeFrom="column">
              <wp:posOffset>1578639</wp:posOffset>
            </wp:positionH>
            <wp:positionV relativeFrom="paragraph">
              <wp:posOffset>42877</wp:posOffset>
            </wp:positionV>
            <wp:extent cx="2541286" cy="842838"/>
            <wp:effectExtent l="0" t="0" r="0" b="0"/>
            <wp:wrapTight wrapText="bothSides">
              <wp:wrapPolygon edited="0">
                <wp:start x="0" y="0"/>
                <wp:lineTo x="0" y="20998"/>
                <wp:lineTo x="21373" y="20998"/>
                <wp:lineTo x="21373" y="0"/>
                <wp:lineTo x="0" y="0"/>
              </wp:wrapPolygon>
            </wp:wrapTight>
            <wp:docPr id="125201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r="72475" b="83783"/>
                    <a:stretch>
                      <a:fillRect/>
                    </a:stretch>
                  </pic:blipFill>
                  <pic:spPr bwMode="auto">
                    <a:xfrm>
                      <a:off x="0" y="0"/>
                      <a:ext cx="2541286" cy="842838"/>
                    </a:xfrm>
                    <a:prstGeom prst="rect">
                      <a:avLst/>
                    </a:prstGeom>
                    <a:noFill/>
                    <a:ln>
                      <a:noFill/>
                    </a:ln>
                    <a:extLst>
                      <a:ext uri="{53640926-AAD7-44D8-BBD7-CCE9431645EC}">
                        <a14:shadowObscured xmlns:a14="http://schemas.microsoft.com/office/drawing/2010/main"/>
                      </a:ext>
                    </a:extLst>
                  </pic:spPr>
                </pic:pic>
              </a:graphicData>
            </a:graphic>
          </wp:anchor>
        </w:drawing>
      </w:r>
    </w:p>
    <w:p w14:paraId="7DA0899C" w14:textId="77777777" w:rsidR="00DD0A96" w:rsidRPr="0073510E" w:rsidRDefault="00DD0A96" w:rsidP="00D23617">
      <w:pPr>
        <w:pStyle w:val="BodyText"/>
        <w:spacing w:before="60" w:after="60"/>
        <w:rPr>
          <w:noProof/>
          <w:sz w:val="24"/>
          <w:szCs w:val="24"/>
        </w:rPr>
      </w:pPr>
    </w:p>
    <w:p w14:paraId="5E3A7D72" w14:textId="4A5CB064" w:rsidR="00D679DF" w:rsidRPr="0073510E" w:rsidRDefault="00D679DF" w:rsidP="00D23617">
      <w:pPr>
        <w:pStyle w:val="BodyText"/>
        <w:spacing w:before="60" w:after="60"/>
        <w:rPr>
          <w:noProof/>
          <w:sz w:val="24"/>
          <w:szCs w:val="24"/>
        </w:rPr>
      </w:pPr>
    </w:p>
    <w:p w14:paraId="085CE1CB" w14:textId="77777777" w:rsidR="00D679DF" w:rsidRDefault="00D679DF" w:rsidP="00D23617">
      <w:pPr>
        <w:pStyle w:val="Title"/>
        <w:spacing w:before="60" w:after="60"/>
        <w:rPr>
          <w:noProof/>
          <w:sz w:val="24"/>
          <w:szCs w:val="24"/>
        </w:rPr>
      </w:pPr>
    </w:p>
    <w:p w14:paraId="614C74EC" w14:textId="77777777" w:rsidR="00D679DF" w:rsidRDefault="00D679DF" w:rsidP="00D23617">
      <w:pPr>
        <w:pStyle w:val="Title"/>
        <w:spacing w:before="60" w:after="60"/>
        <w:rPr>
          <w:noProof/>
          <w:sz w:val="24"/>
          <w:szCs w:val="24"/>
        </w:rPr>
      </w:pPr>
    </w:p>
    <w:p w14:paraId="3A96EDFD" w14:textId="6E4ED4F4" w:rsidR="00DD0A96" w:rsidRPr="00A507D8" w:rsidRDefault="00DD0A96" w:rsidP="00D23617">
      <w:pPr>
        <w:pStyle w:val="Title"/>
        <w:spacing w:before="60" w:after="60"/>
        <w:rPr>
          <w:noProof/>
          <w:sz w:val="26"/>
          <w:szCs w:val="26"/>
        </w:rPr>
      </w:pPr>
      <w:r>
        <w:rPr>
          <w:sz w:val="26"/>
        </w:rPr>
        <w:t>Biežāk uzdotie jautājumi par Kopējo ziņošanas standartu (</w:t>
      </w:r>
      <w:r>
        <w:rPr>
          <w:i/>
          <w:iCs/>
          <w:sz w:val="26"/>
        </w:rPr>
        <w:t>CRS</w:t>
      </w:r>
      <w:r>
        <w:rPr>
          <w:sz w:val="26"/>
        </w:rPr>
        <w:t>)</w:t>
      </w:r>
    </w:p>
    <w:p w14:paraId="4B34CF7D" w14:textId="77777777" w:rsidR="00DD0A96" w:rsidRPr="0073510E" w:rsidRDefault="00DD0A96" w:rsidP="00D23617">
      <w:pPr>
        <w:pStyle w:val="BodyText"/>
        <w:spacing w:before="60" w:after="60"/>
        <w:ind w:left="1" w:right="1"/>
        <w:jc w:val="center"/>
        <w:rPr>
          <w:noProof/>
          <w:sz w:val="24"/>
          <w:szCs w:val="24"/>
        </w:rPr>
      </w:pPr>
      <w:r>
        <w:rPr>
          <w:sz w:val="24"/>
        </w:rPr>
        <w:t>(Dokuments pēdējo reizi atjaunināts 2025. gada decembrī)</w:t>
      </w:r>
    </w:p>
    <w:p w14:paraId="4408BA50" w14:textId="77777777" w:rsidR="00DD0A96" w:rsidRPr="0073510E" w:rsidRDefault="00DD0A96" w:rsidP="00D23617">
      <w:pPr>
        <w:pStyle w:val="BodyText"/>
        <w:spacing w:before="60" w:after="60"/>
        <w:rPr>
          <w:noProof/>
          <w:sz w:val="24"/>
          <w:szCs w:val="24"/>
        </w:rPr>
      </w:pPr>
    </w:p>
    <w:p w14:paraId="1DE068FB" w14:textId="77777777" w:rsidR="00DD0A96" w:rsidRPr="0073510E" w:rsidRDefault="00DD0A96" w:rsidP="00D23617">
      <w:pPr>
        <w:pStyle w:val="BodyText"/>
        <w:spacing w:before="60" w:after="60"/>
        <w:jc w:val="both"/>
        <w:rPr>
          <w:noProof/>
          <w:sz w:val="24"/>
          <w:szCs w:val="24"/>
        </w:rPr>
      </w:pPr>
      <w:r>
        <w:rPr>
          <w:i/>
          <w:iCs/>
          <w:sz w:val="24"/>
        </w:rPr>
        <w:t>OECD</w:t>
      </w:r>
      <w:r>
        <w:rPr>
          <w:sz w:val="24"/>
        </w:rPr>
        <w:t xml:space="preserve"> uztur un regulāri atjaunina šo sarakstu ar biežāk uzdotajiem jautājumiem par Kopējā ziņošanas standarta (turpmāk – Standarts) piemērošanu. Šie biežāk uzdotie jautājumi saņemti no uzņēmumu un valstu valdību pārstāvjiem. Atbildes uz šiem jautājumiem sniedz sīkāku informāciju par </w:t>
      </w:r>
      <w:r>
        <w:rPr>
          <w:i/>
          <w:iCs/>
          <w:sz w:val="24"/>
        </w:rPr>
        <w:t>CRS</w:t>
      </w:r>
      <w:r>
        <w:rPr>
          <w:sz w:val="24"/>
        </w:rPr>
        <w:t xml:space="preserve"> un palīdz nodrošināt tā konsekventu īstenošanu. Vairāk informācijas par </w:t>
      </w:r>
      <w:r>
        <w:rPr>
          <w:i/>
          <w:iCs/>
          <w:sz w:val="24"/>
        </w:rPr>
        <w:t>CRS</w:t>
      </w:r>
      <w:r>
        <w:rPr>
          <w:sz w:val="24"/>
        </w:rPr>
        <w:t xml:space="preserve"> ir pieejams (..).</w:t>
      </w:r>
    </w:p>
    <w:p w14:paraId="2E18DF23" w14:textId="77777777" w:rsidR="00DD0A96" w:rsidRPr="0073510E" w:rsidRDefault="00DD0A96" w:rsidP="00D23617">
      <w:pPr>
        <w:pStyle w:val="BodyText"/>
        <w:spacing w:before="60" w:after="60"/>
        <w:jc w:val="both"/>
        <w:rPr>
          <w:noProof/>
          <w:sz w:val="24"/>
          <w:szCs w:val="24"/>
        </w:rPr>
      </w:pPr>
      <w:r>
        <w:rPr>
          <w:sz w:val="24"/>
        </w:rPr>
        <w:t xml:space="preserve">Biežāk uzdotie jautājumi, kas konkrēti attiecas uz 2023. gadā veiktajiem </w:t>
      </w:r>
      <w:r>
        <w:rPr>
          <w:i/>
          <w:iCs/>
          <w:sz w:val="24"/>
        </w:rPr>
        <w:t>CRS</w:t>
      </w:r>
      <w:r>
        <w:rPr>
          <w:sz w:val="24"/>
        </w:rPr>
        <w:t xml:space="preserve"> grozījumiem, attiecīgā jautājuma virsraksta beigās ir papildināti ar norādi “(pārskatītais </w:t>
      </w:r>
      <w:r>
        <w:rPr>
          <w:i/>
          <w:iCs/>
          <w:sz w:val="24"/>
        </w:rPr>
        <w:t>CRS</w:t>
      </w:r>
      <w:r>
        <w:rPr>
          <w:sz w:val="24"/>
        </w:rPr>
        <w:t>)”.</w:t>
      </w:r>
    </w:p>
    <w:p w14:paraId="0DBFBBA9" w14:textId="5BE1648C" w:rsidR="00DD0A96" w:rsidRPr="0073510E" w:rsidRDefault="00DD0A96" w:rsidP="00D23617">
      <w:pPr>
        <w:pStyle w:val="BodyText"/>
        <w:spacing w:before="60" w:after="60"/>
        <w:jc w:val="both"/>
        <w:rPr>
          <w:i/>
          <w:noProof/>
          <w:sz w:val="24"/>
          <w:szCs w:val="24"/>
        </w:rPr>
      </w:pPr>
      <w:r>
        <w:t xml:space="preserve">Vairāk informācijas par </w:t>
      </w:r>
      <w:r>
        <w:rPr>
          <w:i/>
          <w:iCs/>
        </w:rPr>
        <w:t>CRS</w:t>
      </w:r>
      <w:r>
        <w:t xml:space="preserve"> ir pieejams </w:t>
      </w:r>
      <w:hyperlink r:id="rId11">
        <w:r>
          <w:rPr>
            <w:color w:val="0000FF"/>
            <w:sz w:val="24"/>
            <w:u w:val="single" w:color="0000FF"/>
          </w:rPr>
          <w:t>Nodokļu pārredzamības resursu centrā</w:t>
        </w:r>
        <w:r>
          <w:rPr>
            <w:i/>
            <w:sz w:val="24"/>
          </w:rPr>
          <w:t>.</w:t>
        </w:r>
      </w:hyperlink>
    </w:p>
    <w:p w14:paraId="7B10B6F5" w14:textId="5BCA8FCD" w:rsidR="00DD0A96" w:rsidRDefault="00A507D8" w:rsidP="00D23617">
      <w:pPr>
        <w:spacing w:before="60" w:after="60"/>
        <w:ind w:firstLine="284"/>
        <w:rPr>
          <w:i/>
          <w:sz w:val="24"/>
        </w:rPr>
      </w:pPr>
      <w:r>
        <w:rPr>
          <w:i/>
          <w:noProof/>
          <w:sz w:val="24"/>
        </w:rPr>
        <mc:AlternateContent>
          <mc:Choice Requires="wpg">
            <w:drawing>
              <wp:anchor distT="0" distB="0" distL="0" distR="0" simplePos="0" relativeHeight="251658240" behindDoc="1" locked="0" layoutInCell="1" allowOverlap="1" wp14:anchorId="54DEF506" wp14:editId="404818E5">
                <wp:simplePos x="0" y="0"/>
                <wp:positionH relativeFrom="page">
                  <wp:posOffset>1112202</wp:posOffset>
                </wp:positionH>
                <wp:positionV relativeFrom="paragraph">
                  <wp:posOffset>65116</wp:posOffset>
                </wp:positionV>
                <wp:extent cx="271145" cy="191135"/>
                <wp:effectExtent l="0" t="0" r="14605" b="18415"/>
                <wp:wrapTight wrapText="bothSides">
                  <wp:wrapPolygon edited="0">
                    <wp:start x="0" y="0"/>
                    <wp:lineTo x="0" y="21528"/>
                    <wp:lineTo x="21246" y="21528"/>
                    <wp:lineTo x="21246" y="0"/>
                    <wp:lineTo x="0" y="0"/>
                  </wp:wrapPolygon>
                </wp:wrapTight>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145" cy="191135"/>
                          <a:chOff x="0" y="0"/>
                          <a:chExt cx="271145" cy="191135"/>
                        </a:xfrm>
                      </wpg:grpSpPr>
                      <wps:wsp>
                        <wps:cNvPr id="4" name="Graphic 4"/>
                        <wps:cNvSpPr/>
                        <wps:spPr>
                          <a:xfrm>
                            <a:off x="4762" y="4762"/>
                            <a:ext cx="261620" cy="181610"/>
                          </a:xfrm>
                          <a:custGeom>
                            <a:avLst/>
                            <a:gdLst/>
                            <a:ahLst/>
                            <a:cxnLst/>
                            <a:rect l="l" t="t" r="r" b="b"/>
                            <a:pathLst>
                              <a:path w="261620" h="181610">
                                <a:moveTo>
                                  <a:pt x="261620" y="0"/>
                                </a:moveTo>
                                <a:lnTo>
                                  <a:pt x="0" y="0"/>
                                </a:lnTo>
                                <a:lnTo>
                                  <a:pt x="0" y="181610"/>
                                </a:lnTo>
                                <a:lnTo>
                                  <a:pt x="261620" y="181610"/>
                                </a:lnTo>
                                <a:lnTo>
                                  <a:pt x="261620" y="0"/>
                                </a:lnTo>
                                <a:close/>
                              </a:path>
                            </a:pathLst>
                          </a:custGeom>
                          <a:solidFill>
                            <a:srgbClr val="FFFFCC"/>
                          </a:solidFill>
                        </wps:spPr>
                        <wps:bodyPr wrap="square" lIns="0" tIns="0" rIns="0" bIns="0" rtlCol="0">
                          <a:prstTxWarp prst="textNoShape">
                            <a:avLst/>
                          </a:prstTxWarp>
                          <a:noAutofit/>
                        </wps:bodyPr>
                      </wps:wsp>
                      <wps:wsp>
                        <wps:cNvPr id="5" name="Graphic 5"/>
                        <wps:cNvSpPr/>
                        <wps:spPr>
                          <a:xfrm>
                            <a:off x="4762" y="4762"/>
                            <a:ext cx="261620" cy="181610"/>
                          </a:xfrm>
                          <a:custGeom>
                            <a:avLst/>
                            <a:gdLst/>
                            <a:ahLst/>
                            <a:cxnLst/>
                            <a:rect l="l" t="t" r="r" b="b"/>
                            <a:pathLst>
                              <a:path w="261620" h="181610">
                                <a:moveTo>
                                  <a:pt x="0" y="0"/>
                                </a:moveTo>
                                <a:lnTo>
                                  <a:pt x="261620" y="0"/>
                                </a:lnTo>
                                <a:lnTo>
                                  <a:pt x="261620" y="181610"/>
                                </a:lnTo>
                                <a:lnTo>
                                  <a:pt x="0" y="181610"/>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0BFC4F5" id="Group 3" o:spid="_x0000_s1026" style="position:absolute;margin-left:87.55pt;margin-top:5.15pt;width:21.35pt;height:15.05pt;z-index:-251658240;mso-wrap-distance-left:0;mso-wrap-distance-right:0;mso-position-horizontal-relative:page" coordsize="271145,191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">
                <v:shape id="Graphic 4" o:spid="_x0000_s1027" style="position:absolute;left:4762;top:4762;width:261620;height:181610;visibility:visible;mso-wrap-style:square;v-text-anchor:top" coordsize="26162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" path="m261620,l,,,181610r261620,l261620,xe" fillcolor="#ffc" stroked="f">
                  <v:path arrowok="t"/>
                </v:shape>
                <v:shape id="Graphic 5" o:spid="_x0000_s1028" style="position:absolute;left:4762;top:4762;width:261620;height:181610;visibility:visible;mso-wrap-style:square;v-text-anchor:top" coordsize="26162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" path="m,l261620,r,181610l,181610,,xe" filled="f">
                  <v:path arrowok="t"/>
                </v:shape>
                <w10:wrap type="tight" anchorx="page"/>
              </v:group>
            </w:pict>
          </mc:Fallback>
        </mc:AlternateContent>
      </w:r>
      <w:r>
        <w:rPr>
          <w:i/>
          <w:sz w:val="24"/>
        </w:rPr>
        <w:t>Jauni vai atjaunināti biežāk uzdotie jautājumi</w:t>
      </w:r>
    </w:p>
    <w:p w14:paraId="7D824246" w14:textId="77777777" w:rsidR="00D23617" w:rsidRPr="0073510E" w:rsidRDefault="00D23617" w:rsidP="00D23617">
      <w:pPr>
        <w:spacing w:before="60" w:after="60"/>
        <w:ind w:firstLine="284"/>
        <w:rPr>
          <w:i/>
          <w:noProof/>
          <w:sz w:val="24"/>
          <w:szCs w:val="24"/>
        </w:rPr>
      </w:pPr>
    </w:p>
    <w:p w14:paraId="1A5B8B94" w14:textId="77777777" w:rsidR="00DD0A96" w:rsidRPr="0073510E" w:rsidRDefault="00DD0A96" w:rsidP="00D23617">
      <w:pPr>
        <w:spacing w:before="60" w:after="60"/>
        <w:rPr>
          <w:i/>
          <w:noProof/>
          <w:sz w:val="24"/>
          <w:szCs w:val="24"/>
        </w:rPr>
      </w:pPr>
      <w:r>
        <w:rPr>
          <w:i/>
          <w:sz w:val="24"/>
        </w:rPr>
        <w:t>* Ietverti komentāros par 2023. gadā pieņemto pārskatīto CRS.</w:t>
      </w:r>
    </w:p>
    <w:p w14:paraId="450661D1" w14:textId="77777777" w:rsidR="00DD0A96" w:rsidRPr="0073510E" w:rsidRDefault="00DD0A96" w:rsidP="00D23617">
      <w:pPr>
        <w:pStyle w:val="BodyText"/>
        <w:spacing w:before="60" w:after="60"/>
        <w:rPr>
          <w:i/>
          <w:noProof/>
          <w:sz w:val="24"/>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9088"/>
      </w:tblGrid>
      <w:tr w:rsidR="00DD0A96" w:rsidRPr="00B16BC0" w14:paraId="4CEC9342" w14:textId="77777777" w:rsidTr="00705720">
        <w:tc>
          <w:tcPr>
            <w:tcW w:w="0" w:type="auto"/>
            <w:shd w:val="clear" w:color="auto" w:fill="92CDDC"/>
          </w:tcPr>
          <w:p w14:paraId="20E3597B" w14:textId="77777777" w:rsidR="00DD0A96" w:rsidRPr="00B16BC0" w:rsidRDefault="00DD0A96" w:rsidP="00D23617">
            <w:pPr>
              <w:pStyle w:val="TableParagraph"/>
              <w:spacing w:before="60" w:after="60"/>
              <w:ind w:left="113" w:right="113"/>
              <w:jc w:val="center"/>
              <w:rPr>
                <w:b/>
                <w:noProof/>
              </w:rPr>
            </w:pPr>
            <w:r>
              <w:rPr>
                <w:b/>
              </w:rPr>
              <w:t>I PANTS. ZIŅOJUMU SNIEGŠANAS VISPĀRĪGĀS PRASĪBAS</w:t>
            </w:r>
          </w:p>
        </w:tc>
      </w:tr>
      <w:tr w:rsidR="00DD0A96" w:rsidRPr="00B16BC0" w14:paraId="0D337E11" w14:textId="77777777" w:rsidTr="00705720">
        <w:tc>
          <w:tcPr>
            <w:tcW w:w="0" w:type="auto"/>
            <w:shd w:val="clear" w:color="auto" w:fill="DAEDF3"/>
          </w:tcPr>
          <w:p w14:paraId="2ADA2112" w14:textId="77777777" w:rsidR="00DD0A96" w:rsidRPr="00B16BC0" w:rsidRDefault="00DD0A96" w:rsidP="00D23617">
            <w:pPr>
              <w:pStyle w:val="TableParagraph"/>
              <w:spacing w:before="60" w:after="60"/>
              <w:ind w:left="113" w:right="113"/>
              <w:jc w:val="left"/>
              <w:rPr>
                <w:b/>
                <w:noProof/>
              </w:rPr>
            </w:pPr>
            <w:r>
              <w:rPr>
                <w:b/>
              </w:rPr>
              <w:t>1. Ziņošana par bilanci vai vērtību</w:t>
            </w:r>
          </w:p>
        </w:tc>
      </w:tr>
      <w:tr w:rsidR="00DD0A96" w:rsidRPr="00B16BC0" w14:paraId="307263E1" w14:textId="77777777" w:rsidTr="00705720">
        <w:tc>
          <w:tcPr>
            <w:tcW w:w="0" w:type="auto"/>
          </w:tcPr>
          <w:p w14:paraId="0B781371" w14:textId="77777777" w:rsidR="00DD0A96" w:rsidRPr="00B16BC0" w:rsidRDefault="00DD0A96" w:rsidP="00D23617">
            <w:pPr>
              <w:pStyle w:val="TableParagraph"/>
              <w:spacing w:before="60" w:after="60"/>
              <w:ind w:left="113" w:right="113"/>
              <w:rPr>
                <w:b/>
                <w:noProof/>
              </w:rPr>
            </w:pPr>
            <w:r>
              <w:rPr>
                <w:b/>
              </w:rPr>
              <w:t>Par kādu līdzdalības daļas kapitālā bilanci vai vērtību jāziņo, ja finanšu iestāde šo vērtību regulāri nenosaka citos nolūkos (piemēram, to regulāri nepārrēķina klientu informēšanas nolūkos)?</w:t>
            </w:r>
          </w:p>
          <w:p w14:paraId="188E918C" w14:textId="77777777" w:rsidR="00DD0A96" w:rsidRPr="00B16BC0" w:rsidRDefault="00DD0A96" w:rsidP="00D23617">
            <w:pPr>
              <w:pStyle w:val="TableParagraph"/>
              <w:spacing w:before="60" w:after="60"/>
              <w:ind w:left="113" w:right="113" w:firstLine="2"/>
              <w:rPr>
                <w:noProof/>
              </w:rPr>
            </w:pPr>
            <w:r>
              <w:t>Standartā noteikts, ka līdzdalības daļas kapitālā bilance vai vērtība ir vērtība, ko finanšu iestāde aprēķinājusi tādam mērķim, kam nepieciešama visbiežākā vērtības noteikšana (komentāri par I panta A punkta 4. apakšpunktu). Šī vērtība ir atkarīga no konkrētajiem faktiskajiem apstākļiem. Atkarībā no situācijas tā var būt, piemēram, līdzdalības daļas kapitālā vērtība tās iegūšanas brīdī, ja finanšu iestāde nav pārrēķinājusi bilanci vai vērtību citu iemeslu dēļ.</w:t>
            </w:r>
          </w:p>
        </w:tc>
      </w:tr>
      <w:tr w:rsidR="00DD0A96" w:rsidRPr="00B16BC0" w14:paraId="3B91E8EF" w14:textId="77777777" w:rsidTr="00705720">
        <w:tc>
          <w:tcPr>
            <w:tcW w:w="0" w:type="auto"/>
            <w:shd w:val="clear" w:color="auto" w:fill="DAEDF3"/>
          </w:tcPr>
          <w:p w14:paraId="2F6E752C" w14:textId="77777777" w:rsidR="00DD0A96" w:rsidRPr="00B16BC0" w:rsidRDefault="00DD0A96" w:rsidP="00D23617">
            <w:pPr>
              <w:pStyle w:val="TableParagraph"/>
              <w:spacing w:before="60" w:after="60"/>
              <w:ind w:left="113" w:right="113"/>
              <w:jc w:val="left"/>
              <w:rPr>
                <w:b/>
                <w:noProof/>
              </w:rPr>
            </w:pPr>
            <w:r>
              <w:rPr>
                <w:b/>
              </w:rPr>
              <w:t>2. Apkopošana un izslēgtie konti</w:t>
            </w:r>
          </w:p>
        </w:tc>
      </w:tr>
      <w:tr w:rsidR="00DD0A96" w:rsidRPr="00B16BC0" w14:paraId="5A4B76F4" w14:textId="77777777" w:rsidTr="00705720">
        <w:tc>
          <w:tcPr>
            <w:tcW w:w="0" w:type="auto"/>
          </w:tcPr>
          <w:p w14:paraId="67A1EB65" w14:textId="77777777" w:rsidR="00DD0A96" w:rsidRPr="00B16BC0" w:rsidRDefault="00DD0A96" w:rsidP="00D23617">
            <w:pPr>
              <w:pStyle w:val="TableParagraph"/>
              <w:spacing w:before="60" w:after="60"/>
              <w:ind w:left="113" w:right="113"/>
              <w:jc w:val="left"/>
              <w:rPr>
                <w:b/>
                <w:noProof/>
              </w:rPr>
            </w:pPr>
            <w:r>
              <w:rPr>
                <w:b/>
              </w:rPr>
              <w:t>Vai izslēgtie konti jāņem vērā, piemērojot apkopošanas noteikumus?</w:t>
            </w:r>
          </w:p>
          <w:p w14:paraId="49D061F9" w14:textId="77777777" w:rsidR="00DD0A96" w:rsidRPr="00B16BC0" w:rsidRDefault="00DD0A96" w:rsidP="00D23617">
            <w:pPr>
              <w:pStyle w:val="TableParagraph"/>
              <w:spacing w:before="60" w:after="60"/>
              <w:ind w:left="113" w:right="113" w:hanging="1"/>
              <w:jc w:val="left"/>
              <w:rPr>
                <w:noProof/>
              </w:rPr>
            </w:pPr>
            <w:r>
              <w:t>Nē. Apkopošanas noteikumi attiecas uz finanšu kontu apkopošanu (VII panta C punkts). Finanšu kontu definīcija neietver izslēgtos kontus (VIII panta C punkta 1. apakšpunkts).</w:t>
            </w:r>
          </w:p>
        </w:tc>
      </w:tr>
      <w:tr w:rsidR="00DD0A96" w:rsidRPr="00B16BC0" w14:paraId="7B7C36B1" w14:textId="77777777" w:rsidTr="00CF2EA0">
        <w:tc>
          <w:tcPr>
            <w:tcW w:w="0" w:type="auto"/>
            <w:tcBorders>
              <w:bottom w:val="single" w:sz="6" w:space="0" w:color="000000"/>
            </w:tcBorders>
            <w:shd w:val="clear" w:color="auto" w:fill="DAEDF3"/>
          </w:tcPr>
          <w:p w14:paraId="1C1F6541" w14:textId="77777777" w:rsidR="00DD0A96" w:rsidRPr="00B16BC0" w:rsidRDefault="00DD0A96" w:rsidP="00D23617">
            <w:pPr>
              <w:pStyle w:val="TableParagraph"/>
              <w:spacing w:before="60" w:after="60"/>
              <w:ind w:left="113" w:right="113"/>
              <w:jc w:val="left"/>
              <w:rPr>
                <w:b/>
                <w:noProof/>
              </w:rPr>
            </w:pPr>
            <w:r>
              <w:rPr>
                <w:b/>
              </w:rPr>
              <w:t>3. Konta turētāja informācija</w:t>
            </w:r>
          </w:p>
        </w:tc>
      </w:tr>
      <w:tr w:rsidR="00DD0A96" w:rsidRPr="00B16BC0" w14:paraId="722DE5AE" w14:textId="77777777" w:rsidTr="00CF2EA0">
        <w:trPr>
          <w:trHeight w:val="1476"/>
        </w:trPr>
        <w:tc>
          <w:tcPr>
            <w:tcW w:w="0" w:type="auto"/>
            <w:tcBorders>
              <w:bottom w:val="single" w:sz="4" w:space="0" w:color="auto"/>
            </w:tcBorders>
          </w:tcPr>
          <w:p w14:paraId="674B1A76" w14:textId="77777777" w:rsidR="00DD0A96" w:rsidRPr="00B16BC0" w:rsidRDefault="00DD0A96" w:rsidP="00D23617">
            <w:pPr>
              <w:pStyle w:val="TableParagraph"/>
              <w:spacing w:before="60" w:after="60"/>
              <w:ind w:left="113" w:right="113"/>
              <w:rPr>
                <w:b/>
                <w:noProof/>
              </w:rPr>
            </w:pPr>
            <w:r>
              <w:rPr>
                <w:b/>
              </w:rPr>
              <w:t>Kā finanšu iestāde, kas sniedz ziņojumus, ziņo par fizisku personu, kuras personvārdu neveido vārds un uzvārds?</w:t>
            </w:r>
          </w:p>
          <w:p w14:paraId="47430BF1" w14:textId="1A7128B8" w:rsidR="00705720" w:rsidRPr="00B16BC0" w:rsidRDefault="00DD0A96" w:rsidP="00CF2EA0">
            <w:pPr>
              <w:pStyle w:val="TableParagraph"/>
              <w:spacing w:before="60" w:after="60"/>
              <w:ind w:left="113" w:right="113" w:firstLine="1"/>
            </w:pPr>
            <w:r>
              <w:rPr>
                <w:i/>
                <w:iCs/>
              </w:rPr>
              <w:t>CRS</w:t>
            </w:r>
            <w:r>
              <w:t xml:space="preserve"> shēmā obligāti jānorāda datu elementi, kas attiecas uz vārdu un uzvārdu. Ja fiziskas personas reģistrētais personvārds ir mononīms (viens vārds), datu elementā “vārds” jānorāda “</w:t>
            </w:r>
            <w:r>
              <w:rPr>
                <w:i/>
                <w:iCs/>
              </w:rPr>
              <w:t>NFN</w:t>
            </w:r>
            <w:r>
              <w:t>” (</w:t>
            </w:r>
            <w:r>
              <w:rPr>
                <w:i/>
                <w:iCs/>
              </w:rPr>
              <w:t>No First Name</w:t>
            </w:r>
            <w:r>
              <w:t xml:space="preserve"> (nav vārda)), bet datu elementā “uzvārds” – konta turētāja mononīms.</w:t>
            </w:r>
          </w:p>
        </w:tc>
      </w:tr>
    </w:tbl>
    <w:p w14:paraId="65D128D6" w14:textId="77777777" w:rsidR="00DD0A96" w:rsidRPr="00B16BC0" w:rsidRDefault="00DD0A96" w:rsidP="00D23617">
      <w:pPr>
        <w:pStyle w:val="TableParagraph"/>
        <w:spacing w:before="60" w:after="60"/>
        <w:rPr>
          <w:noProof/>
        </w:rPr>
        <w:sectPr w:rsidR="00DD0A96" w:rsidRPr="00B16BC0" w:rsidSect="0073510E">
          <w:headerReference w:type="default" r:id="rId12"/>
          <w:footerReference w:type="default" r:id="rId13"/>
          <w:headerReference w:type="first" r:id="rId14"/>
          <w:footerReference w:type="first" r:id="rId15"/>
          <w:pgSz w:w="11907" w:h="16840" w:code="9"/>
          <w:pgMar w:top="1134" w:right="1134" w:bottom="1134" w:left="1701" w:header="567" w:footer="567" w:gutter="0"/>
          <w:pgNumType w:start="1"/>
          <w:cols w:space="720"/>
          <w:titlePg/>
        </w:sect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9088"/>
      </w:tblGrid>
      <w:tr w:rsidR="00DD0A96" w:rsidRPr="00B16BC0" w14:paraId="5CA780F1" w14:textId="77777777" w:rsidTr="00D23617">
        <w:trPr>
          <w:trHeight w:val="553"/>
        </w:trPr>
        <w:tc>
          <w:tcPr>
            <w:tcW w:w="0" w:type="auto"/>
            <w:shd w:val="clear" w:color="auto" w:fill="DAEDF3"/>
          </w:tcPr>
          <w:p w14:paraId="5E862E35" w14:textId="77777777" w:rsidR="00DD0A96" w:rsidRPr="00B16BC0" w:rsidRDefault="00DD0A96" w:rsidP="00D23617">
            <w:pPr>
              <w:pStyle w:val="TableParagraph"/>
              <w:spacing w:before="60" w:after="60"/>
              <w:ind w:left="113" w:right="113"/>
              <w:jc w:val="left"/>
              <w:rPr>
                <w:b/>
                <w:noProof/>
              </w:rPr>
            </w:pPr>
            <w:r>
              <w:rPr>
                <w:b/>
              </w:rPr>
              <w:lastRenderedPageBreak/>
              <w:t>4. Ziņošana par pārdošanas ieņēmumiem, kas kreditēti vai iemaksāti attiecībā uz turētāja kontu*</w:t>
            </w:r>
          </w:p>
        </w:tc>
      </w:tr>
      <w:tr w:rsidR="00DD0A96" w:rsidRPr="00B16BC0" w14:paraId="2C02CCF0" w14:textId="77777777" w:rsidTr="00D23617">
        <w:trPr>
          <w:trHeight w:val="551"/>
        </w:trPr>
        <w:tc>
          <w:tcPr>
            <w:tcW w:w="0" w:type="auto"/>
            <w:shd w:val="clear" w:color="auto" w:fill="DAEDF3"/>
          </w:tcPr>
          <w:p w14:paraId="210A87A7" w14:textId="77777777" w:rsidR="00DD0A96" w:rsidRPr="00B16BC0" w:rsidRDefault="00DD0A96" w:rsidP="00D23617">
            <w:pPr>
              <w:pStyle w:val="TableParagraph"/>
              <w:spacing w:before="60" w:after="60"/>
              <w:ind w:left="113" w:right="113"/>
              <w:jc w:val="left"/>
              <w:rPr>
                <w:b/>
                <w:noProof/>
              </w:rPr>
            </w:pPr>
            <w:r>
              <w:rPr>
                <w:b/>
              </w:rPr>
              <w:t>5. Prasība iegūt nodokļu maksātāja identifikācijas numurus (</w:t>
            </w:r>
            <w:r>
              <w:rPr>
                <w:b/>
                <w:i/>
                <w:iCs/>
              </w:rPr>
              <w:t>TIN</w:t>
            </w:r>
            <w:r>
              <w:rPr>
                <w:b/>
              </w:rPr>
              <w:t>)</w:t>
            </w:r>
          </w:p>
        </w:tc>
      </w:tr>
      <w:tr w:rsidR="00DD0A96" w:rsidRPr="00B16BC0" w14:paraId="6CBF9269" w14:textId="77777777" w:rsidTr="00D23617">
        <w:trPr>
          <w:trHeight w:val="1958"/>
        </w:trPr>
        <w:tc>
          <w:tcPr>
            <w:tcW w:w="0" w:type="auto"/>
          </w:tcPr>
          <w:p w14:paraId="027CE0AB" w14:textId="77777777" w:rsidR="00DD0A96" w:rsidRPr="00B16BC0" w:rsidRDefault="00DD0A96" w:rsidP="00D23617">
            <w:pPr>
              <w:pStyle w:val="TableParagraph"/>
              <w:spacing w:before="60" w:after="60"/>
              <w:ind w:left="113" w:right="113" w:firstLine="2"/>
              <w:rPr>
                <w:b/>
                <w:noProof/>
              </w:rPr>
            </w:pPr>
            <w:r>
              <w:rPr>
                <w:b/>
              </w:rPr>
              <w:t xml:space="preserve">Komentāru par I pantu 30. punktā noteikts, ka </w:t>
            </w:r>
            <w:r>
              <w:rPr>
                <w:b/>
                <w:i/>
                <w:iCs/>
              </w:rPr>
              <w:t>TIN</w:t>
            </w:r>
            <w:r>
              <w:rPr>
                <w:b/>
              </w:rPr>
              <w:t xml:space="preserve"> nav obligāti jāpaziņo attiecībā uz kontu, par kuru jāsniedz ziņojums un kuru tur persona, par ko jāsniedz ziņojums un kam nav piešķirts </w:t>
            </w:r>
            <w:r>
              <w:rPr>
                <w:b/>
                <w:i/>
                <w:iCs/>
              </w:rPr>
              <w:t>TIN</w:t>
            </w:r>
            <w:r>
              <w:rPr>
                <w:b/>
              </w:rPr>
              <w:t xml:space="preserve">. Vai finanšu iestādei jāpieprasa, lai persona, par kuru jāsniedz ziņojums, iegūtu un norādītu </w:t>
            </w:r>
            <w:r>
              <w:rPr>
                <w:b/>
                <w:i/>
                <w:iCs/>
              </w:rPr>
              <w:t>TIN</w:t>
            </w:r>
            <w:r>
              <w:rPr>
                <w:b/>
              </w:rPr>
              <w:t xml:space="preserve">, ja šī persona ir vai var būt tiesīga iegūt </w:t>
            </w:r>
            <w:r>
              <w:rPr>
                <w:b/>
                <w:i/>
                <w:iCs/>
              </w:rPr>
              <w:t>TIN</w:t>
            </w:r>
            <w:r>
              <w:rPr>
                <w:b/>
              </w:rPr>
              <w:t xml:space="preserve"> (vai tā funkcionālo ekvivalentu) savā rezidences jurisdikcijā, bet tai nav pienākuma iegūt </w:t>
            </w:r>
            <w:r>
              <w:rPr>
                <w:b/>
                <w:i/>
                <w:iCs/>
              </w:rPr>
              <w:t>TIN</w:t>
            </w:r>
            <w:r>
              <w:rPr>
                <w:b/>
              </w:rPr>
              <w:t xml:space="preserve"> un tā to nav ieguvusi?</w:t>
            </w:r>
          </w:p>
          <w:p w14:paraId="0BC3AC8F" w14:textId="77777777" w:rsidR="00DD0A96" w:rsidRPr="00B16BC0" w:rsidRDefault="00DD0A96" w:rsidP="00D23617">
            <w:pPr>
              <w:pStyle w:val="TableParagraph"/>
              <w:spacing w:before="60" w:after="60"/>
              <w:ind w:left="113" w:right="113"/>
              <w:jc w:val="left"/>
              <w:rPr>
                <w:noProof/>
              </w:rPr>
            </w:pPr>
            <w:r>
              <w:t>Nē.</w:t>
            </w:r>
          </w:p>
        </w:tc>
      </w:tr>
      <w:tr w:rsidR="00DD0A96" w:rsidRPr="00B16BC0" w14:paraId="75D6EEF6" w14:textId="77777777" w:rsidTr="00D23617">
        <w:trPr>
          <w:trHeight w:val="837"/>
        </w:trPr>
        <w:tc>
          <w:tcPr>
            <w:tcW w:w="0" w:type="auto"/>
            <w:shd w:val="clear" w:color="auto" w:fill="DAEDF3"/>
          </w:tcPr>
          <w:p w14:paraId="0C60BA47" w14:textId="77777777" w:rsidR="00DD0A96" w:rsidRPr="00B16BC0" w:rsidRDefault="00DD0A96" w:rsidP="00D23617">
            <w:pPr>
              <w:pStyle w:val="TableParagraph"/>
              <w:spacing w:before="60" w:after="60"/>
              <w:ind w:left="113" w:right="113"/>
              <w:jc w:val="left"/>
              <w:rPr>
                <w:b/>
                <w:noProof/>
              </w:rPr>
            </w:pPr>
            <w:r>
              <w:rPr>
                <w:b/>
              </w:rPr>
              <w:t>6. Neregulāri maksājumi diskrecionārajiem labuma guvējiem trastā, kas ir finanšu iestāde, kura sniedz ziņojumus*</w:t>
            </w:r>
          </w:p>
        </w:tc>
      </w:tr>
      <w:tr w:rsidR="00DD0A96" w:rsidRPr="00B16BC0" w14:paraId="262C14E4" w14:textId="77777777" w:rsidTr="00D23617">
        <w:tc>
          <w:tcPr>
            <w:tcW w:w="0" w:type="auto"/>
            <w:shd w:val="clear" w:color="auto" w:fill="DAEDF3"/>
          </w:tcPr>
          <w:p w14:paraId="519A43E9" w14:textId="77777777" w:rsidR="00DD0A96" w:rsidRPr="00B16BC0" w:rsidRDefault="00DD0A96" w:rsidP="00D23617">
            <w:pPr>
              <w:pStyle w:val="TableParagraph"/>
              <w:spacing w:before="60" w:after="60"/>
              <w:ind w:left="113" w:right="113"/>
              <w:jc w:val="left"/>
              <w:rPr>
                <w:b/>
                <w:noProof/>
              </w:rPr>
            </w:pPr>
            <w:r>
              <w:rPr>
                <w:b/>
              </w:rPr>
              <w:t>7. Dibinātāju kontrolējošo personu paziņošana, ja dibinātāji ir vienības</w:t>
            </w:r>
          </w:p>
        </w:tc>
      </w:tr>
      <w:tr w:rsidR="00DD0A96" w:rsidRPr="00B16BC0" w14:paraId="5F7B132D" w14:textId="77777777" w:rsidTr="00936CE5">
        <w:trPr>
          <w:trHeight w:val="1803"/>
        </w:trPr>
        <w:tc>
          <w:tcPr>
            <w:tcW w:w="0" w:type="auto"/>
          </w:tcPr>
          <w:p w14:paraId="042A411A" w14:textId="77777777" w:rsidR="00DD0A96" w:rsidRPr="00B16BC0" w:rsidRDefault="00DD0A96" w:rsidP="00D23617">
            <w:pPr>
              <w:pStyle w:val="TableParagraph"/>
              <w:spacing w:before="60" w:after="60"/>
              <w:ind w:left="113" w:right="113"/>
              <w:rPr>
                <w:b/>
                <w:noProof/>
              </w:rPr>
            </w:pPr>
            <w:r>
              <w:rPr>
                <w:b/>
              </w:rPr>
              <w:t>Standartā noteikts – ja trasta dibinātājs ir vienība, finanšu iestādēm, kas sniedz ziņojumus, ir jāidentificē arī dibinātāja(-u) kontrolējošā(-ās) persona(-as) un jāpaziņo tā(tās) kā kontrolējošā(-ās) persona(-as). Vai kontrolējošās personas jāidentificē un jāpaziņo tikai trasta dibināšanas gadā vai arī turpmākajos gados?</w:t>
            </w:r>
          </w:p>
          <w:p w14:paraId="641046DA" w14:textId="77777777" w:rsidR="00DD0A96" w:rsidRPr="00B16BC0" w:rsidRDefault="00DD0A96" w:rsidP="00D23617">
            <w:pPr>
              <w:pStyle w:val="TableParagraph"/>
              <w:spacing w:before="60" w:after="60"/>
              <w:ind w:left="113" w:right="113" w:firstLine="1"/>
              <w:rPr>
                <w:noProof/>
              </w:rPr>
            </w:pPr>
            <w:r>
              <w:t>Dibinātāja kontrolējošās personas jāidentificē ne tikai trasta dibināšanas gadā, bet arī turpmākajos gados.</w:t>
            </w:r>
          </w:p>
        </w:tc>
      </w:tr>
      <w:tr w:rsidR="00DD0A96" w:rsidRPr="00B16BC0" w14:paraId="5F817708" w14:textId="77777777" w:rsidTr="00D23617">
        <w:trPr>
          <w:trHeight w:val="551"/>
        </w:trPr>
        <w:tc>
          <w:tcPr>
            <w:tcW w:w="0" w:type="auto"/>
            <w:shd w:val="clear" w:color="auto" w:fill="DAEDF3"/>
          </w:tcPr>
          <w:p w14:paraId="0F9B9A77" w14:textId="77777777" w:rsidR="00DD0A96" w:rsidRPr="00B16BC0" w:rsidRDefault="00DD0A96" w:rsidP="00D23617">
            <w:pPr>
              <w:pStyle w:val="TableParagraph"/>
              <w:spacing w:before="60" w:after="60"/>
              <w:ind w:left="113" w:right="113"/>
              <w:jc w:val="left"/>
              <w:rPr>
                <w:b/>
                <w:noProof/>
              </w:rPr>
            </w:pPr>
            <w:r>
              <w:rPr>
                <w:b/>
              </w:rPr>
              <w:t>8. Ziņošanas prasības trasta konta slēgšanas gadā</w:t>
            </w:r>
          </w:p>
        </w:tc>
      </w:tr>
      <w:tr w:rsidR="00DD0A96" w:rsidRPr="00B16BC0" w14:paraId="5ECAAC27" w14:textId="77777777" w:rsidTr="00D23617">
        <w:trPr>
          <w:trHeight w:val="1983"/>
        </w:trPr>
        <w:tc>
          <w:tcPr>
            <w:tcW w:w="0" w:type="auto"/>
          </w:tcPr>
          <w:p w14:paraId="04C069C4" w14:textId="77777777" w:rsidR="00DD0A96" w:rsidRPr="00B16BC0" w:rsidRDefault="00DD0A96" w:rsidP="00D23617">
            <w:pPr>
              <w:pStyle w:val="TableParagraph"/>
              <w:spacing w:before="60" w:after="60"/>
              <w:ind w:left="113" w:right="113"/>
              <w:jc w:val="left"/>
              <w:rPr>
                <w:b/>
                <w:noProof/>
              </w:rPr>
            </w:pPr>
            <w:r>
              <w:rPr>
                <w:b/>
              </w:rPr>
              <w:t>Par kādu finanšu darbību jāziņo konta slēgšanas gadījumā, ja:</w:t>
            </w:r>
          </w:p>
          <w:p w14:paraId="64A64158" w14:textId="5AF7BD67" w:rsidR="00DD0A96" w:rsidRPr="00B16BC0" w:rsidRDefault="00A1042E" w:rsidP="00D23617">
            <w:pPr>
              <w:pStyle w:val="TableParagraph"/>
              <w:tabs>
                <w:tab w:val="left" w:pos="400"/>
              </w:tabs>
              <w:spacing w:before="60" w:after="60"/>
              <w:ind w:left="113" w:right="113"/>
              <w:rPr>
                <w:b/>
                <w:noProof/>
              </w:rPr>
            </w:pPr>
            <w:r>
              <w:rPr>
                <w:b/>
              </w:rPr>
              <w:t>a) kontu uztur trasts, kas ir finanšu iestāde, kura sniedz ziņojumus;</w:t>
            </w:r>
          </w:p>
          <w:p w14:paraId="5925AF33" w14:textId="43C0EE6C" w:rsidR="00DD0A96" w:rsidRPr="00B16BC0" w:rsidRDefault="00A1042E" w:rsidP="00D23617">
            <w:pPr>
              <w:pStyle w:val="TableParagraph"/>
              <w:tabs>
                <w:tab w:val="left" w:pos="413"/>
              </w:tabs>
              <w:spacing w:before="60" w:after="60"/>
              <w:ind w:left="113" w:right="113"/>
              <w:rPr>
                <w:b/>
                <w:noProof/>
              </w:rPr>
            </w:pPr>
            <w:r>
              <w:rPr>
                <w:b/>
              </w:rPr>
              <w:t>b) finanšu iestāde, kura sniedz ziņojumus, uztur kontu trastam, kas ir pasīva nefinanšu vienība?</w:t>
            </w:r>
          </w:p>
          <w:p w14:paraId="15BF1664" w14:textId="77777777" w:rsidR="00DD0A96" w:rsidRPr="00B16BC0" w:rsidRDefault="00DD0A96" w:rsidP="00D23617">
            <w:pPr>
              <w:pStyle w:val="TableParagraph"/>
              <w:spacing w:before="60" w:after="60"/>
              <w:ind w:left="113" w:right="113"/>
              <w:jc w:val="left"/>
              <w:rPr>
                <w:noProof/>
              </w:rPr>
            </w:pPr>
            <w:r>
              <w:t>Abos gadījumos paziņojamā finanšu darbība ietver gan konta slēgšanas faktu, gan bruto maksājumus, kas attiecīgajā ziņošanas periodā veikti konta turētājam.</w:t>
            </w:r>
          </w:p>
        </w:tc>
      </w:tr>
      <w:tr w:rsidR="00DD0A96" w:rsidRPr="00B16BC0" w14:paraId="1DED0006" w14:textId="77777777" w:rsidTr="00CF2EA0">
        <w:trPr>
          <w:trHeight w:val="676"/>
        </w:trPr>
        <w:tc>
          <w:tcPr>
            <w:tcW w:w="0" w:type="auto"/>
            <w:shd w:val="clear" w:color="auto" w:fill="DAEDF3"/>
          </w:tcPr>
          <w:p w14:paraId="203B4C5B" w14:textId="77777777" w:rsidR="00DD0A96" w:rsidRPr="00B16BC0" w:rsidRDefault="00DD0A96" w:rsidP="00D23617">
            <w:pPr>
              <w:pStyle w:val="TableParagraph"/>
              <w:spacing w:before="60" w:after="60"/>
              <w:ind w:left="113" w:right="113"/>
              <w:jc w:val="left"/>
              <w:rPr>
                <w:b/>
                <w:noProof/>
              </w:rPr>
            </w:pPr>
            <w:r>
              <w:rPr>
                <w:b/>
              </w:rPr>
              <w:t>9. Kontrolējošas personas, kura nav persona jurisdikcijā, par kuru jāsniedz ziņojums, nodokļu maksātāja identifikācijas numuru iegūšana</w:t>
            </w:r>
          </w:p>
        </w:tc>
      </w:tr>
      <w:tr w:rsidR="00B16BC0" w:rsidRPr="00B16BC0" w14:paraId="501D3DDB" w14:textId="77777777" w:rsidTr="00CF2EA0">
        <w:trPr>
          <w:trHeight w:val="2928"/>
        </w:trPr>
        <w:tc>
          <w:tcPr>
            <w:tcW w:w="0" w:type="auto"/>
          </w:tcPr>
          <w:p w14:paraId="5DE45ED2" w14:textId="77777777" w:rsidR="00B16BC0" w:rsidRDefault="00B16BC0" w:rsidP="00D23617">
            <w:pPr>
              <w:pStyle w:val="TableParagraph"/>
              <w:spacing w:before="60" w:after="60"/>
              <w:ind w:left="113" w:right="113"/>
              <w:jc w:val="left"/>
              <w:rPr>
                <w:b/>
              </w:rPr>
            </w:pPr>
            <w:r>
              <w:rPr>
                <w:b/>
              </w:rPr>
              <w:t xml:space="preserve">Saskaņā ar VIII panta D punkta 8. apakšpunktu pasīva nefinanšu vienība ir VIII panta A punkta 6. apakšpunkta b) daļā minētā ieguldījumu vienība, kas nav iesaistītās jurisdikcijas finanšu iestāde, un ieguldījumu vienības kontam ir jāpiemēro V pantā vai VI pantā noteiktās pienācīgas pārbaudes procedūras, lai noteiktu, vai konts ir konts, par kuru jāsniedz ziņojums. Konts ir konts, par kuru jāsniedz ziņojums, vienīgi tad, ja pasīvajai nefinanšu vienībai ir viena vai vairākas kontrolējošās personas, kas ir personas, par kurām jāsniedz ziņojums. Vai kontrolējošās personas </w:t>
            </w:r>
            <w:r>
              <w:rPr>
                <w:b/>
                <w:i/>
                <w:iCs/>
              </w:rPr>
              <w:t>TIN</w:t>
            </w:r>
            <w:r>
              <w:rPr>
                <w:b/>
              </w:rPr>
              <w:t xml:space="preserve"> ir jāiegūst gadījumos, kad kontrolējošā persona nav persona jurisdikcijā, par kuru jāsniedz ziņojums?</w:t>
            </w:r>
          </w:p>
          <w:p w14:paraId="08C6DD1C" w14:textId="489E712C" w:rsidR="00ED61DE" w:rsidRPr="00CF2EA0" w:rsidRDefault="00ED61DE" w:rsidP="00CF2EA0">
            <w:pPr>
              <w:pStyle w:val="TableParagraph"/>
              <w:spacing w:before="60" w:after="60"/>
              <w:ind w:left="113" w:right="113"/>
              <w:rPr>
                <w:bCs/>
                <w:noProof/>
                <w:lang w:val="en-US"/>
              </w:rPr>
            </w:pPr>
            <w:r w:rsidRPr="00ED61DE">
              <w:rPr>
                <w:bCs/>
                <w:noProof/>
                <w:lang w:val="en-US"/>
              </w:rPr>
              <w:t xml:space="preserve">Ievērojot valsts tiesību aktu noteikumus, jo īpaši attiecībā uz tā dēvēto “plašāko pieeju”, kas izklāstīta Standarta 5. pielikumā, ja kontrolējošā persona nav persona jurisdikcijā, par kuru jāsniedz ziņojums, šādas kontrolējošās personas </w:t>
            </w:r>
            <w:r w:rsidRPr="00ED61DE">
              <w:rPr>
                <w:bCs/>
                <w:i/>
                <w:iCs/>
                <w:noProof/>
                <w:lang w:val="en-US"/>
              </w:rPr>
              <w:t xml:space="preserve">TIN </w:t>
            </w:r>
            <w:r w:rsidRPr="00ED61DE">
              <w:rPr>
                <w:bCs/>
                <w:noProof/>
                <w:lang w:val="en-US"/>
              </w:rPr>
              <w:t>nav jāiegūst.</w:t>
            </w:r>
          </w:p>
        </w:tc>
      </w:tr>
      <w:tr w:rsidR="00DD0A96" w:rsidRPr="00B16BC0" w14:paraId="1DDA2500" w14:textId="77777777" w:rsidTr="00D23617">
        <w:trPr>
          <w:trHeight w:val="414"/>
        </w:trPr>
        <w:tc>
          <w:tcPr>
            <w:tcW w:w="0" w:type="auto"/>
            <w:shd w:val="clear" w:color="auto" w:fill="DAEDF3"/>
          </w:tcPr>
          <w:p w14:paraId="7B12DDF6" w14:textId="57D7EB4C" w:rsidR="00D23617" w:rsidRPr="00B16BC0" w:rsidRDefault="00DD0A96" w:rsidP="00D23617">
            <w:pPr>
              <w:pStyle w:val="TableParagraph"/>
              <w:spacing w:before="60" w:after="60"/>
              <w:ind w:left="113" w:right="113"/>
              <w:jc w:val="left"/>
              <w:rPr>
                <w:b/>
              </w:rPr>
            </w:pPr>
            <w:r>
              <w:rPr>
                <w:b/>
              </w:rPr>
              <w:t xml:space="preserve">10. Lietojuma tiesību kvalificēšana </w:t>
            </w:r>
            <w:r>
              <w:rPr>
                <w:b/>
                <w:i/>
                <w:iCs/>
              </w:rPr>
              <w:t>CRS</w:t>
            </w:r>
            <w:r>
              <w:rPr>
                <w:b/>
              </w:rPr>
              <w:t xml:space="preserve"> izpratnē*</w:t>
            </w:r>
          </w:p>
        </w:tc>
      </w:tr>
      <w:tr w:rsidR="00027485" w:rsidRPr="00B16BC0" w14:paraId="22CFAB56" w14:textId="77777777" w:rsidTr="00D23617">
        <w:tc>
          <w:tcPr>
            <w:tcW w:w="0" w:type="auto"/>
            <w:shd w:val="clear" w:color="auto" w:fill="DAEDF3"/>
          </w:tcPr>
          <w:p w14:paraId="4CA2F64C" w14:textId="77777777" w:rsidR="00027485" w:rsidRPr="00B16BC0" w:rsidRDefault="00027485" w:rsidP="00D23617">
            <w:pPr>
              <w:pStyle w:val="TableParagraph"/>
              <w:spacing w:before="60" w:after="60"/>
              <w:ind w:left="113" w:right="113"/>
              <w:jc w:val="left"/>
              <w:rPr>
                <w:b/>
                <w:noProof/>
              </w:rPr>
            </w:pPr>
            <w:r>
              <w:rPr>
                <w:b/>
              </w:rPr>
              <w:t>11. Finanšu iestādes, kas sniedz ziņojumus un atrodas likvidācijas procesā, ziņošanas pienākumi</w:t>
            </w:r>
          </w:p>
        </w:tc>
      </w:tr>
      <w:tr w:rsidR="00027485" w:rsidRPr="00B16BC0" w14:paraId="5D90BAB5" w14:textId="77777777" w:rsidTr="00D23617">
        <w:tc>
          <w:tcPr>
            <w:tcW w:w="0" w:type="auto"/>
          </w:tcPr>
          <w:p w14:paraId="13ECC109" w14:textId="77777777" w:rsidR="00027485" w:rsidRPr="00B16BC0" w:rsidRDefault="00027485" w:rsidP="00D23617">
            <w:pPr>
              <w:pStyle w:val="TableParagraph"/>
              <w:spacing w:before="60" w:after="60"/>
              <w:ind w:left="113" w:right="113"/>
              <w:rPr>
                <w:b/>
                <w:noProof/>
              </w:rPr>
            </w:pPr>
            <w:r>
              <w:rPr>
                <w:b/>
              </w:rPr>
              <w:t xml:space="preserve">Kā finanšu iestādei, kas sniedz ziņojumus un atrodas likvidācijas vai darbības izbeigšanas procesā, jāpilda </w:t>
            </w:r>
            <w:r>
              <w:rPr>
                <w:b/>
                <w:i/>
                <w:iCs/>
              </w:rPr>
              <w:t>CRS</w:t>
            </w:r>
            <w:r>
              <w:rPr>
                <w:b/>
              </w:rPr>
              <w:t xml:space="preserve"> noteiktie pienācīgas pārbaudes un ziņošanas pienākumi?</w:t>
            </w:r>
          </w:p>
          <w:p w14:paraId="7CB631FC" w14:textId="77777777" w:rsidR="00027485" w:rsidRPr="00B16BC0" w:rsidRDefault="00027485" w:rsidP="00D23617">
            <w:pPr>
              <w:pStyle w:val="TableParagraph"/>
              <w:spacing w:before="60" w:after="60"/>
              <w:ind w:left="113" w:right="113"/>
              <w:rPr>
                <w:noProof/>
              </w:rPr>
            </w:pPr>
            <w:r>
              <w:lastRenderedPageBreak/>
              <w:t>Parasti finanšu kontu uzskata par kontu, par kuru jāsniedz ziņojums, no dienas, kad tas šādi identificēts atbilstīgi pienācīgas pārbaudes procedūrām (II panta A punkts). Konts, par kuru jāsniedz ziņojums, saglabā šādu statusu līdz dienai, kad tas pārstāj būt konts, par kuru jāsniedz ziņojums (piemēram, konta slēgšanas dēļ). Ja konts, par kuru jāsniedz ziņojums, tiek slēgts finanšu iestādes, kas sniedz ziņojumus, likvidācijas vai darbības izbeigšanas dēļ, informācija par šo kontu joprojām jāpaziņo katru gadu līdz finanšu konta slēgšanas dienai (komentāri par II panta A punktu), un šādu ziņošanu likvidācijas vai darbības izbeigšanas ietvaros veic finanšu iestāde, kas sniedz ziņojumus.</w:t>
            </w:r>
          </w:p>
          <w:p w14:paraId="74A887D4" w14:textId="77777777" w:rsidR="00027485" w:rsidRPr="00B16BC0" w:rsidRDefault="00027485" w:rsidP="00D23617">
            <w:pPr>
              <w:pStyle w:val="TableParagraph"/>
              <w:spacing w:before="60" w:after="60"/>
              <w:ind w:left="113" w:right="113"/>
              <w:rPr>
                <w:noProof/>
              </w:rPr>
            </w:pPr>
            <w:r>
              <w:t>Šajā ziņā jurisdikcijas var sniegt papildu norādījumus savām finanšu iestādēm, kas sniedz ziņojumus, par to, kā likvidācijas vai darbības izbeigšanas procesa laikā izpildīt pienācīgas pārbaudes un ziņošanas pienākumus, ņemot vērā attiecīgās valsts tiesību aktus, jo īpaši uzņēmējdarbības tiesību un maksātnespējas tiesību jomā.</w:t>
            </w:r>
          </w:p>
          <w:p w14:paraId="006FD6D1" w14:textId="77777777" w:rsidR="00027485" w:rsidRPr="00B16BC0" w:rsidRDefault="00027485" w:rsidP="00D23617">
            <w:pPr>
              <w:pStyle w:val="TableParagraph"/>
              <w:spacing w:before="60" w:after="60"/>
              <w:ind w:left="113" w:right="113"/>
              <w:rPr>
                <w:noProof/>
              </w:rPr>
            </w:pPr>
            <w:r>
              <w:t>Šajā saistībā viena no iespējām būtu atļaut izmantot trešās puses pakalpojumu sniedzējus, lai izpildītu finanšu iestādes, kas sniedz ziņojumus, ziņošanas vai pienācīgas pārbaudes pienākumus (II panta D punkts).</w:t>
            </w:r>
          </w:p>
        </w:tc>
      </w:tr>
      <w:tr w:rsidR="00027485" w:rsidRPr="00B16BC0" w14:paraId="01B213E5" w14:textId="77777777" w:rsidTr="00D23617">
        <w:trPr>
          <w:trHeight w:val="532"/>
        </w:trPr>
        <w:tc>
          <w:tcPr>
            <w:tcW w:w="0" w:type="auto"/>
            <w:shd w:val="clear" w:color="auto" w:fill="DAEDF3"/>
          </w:tcPr>
          <w:p w14:paraId="1457A719" w14:textId="77777777" w:rsidR="00027485" w:rsidRPr="00B16BC0" w:rsidRDefault="00027485" w:rsidP="00D23617">
            <w:pPr>
              <w:pStyle w:val="TableParagraph"/>
              <w:spacing w:before="60" w:after="60"/>
              <w:ind w:left="113" w:right="113"/>
              <w:jc w:val="left"/>
              <w:rPr>
                <w:b/>
                <w:noProof/>
              </w:rPr>
            </w:pPr>
            <w:r>
              <w:rPr>
                <w:b/>
              </w:rPr>
              <w:lastRenderedPageBreak/>
              <w:t xml:space="preserve">12. Ziņošanas prasības saistībā ar derīgiem pašapliecinājumiem (pārskatītais </w:t>
            </w:r>
            <w:r>
              <w:rPr>
                <w:b/>
                <w:i/>
                <w:iCs/>
              </w:rPr>
              <w:t>CRS</w:t>
            </w:r>
            <w:r>
              <w:rPr>
                <w:b/>
              </w:rPr>
              <w:t>)</w:t>
            </w:r>
          </w:p>
        </w:tc>
      </w:tr>
      <w:tr w:rsidR="00027485" w:rsidRPr="00B16BC0" w14:paraId="6D28343D" w14:textId="77777777" w:rsidTr="00D23617">
        <w:trPr>
          <w:trHeight w:val="2694"/>
        </w:trPr>
        <w:tc>
          <w:tcPr>
            <w:tcW w:w="0" w:type="auto"/>
          </w:tcPr>
          <w:p w14:paraId="27B1F94E" w14:textId="77777777" w:rsidR="00027485" w:rsidRPr="00B16BC0" w:rsidRDefault="00027485" w:rsidP="00D23617">
            <w:pPr>
              <w:pStyle w:val="TableParagraph"/>
              <w:spacing w:before="60" w:after="60"/>
              <w:ind w:left="113" w:right="113"/>
              <w:rPr>
                <w:b/>
                <w:noProof/>
              </w:rPr>
            </w:pPr>
            <w:r>
              <w:rPr>
                <w:b/>
              </w:rPr>
              <w:t>Saskaņā ar I panta A punkta 1. apakšpunkta a) un b) daļu finanšu iestādēm, kas sniedz ziņojumus, jāpaziņo, vai par konta turētāju vai kontrolējošajām personām, kuras ir personas, par kurām jāsniedz ziņojums, ir iesniegts derīgs pašapliecinājums. Kurā brīdī finanšu iestādēm, kas sniedz ziņojumus, jāpārliecinās, vai par attiecīgo ziņošanas periodu ir iesniegts derīgs pašapliecinājums?</w:t>
            </w:r>
          </w:p>
          <w:p w14:paraId="71B5F941" w14:textId="77777777" w:rsidR="00027485" w:rsidRPr="00B16BC0" w:rsidRDefault="00027485" w:rsidP="00D23617">
            <w:pPr>
              <w:pStyle w:val="TableParagraph"/>
              <w:spacing w:before="60" w:after="60"/>
              <w:ind w:left="113" w:right="113"/>
              <w:rPr>
                <w:noProof/>
              </w:rPr>
            </w:pPr>
            <w:r>
              <w:t xml:space="preserve">Finanšu iestādēm, kas sniedz ziņojumus, jāpārliecinās, vai informācija par personu, par kuru jāsniedz ziņojums, kas saskaņā ar </w:t>
            </w:r>
            <w:r>
              <w:rPr>
                <w:i/>
                <w:iCs/>
              </w:rPr>
              <w:t>CRS</w:t>
            </w:r>
            <w:r>
              <w:t xml:space="preserve"> prasībām tiek sniegta par konkrēto kalendāro gadu vai citu attiecīgu ziņošanas periodu, ir balstīta uz derīgu pašapliecinājumu, pirms tā sniedz ziņojumu. </w:t>
            </w:r>
            <w:r>
              <w:rPr>
                <w:i/>
                <w:iCs/>
              </w:rPr>
              <w:t>CRS</w:t>
            </w:r>
            <w:r>
              <w:t xml:space="preserve"> noteiktās ziņošanas prasības attiecībā uz konkrēto gadu vai citu attiecīgu ziņošanas periodu ir atkarīgas no konta turētāja statusa konkrētā kalendārā gada vai cita attiecīga ziņošanas perioda beigās vai konta slēgšanas brīdī, ja tas noticis agrāk.</w:t>
            </w:r>
          </w:p>
        </w:tc>
      </w:tr>
    </w:tbl>
    <w:p w14:paraId="2AFB70A3" w14:textId="77777777" w:rsidR="00F06120" w:rsidRPr="00F06120" w:rsidRDefault="00F06120" w:rsidP="00F06120"/>
    <w:p w14:paraId="6BFD6248" w14:textId="77777777" w:rsidR="00F06120" w:rsidRPr="00F06120" w:rsidRDefault="00F06120" w:rsidP="00F06120"/>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9088"/>
      </w:tblGrid>
      <w:tr w:rsidR="00DD0A96" w:rsidRPr="00B16BC0" w14:paraId="5E1321A5" w14:textId="77777777" w:rsidTr="00E03D94">
        <w:trPr>
          <w:trHeight w:val="551"/>
        </w:trPr>
        <w:tc>
          <w:tcPr>
            <w:tcW w:w="5000" w:type="pct"/>
            <w:shd w:val="clear" w:color="auto" w:fill="92CDDC"/>
          </w:tcPr>
          <w:p w14:paraId="38DBA9F0" w14:textId="19D1D581" w:rsidR="00DD0A96" w:rsidRPr="00B16BC0" w:rsidRDefault="00F06120" w:rsidP="00D23617">
            <w:pPr>
              <w:pStyle w:val="TableParagraph"/>
              <w:spacing w:before="60" w:after="60"/>
              <w:ind w:left="113" w:right="113"/>
              <w:jc w:val="center"/>
              <w:rPr>
                <w:b/>
                <w:noProof/>
              </w:rPr>
            </w:pPr>
            <w:r>
              <w:tab/>
            </w:r>
            <w:r w:rsidR="00DD0A96">
              <w:rPr>
                <w:b/>
              </w:rPr>
              <w:t>II–VII PANTS. PIENĀCĪGAS PĀRBAUDES PRASĪBAS</w:t>
            </w:r>
          </w:p>
        </w:tc>
      </w:tr>
      <w:tr w:rsidR="00DD0A96" w:rsidRPr="00B16BC0" w14:paraId="2935A11C" w14:textId="77777777" w:rsidTr="00E03D94">
        <w:trPr>
          <w:trHeight w:val="553"/>
        </w:trPr>
        <w:tc>
          <w:tcPr>
            <w:tcW w:w="5000" w:type="pct"/>
            <w:shd w:val="clear" w:color="auto" w:fill="DAEDF3"/>
          </w:tcPr>
          <w:p w14:paraId="1EFE9F65" w14:textId="77777777" w:rsidR="00DD0A96" w:rsidRPr="00B16BC0" w:rsidRDefault="00DD0A96" w:rsidP="00D23617">
            <w:pPr>
              <w:pStyle w:val="TableParagraph"/>
              <w:spacing w:before="60" w:after="60"/>
              <w:ind w:left="113" w:right="113"/>
              <w:jc w:val="left"/>
              <w:rPr>
                <w:b/>
                <w:noProof/>
              </w:rPr>
            </w:pPr>
            <w:r>
              <w:rPr>
                <w:b/>
              </w:rPr>
              <w:t>1. Dokumentārie pierādījumi</w:t>
            </w:r>
          </w:p>
        </w:tc>
      </w:tr>
      <w:tr w:rsidR="00DD0A96" w:rsidRPr="00B16BC0" w14:paraId="23ED06EF" w14:textId="77777777" w:rsidTr="00D23617">
        <w:trPr>
          <w:trHeight w:val="2070"/>
        </w:trPr>
        <w:tc>
          <w:tcPr>
            <w:tcW w:w="5000" w:type="pct"/>
          </w:tcPr>
          <w:p w14:paraId="09728A97" w14:textId="77777777" w:rsidR="00DD0A96" w:rsidRPr="00B16BC0" w:rsidRDefault="00DD0A96" w:rsidP="00D23617">
            <w:pPr>
              <w:pStyle w:val="TableParagraph"/>
              <w:spacing w:before="60" w:after="60"/>
              <w:ind w:left="113" w:right="113" w:hanging="1"/>
              <w:rPr>
                <w:b/>
                <w:noProof/>
              </w:rPr>
            </w:pPr>
            <w:r>
              <w:rPr>
                <w:b/>
              </w:rPr>
              <w:t>Vai saskaņā ar Standartu finanšu iestādei, kas sniedz ziņojumus, ir jāsaglabā pienācīgas pārbaudes procedūru ietvaros iegūtu dokumentāro pierādījumu papīra kopija?</w:t>
            </w:r>
          </w:p>
          <w:p w14:paraId="0A3B670D" w14:textId="77777777" w:rsidR="00DD0A96" w:rsidRPr="00B16BC0" w:rsidRDefault="00DD0A96" w:rsidP="00D23617">
            <w:pPr>
              <w:pStyle w:val="TableParagraph"/>
              <w:spacing w:before="60" w:after="60"/>
              <w:ind w:left="113" w:right="113"/>
              <w:rPr>
                <w:noProof/>
              </w:rPr>
            </w:pPr>
            <w:r>
              <w:t>Nē. Finanšu iestādei, kas sniedz ziņojumus, nav jāsaglabā dokumentāro pierādījumu papīra kopija, taču tā var to darīt (komentāru par VIII pantu 157. punkts). Finanšu iestāde, kas sniedz ziņojumus, var saglabāt dokumentāro pierādījumu oriģināleksemplāru, apliecinātu norakstu vai fotokopiju vai notāciju par izskatītās dokumentācijas veidu, dokumentācijas izskatīšanas datumu un dokumenta identifikācijas numuru (ja tāds ir) (piemēram, pases numurs).</w:t>
            </w:r>
          </w:p>
        </w:tc>
      </w:tr>
      <w:tr w:rsidR="00DD0A96" w:rsidRPr="00B16BC0" w14:paraId="610809E5" w14:textId="77777777" w:rsidTr="00B16BC0">
        <w:trPr>
          <w:trHeight w:val="548"/>
        </w:trPr>
        <w:tc>
          <w:tcPr>
            <w:tcW w:w="5000" w:type="pct"/>
            <w:tcBorders>
              <w:bottom w:val="single" w:sz="6" w:space="0" w:color="000000"/>
            </w:tcBorders>
            <w:shd w:val="clear" w:color="auto" w:fill="DAEDF3"/>
          </w:tcPr>
          <w:p w14:paraId="572FD4EA" w14:textId="77777777" w:rsidR="00DD0A96" w:rsidRPr="00B16BC0" w:rsidRDefault="00DD0A96" w:rsidP="00D23617">
            <w:pPr>
              <w:pStyle w:val="TableParagraph"/>
              <w:spacing w:before="60" w:after="60"/>
              <w:ind w:left="113" w:right="113"/>
              <w:jc w:val="left"/>
              <w:rPr>
                <w:b/>
                <w:noProof/>
              </w:rPr>
            </w:pPr>
            <w:r>
              <w:rPr>
                <w:b/>
              </w:rPr>
              <w:t>2. Dzīvesvietas adreses pārbaude – prasība manuāli pārbaudīt dokumentāros pierādījumus</w:t>
            </w:r>
          </w:p>
        </w:tc>
      </w:tr>
      <w:tr w:rsidR="00DD0A96" w:rsidRPr="00B16BC0" w14:paraId="1D66870A" w14:textId="77777777" w:rsidTr="00B16BC0">
        <w:trPr>
          <w:trHeight w:val="2509"/>
        </w:trPr>
        <w:tc>
          <w:tcPr>
            <w:tcW w:w="5000" w:type="pct"/>
            <w:tcBorders>
              <w:bottom w:val="nil"/>
            </w:tcBorders>
          </w:tcPr>
          <w:p w14:paraId="0C707DD2" w14:textId="77777777" w:rsidR="00DD0A96" w:rsidRPr="00B16BC0" w:rsidRDefault="00DD0A96" w:rsidP="00D23617">
            <w:pPr>
              <w:pStyle w:val="TableParagraph"/>
              <w:spacing w:before="60" w:after="60"/>
              <w:ind w:left="113" w:right="113"/>
              <w:rPr>
                <w:b/>
                <w:noProof/>
              </w:rPr>
            </w:pPr>
            <w:r>
              <w:rPr>
                <w:b/>
              </w:rPr>
              <w:t>Vai Standartā noteiktā prasība apstiprināt dzīvesvietas adresi, balstoties uz reģistrētajiem dokumentārajiem pierādījumiem, nozīmē, ka konti jāpārbauda manuāli?</w:t>
            </w:r>
          </w:p>
          <w:p w14:paraId="52979CC8" w14:textId="77777777" w:rsidR="00DD0A96" w:rsidRPr="00B16BC0" w:rsidRDefault="00DD0A96" w:rsidP="00D23617">
            <w:pPr>
              <w:pStyle w:val="TableParagraph"/>
              <w:spacing w:before="60" w:after="60"/>
              <w:ind w:left="113" w:right="113" w:firstLine="2"/>
              <w:rPr>
                <w:noProof/>
              </w:rPr>
            </w:pPr>
            <w:r>
              <w:t>Standarts neparedz pienākumu veikt dokumentāro pierādījumu pārbaudi, veicot meklēšanu papīra dokumentos. Parasti viena no dzīvesvietas adreses pārbaudes prasībām ir tāda, ka dzīvesvietas adrese ir pamatota ar dokumentāriem pierādījumiem (III panta B punkta 1. apakšpunkts un attiecīgie komentāri). Ja finanšu iestāde, kas sniedz ziņojumus, ir saglabājusi dokumentāro pierādījumu notāciju, kā norādīts iepriekš, vai ir ieviesusi politiku un procedūras, lai nodrošinātu, ka spēkā esošā dzīvesvietas adrese atbilst dokumentārajos pierādījumos norādītajai adresei, uzskatāms, ka finanšu iestāde, kas sniedz ziņojumus, ir izpildījusi dzīvesvietas adreses pārbaudes prasību attiecībā uz dokumentārajiem pierādījumiem.</w:t>
            </w:r>
          </w:p>
        </w:tc>
      </w:tr>
    </w:tbl>
    <w:p w14:paraId="01575112" w14:textId="77777777" w:rsidR="00DD0A96" w:rsidRPr="00B16BC0" w:rsidRDefault="00DD0A96" w:rsidP="00D23617">
      <w:pPr>
        <w:pStyle w:val="TableParagraph"/>
        <w:spacing w:before="60" w:after="60"/>
        <w:rPr>
          <w:noProof/>
        </w:rPr>
        <w:sectPr w:rsidR="00DD0A96" w:rsidRPr="00B16BC0" w:rsidSect="0073510E">
          <w:headerReference w:type="first" r:id="rId16"/>
          <w:footerReference w:type="first" r:id="rId17"/>
          <w:pgSz w:w="11907" w:h="16840" w:code="9"/>
          <w:pgMar w:top="1134" w:right="1134" w:bottom="1134" w:left="1701" w:header="567" w:footer="567" w:gutter="0"/>
          <w:cols w:space="720"/>
          <w:titlePg/>
        </w:sect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9088"/>
      </w:tblGrid>
      <w:tr w:rsidR="00DD0A96" w:rsidRPr="00B16BC0" w14:paraId="2AA9A333" w14:textId="77777777" w:rsidTr="00F06120">
        <w:trPr>
          <w:trHeight w:val="551"/>
        </w:trPr>
        <w:tc>
          <w:tcPr>
            <w:tcW w:w="5000" w:type="pct"/>
            <w:shd w:val="clear" w:color="auto" w:fill="DAEDF3"/>
          </w:tcPr>
          <w:p w14:paraId="0DCDC921" w14:textId="77777777" w:rsidR="00DD0A96" w:rsidRPr="00B16BC0" w:rsidRDefault="00DD0A96" w:rsidP="00D23617">
            <w:pPr>
              <w:pStyle w:val="TableParagraph"/>
              <w:spacing w:before="60" w:after="60"/>
              <w:ind w:left="113" w:right="113"/>
              <w:jc w:val="left"/>
              <w:rPr>
                <w:b/>
                <w:noProof/>
              </w:rPr>
            </w:pPr>
            <w:r>
              <w:rPr>
                <w:b/>
              </w:rPr>
              <w:lastRenderedPageBreak/>
              <w:t>3. Dzīvesvietas adreses pārbaude – divas dzīvesvietas adreses</w:t>
            </w:r>
          </w:p>
        </w:tc>
      </w:tr>
      <w:tr w:rsidR="00DD0A96" w:rsidRPr="00B16BC0" w14:paraId="2C0DA270" w14:textId="77777777" w:rsidTr="00F06120">
        <w:trPr>
          <w:trHeight w:val="2353"/>
        </w:trPr>
        <w:tc>
          <w:tcPr>
            <w:tcW w:w="5000" w:type="pct"/>
          </w:tcPr>
          <w:p w14:paraId="48E6A0F3" w14:textId="77777777" w:rsidR="00DD0A96" w:rsidRPr="00B16BC0" w:rsidRDefault="00DD0A96" w:rsidP="00D23617">
            <w:pPr>
              <w:pStyle w:val="TableParagraph"/>
              <w:spacing w:before="60" w:after="60"/>
              <w:ind w:left="113" w:right="113" w:hanging="1"/>
              <w:rPr>
                <w:b/>
                <w:noProof/>
              </w:rPr>
            </w:pPr>
            <w:r>
              <w:rPr>
                <w:b/>
              </w:rPr>
              <w:t>Vai ir iespējams, ka dzīvesvietas adreses pārbaudē tiek konstatēts, ka konta turētājam ir divas dzīvesvietas adreses?</w:t>
            </w:r>
          </w:p>
          <w:p w14:paraId="52B95C10" w14:textId="77777777" w:rsidR="00DD0A96" w:rsidRPr="00B16BC0" w:rsidRDefault="00DD0A96" w:rsidP="00D23617">
            <w:pPr>
              <w:pStyle w:val="TableParagraph"/>
              <w:spacing w:before="60" w:after="60"/>
              <w:ind w:left="113" w:right="113" w:firstLine="2"/>
              <w:rPr>
                <w:noProof/>
              </w:rPr>
            </w:pPr>
            <w:r>
              <w:t>Jā. Ja ir izpildīti visi nosacījumi dzīvesvietas adreses pārbaudes veikšanai (III panta B punkta 1. apakšpunkts un attiecīgie komentāri), šajā pārbaudē iespējams konstatēt divas adreses. Piemēram, attiecībā uz bankas kontu, ko uztur A valstī, bankai var būt divas adreses, kuras atbilst prasībām, ja B valsts rezidents strādā un pusi sava laika dzīvo B valstī un C valstī. Šādā gadījumā var pieprasīt pašapliecinājumu vai ziņot par kontu visām jurisdikcijām, par kurām jāsniedz ziņojums un kurās atrodas dzīvesvietas adrese.</w:t>
            </w:r>
          </w:p>
        </w:tc>
      </w:tr>
      <w:tr w:rsidR="00DD0A96" w:rsidRPr="00B16BC0" w14:paraId="5D0EBD71" w14:textId="77777777" w:rsidTr="00F06120">
        <w:trPr>
          <w:trHeight w:val="551"/>
        </w:trPr>
        <w:tc>
          <w:tcPr>
            <w:tcW w:w="5000" w:type="pct"/>
            <w:shd w:val="clear" w:color="auto" w:fill="DAEDF3"/>
          </w:tcPr>
          <w:p w14:paraId="221D6740" w14:textId="77777777" w:rsidR="00DD0A96" w:rsidRPr="00B16BC0" w:rsidRDefault="00DD0A96" w:rsidP="00D23617">
            <w:pPr>
              <w:pStyle w:val="TableParagraph"/>
              <w:spacing w:before="60" w:after="60"/>
              <w:ind w:left="113" w:right="113"/>
              <w:jc w:val="left"/>
              <w:rPr>
                <w:b/>
                <w:noProof/>
              </w:rPr>
            </w:pPr>
            <w:r>
              <w:rPr>
                <w:b/>
              </w:rPr>
              <w:t xml:space="preserve">4. </w:t>
            </w:r>
            <w:r>
              <w:rPr>
                <w:b/>
                <w:i/>
                <w:iCs/>
              </w:rPr>
              <w:t>AML/KYC</w:t>
            </w:r>
            <w:r>
              <w:rPr>
                <w:b/>
              </w:rPr>
              <w:t xml:space="preserve"> procedūru izmantošana kontrolējošo personu identificēšanai</w:t>
            </w:r>
          </w:p>
        </w:tc>
      </w:tr>
      <w:tr w:rsidR="00E03D94" w:rsidRPr="00B16BC0" w14:paraId="631B4F98" w14:textId="77777777" w:rsidTr="00F06120">
        <w:trPr>
          <w:trHeight w:val="551"/>
        </w:trPr>
        <w:tc>
          <w:tcPr>
            <w:tcW w:w="5000" w:type="pct"/>
          </w:tcPr>
          <w:p w14:paraId="3357164F" w14:textId="77777777" w:rsidR="00E03D94" w:rsidRPr="00B16BC0" w:rsidRDefault="00E03D94" w:rsidP="00D23617">
            <w:pPr>
              <w:pStyle w:val="TableParagraph"/>
              <w:spacing w:before="60" w:after="60"/>
              <w:ind w:left="113" w:right="113"/>
              <w:rPr>
                <w:b/>
                <w:noProof/>
              </w:rPr>
            </w:pPr>
            <w:r>
              <w:rPr>
                <w:b/>
              </w:rPr>
              <w:t xml:space="preserve">Kādas ir pienācīgas pārbaudes un ziņošanas prasības attiecībā uz iepriekšpastāvējušiem vienību kontiem ar kopējo konta bilanci vai vērtību, kas nepārsniedz 1 000 000 USD, ja finanšu iestādes rīcībā ir informācija par kontrolējošo personu vārdiem, bet nav citas informācijas, jo piemērojamās </w:t>
            </w:r>
            <w:r>
              <w:rPr>
                <w:b/>
                <w:i/>
                <w:iCs/>
              </w:rPr>
              <w:t>AML/KYC</w:t>
            </w:r>
            <w:r>
              <w:rPr>
                <w:b/>
              </w:rPr>
              <w:t xml:space="preserve"> procedūras neparedz pienākumu apkopot šādu informāciju?</w:t>
            </w:r>
          </w:p>
          <w:p w14:paraId="207FD501" w14:textId="2EFFAB05" w:rsidR="00E03D94" w:rsidRPr="00B16BC0" w:rsidRDefault="00E03D94" w:rsidP="00D23617">
            <w:pPr>
              <w:pStyle w:val="TableParagraph"/>
              <w:spacing w:before="60" w:after="60"/>
              <w:ind w:left="113" w:right="113"/>
              <w:jc w:val="left"/>
              <w:rPr>
                <w:b/>
                <w:noProof/>
              </w:rPr>
            </w:pPr>
            <w:r>
              <w:t xml:space="preserve">Standarts nosaka, ka attiecībā uz kontiem ar bilanci vai vērtību, kas nepārsniedz 1 000 000 USD (pēc apkopošanas noteikumu piemērošanas), finanšu iestāde var izmantot regulatīvām vai ar klientu apkalpošanu saistītām vajadzībām, tostarp </w:t>
            </w:r>
            <w:r>
              <w:rPr>
                <w:i/>
                <w:iCs/>
              </w:rPr>
              <w:t>AML/KYC</w:t>
            </w:r>
            <w:r>
              <w:t xml:space="preserve"> procedūrās, apkopoto un glabāto informāciju, lai noteiktu, vai kontrolējošā persona ir persona, par kuru jāsniedz ziņojums (V panta D punkta 2. apakšpunkta c) daļa). Tā kā minētajā piemērā finanšu iestādes rīcībā nav informācijas, kas liecinātu, ka kontrolējošā persona var būt persona, par kuru jāsniedz ziņojums, un tai nav pienākuma glabāt šādu informāciju, tā nevar dokumentēt kontrolējošo personu rezidenci un tai nav pienākuma ziņot par šo personu kā par kontrolējošo personu.</w:t>
            </w:r>
          </w:p>
        </w:tc>
      </w:tr>
      <w:tr w:rsidR="00E03D94" w:rsidRPr="00B16BC0" w14:paraId="30FFB5B7" w14:textId="77777777" w:rsidTr="00F06120">
        <w:trPr>
          <w:trHeight w:val="877"/>
        </w:trPr>
        <w:tc>
          <w:tcPr>
            <w:tcW w:w="5000" w:type="pct"/>
            <w:shd w:val="clear" w:color="auto" w:fill="DAEDF3"/>
          </w:tcPr>
          <w:p w14:paraId="336B288F" w14:textId="77777777" w:rsidR="00E03D94" w:rsidRPr="00B16BC0" w:rsidRDefault="00E03D94" w:rsidP="00D23617">
            <w:pPr>
              <w:pStyle w:val="TableParagraph"/>
              <w:spacing w:before="60" w:after="60"/>
              <w:ind w:left="113" w:right="113"/>
              <w:jc w:val="left"/>
              <w:rPr>
                <w:b/>
                <w:noProof/>
              </w:rPr>
            </w:pPr>
            <w:r>
              <w:rPr>
                <w:b/>
              </w:rPr>
              <w:t>5. Pasīvo nefinanšu vienību kontrolējošo personu identificēšana, ja īpašumtiesību ķēdē iesaistītas finanšu iestādes</w:t>
            </w:r>
          </w:p>
        </w:tc>
      </w:tr>
      <w:tr w:rsidR="00E03D94" w:rsidRPr="00B16BC0" w14:paraId="654313FB" w14:textId="77777777" w:rsidTr="00F06120">
        <w:trPr>
          <w:trHeight w:val="1544"/>
        </w:trPr>
        <w:tc>
          <w:tcPr>
            <w:tcW w:w="5000" w:type="pct"/>
          </w:tcPr>
          <w:p w14:paraId="5CEAF70F" w14:textId="77777777" w:rsidR="00E03D94" w:rsidRPr="00B16BC0" w:rsidRDefault="00E03D94" w:rsidP="00D23617">
            <w:pPr>
              <w:pStyle w:val="TableParagraph"/>
              <w:spacing w:before="60" w:after="60"/>
              <w:ind w:left="113" w:right="113"/>
              <w:rPr>
                <w:b/>
                <w:noProof/>
              </w:rPr>
            </w:pPr>
            <w:r>
              <w:rPr>
                <w:b/>
              </w:rPr>
              <w:t xml:space="preserve">Vai, nosakot pasīvas nefinanšu vienības kontrolējošās personas, finanšu iestāde, kas sniedz ziņojumus, saskaņā ar </w:t>
            </w:r>
            <w:r>
              <w:rPr>
                <w:b/>
                <w:i/>
                <w:iCs/>
              </w:rPr>
              <w:t>CRS</w:t>
            </w:r>
            <w:r>
              <w:rPr>
                <w:b/>
              </w:rPr>
              <w:t xml:space="preserve"> var neidentificēt/nepaziņot šādu kontrolējošo personu, pamatojoties uz to, ka īpašumtiesību ķēdē starp pasīvo nefinanšu vienību un kontrolējošo personu ir iesaistīta finanšu iestāde, kas sniedz ziņojumus?</w:t>
            </w:r>
          </w:p>
          <w:p w14:paraId="3D14E286" w14:textId="77777777" w:rsidR="00E03D94" w:rsidRPr="00B16BC0" w:rsidRDefault="00E03D94" w:rsidP="00D23617">
            <w:pPr>
              <w:pStyle w:val="TableParagraph"/>
              <w:spacing w:before="60" w:after="60"/>
              <w:ind w:left="113" w:right="113"/>
              <w:rPr>
                <w:noProof/>
              </w:rPr>
            </w:pPr>
            <w:r>
              <w:t xml:space="preserve">Nē. Šajā ziņā </w:t>
            </w:r>
            <w:r>
              <w:rPr>
                <w:i/>
                <w:iCs/>
              </w:rPr>
              <w:t>CRS</w:t>
            </w:r>
            <w:r>
              <w:t xml:space="preserve"> noteiktajam starpposma vienību statusam īpašumtiesību ķēdē nav nozīmes.</w:t>
            </w:r>
          </w:p>
        </w:tc>
      </w:tr>
      <w:tr w:rsidR="00E03D94" w:rsidRPr="00B16BC0" w14:paraId="3110B793" w14:textId="77777777" w:rsidTr="00F06120">
        <w:trPr>
          <w:trHeight w:val="551"/>
        </w:trPr>
        <w:tc>
          <w:tcPr>
            <w:tcW w:w="5000" w:type="pct"/>
            <w:shd w:val="clear" w:color="auto" w:fill="DAEDF3"/>
          </w:tcPr>
          <w:p w14:paraId="59627433" w14:textId="77777777" w:rsidR="00E03D94" w:rsidRPr="00B16BC0" w:rsidRDefault="00E03D94" w:rsidP="00D23617">
            <w:pPr>
              <w:pStyle w:val="TableParagraph"/>
              <w:spacing w:before="60" w:after="60"/>
              <w:ind w:left="113" w:right="113"/>
              <w:jc w:val="left"/>
              <w:rPr>
                <w:b/>
                <w:noProof/>
              </w:rPr>
            </w:pPr>
            <w:r>
              <w:rPr>
                <w:b/>
              </w:rPr>
              <w:t xml:space="preserve">6. </w:t>
            </w:r>
            <w:r>
              <w:rPr>
                <w:b/>
                <w:i/>
                <w:iCs/>
              </w:rPr>
              <w:t>AML/KYC</w:t>
            </w:r>
            <w:r>
              <w:rPr>
                <w:b/>
              </w:rPr>
              <w:t xml:space="preserve"> procedūras un pienācīga pārbaude </w:t>
            </w:r>
            <w:r>
              <w:rPr>
                <w:b/>
                <w:i/>
                <w:iCs/>
              </w:rPr>
              <w:t>CRS</w:t>
            </w:r>
            <w:r>
              <w:rPr>
                <w:b/>
              </w:rPr>
              <w:t xml:space="preserve"> izpratnē*</w:t>
            </w:r>
          </w:p>
        </w:tc>
      </w:tr>
      <w:tr w:rsidR="00E03D94" w:rsidRPr="00B16BC0" w14:paraId="05BC7DBD" w14:textId="77777777" w:rsidTr="00CF2EA0">
        <w:trPr>
          <w:trHeight w:val="551"/>
        </w:trPr>
        <w:tc>
          <w:tcPr>
            <w:tcW w:w="5000" w:type="pct"/>
            <w:tcBorders>
              <w:bottom w:val="single" w:sz="6" w:space="0" w:color="000000"/>
            </w:tcBorders>
            <w:shd w:val="clear" w:color="auto" w:fill="DAEDF3"/>
          </w:tcPr>
          <w:p w14:paraId="695F3D38" w14:textId="77777777" w:rsidR="00E03D94" w:rsidRPr="00B16BC0" w:rsidRDefault="00E03D94" w:rsidP="00D23617">
            <w:pPr>
              <w:pStyle w:val="TableParagraph"/>
              <w:spacing w:before="60" w:after="60"/>
              <w:ind w:left="113" w:right="113"/>
              <w:jc w:val="left"/>
              <w:rPr>
                <w:b/>
                <w:noProof/>
              </w:rPr>
            </w:pPr>
            <w:r>
              <w:rPr>
                <w:b/>
              </w:rPr>
              <w:t>7. Finanšu iestāžu pienākumi attiecībā uz nodokļu rezidences noteikšanu</w:t>
            </w:r>
          </w:p>
        </w:tc>
      </w:tr>
      <w:tr w:rsidR="00E03D94" w:rsidRPr="00B16BC0" w14:paraId="4D25AF36" w14:textId="77777777" w:rsidTr="00CF2EA0">
        <w:tc>
          <w:tcPr>
            <w:tcW w:w="0" w:type="auto"/>
            <w:tcBorders>
              <w:bottom w:val="single" w:sz="4" w:space="0" w:color="auto"/>
            </w:tcBorders>
          </w:tcPr>
          <w:p w14:paraId="2B3080D2" w14:textId="77777777" w:rsidR="00E03D94" w:rsidRPr="00B16BC0" w:rsidRDefault="00E03D94" w:rsidP="00D23617">
            <w:pPr>
              <w:pStyle w:val="TableParagraph"/>
              <w:spacing w:before="60" w:after="60"/>
              <w:ind w:left="113" w:right="113" w:hanging="1"/>
              <w:rPr>
                <w:b/>
                <w:noProof/>
              </w:rPr>
            </w:pPr>
            <w:r>
              <w:rPr>
                <w:b/>
              </w:rPr>
              <w:t>Kādus pienākumus Standarts uzliek finanšu iestādei attiecībā uz tās klientu nodokļu rezidences noteikšanu saistībā ar jaunu kontu procedūrām?</w:t>
            </w:r>
          </w:p>
          <w:p w14:paraId="7ECAC4DD" w14:textId="77777777" w:rsidR="00E03D94" w:rsidRPr="00B16BC0" w:rsidRDefault="00E03D94" w:rsidP="00D23617">
            <w:pPr>
              <w:pStyle w:val="TableParagraph"/>
              <w:spacing w:before="60" w:after="60"/>
              <w:ind w:left="113" w:right="113" w:hanging="1"/>
              <w:rPr>
                <w:noProof/>
              </w:rPr>
            </w:pPr>
            <w:r>
              <w:t xml:space="preserve">Finanšu iestādei nav pienākuma sniegt klientiem nodokļu konsultācijas vai veikt juridisku analīzi, lai pārliecinātos par pašapliecinājuma pamatotību. Saskaņā ar Standartu finanšu iestāde attiecībā uz jauniem kontiem var paļauties uz klienta pašapliecinājumu, ja vien tai nav zināms vai nav pamata zināt, ka pašapliecinājums ir nepareizs vai neuzticams (t. i., “pamatotības” pārbaude), un tam jābūt balstītam uz informāciju, kas iegūta saistībā ar konta atvēršanu, tostarp jebkuru dokumentāciju, kura iegūta </w:t>
            </w:r>
            <w:r>
              <w:rPr>
                <w:i/>
                <w:iCs/>
              </w:rPr>
              <w:t>AML/KYC</w:t>
            </w:r>
            <w:r>
              <w:t xml:space="preserve"> procedūrās. Standartā sniegti piemēri par pamatotības pārbaužu piemērošanu (IV panta A punkts un attiecīgie komentāri).</w:t>
            </w:r>
          </w:p>
          <w:p w14:paraId="43EF448D" w14:textId="77777777" w:rsidR="00E03D94" w:rsidRPr="00B16BC0" w:rsidRDefault="00E03D94" w:rsidP="00D23617">
            <w:pPr>
              <w:pStyle w:val="TableParagraph"/>
              <w:spacing w:before="60" w:after="60"/>
              <w:ind w:left="113" w:right="113" w:hanging="2"/>
              <w:rPr>
                <w:noProof/>
              </w:rPr>
            </w:pPr>
            <w:r>
              <w:t xml:space="preserve">Standartā arī noteikts, ka iesaistītajām jurisdikcijām ir jāpalīdz nodokļu maksātājiem noteikt viņu rezidenci(-es) nodokļu aprēķina vajadzībām un šajā saistībā jāsniedz viņiem informācija (komentāru par IV pantu 6. punkts un komentāru par VI pantu 9. punkts). </w:t>
            </w:r>
            <w:r>
              <w:rPr>
                <w:i/>
                <w:iCs/>
              </w:rPr>
              <w:t>OECD</w:t>
            </w:r>
            <w:r>
              <w:t xml:space="preserve"> veicina šo procesu, centralizēti izplatot attiecīgo informāciju (informācijas automātiskās apmaiņas portālā). Finanšu iestādes arī var norādīt klientiem, kur šī informācija ir pieejama.</w:t>
            </w:r>
          </w:p>
        </w:tc>
      </w:tr>
    </w:tbl>
    <w:p w14:paraId="39BF8A3A" w14:textId="77777777" w:rsidR="00DD0A96" w:rsidRPr="00B16BC0" w:rsidRDefault="00DD0A96" w:rsidP="00D23617">
      <w:pPr>
        <w:pStyle w:val="TableParagraph"/>
        <w:spacing w:before="60" w:after="60"/>
        <w:rPr>
          <w:noProof/>
        </w:rPr>
        <w:sectPr w:rsidR="00DD0A96" w:rsidRPr="00B16BC0" w:rsidSect="0073510E">
          <w:type w:val="continuous"/>
          <w:pgSz w:w="11907" w:h="16840" w:code="9"/>
          <w:pgMar w:top="1134" w:right="1134" w:bottom="1134" w:left="1701" w:header="567" w:footer="567" w:gutter="0"/>
          <w:cols w:space="720"/>
          <w:titlePg/>
        </w:sect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9088"/>
      </w:tblGrid>
      <w:tr w:rsidR="00DD0A96" w:rsidRPr="00B16BC0" w14:paraId="3CC95980" w14:textId="77777777" w:rsidTr="00D23617">
        <w:tc>
          <w:tcPr>
            <w:tcW w:w="0" w:type="auto"/>
            <w:shd w:val="clear" w:color="auto" w:fill="DAEDF3"/>
          </w:tcPr>
          <w:p w14:paraId="5976C751" w14:textId="77777777" w:rsidR="00DD0A96" w:rsidRPr="00B16BC0" w:rsidRDefault="00DD0A96" w:rsidP="00D23617">
            <w:pPr>
              <w:pStyle w:val="TableParagraph"/>
              <w:spacing w:before="60" w:after="60"/>
              <w:jc w:val="left"/>
              <w:rPr>
                <w:b/>
                <w:noProof/>
              </w:rPr>
            </w:pPr>
            <w:r>
              <w:rPr>
                <w:b/>
              </w:rPr>
              <w:lastRenderedPageBreak/>
              <w:t>8. Nodokļu maksātāja identifikācijas numuru validēšana*</w:t>
            </w:r>
          </w:p>
        </w:tc>
      </w:tr>
      <w:tr w:rsidR="00DD0A96" w:rsidRPr="00B16BC0" w14:paraId="7C37A11D" w14:textId="77777777" w:rsidTr="00D23617">
        <w:tc>
          <w:tcPr>
            <w:tcW w:w="0" w:type="auto"/>
            <w:shd w:val="clear" w:color="auto" w:fill="DAEDF3"/>
          </w:tcPr>
          <w:p w14:paraId="137B4CA2" w14:textId="77777777" w:rsidR="00DD0A96" w:rsidRPr="00B16BC0" w:rsidRDefault="00DD0A96" w:rsidP="00D23617">
            <w:pPr>
              <w:pStyle w:val="TableParagraph"/>
              <w:spacing w:before="60" w:after="60"/>
              <w:jc w:val="left"/>
              <w:rPr>
                <w:b/>
                <w:noProof/>
              </w:rPr>
            </w:pPr>
            <w:r>
              <w:rPr>
                <w:b/>
              </w:rPr>
              <w:t>9. Pašapliecinājums – jēdziena “nepārprotami apstiprināts” nozīme*</w:t>
            </w:r>
          </w:p>
        </w:tc>
      </w:tr>
      <w:tr w:rsidR="00DD0A96" w:rsidRPr="00B16BC0" w14:paraId="3BBD293C" w14:textId="77777777" w:rsidTr="00D23617">
        <w:tc>
          <w:tcPr>
            <w:tcW w:w="0" w:type="auto"/>
            <w:shd w:val="clear" w:color="auto" w:fill="DAEDF3"/>
          </w:tcPr>
          <w:p w14:paraId="7D2CD390" w14:textId="77777777" w:rsidR="00DD0A96" w:rsidRPr="00B16BC0" w:rsidRDefault="00DD0A96" w:rsidP="00D23617">
            <w:pPr>
              <w:pStyle w:val="TableParagraph"/>
              <w:spacing w:before="60" w:after="60"/>
              <w:jc w:val="left"/>
              <w:rPr>
                <w:b/>
                <w:noProof/>
              </w:rPr>
            </w:pPr>
            <w:r>
              <w:rPr>
                <w:b/>
              </w:rPr>
              <w:t>10. Mutisks pašapliecinājums</w:t>
            </w:r>
          </w:p>
        </w:tc>
      </w:tr>
      <w:tr w:rsidR="00E03D94" w:rsidRPr="00B16BC0" w14:paraId="534FD6E4" w14:textId="77777777" w:rsidTr="00D23617">
        <w:tc>
          <w:tcPr>
            <w:tcW w:w="0" w:type="auto"/>
          </w:tcPr>
          <w:p w14:paraId="38F3D16E" w14:textId="77777777" w:rsidR="00E03D94" w:rsidRPr="00B16BC0" w:rsidRDefault="00E03D94" w:rsidP="00D23617">
            <w:pPr>
              <w:pStyle w:val="TableParagraph"/>
              <w:spacing w:before="60" w:after="60"/>
              <w:ind w:left="113" w:right="113" w:hanging="1"/>
              <w:rPr>
                <w:b/>
                <w:noProof/>
              </w:rPr>
            </w:pPr>
            <w:r>
              <w:rPr>
                <w:b/>
              </w:rPr>
              <w:t>Vai saskaņā ar Standartu pašapliecinājumam nepieciešamo informāciju konta atvēršanas brīdī atļauts iegūt mutiski?</w:t>
            </w:r>
          </w:p>
          <w:p w14:paraId="541F6418" w14:textId="7CB63250" w:rsidR="00E03D94" w:rsidRPr="00B16BC0" w:rsidRDefault="00E03D94" w:rsidP="00D23617">
            <w:pPr>
              <w:pStyle w:val="TableParagraph"/>
              <w:spacing w:before="60" w:after="60"/>
              <w:ind w:left="113" w:right="113"/>
              <w:rPr>
                <w:b/>
                <w:noProof/>
              </w:rPr>
            </w:pPr>
            <w:r>
              <w:t>Pašapliecinājumu var sniegt jebkādā veidā un formā (skat., piemēram, komentāru par IV pantu 9. punktu). Līdz ar to, ja pašapliecinājums ietver visu nepieciešamo informāciju (skat., piemēram, komentāru par IV pantu 7. punktu) un klients pašapliecinājumu ir parakstījis vai nepārprotami apstiprinājis, finanšu iestāde var mutiski iegūt informāciju, kas nepieciešama pašapliecinājuma aizpildīšanai vai pašapliecinājuma iegūšanai citā veidā. Paredzēts, ka pieeja, kuru finanšu iestāde izmanto, lai iegūtu pašapliecinājumu, saskan ar procedūrām, ko finanšu iestāde izmanto konta atvēršanai. Finanšu iestādei ir jāsaglabā ne tikai pats pašapliecinājums, bet jāuztur arī šā procesa pieraksts audita vajadzībām.</w:t>
            </w:r>
          </w:p>
        </w:tc>
      </w:tr>
      <w:tr w:rsidR="00DD0A96" w:rsidRPr="00B16BC0" w14:paraId="20221068" w14:textId="77777777" w:rsidTr="00D23617">
        <w:tc>
          <w:tcPr>
            <w:tcW w:w="0" w:type="auto"/>
            <w:shd w:val="clear" w:color="auto" w:fill="DAEDF3"/>
          </w:tcPr>
          <w:p w14:paraId="4D430BA1" w14:textId="6B7E7E41" w:rsidR="00D23617" w:rsidRPr="00B16BC0" w:rsidRDefault="00DD0A96" w:rsidP="00D23617">
            <w:pPr>
              <w:pStyle w:val="TableParagraph"/>
              <w:spacing w:before="60" w:after="60"/>
              <w:ind w:left="113" w:right="113"/>
              <w:rPr>
                <w:b/>
              </w:rPr>
            </w:pPr>
            <w:r>
              <w:rPr>
                <w:b/>
              </w:rPr>
              <w:t>11. Pašapliecinājums ar atbildēm “jā” vai “nē”</w:t>
            </w:r>
          </w:p>
        </w:tc>
      </w:tr>
      <w:tr w:rsidR="00DD0A96" w:rsidRPr="00B16BC0" w14:paraId="69AD38B1" w14:textId="77777777" w:rsidTr="00697579">
        <w:trPr>
          <w:trHeight w:val="2652"/>
        </w:trPr>
        <w:tc>
          <w:tcPr>
            <w:tcW w:w="0" w:type="auto"/>
          </w:tcPr>
          <w:p w14:paraId="55DC355B" w14:textId="77777777" w:rsidR="00DD0A96" w:rsidRPr="00B16BC0" w:rsidRDefault="00DD0A96" w:rsidP="00D23617">
            <w:pPr>
              <w:pStyle w:val="TableParagraph"/>
              <w:spacing w:before="60" w:after="60"/>
              <w:ind w:left="113" w:right="113"/>
              <w:rPr>
                <w:b/>
                <w:noProof/>
              </w:rPr>
            </w:pPr>
            <w:r>
              <w:rPr>
                <w:b/>
              </w:rPr>
              <w:t>Vai saskaņā ar Standartu pašapliecinājumā uz jautājumiem par nodokļu rezidenci drīkst sniegt atbildes “jā” vai “nē”?</w:t>
            </w:r>
          </w:p>
          <w:p w14:paraId="7BF7BA26" w14:textId="77777777" w:rsidR="00DD0A96" w:rsidRPr="00B16BC0" w:rsidRDefault="00DD0A96" w:rsidP="00D23617">
            <w:pPr>
              <w:pStyle w:val="TableParagraph"/>
              <w:spacing w:before="60" w:after="60"/>
              <w:ind w:left="113" w:right="113"/>
              <w:rPr>
                <w:noProof/>
              </w:rPr>
            </w:pPr>
            <w:r>
              <w:t>Jā. Pašapliecinājumu var aizpildīt, izmantojot atbildes “jā” vai “nē”, lai reģistrētu klienta nodokļu rezidences jurisdikciju(-as), nevis pieprasot klientam pašam aizpildīt brīvo teksta lauku. Standarts nenosaka, kā apkopojama informācija par nodokļu rezidences jurisdikciju(-ām), taču tas paredz, ka informācija par nodokļu rezidenci nedrīkst būt iepriekš aizpildīta (skat. komentāru par IV pantu 7. un 8. punktu). Piemēram, aizpildot pašapliecinājumu, klientam var uzdot jautājumu, vai jurisdikcija, kurā klients atver kontu, ir konta turētāja vienīgā nodokļu rezidence, savukārt papildu jautājumus var uzdot tikai tad, ja saņemtā atbilde ir noliedzoša.</w:t>
            </w:r>
          </w:p>
        </w:tc>
      </w:tr>
      <w:tr w:rsidR="00DD0A96" w:rsidRPr="00B16BC0" w14:paraId="7609F6F3" w14:textId="77777777" w:rsidTr="00D23617">
        <w:trPr>
          <w:trHeight w:val="523"/>
        </w:trPr>
        <w:tc>
          <w:tcPr>
            <w:tcW w:w="0" w:type="auto"/>
            <w:shd w:val="clear" w:color="auto" w:fill="DAEDF3"/>
          </w:tcPr>
          <w:p w14:paraId="3564C5ED" w14:textId="77777777" w:rsidR="00DD0A96" w:rsidRPr="00B16BC0" w:rsidRDefault="00DD0A96" w:rsidP="00D23617">
            <w:pPr>
              <w:pStyle w:val="TableParagraph"/>
              <w:spacing w:before="60" w:after="60"/>
              <w:ind w:left="113" w:right="113"/>
              <w:rPr>
                <w:b/>
                <w:noProof/>
              </w:rPr>
            </w:pPr>
            <w:r>
              <w:rPr>
                <w:b/>
              </w:rPr>
              <w:t>12. Pašapliecinājuma sniegšana, pamatojoties uz pilnvaru</w:t>
            </w:r>
          </w:p>
        </w:tc>
      </w:tr>
      <w:tr w:rsidR="00DD0A96" w:rsidRPr="00B16BC0" w14:paraId="77C2CBED" w14:textId="77777777" w:rsidTr="00D23617">
        <w:trPr>
          <w:trHeight w:val="1394"/>
        </w:trPr>
        <w:tc>
          <w:tcPr>
            <w:tcW w:w="0" w:type="auto"/>
          </w:tcPr>
          <w:p w14:paraId="7753D105" w14:textId="77777777" w:rsidR="00DD0A96" w:rsidRPr="00B16BC0" w:rsidRDefault="00DD0A96" w:rsidP="00D23617">
            <w:pPr>
              <w:pStyle w:val="TableParagraph"/>
              <w:spacing w:before="60" w:after="60"/>
              <w:ind w:left="113" w:right="113" w:firstLine="1"/>
              <w:rPr>
                <w:b/>
                <w:noProof/>
              </w:rPr>
            </w:pPr>
            <w:r>
              <w:rPr>
                <w:b/>
              </w:rPr>
              <w:t>Vai saskaņā ar Standartu pašapliecinājumu var sniegt trešā persona, pamatojoties uz pilnvaru?</w:t>
            </w:r>
          </w:p>
          <w:p w14:paraId="658699AF" w14:textId="77777777" w:rsidR="00DD0A96" w:rsidRPr="00B16BC0" w:rsidRDefault="00DD0A96" w:rsidP="00D23617">
            <w:pPr>
              <w:pStyle w:val="TableParagraph"/>
              <w:spacing w:before="60" w:after="60"/>
              <w:ind w:left="113" w:right="113" w:firstLine="1"/>
              <w:rPr>
                <w:noProof/>
              </w:rPr>
            </w:pPr>
            <w:r>
              <w:t>Ja konta turētājs ir pilnvarojis citu personu viņu likumīgi pārstāvēt un pieņemt lēmumus viņa vārdā, piemēram, pamatojoties uz pilnvaru, šī pilnvarotā persona var sniegt pašapliecinājumu.</w:t>
            </w:r>
          </w:p>
        </w:tc>
      </w:tr>
      <w:tr w:rsidR="00DD0A96" w:rsidRPr="00B16BC0" w14:paraId="7B771A45" w14:textId="77777777" w:rsidTr="00697579">
        <w:trPr>
          <w:trHeight w:val="450"/>
        </w:trPr>
        <w:tc>
          <w:tcPr>
            <w:tcW w:w="0" w:type="auto"/>
            <w:tcBorders>
              <w:bottom w:val="single" w:sz="6" w:space="0" w:color="000000"/>
            </w:tcBorders>
            <w:shd w:val="clear" w:color="auto" w:fill="DAEDF3"/>
          </w:tcPr>
          <w:p w14:paraId="07163EE2" w14:textId="77777777" w:rsidR="00DD0A96" w:rsidRPr="00B16BC0" w:rsidRDefault="00DD0A96" w:rsidP="00D23617">
            <w:pPr>
              <w:pStyle w:val="TableParagraph"/>
              <w:spacing w:before="60" w:after="60"/>
              <w:ind w:left="113" w:right="113"/>
              <w:rPr>
                <w:b/>
                <w:noProof/>
              </w:rPr>
            </w:pPr>
            <w:r>
              <w:rPr>
                <w:b/>
              </w:rPr>
              <w:t>13. Pamats zināt</w:t>
            </w:r>
          </w:p>
        </w:tc>
      </w:tr>
      <w:tr w:rsidR="00DD0A96" w:rsidRPr="00B16BC0" w14:paraId="3EB63797" w14:textId="77777777" w:rsidTr="00D23617">
        <w:tc>
          <w:tcPr>
            <w:tcW w:w="0" w:type="auto"/>
            <w:tcBorders>
              <w:bottom w:val="nil"/>
            </w:tcBorders>
          </w:tcPr>
          <w:p w14:paraId="2337D5C9" w14:textId="77777777" w:rsidR="00DD0A96" w:rsidRPr="00B16BC0" w:rsidRDefault="00DD0A96" w:rsidP="00D23617">
            <w:pPr>
              <w:pStyle w:val="TableParagraph"/>
              <w:spacing w:before="60" w:after="60"/>
              <w:ind w:left="113" w:right="113"/>
              <w:rPr>
                <w:b/>
                <w:noProof/>
              </w:rPr>
            </w:pPr>
            <w:r>
              <w:rPr>
                <w:b/>
              </w:rPr>
              <w:t>Vai pašapliecinājumā jāiekļauj formulējums, kas uzliek konta turētājam par pienākumu informēt finanšu iestādi, kas sniedz ziņojumus, par izmaiņām informācijā, kuras ietekmē konta turētāja statusu?</w:t>
            </w:r>
          </w:p>
          <w:p w14:paraId="3011384B" w14:textId="77777777" w:rsidR="00DD0A96" w:rsidRPr="00B16BC0" w:rsidRDefault="00DD0A96" w:rsidP="00D23617">
            <w:pPr>
              <w:pStyle w:val="TableParagraph"/>
              <w:spacing w:before="60" w:after="60"/>
              <w:ind w:left="113" w:right="113"/>
              <w:rPr>
                <w:noProof/>
              </w:rPr>
            </w:pPr>
            <w:r>
              <w:t>Lai gan Standarts neietver šādu prasību, finanšu iestāde, kas sniedz ziņojumus, var (vai tai saskaņā ar konkrētās jurisdikcijas tiesību aktiem var būt pienākums) iekļaut šādu formulējumu kontu turētāju sniegtajos pašapliecinājumos, ja tas var mazināt slogu finanšu iestādei, kas sniedz ziņojumus, veicot pamatotības pārbaudi. Saskaņā ar pamatotības pārbaudi finanšu iestāde, kas sniedz ziņojumus, nevar paļauties uz pašapliecinājumu, ja tā zina vai tai ir pamats zināt, ka pašapliecinājums ir nepareizs vai neuzticams (komentāru par VII pantu 2.–3. punkts).</w:t>
            </w:r>
          </w:p>
          <w:p w14:paraId="1FA95889" w14:textId="77777777" w:rsidR="00DD0A96" w:rsidRPr="00B16BC0" w:rsidRDefault="00DD0A96" w:rsidP="00D23617">
            <w:pPr>
              <w:pStyle w:val="TableParagraph"/>
              <w:spacing w:before="60" w:after="60"/>
              <w:ind w:left="113" w:right="113"/>
              <w:rPr>
                <w:noProof/>
              </w:rPr>
            </w:pPr>
            <w:r>
              <w:t xml:space="preserve">Jurisdikcijas arī var apsvērt iespēju savos </w:t>
            </w:r>
            <w:r>
              <w:rPr>
                <w:i/>
                <w:iCs/>
              </w:rPr>
              <w:t>CRS</w:t>
            </w:r>
            <w:r>
              <w:t xml:space="preserve"> īstenošanas tiesību aktos noteikt konta turētājiem pienākumu sniegt pašapliecinājumu finanšu iestādei, kas sniedz ziņojumus, un informēt to par izmaiņām pašapliecinājumā ietvertajā informācijā, kas ietekmē to statusu saskaņā ar </w:t>
            </w:r>
            <w:r>
              <w:rPr>
                <w:i/>
                <w:iCs/>
              </w:rPr>
              <w:t>CRS</w:t>
            </w:r>
            <w:r>
              <w:t>.</w:t>
            </w:r>
          </w:p>
        </w:tc>
      </w:tr>
    </w:tbl>
    <w:p w14:paraId="6F7F820E" w14:textId="77777777" w:rsidR="00DD0A96" w:rsidRPr="00B16BC0" w:rsidRDefault="00DD0A96" w:rsidP="00D23617">
      <w:pPr>
        <w:pStyle w:val="TableParagraph"/>
        <w:spacing w:before="60" w:after="60"/>
        <w:rPr>
          <w:noProof/>
        </w:rPr>
        <w:sectPr w:rsidR="00DD0A96" w:rsidRPr="00B16BC0" w:rsidSect="0073510E">
          <w:type w:val="continuous"/>
          <w:pgSz w:w="11907" w:h="16840" w:code="9"/>
          <w:pgMar w:top="1134" w:right="1134" w:bottom="1134" w:left="1701" w:header="567" w:footer="567" w:gutter="0"/>
          <w:cols w:space="720"/>
          <w:titlePg/>
        </w:sect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9088"/>
      </w:tblGrid>
      <w:tr w:rsidR="00DD0A96" w:rsidRPr="00B16BC0" w14:paraId="57FC9FAA" w14:textId="77777777" w:rsidTr="00D23617">
        <w:tc>
          <w:tcPr>
            <w:tcW w:w="0" w:type="auto"/>
            <w:shd w:val="clear" w:color="auto" w:fill="DAEDF3"/>
          </w:tcPr>
          <w:p w14:paraId="09AD4A00" w14:textId="77777777" w:rsidR="00DD0A96" w:rsidRPr="00B16BC0" w:rsidRDefault="00DD0A96" w:rsidP="00D23617">
            <w:pPr>
              <w:pStyle w:val="TableParagraph"/>
              <w:spacing w:before="60" w:after="60"/>
              <w:ind w:left="113" w:right="113"/>
              <w:jc w:val="left"/>
              <w:rPr>
                <w:b/>
                <w:noProof/>
              </w:rPr>
            </w:pPr>
            <w:r>
              <w:rPr>
                <w:b/>
              </w:rPr>
              <w:t>14. Iepriekšpastāvējušu kontu turētāju jaunie konti</w:t>
            </w:r>
          </w:p>
        </w:tc>
      </w:tr>
      <w:tr w:rsidR="00542E9B" w:rsidRPr="00B16BC0" w14:paraId="2B5AB89A" w14:textId="77777777" w:rsidTr="00697579">
        <w:tc>
          <w:tcPr>
            <w:tcW w:w="0" w:type="auto"/>
          </w:tcPr>
          <w:p w14:paraId="5268C350" w14:textId="77777777" w:rsidR="00542E9B" w:rsidRDefault="00542E9B" w:rsidP="00D23617">
            <w:pPr>
              <w:pStyle w:val="TableParagraph"/>
              <w:spacing w:before="60" w:after="60"/>
              <w:ind w:left="113" w:right="113" w:firstLine="1"/>
              <w:rPr>
                <w:b/>
              </w:rPr>
            </w:pPr>
            <w:r>
              <w:rPr>
                <w:b/>
              </w:rPr>
              <w:t xml:space="preserve">Cik plaši interpretējama prasība, ka finanšu konta atvēršanai konta turētājam nav jāsniedz jauna, papildu vai grozīta klienta informācija, izņemot </w:t>
            </w:r>
            <w:r>
              <w:rPr>
                <w:b/>
                <w:i/>
                <w:iCs/>
              </w:rPr>
              <w:t>CRS</w:t>
            </w:r>
            <w:r>
              <w:rPr>
                <w:b/>
              </w:rPr>
              <w:t xml:space="preserve"> vajadzībām, lai noteiktus iepriekšpastāvējuša klienta jaunos kontus varētu uzskatīt par iepriekšpastāvējušiem kontiem?</w:t>
            </w:r>
          </w:p>
          <w:p w14:paraId="7161363A" w14:textId="77777777" w:rsidR="00697579" w:rsidRPr="00B16BC0" w:rsidRDefault="00697579" w:rsidP="00D23617">
            <w:pPr>
              <w:pStyle w:val="TableParagraph"/>
              <w:spacing w:before="60" w:after="60"/>
              <w:ind w:left="113" w:right="113" w:firstLine="1"/>
              <w:rPr>
                <w:b/>
                <w:noProof/>
              </w:rPr>
            </w:pPr>
          </w:p>
          <w:p w14:paraId="46AB0E91" w14:textId="1819A5F6" w:rsidR="00542E9B" w:rsidRPr="00B16BC0" w:rsidRDefault="00542E9B" w:rsidP="00D23617">
            <w:pPr>
              <w:pStyle w:val="TableParagraph"/>
              <w:spacing w:before="60" w:after="60"/>
              <w:ind w:left="113" w:right="113"/>
              <w:rPr>
                <w:b/>
                <w:noProof/>
              </w:rPr>
            </w:pPr>
            <w:r>
              <w:lastRenderedPageBreak/>
              <w:t xml:space="preserve">Komentāros norādīts, ka attiecīgā jurisdikcija var atļaut finanšu iestādēm, kas sniedz ziņojumus, uzskatīt jaunu kontu, ko atvēris konta turētājs, kuram jau ir konts finanšu iestādē, kas sniedz ziņojumus (vai saistītajā vienībā tajā pašā jurisdikcijā, kurā atrodas finanšu iestāde, kas sniedz ziņojumus), par iepriekšpastāvējušu kontu, ja ir izpildīti konkrēti nosacījumi. Viens no šādiem nosacījumiem ir tāds, ka finanšu konta atvēršanai konta turētajam nav jāsniedz jauna, papildu vai grozīta klienta informācija, izņemot informāciju, kas nepieciešama </w:t>
            </w:r>
            <w:r>
              <w:rPr>
                <w:i/>
                <w:iCs/>
              </w:rPr>
              <w:t>CRS</w:t>
            </w:r>
            <w:r>
              <w:t xml:space="preserve"> vajadzībām (skat. komentāru par VIII pantu 82. punktu). Šis nosacījums interpretējams tā, ka tas ietver visus gadījumus, kuros konta turētājam ir jāsniedz finanšu iestādei, kas sniedz ziņojumus, jauna, papildu vai grozīta klienta informācija (saskaņā ar juridisku, normatīvu, līgumisku, ar darbību saistītu vai kādu citu prasību), lai atvērtu kontu. Šā nosacījuma pamatā ir tas, ka šādos gadījumos līdz ar konta atvēršanu iespējams iegūt pašapliecinājumu kopā ar jaunu, papildu vai grozītu klienta informāciju.</w:t>
            </w:r>
          </w:p>
        </w:tc>
      </w:tr>
      <w:tr w:rsidR="00DD0A96" w:rsidRPr="00B16BC0" w14:paraId="59377A3A" w14:textId="77777777" w:rsidTr="00D23617">
        <w:tc>
          <w:tcPr>
            <w:tcW w:w="0" w:type="auto"/>
            <w:shd w:val="clear" w:color="auto" w:fill="DAEDF3"/>
          </w:tcPr>
          <w:p w14:paraId="7760D77B" w14:textId="77777777" w:rsidR="00DD0A96" w:rsidRPr="00B16BC0" w:rsidRDefault="00DD0A96" w:rsidP="00D23617">
            <w:pPr>
              <w:pStyle w:val="TableParagraph"/>
              <w:spacing w:before="60" w:after="60"/>
              <w:ind w:left="113" w:right="113"/>
              <w:jc w:val="left"/>
              <w:rPr>
                <w:b/>
                <w:noProof/>
              </w:rPr>
            </w:pPr>
            <w:r>
              <w:rPr>
                <w:b/>
              </w:rPr>
              <w:lastRenderedPageBreak/>
              <w:t>15. Klientu apkalpošanas speciālista zināšanu pārbaude</w:t>
            </w:r>
          </w:p>
        </w:tc>
      </w:tr>
      <w:tr w:rsidR="00DD0A96" w:rsidRPr="00B16BC0" w14:paraId="6D549E6F" w14:textId="77777777" w:rsidTr="00697579">
        <w:trPr>
          <w:trHeight w:val="3119"/>
        </w:trPr>
        <w:tc>
          <w:tcPr>
            <w:tcW w:w="0" w:type="auto"/>
          </w:tcPr>
          <w:p w14:paraId="4058D651" w14:textId="77777777" w:rsidR="00DD0A96" w:rsidRPr="00B16BC0" w:rsidRDefault="00DD0A96" w:rsidP="00D23617">
            <w:pPr>
              <w:pStyle w:val="TableParagraph"/>
              <w:spacing w:before="60" w:after="60"/>
              <w:ind w:left="113" w:right="113" w:firstLine="1"/>
              <w:rPr>
                <w:b/>
                <w:noProof/>
              </w:rPr>
            </w:pPr>
            <w:r>
              <w:rPr>
                <w:b/>
              </w:rPr>
              <w:t>Kā praksē var īstenot Standartā paredzēto klientu apkalpošanas speciālistam piemērojamo zināšanu pārbaudes standartu?</w:t>
            </w:r>
          </w:p>
          <w:p w14:paraId="2B22B3B3" w14:textId="77777777" w:rsidR="00DD0A96" w:rsidRPr="00B16BC0" w:rsidRDefault="00DD0A96" w:rsidP="00D23617">
            <w:pPr>
              <w:pStyle w:val="TableParagraph"/>
              <w:spacing w:before="60" w:after="60"/>
              <w:ind w:left="113" w:right="113" w:firstLine="1"/>
              <w:rPr>
                <w:noProof/>
              </w:rPr>
            </w:pPr>
            <w:r>
              <w:t>Klientu apkalpošanas speciālistam piemērojamo zināšanu pārbaudes standartu (skat., piemēram, III panta C punkta 4. apakšpunktu un attiecīgos komentārus) praksē var īstenot, finanšu iestādei regulāri (piemēram, reizi gadā) sniedzot norādījumus un nodrošinot mācības visiem tās darbiniekiem, kas Standarta izpratnē uzskatāmi par klientu apkalpošanas speciālistiem (komentāru par III pantu C punkta 4. apakšpunkta 38.–42. punkts). Finanšu iestāde arī var apkopot katra klientu apkalpošanas speciālista sniegto atbildi, kurā viņi norāda, ka ir informēti par saviem pienākumiem un kārtību, kādā ziņot par jebkuru iemeslu, lai uzskatītu, ka konta turētājs, kuru viņi apkalpo, ir persona, par kuru jāsniedz ziņojums. Pēc tam finanšu iestāde var centralizēti apstrādāt šo informāciju atbilstoši Standarta prasībām.</w:t>
            </w:r>
          </w:p>
        </w:tc>
      </w:tr>
      <w:tr w:rsidR="00DD0A96" w:rsidRPr="00B16BC0" w14:paraId="0C185F74" w14:textId="77777777" w:rsidTr="00D23617">
        <w:tc>
          <w:tcPr>
            <w:tcW w:w="0" w:type="auto"/>
            <w:shd w:val="clear" w:color="auto" w:fill="DAEDF3"/>
          </w:tcPr>
          <w:p w14:paraId="624F024E" w14:textId="77777777" w:rsidR="00DD0A96" w:rsidRPr="00B16BC0" w:rsidRDefault="00DD0A96" w:rsidP="00D23617">
            <w:pPr>
              <w:pStyle w:val="TableParagraph"/>
              <w:spacing w:before="60" w:after="60"/>
              <w:ind w:left="113" w:right="113"/>
              <w:jc w:val="left"/>
              <w:rPr>
                <w:b/>
                <w:noProof/>
              </w:rPr>
            </w:pPr>
            <w:r>
              <w:rPr>
                <w:b/>
              </w:rPr>
              <w:t>16. Pakalpojumu sniedzēju izmantošana</w:t>
            </w:r>
          </w:p>
        </w:tc>
      </w:tr>
      <w:tr w:rsidR="00DD0A96" w:rsidRPr="00B16BC0" w14:paraId="0582C24A" w14:textId="77777777" w:rsidTr="00D23617">
        <w:tc>
          <w:tcPr>
            <w:tcW w:w="0" w:type="auto"/>
          </w:tcPr>
          <w:p w14:paraId="1E1294F3" w14:textId="77777777" w:rsidR="00DD0A96" w:rsidRPr="00B16BC0" w:rsidRDefault="00DD0A96" w:rsidP="00D23617">
            <w:pPr>
              <w:pStyle w:val="TableParagraph"/>
              <w:spacing w:before="60" w:after="60"/>
              <w:ind w:left="113" w:right="113" w:hanging="1"/>
              <w:rPr>
                <w:b/>
                <w:noProof/>
              </w:rPr>
            </w:pPr>
            <w:r>
              <w:rPr>
                <w:b/>
              </w:rPr>
              <w:t xml:space="preserve">Vai Standarts paredz ierobežojumus pakalpojumu sniedzēju izmantošanai, lai finanšu iestāde, kas sniedz ziņojumus, varētu izpildīt </w:t>
            </w:r>
            <w:r>
              <w:rPr>
                <w:b/>
                <w:i/>
                <w:iCs/>
              </w:rPr>
              <w:t>CRS</w:t>
            </w:r>
            <w:r>
              <w:rPr>
                <w:b/>
              </w:rPr>
              <w:t xml:space="preserve"> noteiktās pienācīgas pārbaudes un/vai ziņošanas prasības?</w:t>
            </w:r>
          </w:p>
          <w:p w14:paraId="49E8DD68" w14:textId="77777777" w:rsidR="00DD0A96" w:rsidRPr="00B16BC0" w:rsidRDefault="00DD0A96" w:rsidP="00D23617">
            <w:pPr>
              <w:pStyle w:val="TableParagraph"/>
              <w:spacing w:before="60" w:after="60"/>
              <w:ind w:left="113" w:right="113"/>
              <w:rPr>
                <w:noProof/>
              </w:rPr>
            </w:pPr>
            <w:r>
              <w:t xml:space="preserve">Jurisdikcija var atļaut finanšu iestādēm, kas sniedz ziņojumus, izmantot pakalpojumu sniedzējus savu ziņošanas un/vai pienācīgas pārbaudes pienākumu izpildei (skat. komentāru par II pantu 6. punktu). Piemēram, Standartā nav noteikts, ka pakalpojumu sniedzējam jāatrodas tajā pašā jurisdikcijā, kurā atrodas finanšu iestāde, kas sniedz ziņojumus, vai ka tam jāsaņem attiecīgās jurisdikcijas atļauja, lai darbotos kā pakalpojumu sniedzējs. Tomēr komentāros norādīts, ka finanšu iestādei, kas sniedz ziņojumus, jāizpilda valsts tiesību aktos noteiktās prasības un jāuzņemas atbildība par savu ziņošanas un pienācīgas pārbaudes pienākumu izpildi (t. i., finanšu iestāde, kas sniedz ziņojumus, ir atbildīga par pakalpojuma sniedzēja darbībām). Lai nodrošinātu efektīvu īstenošanu, jurisdikcijai ir jābūt piekļuvei attiecīgajiem reģistrētajiem datiem un pierādījumiem, uz kuriem finanšu iestāde, kas sniedz ziņojumus, un pakalpojumu sniedzējs ir paļāvušies, īstenojot </w:t>
            </w:r>
            <w:r>
              <w:rPr>
                <w:i/>
                <w:iCs/>
              </w:rPr>
              <w:t>CRS</w:t>
            </w:r>
            <w:r>
              <w:t xml:space="preserve"> noteiktās ziņošanas un/vai pienācīgas pārbaudes procedūras (skat. komentāru par IX pantu 7.–12. punktu).</w:t>
            </w:r>
          </w:p>
        </w:tc>
      </w:tr>
      <w:tr w:rsidR="00DD0A96" w:rsidRPr="00B16BC0" w14:paraId="16E1409D" w14:textId="77777777" w:rsidTr="00D23617">
        <w:tc>
          <w:tcPr>
            <w:tcW w:w="0" w:type="auto"/>
            <w:shd w:val="clear" w:color="auto" w:fill="DAEDF3"/>
          </w:tcPr>
          <w:p w14:paraId="04644CC1" w14:textId="77777777" w:rsidR="00DD0A96" w:rsidRPr="00B16BC0" w:rsidRDefault="00DD0A96" w:rsidP="00D23617">
            <w:pPr>
              <w:pStyle w:val="TableParagraph"/>
              <w:spacing w:before="60" w:after="60"/>
              <w:jc w:val="left"/>
              <w:rPr>
                <w:b/>
                <w:noProof/>
              </w:rPr>
            </w:pPr>
            <w:r>
              <w:rPr>
                <w:b/>
              </w:rPr>
              <w:t xml:space="preserve">17. Vienību </w:t>
            </w:r>
            <w:r>
              <w:rPr>
                <w:b/>
                <w:i/>
                <w:iCs/>
              </w:rPr>
              <w:t>CRS</w:t>
            </w:r>
            <w:r>
              <w:rPr>
                <w:b/>
              </w:rPr>
              <w:t xml:space="preserve"> statusa noteikšana*</w:t>
            </w:r>
          </w:p>
        </w:tc>
      </w:tr>
      <w:tr w:rsidR="00DD0A96" w:rsidRPr="00B16BC0" w14:paraId="5AC1881B" w14:textId="77777777" w:rsidTr="00316B61">
        <w:tc>
          <w:tcPr>
            <w:tcW w:w="0" w:type="auto"/>
            <w:tcBorders>
              <w:bottom w:val="single" w:sz="6" w:space="0" w:color="000000"/>
            </w:tcBorders>
            <w:shd w:val="clear" w:color="auto" w:fill="DAEDF3"/>
          </w:tcPr>
          <w:p w14:paraId="5A7878DC" w14:textId="77777777" w:rsidR="00DD0A96" w:rsidRPr="00B16BC0" w:rsidRDefault="00DD0A96" w:rsidP="00D23617">
            <w:pPr>
              <w:pStyle w:val="TableParagraph"/>
              <w:spacing w:before="60" w:after="60"/>
              <w:jc w:val="left"/>
              <w:rPr>
                <w:b/>
                <w:noProof/>
              </w:rPr>
            </w:pPr>
            <w:r>
              <w:rPr>
                <w:b/>
              </w:rPr>
              <w:t>18. Dzīvesvietas adreses pārbaude – atbildība par nepatiesas informācijas sniegšanu</w:t>
            </w:r>
          </w:p>
        </w:tc>
      </w:tr>
      <w:tr w:rsidR="00DD0A96" w:rsidRPr="00B16BC0" w14:paraId="3E088688" w14:textId="77777777" w:rsidTr="00316B61">
        <w:trPr>
          <w:trHeight w:val="2345"/>
        </w:trPr>
        <w:tc>
          <w:tcPr>
            <w:tcW w:w="0" w:type="auto"/>
            <w:tcBorders>
              <w:bottom w:val="single" w:sz="4" w:space="0" w:color="auto"/>
            </w:tcBorders>
          </w:tcPr>
          <w:p w14:paraId="4D8F5B22" w14:textId="77777777" w:rsidR="00DD0A96" w:rsidRPr="00B16BC0" w:rsidRDefault="00DD0A96" w:rsidP="00D23617">
            <w:pPr>
              <w:pStyle w:val="TableParagraph"/>
              <w:spacing w:before="60" w:after="60"/>
              <w:ind w:hanging="1"/>
              <w:jc w:val="left"/>
              <w:rPr>
                <w:b/>
                <w:noProof/>
              </w:rPr>
            </w:pPr>
            <w:r>
              <w:rPr>
                <w:b/>
              </w:rPr>
              <w:t>Komentāros par III pantu noteikti gadījumi, kuros var veikt dzīvesvietas adreses pārbaudi. 10. punktā minēta deklarācija, kas parakstīta, ja attiecīgās jurisdikcijas tiesību akti paredz atbildību par nepatiesas informācijas sniegšanu. Ko nozīmē “atbildība par nepatiesas informācijas sniegšanu”?</w:t>
            </w:r>
          </w:p>
          <w:p w14:paraId="0FA813B3" w14:textId="77777777" w:rsidR="00DD0A96" w:rsidRPr="00B16BC0" w:rsidRDefault="00DD0A96" w:rsidP="00D23617">
            <w:pPr>
              <w:pStyle w:val="TableParagraph"/>
              <w:spacing w:before="60" w:after="60"/>
              <w:ind w:left="106" w:firstLine="1"/>
              <w:jc w:val="left"/>
              <w:rPr>
                <w:noProof/>
              </w:rPr>
            </w:pPr>
            <w:r>
              <w:t>Šajā kontekstā ar “atbildību par nepatiesas informācijas sniegšanu” saprot jebkuru gadījumu, kad attiecīgajā jurisdikcijā tiesību akti paredz kriminālatbildību par nepatiesas deklarācijas sniegšanu.</w:t>
            </w:r>
          </w:p>
        </w:tc>
      </w:tr>
    </w:tbl>
    <w:p w14:paraId="681DD457" w14:textId="77777777" w:rsidR="00DD0A96" w:rsidRPr="00B16BC0" w:rsidRDefault="00DD0A96" w:rsidP="00D23617">
      <w:pPr>
        <w:pStyle w:val="TableParagraph"/>
        <w:spacing w:before="60" w:after="60"/>
        <w:jc w:val="left"/>
        <w:rPr>
          <w:noProof/>
        </w:rPr>
        <w:sectPr w:rsidR="00DD0A96" w:rsidRPr="00B16BC0" w:rsidSect="0073510E">
          <w:type w:val="continuous"/>
          <w:pgSz w:w="11907" w:h="16840" w:code="9"/>
          <w:pgMar w:top="1134" w:right="1134" w:bottom="1134" w:left="1701" w:header="567" w:footer="567" w:gutter="0"/>
          <w:cols w:space="720"/>
          <w:titlePg/>
        </w:sect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9088"/>
      </w:tblGrid>
      <w:tr w:rsidR="00DD0A96" w:rsidRPr="00B16BC0" w14:paraId="57BD9942" w14:textId="77777777" w:rsidTr="00D23617">
        <w:trPr>
          <w:trHeight w:val="553"/>
        </w:trPr>
        <w:tc>
          <w:tcPr>
            <w:tcW w:w="5000" w:type="pct"/>
            <w:shd w:val="clear" w:color="auto" w:fill="DAEDF3"/>
          </w:tcPr>
          <w:p w14:paraId="3CC7CAD8" w14:textId="77777777" w:rsidR="00DD0A96" w:rsidRPr="00B16BC0" w:rsidRDefault="00DD0A96" w:rsidP="00D23617">
            <w:pPr>
              <w:pStyle w:val="TableParagraph"/>
              <w:spacing w:before="60" w:after="60"/>
              <w:ind w:left="113" w:right="113"/>
              <w:rPr>
                <w:b/>
                <w:noProof/>
              </w:rPr>
            </w:pPr>
            <w:r>
              <w:rPr>
                <w:b/>
              </w:rPr>
              <w:lastRenderedPageBreak/>
              <w:t xml:space="preserve">19. Prasība iegūt </w:t>
            </w:r>
            <w:r>
              <w:rPr>
                <w:b/>
                <w:i/>
                <w:iCs/>
              </w:rPr>
              <w:t>TIN</w:t>
            </w:r>
            <w:r>
              <w:rPr>
                <w:b/>
              </w:rPr>
              <w:t xml:space="preserve"> labošanas procedūras laikā</w:t>
            </w:r>
          </w:p>
        </w:tc>
      </w:tr>
      <w:tr w:rsidR="00DD0A96" w:rsidRPr="00B16BC0" w14:paraId="625F944D" w14:textId="77777777" w:rsidTr="00D23617">
        <w:trPr>
          <w:trHeight w:val="2754"/>
        </w:trPr>
        <w:tc>
          <w:tcPr>
            <w:tcW w:w="5000" w:type="pct"/>
          </w:tcPr>
          <w:p w14:paraId="1FAD5C2F" w14:textId="77777777" w:rsidR="00DD0A96" w:rsidRPr="00B16BC0" w:rsidRDefault="00DD0A96" w:rsidP="00D23617">
            <w:pPr>
              <w:pStyle w:val="TableParagraph"/>
              <w:spacing w:before="60" w:after="60"/>
              <w:ind w:left="113" w:right="113"/>
              <w:rPr>
                <w:b/>
                <w:noProof/>
              </w:rPr>
            </w:pPr>
            <w:r>
              <w:rPr>
                <w:b/>
              </w:rPr>
              <w:t>Vai finanšu iestādei, kas sniedz ziņojumus, jāpārliecinās, ka konta turētāja pašapliecinājumā ir norādīts nodokļu maksātāja identifikācijas numurs (</w:t>
            </w:r>
            <w:r>
              <w:rPr>
                <w:b/>
                <w:i/>
                <w:iCs/>
              </w:rPr>
              <w:t>TIN</w:t>
            </w:r>
            <w:r>
              <w:rPr>
                <w:b/>
              </w:rPr>
              <w:t>), ja pašapliecinājums iegūts III panta B punkta 6. apakšpunktā minētās labošanas procedūras laikā un tajā norādīts, ka konta turētājs ir persona, par kuru jāsniedz ziņojums?</w:t>
            </w:r>
          </w:p>
          <w:p w14:paraId="58B63D6E" w14:textId="77777777" w:rsidR="00DD0A96" w:rsidRPr="00B16BC0" w:rsidRDefault="00DD0A96" w:rsidP="00D23617">
            <w:pPr>
              <w:pStyle w:val="TableParagraph"/>
              <w:spacing w:before="60" w:after="60"/>
              <w:ind w:left="113" w:right="113" w:firstLine="2"/>
              <w:rPr>
                <w:noProof/>
              </w:rPr>
            </w:pPr>
            <w:r>
              <w:t xml:space="preserve">Īstenojot pienācīgas pārbaudes procedūras attiecībā uz iepriekšpastāvējušiem kontiem, finanšu iestādei ir jāveic visi iespējamie pasākumi, lai iegūtu </w:t>
            </w:r>
            <w:r>
              <w:rPr>
                <w:i/>
                <w:iCs/>
              </w:rPr>
              <w:t>TIN</w:t>
            </w:r>
            <w:r>
              <w:t xml:space="preserve">. Ja pašapliecinājums iegūts labošanas procedūras laikā, finanšu iestādei vismaz jāpieprasa, lai konta turētājs sniedz pašapliecinājumu, kurā norādīts </w:t>
            </w:r>
            <w:r>
              <w:rPr>
                <w:i/>
                <w:iCs/>
              </w:rPr>
              <w:t>TIN</w:t>
            </w:r>
            <w:r>
              <w:t xml:space="preserve">, ja piemērojams. Finanšu iestāde var paļauties uz šādu pašapliecinājumu arī tad, ja tajā nav norādīts konta turētāja </w:t>
            </w:r>
            <w:r>
              <w:rPr>
                <w:i/>
                <w:iCs/>
              </w:rPr>
              <w:t>TIN</w:t>
            </w:r>
            <w:r>
              <w:t xml:space="preserve">, ar nosacījumu, ka tā turpina veikt visus iespējamos pasākumus, lai iegūtu </w:t>
            </w:r>
            <w:r>
              <w:rPr>
                <w:i/>
                <w:iCs/>
              </w:rPr>
              <w:t>TIN</w:t>
            </w:r>
            <w:r>
              <w:t>.</w:t>
            </w:r>
          </w:p>
        </w:tc>
      </w:tr>
      <w:tr w:rsidR="00DD0A96" w:rsidRPr="00B16BC0" w14:paraId="50502B73" w14:textId="77777777" w:rsidTr="00D23617">
        <w:tc>
          <w:tcPr>
            <w:tcW w:w="0" w:type="auto"/>
            <w:shd w:val="clear" w:color="auto" w:fill="DAEDF3"/>
          </w:tcPr>
          <w:p w14:paraId="07C94B08" w14:textId="77777777" w:rsidR="00DD0A96" w:rsidRPr="00B16BC0" w:rsidRDefault="00DD0A96" w:rsidP="00D23617">
            <w:pPr>
              <w:pStyle w:val="TableParagraph"/>
              <w:spacing w:before="60" w:after="60"/>
              <w:ind w:left="113" w:right="113"/>
              <w:rPr>
                <w:b/>
                <w:noProof/>
              </w:rPr>
            </w:pPr>
            <w:r>
              <w:rPr>
                <w:b/>
              </w:rPr>
              <w:t>20. Jauni vienību konti – paļaušanās uz publiski pieejamu informāciju</w:t>
            </w:r>
          </w:p>
        </w:tc>
      </w:tr>
      <w:tr w:rsidR="00DD0A96" w:rsidRPr="00B16BC0" w14:paraId="16F16699" w14:textId="77777777" w:rsidTr="00D23617">
        <w:tc>
          <w:tcPr>
            <w:tcW w:w="0" w:type="auto"/>
          </w:tcPr>
          <w:p w14:paraId="2E9FC7CD" w14:textId="77777777" w:rsidR="00DD0A96" w:rsidRPr="00B16BC0" w:rsidRDefault="00DD0A96" w:rsidP="00D23617">
            <w:pPr>
              <w:pStyle w:val="TableParagraph"/>
              <w:spacing w:before="60" w:after="60"/>
              <w:ind w:left="113" w:right="113"/>
              <w:rPr>
                <w:b/>
                <w:noProof/>
              </w:rPr>
            </w:pPr>
            <w:r>
              <w:rPr>
                <w:b/>
              </w:rPr>
              <w:t>VI panta A punkta 1. apakšpunkta a) daļā noteikts, ka finanšu iestādei jāiegūst pašapliecinājums, lai noteiktu jauna vienības konta turētāja nodokļu rezidenci. Šā panta A punkta 1. apakšpunkta b) daļā noteikts – ja pašapliecinājumā norādīts, ka jaunā vienības konta turētājs ir rezidents jurisdikcijā, par kuru jāsniedz ziņojums, tad šis konts uzskatāms par kontu, par kuru jāsniedz ziņojums, ja vien finanšu iestāde, pamatojoties uz tās rīcībā esošo informāciju vai publiski pieejamu informāciju, pamatoti nenosaka, ka jaunā vienības konta turētājs nav persona, par kuru jāsniedz ziņojums, attiecībā uz šādu jurisdikciju, par kuru jāsniedz ziņojums.</w:t>
            </w:r>
          </w:p>
          <w:p w14:paraId="275311D2" w14:textId="77777777" w:rsidR="00D82D09" w:rsidRDefault="00DD0A96" w:rsidP="00D82D09">
            <w:pPr>
              <w:pStyle w:val="TableParagraph"/>
              <w:spacing w:before="60" w:after="60"/>
              <w:ind w:left="113" w:right="113" w:firstLine="1"/>
              <w:rPr>
                <w:b/>
              </w:rPr>
            </w:pPr>
            <w:r>
              <w:rPr>
                <w:b/>
              </w:rPr>
              <w:t>Ja finanšu iestādei, pamatojoties uz tās rīcībā esošo informāciju vai publiski pieejamu informāciju, ir zināms, ka jauna vienības konta turētājs nav persona, par kuru jāsniedz ziņojums, neatkarīgi no tās rezidences (piemēram, tāpēc, ka tā ir publiska akciju sabiedrība), vai finanšu iestādei joprojām ir jāiegūst pašapliecinājums no jaunā vienības konta turētāja?</w:t>
            </w:r>
          </w:p>
          <w:p w14:paraId="77DDE6EF" w14:textId="57606016" w:rsidR="00DD0A96" w:rsidRPr="00D82D09" w:rsidRDefault="00DD0A96" w:rsidP="00D82D09">
            <w:pPr>
              <w:pStyle w:val="TableParagraph"/>
              <w:spacing w:before="60" w:after="60"/>
              <w:ind w:left="113" w:right="113" w:firstLine="1"/>
              <w:rPr>
                <w:b/>
              </w:rPr>
            </w:pPr>
            <w:r>
              <w:t>Komentāru par VI pantu 6. punktā noteikts, ka A punkta 1. apakšpunkta a) daļā minēto darbību, proti, pašapliecinājuma iegūšanu, un A punkta 1. apakšpunkta b) daļā minēto darbību, proti, personas, par kuru jāsniedz ziņojums, statusa apstiprināšanu, var veikt jebkurā secībā. Līdz ar to finanšu iestāde vispirms var noteikt, vai jauna vienības konta turētājs ir persona, par kuru jāsniedz ziņojums. Ja tiek konstatēts, ka jaunā vienības konta turētājs nav persona, par kuru jāsniedz ziņojums (piemēram, tāpēc, ka tā ir finanšu iestāde vai publiska akciju sabiedrība), finanšu iestādei saskaņā ar A punkta 1. apakšpunkta a) daļu nav pienākuma iegūt pašapliecinājumu no šā jaunā vienības konta turētāja.</w:t>
            </w:r>
          </w:p>
        </w:tc>
      </w:tr>
      <w:tr w:rsidR="00DD0A96" w:rsidRPr="00B16BC0" w14:paraId="17811B54" w14:textId="77777777" w:rsidTr="00D23617">
        <w:trPr>
          <w:trHeight w:val="551"/>
        </w:trPr>
        <w:tc>
          <w:tcPr>
            <w:tcW w:w="0" w:type="auto"/>
            <w:shd w:val="clear" w:color="auto" w:fill="DAEDF3"/>
          </w:tcPr>
          <w:p w14:paraId="45F9B427" w14:textId="77777777" w:rsidR="00DD0A96" w:rsidRPr="00B16BC0" w:rsidRDefault="00DD0A96" w:rsidP="00D23617">
            <w:pPr>
              <w:pStyle w:val="TableParagraph"/>
              <w:spacing w:before="60" w:after="60"/>
              <w:ind w:left="113" w:right="113"/>
              <w:rPr>
                <w:b/>
                <w:noProof/>
              </w:rPr>
            </w:pPr>
            <w:r>
              <w:rPr>
                <w:b/>
              </w:rPr>
              <w:t>21. Robežvērtības noteikšana pienācīgas pārbaudes veikšanai attiecībā uz kontrolējošajām personām</w:t>
            </w:r>
          </w:p>
        </w:tc>
      </w:tr>
      <w:tr w:rsidR="00627FEF" w:rsidRPr="00B16BC0" w14:paraId="589642A8" w14:textId="77777777" w:rsidTr="00316B61">
        <w:trPr>
          <w:trHeight w:val="4346"/>
        </w:trPr>
        <w:tc>
          <w:tcPr>
            <w:tcW w:w="0" w:type="auto"/>
            <w:tcBorders>
              <w:bottom w:val="single" w:sz="6" w:space="0" w:color="000000"/>
            </w:tcBorders>
          </w:tcPr>
          <w:p w14:paraId="178804D8" w14:textId="77777777" w:rsidR="00627FEF" w:rsidRPr="00B16BC0" w:rsidRDefault="00627FEF" w:rsidP="00D23617">
            <w:pPr>
              <w:pStyle w:val="TableParagraph"/>
              <w:spacing w:before="60" w:after="60"/>
              <w:ind w:left="113" w:right="113" w:firstLine="1"/>
              <w:rPr>
                <w:b/>
                <w:noProof/>
              </w:rPr>
            </w:pPr>
            <w:r>
              <w:rPr>
                <w:b/>
              </w:rPr>
              <w:t xml:space="preserve">Lai noteiktu, vai pasīvas nefinanšu vienības kontrolējošā persona ir persona, par kuru jāsniedz ziņojums saistībā ar iepriekšpastāvējušu vienības kontu, finanšu iestāde, kas sniedz ziņojumus, saskaņā ar V panta D punkta 2. apakšpunkta c) daļu var paļauties tikai uz informāciju, kas vākta un glabāta saskaņā ar </w:t>
            </w:r>
            <w:r>
              <w:rPr>
                <w:b/>
                <w:i/>
                <w:iCs/>
              </w:rPr>
              <w:t>AML/KYC</w:t>
            </w:r>
            <w:r>
              <w:rPr>
                <w:b/>
              </w:rPr>
              <w:t xml:space="preserve"> procedūrām, ja šāda vienas vai vairāku nefinanšu vienību turētā konta kopējā bilance nepārsniedz 1 000 000 USD. Kurā brīdī ir nosakāma 1 000 000 USD robežvērtība pienācīgas pārbaudes veikšanai attiecībā uz pasīvo nefinanšu vienību kontrolējošajām personām?</w:t>
            </w:r>
          </w:p>
          <w:p w14:paraId="582E95D4" w14:textId="77777777" w:rsidR="00627FEF" w:rsidRPr="00B16BC0" w:rsidRDefault="00627FEF" w:rsidP="00D23617">
            <w:pPr>
              <w:pStyle w:val="TableParagraph"/>
              <w:spacing w:before="60" w:after="60"/>
              <w:ind w:left="113" w:right="113" w:hanging="1"/>
              <w:rPr>
                <w:noProof/>
              </w:rPr>
            </w:pPr>
            <w:r>
              <w:t>Saskaņā ar vispārīgajiem noteikumiem par robežvērtībām, kas piemērojamas pienācīgas pārbaudes procedūrās un noteiktas, piemēram, II panta B punktā un V panta A un B punktā, un E punkta 2. apakšpunktā, brīdis, kurā jāpārbauda, vai nav pārsniegta šī robežvērtība, ir attiecīgā kalendārā gada vai kāda cita attiecīga ziņošanas perioda pēdējā diena.</w:t>
            </w:r>
          </w:p>
          <w:p w14:paraId="0E36CB2C" w14:textId="77777777" w:rsidR="00627FEF" w:rsidRPr="00B16BC0" w:rsidRDefault="00627FEF" w:rsidP="00D23617">
            <w:pPr>
              <w:pStyle w:val="TableParagraph"/>
              <w:spacing w:before="60" w:after="60"/>
              <w:ind w:left="113" w:right="113"/>
              <w:rPr>
                <w:i/>
                <w:noProof/>
                <w:u w:val="single"/>
              </w:rPr>
            </w:pPr>
            <w:r>
              <w:rPr>
                <w:i/>
                <w:u w:val="single"/>
              </w:rPr>
              <w:t>Piemērs.</w:t>
            </w:r>
          </w:p>
          <w:p w14:paraId="27393440" w14:textId="671D12B3" w:rsidR="00627FEF" w:rsidRPr="00B16BC0" w:rsidRDefault="00627FEF" w:rsidP="00D23617">
            <w:pPr>
              <w:pStyle w:val="TableParagraph"/>
              <w:spacing w:before="60" w:after="60"/>
              <w:ind w:left="113" w:right="113"/>
              <w:rPr>
                <w:b/>
                <w:noProof/>
              </w:rPr>
            </w:pPr>
            <w:r>
              <w:rPr>
                <w:i/>
              </w:rPr>
              <w:t>Ja attiecīgā konta bilance dienā, kurā finanšu iestāde veikusi pienācīgu pārbaudi, ir 900 000 USD, bet gada beigās tā ir 1 100 000 USD, tad pienācīgas pārbaudes pienākuma veikšanas izpratnē 1 000 000 USD robežvērtība šajā gadā ir tikusi pārsniegta.</w:t>
            </w:r>
          </w:p>
        </w:tc>
      </w:tr>
      <w:tr w:rsidR="00DD0A96" w:rsidRPr="00B16BC0" w14:paraId="41AA8F1C" w14:textId="77777777" w:rsidTr="00316B61">
        <w:trPr>
          <w:trHeight w:val="551"/>
        </w:trPr>
        <w:tc>
          <w:tcPr>
            <w:tcW w:w="0" w:type="auto"/>
            <w:tcBorders>
              <w:bottom w:val="nil"/>
            </w:tcBorders>
            <w:shd w:val="clear" w:color="auto" w:fill="DAEDF3"/>
          </w:tcPr>
          <w:p w14:paraId="031B1969" w14:textId="77777777" w:rsidR="00DD0A96" w:rsidRPr="00B16BC0" w:rsidRDefault="00DD0A96" w:rsidP="00D23617">
            <w:pPr>
              <w:pStyle w:val="TableParagraph"/>
              <w:spacing w:before="60" w:after="60"/>
              <w:ind w:left="113" w:right="113"/>
              <w:rPr>
                <w:b/>
                <w:noProof/>
              </w:rPr>
            </w:pPr>
            <w:r>
              <w:rPr>
                <w:b/>
              </w:rPr>
              <w:lastRenderedPageBreak/>
              <w:t>22. Pašapliecinājumu sniegšanas laiks*</w:t>
            </w:r>
          </w:p>
        </w:tc>
      </w:tr>
    </w:tbl>
    <w:p w14:paraId="47410755" w14:textId="77777777" w:rsidR="00DD0A96" w:rsidRPr="00B16BC0" w:rsidRDefault="00DD0A96" w:rsidP="00D23617">
      <w:pPr>
        <w:pStyle w:val="TableParagraph"/>
        <w:spacing w:before="60" w:after="60"/>
        <w:jc w:val="left"/>
        <w:rPr>
          <w:b/>
          <w:noProof/>
        </w:rPr>
        <w:sectPr w:rsidR="00DD0A96" w:rsidRPr="00B16BC0" w:rsidSect="0073510E">
          <w:type w:val="continuous"/>
          <w:pgSz w:w="11907" w:h="16840" w:code="9"/>
          <w:pgMar w:top="1134" w:right="1134" w:bottom="1134" w:left="1701" w:header="567" w:footer="567" w:gutter="0"/>
          <w:cols w:space="720"/>
          <w:titlePg/>
        </w:sect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9088"/>
      </w:tblGrid>
      <w:tr w:rsidR="00DD0A96" w:rsidRPr="00B16BC0" w14:paraId="6A595F63" w14:textId="77777777" w:rsidTr="00D23617">
        <w:trPr>
          <w:trHeight w:val="700"/>
        </w:trPr>
        <w:tc>
          <w:tcPr>
            <w:tcW w:w="5000" w:type="pct"/>
            <w:shd w:val="clear" w:color="auto" w:fill="DAEDF3"/>
          </w:tcPr>
          <w:p w14:paraId="24C31069" w14:textId="77777777" w:rsidR="00DD0A96" w:rsidRPr="00B16BC0" w:rsidRDefault="00DD0A96" w:rsidP="00D23617">
            <w:pPr>
              <w:pStyle w:val="TableParagraph"/>
              <w:spacing w:before="60" w:after="60"/>
              <w:ind w:left="113" w:right="113"/>
              <w:rPr>
                <w:b/>
                <w:noProof/>
              </w:rPr>
            </w:pPr>
            <w:r>
              <w:rPr>
                <w:b/>
              </w:rPr>
              <w:t>23. Prasība caurskatīt plaši turētus kolektīvo ieguldījumu instrumentus (</w:t>
            </w:r>
            <w:r>
              <w:rPr>
                <w:b/>
                <w:i/>
                <w:iCs/>
              </w:rPr>
              <w:t>CIV</w:t>
            </w:r>
            <w:r>
              <w:rPr>
                <w:b/>
              </w:rPr>
              <w:t>) un trasta veida pensiju fondus neiesaistītās jurisdikcijās</w:t>
            </w:r>
          </w:p>
        </w:tc>
      </w:tr>
      <w:tr w:rsidR="00DD0A96" w:rsidRPr="00B16BC0" w14:paraId="7E1187AD" w14:textId="77777777" w:rsidTr="00D23617">
        <w:trPr>
          <w:trHeight w:val="2538"/>
        </w:trPr>
        <w:tc>
          <w:tcPr>
            <w:tcW w:w="5000" w:type="pct"/>
          </w:tcPr>
          <w:p w14:paraId="01AD519B" w14:textId="77777777" w:rsidR="00DD0A96" w:rsidRPr="00B16BC0" w:rsidRDefault="00DD0A96" w:rsidP="00D23617">
            <w:pPr>
              <w:pStyle w:val="TableParagraph"/>
              <w:spacing w:before="60" w:after="60"/>
              <w:ind w:left="113" w:right="113"/>
              <w:rPr>
                <w:b/>
                <w:noProof/>
              </w:rPr>
            </w:pPr>
            <w:r>
              <w:rPr>
                <w:b/>
              </w:rPr>
              <w:t xml:space="preserve">Vai, nosakot kontrolējošās personas jauniem vienību kontiem saskaņā ar VI panta 2. punktā noteikto “caurskatīšanas” prasību saistībā ar VIII panta A punkta 6. apakšpunkta b) daļā minēto ieguldījumu vienību, kura ir rezidents neiesaistītā jurisdikcijā un plaši turēts, regulēts trasta veida kolektīvo ieguldījumu instruments vai trasta veida pensiju fonds, finanšu iestādēm, kas sniedz ziņojumus, jāiegūst informācija papildus tai informācijai, kas vākta un glabāta saskaņā ar valsts tiesību aktos paredzētajām </w:t>
            </w:r>
            <w:r>
              <w:rPr>
                <w:b/>
                <w:i/>
                <w:iCs/>
              </w:rPr>
              <w:t>AML/KYC</w:t>
            </w:r>
            <w:r>
              <w:rPr>
                <w:b/>
              </w:rPr>
              <w:t xml:space="preserve"> procedūrām, kuras atbilst vismaz Finanšu darījumu darba grupas (</w:t>
            </w:r>
            <w:r>
              <w:rPr>
                <w:b/>
                <w:i/>
                <w:iCs/>
              </w:rPr>
              <w:t>FATF</w:t>
            </w:r>
            <w:r>
              <w:rPr>
                <w:b/>
              </w:rPr>
              <w:t>) 10. un 25. ieteikumam (2012. gada februāra redakcijā)?</w:t>
            </w:r>
          </w:p>
          <w:p w14:paraId="7120455A" w14:textId="77777777" w:rsidR="00DD0A96" w:rsidRPr="00B16BC0" w:rsidRDefault="00DD0A96" w:rsidP="00D23617">
            <w:pPr>
              <w:pStyle w:val="TableParagraph"/>
              <w:spacing w:before="60" w:after="60"/>
              <w:ind w:left="113" w:right="113"/>
              <w:rPr>
                <w:noProof/>
              </w:rPr>
            </w:pPr>
            <w:r>
              <w:t>Nē, kā noteikts komentāru par VIII pantu 137. punktā.</w:t>
            </w:r>
          </w:p>
        </w:tc>
      </w:tr>
      <w:tr w:rsidR="00DD0A96" w:rsidRPr="00B16BC0" w14:paraId="669AC7C6" w14:textId="77777777" w:rsidTr="00D23617">
        <w:tc>
          <w:tcPr>
            <w:tcW w:w="0" w:type="auto"/>
            <w:shd w:val="clear" w:color="auto" w:fill="DAEDF3"/>
          </w:tcPr>
          <w:p w14:paraId="018F040B" w14:textId="77777777" w:rsidR="00DD0A96" w:rsidRPr="00B16BC0" w:rsidRDefault="00DD0A96" w:rsidP="00D23617">
            <w:pPr>
              <w:pStyle w:val="TableParagraph"/>
              <w:spacing w:before="60" w:after="60"/>
              <w:ind w:left="113" w:right="113"/>
              <w:rPr>
                <w:b/>
                <w:noProof/>
              </w:rPr>
            </w:pPr>
            <w:r>
              <w:rPr>
                <w:b/>
              </w:rPr>
              <w:t>24. Jaunu kontu procedūru piemērošana iepriekšpastāvējušiem kontiem – klientu apkalpošanas speciālista rīcībā esošās informācijas izvērtēšana</w:t>
            </w:r>
          </w:p>
        </w:tc>
      </w:tr>
      <w:tr w:rsidR="00DD0A96" w:rsidRPr="00B16BC0" w14:paraId="5584C3C4" w14:textId="77777777" w:rsidTr="00D23617">
        <w:tc>
          <w:tcPr>
            <w:tcW w:w="0" w:type="auto"/>
          </w:tcPr>
          <w:p w14:paraId="5AEEF675" w14:textId="77777777" w:rsidR="00DD0A96" w:rsidRPr="00B16BC0" w:rsidRDefault="00DD0A96" w:rsidP="00D23617">
            <w:pPr>
              <w:pStyle w:val="TableParagraph"/>
              <w:spacing w:before="60" w:after="60"/>
              <w:ind w:left="113" w:right="113"/>
              <w:rPr>
                <w:b/>
                <w:noProof/>
              </w:rPr>
            </w:pPr>
            <w:r>
              <w:rPr>
                <w:b/>
              </w:rPr>
              <w:t>Saskaņā ar II panta E punktu jurisdikcijas var atļaut finanšu iestādēm, kas sniedz ziņojumus, piemērot jaunu kontu pienācīgas pārbaudes procedūras arī iepriekšpastāvējušiem kontiem. Vai šādos gadījumos finanšu iestādei, kas sniedz ziņojumus, ir pienākums piemērot klientu apkalpošanas speciālista rīcībā esošās informācijas izvērtēšanu, ja pašapliecinājums iegūts jaunā konta pienācīgas pārbaudes procedūru ietvaros?</w:t>
            </w:r>
          </w:p>
          <w:p w14:paraId="1C71D1A7" w14:textId="77777777" w:rsidR="00DD0A96" w:rsidRPr="00B16BC0" w:rsidRDefault="00DD0A96" w:rsidP="00D23617">
            <w:pPr>
              <w:pStyle w:val="TableParagraph"/>
              <w:spacing w:before="60" w:after="60"/>
              <w:ind w:left="113" w:right="113"/>
              <w:rPr>
                <w:noProof/>
              </w:rPr>
            </w:pPr>
            <w:r>
              <w:t>III pantā minēto klientu apkalpošanas speciālista rīcībā esošās informācijas izvērtēšanu nepiemēro, jo tiek piemērotas jaunu kontu pienācīgas pārbaudes procedūras, taču, ja kontam nozīmēts klientu apkalpošanas speciālists, šim speciālistam un līdz ar to arī finanšu iestādei, kas sniedz ziņojumus, var būt pamats zināt, ka pašapliecinājums ir neuzticams vai nepareizs. Saskaņā ar VII panta A punktu finanšu iestāde, kas sniedz ziņojumus, nedrīkst paļauties uz pašapliecinājumu, ja tai ir pamats uzskatīt pašapliecinājumu par nepareizu vai neuzticamu. Komentāru par VII pantu 3. punktā paskaidrots, ka finanšu iestādei, kas sniedz ziņojumus, ir pamats zināt, ka pašapliecinājums ir neuzticams vai nepareizs, ja tās rīcībā esošā informācija, tostarp jebkura attiecīgā klientu apkalpošanas speciālista rīcībā esošā informācija, par attiecīgajiem pašapliecinājumā ietvertajiem faktiem vai apgalvojumiem pietiekami apdomīgai personai finanšu iestādes, kas sniedz ziņojumus, situācijā liktu apšaubīt sniegto apgalvojumu patiesumu.</w:t>
            </w:r>
          </w:p>
        </w:tc>
      </w:tr>
      <w:tr w:rsidR="00DD0A96" w:rsidRPr="00B16BC0" w14:paraId="650F1C28" w14:textId="77777777" w:rsidTr="00D23617">
        <w:trPr>
          <w:trHeight w:val="374"/>
        </w:trPr>
        <w:tc>
          <w:tcPr>
            <w:tcW w:w="0" w:type="auto"/>
            <w:shd w:val="clear" w:color="auto" w:fill="DAEDF3"/>
          </w:tcPr>
          <w:p w14:paraId="615716B6" w14:textId="77777777" w:rsidR="00DD0A96" w:rsidRPr="00B16BC0" w:rsidRDefault="00DD0A96" w:rsidP="00D23617">
            <w:pPr>
              <w:pStyle w:val="TableParagraph"/>
              <w:spacing w:before="60" w:after="60"/>
              <w:ind w:left="113" w:right="113"/>
              <w:rPr>
                <w:b/>
                <w:noProof/>
              </w:rPr>
            </w:pPr>
            <w:r>
              <w:rPr>
                <w:b/>
              </w:rPr>
              <w:t>25. Pašapliecinājumu derīguma apstiprināšana*</w:t>
            </w:r>
          </w:p>
        </w:tc>
      </w:tr>
      <w:tr w:rsidR="00DD0A96" w:rsidRPr="00B16BC0" w14:paraId="240205DD" w14:textId="77777777" w:rsidTr="00316B61">
        <w:trPr>
          <w:trHeight w:val="382"/>
        </w:trPr>
        <w:tc>
          <w:tcPr>
            <w:tcW w:w="0" w:type="auto"/>
            <w:tcBorders>
              <w:bottom w:val="single" w:sz="6" w:space="0" w:color="000000"/>
            </w:tcBorders>
            <w:shd w:val="clear" w:color="auto" w:fill="DAEDF3"/>
          </w:tcPr>
          <w:p w14:paraId="0FB814C8" w14:textId="77777777" w:rsidR="00DD0A96" w:rsidRPr="00B16BC0" w:rsidRDefault="00DD0A96" w:rsidP="00D23617">
            <w:pPr>
              <w:pStyle w:val="TableParagraph"/>
              <w:spacing w:before="60" w:after="60"/>
              <w:ind w:left="113" w:right="113"/>
              <w:rPr>
                <w:b/>
                <w:noProof/>
              </w:rPr>
            </w:pPr>
            <w:r>
              <w:rPr>
                <w:b/>
              </w:rPr>
              <w:t>26. Vienības kontrolējošo personu noteikšana</w:t>
            </w:r>
          </w:p>
        </w:tc>
      </w:tr>
      <w:tr w:rsidR="00DD0A96" w:rsidRPr="00B16BC0" w14:paraId="14FDE157" w14:textId="77777777" w:rsidTr="00316B61">
        <w:trPr>
          <w:trHeight w:val="693"/>
        </w:trPr>
        <w:tc>
          <w:tcPr>
            <w:tcW w:w="0" w:type="auto"/>
            <w:tcBorders>
              <w:bottom w:val="single" w:sz="4" w:space="0" w:color="auto"/>
            </w:tcBorders>
          </w:tcPr>
          <w:p w14:paraId="7CA7B484" w14:textId="77777777" w:rsidR="00DD0A96" w:rsidRPr="00B16BC0" w:rsidRDefault="00DD0A96" w:rsidP="00D23617">
            <w:pPr>
              <w:pStyle w:val="TableParagraph"/>
              <w:spacing w:before="60" w:after="60"/>
              <w:ind w:left="113" w:right="113"/>
              <w:rPr>
                <w:b/>
                <w:noProof/>
              </w:rPr>
            </w:pPr>
            <w:r>
              <w:rPr>
                <w:b/>
                <w:i/>
                <w:iCs/>
              </w:rPr>
              <w:t>CRS</w:t>
            </w:r>
            <w:r>
              <w:rPr>
                <w:b/>
              </w:rPr>
              <w:t xml:space="preserve"> noteikts, ka termins “kontrolējošā persona” interpretējams saskaņā ar Finanšu darījumu darba grupas (</w:t>
            </w:r>
            <w:r>
              <w:rPr>
                <w:b/>
                <w:i/>
                <w:iCs/>
              </w:rPr>
              <w:t>FATF</w:t>
            </w:r>
            <w:r>
              <w:rPr>
                <w:b/>
              </w:rPr>
              <w:t>) 10. ieteikumu un 10. ieteikuma skaidrojošajām piezīmēm (VIII panta D punkta 6. apakšpunkts un attiecīgie komentāri). 10. ieteikuma skaidrojošajās piezīmēs tostarp norādīts, ka attiecībā uz juridiskām personām ir jāidentificē tās personas, kurām ir kontrolējoša līdzdalības daļa šajā juridiskajā personā. Piezīmēs arī precizēts, ka attiecībā uz juridiskām personām, kas ir uzņēmumi, “kontrolējošā līdzdalības daļa” ir atkarīga no uzņēmuma īpašumtiesību struktūras. Tā var būt noteikta, pamatojoties uz robežvērtību, piemēram, jebkura persona, kurai piederošā daļa pārsniedz noteiktu procentuālu daļu no uzņēmuma (piemēram, 25 %).</w:t>
            </w:r>
          </w:p>
          <w:p w14:paraId="48C525DC" w14:textId="77777777" w:rsidR="00DD0A96" w:rsidRPr="00B16BC0" w:rsidRDefault="00DD0A96" w:rsidP="00D23617">
            <w:pPr>
              <w:pStyle w:val="TableParagraph"/>
              <w:spacing w:before="60" w:after="60"/>
              <w:ind w:left="113" w:right="113"/>
              <w:rPr>
                <w:b/>
                <w:noProof/>
              </w:rPr>
            </w:pPr>
            <w:r>
              <w:rPr>
                <w:b/>
              </w:rPr>
              <w:t xml:space="preserve">Ja kādas jurisdikcijas tiesību akti </w:t>
            </w:r>
            <w:r>
              <w:rPr>
                <w:b/>
                <w:i/>
                <w:iCs/>
              </w:rPr>
              <w:t>FATF</w:t>
            </w:r>
            <w:r>
              <w:rPr>
                <w:b/>
              </w:rPr>
              <w:t xml:space="preserve"> ieteikumu īstenošanai paredz zemāku īpašumtiesību slieksni nekā 25 %, lai noteiktu kontrolējošo līdzdalības daļu uzņēmumā </w:t>
            </w:r>
            <w:r>
              <w:rPr>
                <w:b/>
                <w:i/>
                <w:iCs/>
              </w:rPr>
              <w:t>AML/KYC</w:t>
            </w:r>
            <w:r>
              <w:rPr>
                <w:b/>
              </w:rPr>
              <w:t xml:space="preserve"> vajadzībām, vai finanšu iestāde, kura sniedz ziņojumus un uz kuru attiecas šīs valsts tiesību aktos paredzētās </w:t>
            </w:r>
            <w:r>
              <w:rPr>
                <w:b/>
                <w:i/>
                <w:iCs/>
              </w:rPr>
              <w:t>ALM/KYC</w:t>
            </w:r>
            <w:r>
              <w:rPr>
                <w:b/>
              </w:rPr>
              <w:t xml:space="preserve"> prasības, joprojām var piemērot 25 % robežvērtību </w:t>
            </w:r>
            <w:r>
              <w:rPr>
                <w:b/>
                <w:i/>
                <w:iCs/>
              </w:rPr>
              <w:t>CRS</w:t>
            </w:r>
            <w:r>
              <w:rPr>
                <w:b/>
              </w:rPr>
              <w:t xml:space="preserve"> ziņošanas vajadzībām?</w:t>
            </w:r>
          </w:p>
          <w:p w14:paraId="4E4A5724" w14:textId="2B74854D" w:rsidR="00697579" w:rsidRPr="00B16BC0" w:rsidRDefault="00DD0A96" w:rsidP="00316B61">
            <w:pPr>
              <w:pStyle w:val="TableParagraph"/>
              <w:spacing w:before="60" w:after="60"/>
              <w:ind w:left="113" w:right="113"/>
            </w:pPr>
            <w:r>
              <w:t xml:space="preserve">Nē. </w:t>
            </w:r>
            <w:r>
              <w:rPr>
                <w:i/>
                <w:iCs/>
              </w:rPr>
              <w:t>CRS</w:t>
            </w:r>
            <w:r>
              <w:t xml:space="preserve"> paredz, ka, nosakot konta turētāja kontrolējošās personas, piemērojamas </w:t>
            </w:r>
            <w:r>
              <w:rPr>
                <w:i/>
                <w:iCs/>
              </w:rPr>
              <w:t>AML/KYC</w:t>
            </w:r>
            <w:r>
              <w:t xml:space="preserve"> procedūras saskaņā ar noziedzīgi iegūtu līdzekļu legalizācijas novēršanas vai līdzīgām prasībām, kas ieviestas valsts tiesību aktos un kas ir piemērojamas finanšu iestādei, kura sniedz ziņojumus.</w:t>
            </w:r>
          </w:p>
        </w:tc>
      </w:tr>
    </w:tbl>
    <w:p w14:paraId="6ABA713D" w14:textId="77777777" w:rsidR="00DD0A96" w:rsidRPr="00B16BC0" w:rsidRDefault="00DD0A96" w:rsidP="00D23617">
      <w:pPr>
        <w:pStyle w:val="TableParagraph"/>
        <w:spacing w:before="60" w:after="60"/>
        <w:ind w:left="113" w:right="113"/>
        <w:rPr>
          <w:noProof/>
        </w:rPr>
        <w:sectPr w:rsidR="00DD0A96" w:rsidRPr="00B16BC0" w:rsidSect="0073510E">
          <w:type w:val="continuous"/>
          <w:pgSz w:w="11907" w:h="16840" w:code="9"/>
          <w:pgMar w:top="1134" w:right="1134" w:bottom="1134" w:left="1701" w:header="567" w:footer="567" w:gutter="0"/>
          <w:cols w:space="720"/>
          <w:titlePg/>
        </w:sect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9088"/>
      </w:tblGrid>
      <w:tr w:rsidR="00DD0A96" w:rsidRPr="00B16BC0" w14:paraId="78961943" w14:textId="77777777" w:rsidTr="00D23617">
        <w:trPr>
          <w:trHeight w:val="423"/>
        </w:trPr>
        <w:tc>
          <w:tcPr>
            <w:tcW w:w="5000" w:type="pct"/>
            <w:shd w:val="clear" w:color="auto" w:fill="DAEDF3"/>
          </w:tcPr>
          <w:p w14:paraId="0D971891" w14:textId="77777777" w:rsidR="00DD0A96" w:rsidRPr="00B16BC0" w:rsidRDefault="00DD0A96" w:rsidP="00D23617">
            <w:pPr>
              <w:pStyle w:val="TableParagraph"/>
              <w:spacing w:before="60" w:after="60"/>
              <w:ind w:left="113" w:right="113"/>
              <w:rPr>
                <w:b/>
                <w:noProof/>
              </w:rPr>
            </w:pPr>
            <w:r>
              <w:rPr>
                <w:b/>
              </w:rPr>
              <w:lastRenderedPageBreak/>
              <w:t>27. Paļaušanās uz publiski pieejamu informāciju</w:t>
            </w:r>
          </w:p>
        </w:tc>
      </w:tr>
      <w:tr w:rsidR="00DD0A96" w:rsidRPr="00B16BC0" w14:paraId="0DCF4F3B" w14:textId="77777777" w:rsidTr="00627FEF">
        <w:trPr>
          <w:trHeight w:val="2670"/>
        </w:trPr>
        <w:tc>
          <w:tcPr>
            <w:tcW w:w="5000" w:type="pct"/>
          </w:tcPr>
          <w:p w14:paraId="31540E16" w14:textId="77777777" w:rsidR="00DD0A96" w:rsidRPr="00B16BC0" w:rsidRDefault="00DD0A96" w:rsidP="00D23617">
            <w:pPr>
              <w:pStyle w:val="TableParagraph"/>
              <w:spacing w:before="60" w:after="60"/>
              <w:ind w:left="113" w:right="113"/>
              <w:rPr>
                <w:b/>
                <w:noProof/>
              </w:rPr>
            </w:pPr>
            <w:r>
              <w:rPr>
                <w:b/>
              </w:rPr>
              <w:t xml:space="preserve">Vai finanšu iestādes, kas sniedz ziņojumus, var paļauties vienīgi uz to, ka konta turētājs ir iekļauts </w:t>
            </w:r>
            <w:r>
              <w:rPr>
                <w:b/>
                <w:i/>
                <w:iCs/>
              </w:rPr>
              <w:t>FATCA</w:t>
            </w:r>
            <w:r>
              <w:rPr>
                <w:b/>
              </w:rPr>
              <w:t xml:space="preserve"> ārvalstu finanšu iestāžu (ĀFI) sarakstā, lai pamatoti secinātu, ka šis konta turētājs ir finanšu iestāde saskaņā ar V panta D punkta 1. apakšpunkta b) daļu vai VI panta A punkta 1. apakšpunkta b) daļu?</w:t>
            </w:r>
          </w:p>
          <w:p w14:paraId="00AD2774" w14:textId="77777777" w:rsidR="00DD0A96" w:rsidRPr="00B16BC0" w:rsidRDefault="00DD0A96" w:rsidP="00D23617">
            <w:pPr>
              <w:pStyle w:val="TableParagraph"/>
              <w:spacing w:before="60" w:after="60"/>
              <w:ind w:left="113" w:right="113"/>
              <w:rPr>
                <w:noProof/>
              </w:rPr>
            </w:pPr>
            <w:r>
              <w:t xml:space="preserve">Nē. V panta D punkta 1. apakšpunkta b) daļā un VI panta A punkta 1. apakšpunkta b) daļā noteikts, ka publiski pieejama informācija izmantojama tikai tad, ja uz to var paļauties, lai “pamatoti noteiktu” vienības statusu. Lai gan komentāru par V pantu 12. punktā </w:t>
            </w:r>
            <w:r>
              <w:rPr>
                <w:i/>
                <w:iCs/>
              </w:rPr>
              <w:t>FATCA</w:t>
            </w:r>
            <w:r>
              <w:t xml:space="preserve"> ĀFI saraksts minēts kā piemērs, nepietiek ar to vien, ka konta turētājs šajā sarakstā ir iekļauts, lai pamatoti noteiktu, ka šis konta turētājs </w:t>
            </w:r>
            <w:r>
              <w:rPr>
                <w:i/>
                <w:iCs/>
              </w:rPr>
              <w:t>CRS</w:t>
            </w:r>
            <w:r>
              <w:t xml:space="preserve"> izpratnē ir finanšu iestāde.</w:t>
            </w:r>
          </w:p>
        </w:tc>
      </w:tr>
      <w:tr w:rsidR="00DD0A96" w:rsidRPr="00B16BC0" w14:paraId="7BC7A31B" w14:textId="77777777" w:rsidTr="00627FEF">
        <w:trPr>
          <w:trHeight w:val="716"/>
        </w:trPr>
        <w:tc>
          <w:tcPr>
            <w:tcW w:w="5000" w:type="pct"/>
            <w:shd w:val="clear" w:color="auto" w:fill="FFFFCC"/>
          </w:tcPr>
          <w:p w14:paraId="651F45DA" w14:textId="77777777" w:rsidR="00DD0A96" w:rsidRPr="00B16BC0" w:rsidRDefault="00DD0A96" w:rsidP="00D23617">
            <w:pPr>
              <w:pStyle w:val="TableParagraph"/>
              <w:spacing w:before="60" w:after="60"/>
              <w:ind w:left="113" w:right="113"/>
              <w:rPr>
                <w:b/>
                <w:noProof/>
              </w:rPr>
            </w:pPr>
            <w:r>
              <w:rPr>
                <w:b/>
              </w:rPr>
              <w:t xml:space="preserve">28. Iepriekšpastāvējušu un jaunu kontu identificēšana jaunām finanšu iestādēm, kas sniedz ziņojumus, un jauniem finanšu kontiem (pārskatītais </w:t>
            </w:r>
            <w:r>
              <w:rPr>
                <w:b/>
                <w:i/>
                <w:iCs/>
              </w:rPr>
              <w:t>CRS</w:t>
            </w:r>
            <w:r>
              <w:rPr>
                <w:b/>
              </w:rPr>
              <w:t>)</w:t>
            </w:r>
          </w:p>
        </w:tc>
      </w:tr>
      <w:tr w:rsidR="00627FEF" w:rsidRPr="00B16BC0" w14:paraId="4A125FDE" w14:textId="77777777" w:rsidTr="00627FEF">
        <w:trPr>
          <w:trHeight w:val="716"/>
        </w:trPr>
        <w:tc>
          <w:tcPr>
            <w:tcW w:w="5000" w:type="pct"/>
          </w:tcPr>
          <w:p w14:paraId="3DF4A11D" w14:textId="77777777" w:rsidR="00627FEF" w:rsidRPr="00B16BC0" w:rsidRDefault="00627FEF" w:rsidP="00D23617">
            <w:pPr>
              <w:pStyle w:val="TableParagraph"/>
              <w:spacing w:before="60" w:after="60"/>
              <w:ind w:left="113" w:right="113"/>
              <w:rPr>
                <w:b/>
                <w:noProof/>
              </w:rPr>
            </w:pPr>
            <w:r>
              <w:rPr>
                <w:b/>
                <w:i/>
                <w:iCs/>
              </w:rPr>
              <w:t>CRS</w:t>
            </w:r>
            <w:r>
              <w:rPr>
                <w:b/>
              </w:rPr>
              <w:t xml:space="preserve"> noteikto pienācīgas pārbaudes procedūru kontekstā finanšu iestādēm, kas sniedz ziņojumus, ir pienākums identificēt un piemērot pienācīgas pārbaudes procedūras iepriekšpastāvējušiem kontiem līdz noteiktā termiņa pēdējai dienai, kā arī piemērot jaunu kontu pienācīgas pārbaudes procedūras no šīs dienas.</w:t>
            </w:r>
          </w:p>
          <w:p w14:paraId="6CD5AABA" w14:textId="77777777" w:rsidR="00627FEF" w:rsidRPr="00B16BC0" w:rsidRDefault="00627FEF" w:rsidP="00D23617">
            <w:pPr>
              <w:pStyle w:val="TableParagraph"/>
              <w:spacing w:before="60" w:after="60"/>
              <w:ind w:left="113" w:right="113"/>
              <w:rPr>
                <w:b/>
                <w:noProof/>
              </w:rPr>
            </w:pPr>
            <w:r>
              <w:rPr>
                <w:b/>
              </w:rPr>
              <w:t xml:space="preserve">Ja vienība kļūst par finanšu iestādi, kas sniedz ziņojumus, vai konts kļūst par finanšu kontu tādu tiesību aktu grozījumu dēļ, ar kuriem tiek paplašināta </w:t>
            </w:r>
            <w:r>
              <w:rPr>
                <w:b/>
                <w:i/>
                <w:iCs/>
              </w:rPr>
              <w:t>CRS</w:t>
            </w:r>
            <w:r>
              <w:rPr>
                <w:b/>
              </w:rPr>
              <w:t xml:space="preserve"> piemērošanas joma, kura diena uzskatāma par pēdējo dienu, lai piemērotu iepriekšpastāvējušu kontu vai jaunu kontu pienācīgas pārbaudes procedūras attiecībā uz šiem finanšu kontiem?</w:t>
            </w:r>
          </w:p>
          <w:p w14:paraId="1F2E30C9" w14:textId="5C038F90" w:rsidR="00627FEF" w:rsidRPr="00B16BC0" w:rsidRDefault="00627FEF" w:rsidP="00D23617">
            <w:pPr>
              <w:pStyle w:val="TableParagraph"/>
              <w:spacing w:before="60" w:after="60"/>
              <w:ind w:left="113" w:right="113"/>
              <w:rPr>
                <w:b/>
                <w:noProof/>
              </w:rPr>
            </w:pPr>
            <w:r>
              <w:t xml:space="preserve">Ja vienība kļūst par finanšu iestādi, kas sniedz ziņojumus, vai konts kļūst par finanšu kontu tādu tiesību aktu grozījumu dēļ, ar kuriem tiek paplašināta </w:t>
            </w:r>
            <w:r>
              <w:rPr>
                <w:i/>
                <w:iCs/>
              </w:rPr>
              <w:t>CRS</w:t>
            </w:r>
            <w:r>
              <w:t xml:space="preserve"> piemērošanas joma, par attiecīgo noteiktā termiņa pēdējo dienu uzskatāma šo tiesību aktu grozījumu spēkā stāšanās diena. Piemēram, ja </w:t>
            </w:r>
            <w:r>
              <w:rPr>
                <w:i/>
                <w:iCs/>
              </w:rPr>
              <w:t>CRS</w:t>
            </w:r>
            <w:r>
              <w:t xml:space="preserve"> grozījumi stājas spēkā 2026. gada 1. janvārī, tad attiecībā uz kontiem, kas tiesību aktu grozījumu dēļ kļuvuši par finanšu kontiem, iepriekšpastāvējušu kontu pienācīgas pārbaudes procedūras piemēro finanšu kontiem, kas atvērti līdz 2025. gada 31. decembrim, savukārt jaunu kontu pienācīgas pārbaudes procedūras piemēro finanšu kontiem, kas atvērti 2026. gada 1. janvārī vai vēlāk.</w:t>
            </w:r>
          </w:p>
        </w:tc>
      </w:tr>
    </w:tbl>
    <w:p w14:paraId="555DA8BF" w14:textId="77777777" w:rsidR="00DD0A96" w:rsidRDefault="00DD0A96" w:rsidP="00D23617">
      <w:pPr>
        <w:pStyle w:val="TableParagraph"/>
        <w:spacing w:before="60" w:after="60"/>
      </w:pPr>
    </w:p>
    <w:p w14:paraId="27BE1C70" w14:textId="77777777" w:rsidR="00697579" w:rsidRPr="00697579" w:rsidRDefault="00697579" w:rsidP="00697579"/>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9064"/>
        <w:gridCol w:w="24"/>
      </w:tblGrid>
      <w:tr w:rsidR="00DD0A96" w:rsidRPr="00B16BC0" w14:paraId="4B8DC7F6" w14:textId="77777777" w:rsidTr="00697579">
        <w:trPr>
          <w:trHeight w:val="551"/>
        </w:trPr>
        <w:tc>
          <w:tcPr>
            <w:tcW w:w="5000" w:type="pct"/>
            <w:gridSpan w:val="2"/>
            <w:shd w:val="clear" w:color="auto" w:fill="92CDDC"/>
          </w:tcPr>
          <w:p w14:paraId="5998875C" w14:textId="77777777" w:rsidR="00DD0A96" w:rsidRPr="00B16BC0" w:rsidRDefault="00DD0A96" w:rsidP="00D23617">
            <w:pPr>
              <w:pStyle w:val="TableParagraph"/>
              <w:spacing w:before="60" w:after="60"/>
              <w:ind w:left="113" w:right="113"/>
              <w:jc w:val="center"/>
              <w:rPr>
                <w:b/>
                <w:noProof/>
              </w:rPr>
            </w:pPr>
            <w:r>
              <w:rPr>
                <w:b/>
              </w:rPr>
              <w:t>VIII PANTS. DEFINĪCIJAS</w:t>
            </w:r>
          </w:p>
        </w:tc>
      </w:tr>
      <w:tr w:rsidR="00DD0A96" w:rsidRPr="00B16BC0" w14:paraId="550EB6FA" w14:textId="77777777" w:rsidTr="00697579">
        <w:trPr>
          <w:trHeight w:val="553"/>
        </w:trPr>
        <w:tc>
          <w:tcPr>
            <w:tcW w:w="5000" w:type="pct"/>
            <w:gridSpan w:val="2"/>
            <w:shd w:val="clear" w:color="auto" w:fill="92CDDC"/>
          </w:tcPr>
          <w:p w14:paraId="193D05A8" w14:textId="77777777" w:rsidR="00DD0A96" w:rsidRPr="00B16BC0" w:rsidRDefault="00DD0A96" w:rsidP="00D23617">
            <w:pPr>
              <w:pStyle w:val="TableParagraph"/>
              <w:spacing w:before="60" w:after="60"/>
              <w:ind w:left="113" w:right="113"/>
              <w:jc w:val="center"/>
              <w:rPr>
                <w:b/>
                <w:noProof/>
              </w:rPr>
            </w:pPr>
            <w:r>
              <w:rPr>
                <w:b/>
              </w:rPr>
              <w:t>A. FINANŠU IESTĀDES, KAS SNIEDZ ZIŅOJUMUS</w:t>
            </w:r>
          </w:p>
        </w:tc>
      </w:tr>
      <w:tr w:rsidR="00DD0A96" w:rsidRPr="00B16BC0" w14:paraId="637D17F6" w14:textId="77777777" w:rsidTr="00697579">
        <w:trPr>
          <w:trHeight w:val="549"/>
        </w:trPr>
        <w:tc>
          <w:tcPr>
            <w:tcW w:w="5000" w:type="pct"/>
            <w:gridSpan w:val="2"/>
            <w:shd w:val="clear" w:color="auto" w:fill="DAEDF3"/>
          </w:tcPr>
          <w:p w14:paraId="308E7075" w14:textId="77777777" w:rsidR="00DD0A96" w:rsidRPr="00B16BC0" w:rsidRDefault="00DD0A96" w:rsidP="00D23617">
            <w:pPr>
              <w:pStyle w:val="TableParagraph"/>
              <w:spacing w:before="60" w:after="60"/>
              <w:ind w:left="113" w:right="113"/>
              <w:rPr>
                <w:b/>
                <w:noProof/>
              </w:rPr>
            </w:pPr>
            <w:r>
              <w:rPr>
                <w:b/>
              </w:rPr>
              <w:t>1. Vienības un līdzekļu kopfonda veidošanas darbības</w:t>
            </w:r>
          </w:p>
        </w:tc>
      </w:tr>
      <w:tr w:rsidR="00DD0A96" w:rsidRPr="00B16BC0" w14:paraId="57670A53" w14:textId="77777777" w:rsidTr="00697579">
        <w:tc>
          <w:tcPr>
            <w:tcW w:w="0" w:type="auto"/>
            <w:gridSpan w:val="2"/>
          </w:tcPr>
          <w:p w14:paraId="510D21F1" w14:textId="77777777" w:rsidR="00DD0A96" w:rsidRPr="00B16BC0" w:rsidRDefault="00DD0A96" w:rsidP="00D23617">
            <w:pPr>
              <w:pStyle w:val="TableParagraph"/>
              <w:spacing w:before="60" w:after="60"/>
              <w:ind w:left="113" w:right="113" w:hanging="1"/>
              <w:rPr>
                <w:b/>
                <w:noProof/>
              </w:rPr>
            </w:pPr>
            <w:r>
              <w:rPr>
                <w:b/>
              </w:rPr>
              <w:t xml:space="preserve">Kāds </w:t>
            </w:r>
            <w:r>
              <w:rPr>
                <w:b/>
                <w:i/>
                <w:iCs/>
              </w:rPr>
              <w:t>CRS</w:t>
            </w:r>
            <w:r>
              <w:rPr>
                <w:b/>
              </w:rPr>
              <w:t xml:space="preserve"> izpratnē ir statuss vienībai, kura regulāri pārvalda apgrozāmo kapitālu, apvienojot kases atlikumus, tostarp pozitīvos un negatīvos kases atlikumus (t. i., veido līdzekļu kopfondu) vienā vai vairākās saistītajās vienībās, kuras galvenokārt veic darījumdarbību, kas nav finanšu iestādes darījumdarbība, un nesniedz līdzekļu kopfonda veidošanas pakalpojumus nevienai tādai vienībai, kura nav saistītā vienība?</w:t>
            </w:r>
          </w:p>
          <w:p w14:paraId="7FDBF1C4" w14:textId="77777777" w:rsidR="00DD0A96" w:rsidRPr="00B16BC0" w:rsidRDefault="00DD0A96" w:rsidP="00D23617">
            <w:pPr>
              <w:pStyle w:val="TableParagraph"/>
              <w:spacing w:before="60" w:after="60"/>
              <w:ind w:left="113" w:right="113"/>
              <w:rPr>
                <w:noProof/>
              </w:rPr>
            </w:pPr>
            <w:r>
              <w:t xml:space="preserve">Lai </w:t>
            </w:r>
            <w:r>
              <w:rPr>
                <w:i/>
                <w:iCs/>
              </w:rPr>
              <w:t>CRS</w:t>
            </w:r>
            <w:r>
              <w:t xml:space="preserve"> izpratnē noteiktu statusu vienībai, kura veido līdzekļu kopfondu, jāizvērtē, vai šī vienība ir finanšu iestāde, konkrētāk, noguldījumu iestāde vai ieguldījumu vienība, vai arī nefinanšu vienība. Standartā noguldījumu iestāde definēta kā vienība, kas pieņem noguldījumus, veicot parastu bankas darbību vai līdzīgu darījumdarbību (skat. VIII panta A punkta 5. apakšpunktu un komentāru par VIII pantu 12.–14. punktu). Lai noteiktu, vai vienība ir noguldījumu iestāde, jāņem vērā, ka vienība, kas veido līdzekļu kopfondu vienīgi vienas vai vairāku saistīto vienību vārdā, šādas darbības dēļ neveic bankas darbību vai līdzīgu darījumdarbību.</w:t>
            </w:r>
          </w:p>
          <w:p w14:paraId="33D6D687" w14:textId="77777777" w:rsidR="00DD0A96" w:rsidRPr="00B16BC0" w:rsidRDefault="00DD0A96" w:rsidP="00D23617">
            <w:pPr>
              <w:pStyle w:val="TableParagraph"/>
              <w:spacing w:before="60" w:after="60"/>
              <w:ind w:left="113" w:right="113" w:hanging="1"/>
              <w:rPr>
                <w:noProof/>
              </w:rPr>
            </w:pPr>
            <w:r>
              <w:t xml:space="preserve">Ja vienība nav noguldījumu iestāde, tā joprojām var būt finanšu iestāde, ja tā atbilst VIII panta A punkta 6. apakšpunktā minētās ieguldījumu vienības definīcijas nosacījumiem, izņemot </w:t>
            </w:r>
            <w:r>
              <w:lastRenderedPageBreak/>
              <w:t>gadījumus, kad šajā pantā skaidri noteikts, ka ieguldījumu vienība neietver vienību, kas ir aktīva nefinanšu vienība, jo tā atbilst jebkuram no D punkta 9. apakšpunkta d)–g) daļā minētajiem kritērijiem.</w:t>
            </w:r>
          </w:p>
          <w:p w14:paraId="53F0C94A" w14:textId="77777777" w:rsidR="00DD0A96" w:rsidRPr="00B16BC0" w:rsidRDefault="00DD0A96" w:rsidP="00D23617">
            <w:pPr>
              <w:pStyle w:val="TableParagraph"/>
              <w:spacing w:before="60" w:after="60"/>
              <w:ind w:left="113" w:right="113" w:firstLine="1"/>
              <w:rPr>
                <w:noProof/>
              </w:rPr>
            </w:pPr>
            <w:r>
              <w:t xml:space="preserve">VIII panta D punkta 9. apakšpunkta g) daļā minētā aktīvā nefinanšu vienība ietver nefinanšu vienību, kas galvenokārt iesaistās finansēšanas un riska ierobežošanas darījumos ar saistītām vienībām, kas nav finanšu iestādes, vai šādu vienību uzdevumā un nesniedz finansēšanas vai riska ierobežošanas pakalpojumus nevienai vienībai, kas nav saistītā vienība, ar nosacījumu, ka šādu saistītu vienību grupa galvenokārt ir iesaistīta darījumdarbībā, kas nav finanšu iestādes darījumdarbība (skat. VIII panta D punkta 9. apakšpunkta g) daļu). Tā kā līdzekļu kopfondu parasti veido, lai samazinātu ārējo parādu un palielinātu pieejamo likviditāti saistīto vienību vārdā, šādu darbību aktīvas nefinanšu vienības definīcijas izpratnē uzskata par finansēšanas darījumu. Tādēļ vienība, kas iesaistās līdzekļu kopfonda veidošanā vienas vai vairāku tādu saistīto vienību vārdā, kuras nav finanšu iestādes un nesniedz līdzekļu kopfonda veidošanas pakalpojumus nevienai vienībai, kas nav saistītā vienība (ar nosacījumu, ka šādu saistītu vienību grupa galvenokārt ir iesaistīta darījumdarbībā, kas nav finanšu iestādes darījumdarbība), </w:t>
            </w:r>
            <w:r>
              <w:rPr>
                <w:i/>
                <w:iCs/>
              </w:rPr>
              <w:t>CRS</w:t>
            </w:r>
            <w:r>
              <w:t xml:space="preserve"> izpratnē iegūst aktīvas nefinanšu vienības statusu.</w:t>
            </w:r>
          </w:p>
        </w:tc>
      </w:tr>
      <w:tr w:rsidR="00DD0A96" w:rsidRPr="00B16BC0" w14:paraId="60BFD00F" w14:textId="77777777" w:rsidTr="00697579">
        <w:trPr>
          <w:trHeight w:val="558"/>
        </w:trPr>
        <w:tc>
          <w:tcPr>
            <w:tcW w:w="0" w:type="auto"/>
            <w:gridSpan w:val="2"/>
            <w:shd w:val="clear" w:color="auto" w:fill="DAEDF3"/>
          </w:tcPr>
          <w:p w14:paraId="27040851" w14:textId="77777777" w:rsidR="00DD0A96" w:rsidRPr="00B16BC0" w:rsidRDefault="00DD0A96" w:rsidP="00D23617">
            <w:pPr>
              <w:pStyle w:val="TableParagraph"/>
              <w:spacing w:before="60" w:after="60"/>
              <w:ind w:left="113" w:right="113"/>
              <w:rPr>
                <w:b/>
                <w:noProof/>
              </w:rPr>
            </w:pPr>
            <w:r>
              <w:rPr>
                <w:b/>
              </w:rPr>
              <w:t>2. Finanšu grupas kontrolakciju sabiedrība vai finanšu līdzekļu centrs</w:t>
            </w:r>
          </w:p>
        </w:tc>
      </w:tr>
      <w:tr w:rsidR="00627FEF" w:rsidRPr="00B16BC0" w14:paraId="498BF6A4" w14:textId="77777777" w:rsidTr="00697579">
        <w:trPr>
          <w:trHeight w:val="558"/>
        </w:trPr>
        <w:tc>
          <w:tcPr>
            <w:tcW w:w="0" w:type="auto"/>
            <w:gridSpan w:val="2"/>
            <w:tcBorders>
              <w:bottom w:val="single" w:sz="6" w:space="0" w:color="000000"/>
            </w:tcBorders>
          </w:tcPr>
          <w:p w14:paraId="1981D6CF" w14:textId="77777777" w:rsidR="00627FEF" w:rsidRPr="00B16BC0" w:rsidRDefault="00627FEF" w:rsidP="00D23617">
            <w:pPr>
              <w:pStyle w:val="TableParagraph"/>
              <w:spacing w:before="60" w:after="60"/>
              <w:ind w:left="113" w:right="113" w:hanging="1"/>
              <w:rPr>
                <w:b/>
                <w:noProof/>
              </w:rPr>
            </w:pPr>
            <w:r>
              <w:rPr>
                <w:b/>
              </w:rPr>
              <w:t xml:space="preserve">Kādos apstākļos (ja tādi pastāv) finanšu grupas kontrolakciju sabiedrība vai finanšu līdzekļu centrs </w:t>
            </w:r>
            <w:r>
              <w:rPr>
                <w:b/>
                <w:i/>
                <w:iCs/>
              </w:rPr>
              <w:t>CRS</w:t>
            </w:r>
            <w:r>
              <w:rPr>
                <w:b/>
              </w:rPr>
              <w:t xml:space="preserve"> izpratnē iegūst finanšu iestādes statusu?</w:t>
            </w:r>
          </w:p>
          <w:p w14:paraId="5C732CD6" w14:textId="251A85E3" w:rsidR="00627FEF" w:rsidRPr="00B16BC0" w:rsidRDefault="00627FEF" w:rsidP="00D23617">
            <w:pPr>
              <w:pStyle w:val="TableParagraph"/>
              <w:spacing w:before="60" w:after="60"/>
              <w:ind w:left="113" w:right="113"/>
              <w:rPr>
                <w:b/>
                <w:noProof/>
              </w:rPr>
            </w:pPr>
            <w:r>
              <w:t>Finanšu grupas kontrolakciju sabiedrība vai finanšu līdzekļu centrs iegūst finanšu iestādes statusu, ja tie atbilst VIII panta A punktā ietvertās finanšu iestādes definīcijas nosacījumiem. Līdz ar to tas, vai kontrolakciju sabiedrība vai finanšu līdzekļu centrs iegūst finanšu iestādes statusu, ir atkarīgs no noteiktiem faktiem un apstākļiem, jo īpaši no tā, vai tie veic konkrētas finanšu iestādes darbības vai operācijas (kā noteikts VIII panta A punktā), pat ja šīs darbības vai operācijas tiek veiktas vienīgi saistīto vienību vai to akcionāru vārdā. Vienība, kura, piemēram, veic vienīgi ārvalstu valūtas riska ierobežošanas darījumus finanšu grupas saistīto vienību vārdā, lai novērstu ārvalstu valūtas risku šajā grupā, atbilst finanšu iestādes definīcijai, ja ir izpildīti arī pārējie ieguldījumu vienības definīcijas nosacījumi. Arī kontrolakciju sabiedrība atbilst finanšu iestādes, konkrētāk, ieguldījumu vienības, definīcijai, ja tā darbojas vai pasniedz sevi kā ieguldījumu fondu, privāta kapitāla fondu, riska kapitāla fondu vai līdzīgu ieguldījumu instrumentu, ja ieguldītāji piedalās (ar parāda vai kapitāla instrumentu starpniecību) ieguldījumu shēmās ar kontrolakciju sabiedrības starpniecību (skat. komentāru par VIII pantu 20. punktu).</w:t>
            </w:r>
          </w:p>
        </w:tc>
      </w:tr>
      <w:tr w:rsidR="00DD0A96" w:rsidRPr="00B16BC0" w14:paraId="6A900E4E" w14:textId="77777777" w:rsidTr="00697579">
        <w:trPr>
          <w:trHeight w:val="410"/>
        </w:trPr>
        <w:tc>
          <w:tcPr>
            <w:tcW w:w="0" w:type="auto"/>
            <w:gridSpan w:val="2"/>
            <w:tcBorders>
              <w:bottom w:val="nil"/>
            </w:tcBorders>
            <w:shd w:val="clear" w:color="auto" w:fill="DAEDF3"/>
          </w:tcPr>
          <w:p w14:paraId="28EEC1DD" w14:textId="77777777" w:rsidR="00DD0A96" w:rsidRPr="00B16BC0" w:rsidRDefault="00DD0A96" w:rsidP="00D23617">
            <w:pPr>
              <w:pStyle w:val="TableParagraph"/>
              <w:spacing w:before="60" w:after="60"/>
              <w:ind w:left="113" w:right="113"/>
              <w:rPr>
                <w:b/>
                <w:noProof/>
              </w:rPr>
            </w:pPr>
            <w:r>
              <w:rPr>
                <w:b/>
              </w:rPr>
              <w:t>3. Ieguldījumu vienība*</w:t>
            </w:r>
          </w:p>
        </w:tc>
      </w:tr>
      <w:tr w:rsidR="00DD0A96" w:rsidRPr="00B16BC0" w14:paraId="38BE22C6" w14:textId="77777777" w:rsidTr="00697579">
        <w:trPr>
          <w:trHeight w:val="551"/>
        </w:trPr>
        <w:tc>
          <w:tcPr>
            <w:tcW w:w="0" w:type="auto"/>
            <w:gridSpan w:val="2"/>
            <w:shd w:val="clear" w:color="auto" w:fill="DAEDF3"/>
          </w:tcPr>
          <w:p w14:paraId="10661EF4" w14:textId="77777777" w:rsidR="00DD0A96" w:rsidRPr="00B16BC0" w:rsidRDefault="00DD0A96" w:rsidP="00D23617">
            <w:pPr>
              <w:pStyle w:val="TableParagraph"/>
              <w:spacing w:before="60" w:after="60"/>
              <w:ind w:left="113" w:right="113"/>
              <w:rPr>
                <w:b/>
                <w:noProof/>
              </w:rPr>
            </w:pPr>
            <w:r>
              <w:rPr>
                <w:b/>
              </w:rPr>
              <w:t xml:space="preserve">4. Paļaušanās uz </w:t>
            </w:r>
            <w:r>
              <w:rPr>
                <w:b/>
                <w:i/>
                <w:iCs/>
              </w:rPr>
              <w:t>FATCA</w:t>
            </w:r>
            <w:r>
              <w:rPr>
                <w:b/>
              </w:rPr>
              <w:t xml:space="preserve"> 1. parauga starpvaldību nolīgumā lietoto ieguldījumu vienības definīciju </w:t>
            </w:r>
            <w:r>
              <w:rPr>
                <w:b/>
                <w:i/>
                <w:iCs/>
              </w:rPr>
              <w:t>CRS</w:t>
            </w:r>
            <w:r>
              <w:rPr>
                <w:b/>
              </w:rPr>
              <w:t xml:space="preserve"> ieviešanā</w:t>
            </w:r>
          </w:p>
        </w:tc>
      </w:tr>
      <w:tr w:rsidR="00DD0A96" w:rsidRPr="00B16BC0" w14:paraId="5E4ECA63" w14:textId="77777777" w:rsidTr="00697579">
        <w:trPr>
          <w:trHeight w:val="4348"/>
        </w:trPr>
        <w:tc>
          <w:tcPr>
            <w:tcW w:w="0" w:type="auto"/>
            <w:gridSpan w:val="2"/>
          </w:tcPr>
          <w:p w14:paraId="7148DF3E" w14:textId="77777777" w:rsidR="00DD0A96" w:rsidRPr="00B16BC0" w:rsidRDefault="00DD0A96" w:rsidP="00D23617">
            <w:pPr>
              <w:pStyle w:val="TableParagraph"/>
              <w:spacing w:before="60" w:after="60"/>
              <w:ind w:left="113" w:right="113"/>
              <w:rPr>
                <w:b/>
                <w:noProof/>
              </w:rPr>
            </w:pPr>
            <w:r>
              <w:rPr>
                <w:b/>
              </w:rPr>
              <w:t xml:space="preserve">Vai </w:t>
            </w:r>
            <w:r>
              <w:rPr>
                <w:b/>
                <w:i/>
                <w:iCs/>
              </w:rPr>
              <w:t>CRS</w:t>
            </w:r>
            <w:r>
              <w:rPr>
                <w:b/>
              </w:rPr>
              <w:t xml:space="preserve"> ieviešanā jurisdikcijas var paļauties uz </w:t>
            </w:r>
            <w:r>
              <w:rPr>
                <w:b/>
                <w:i/>
                <w:iCs/>
              </w:rPr>
              <w:t>FATCA</w:t>
            </w:r>
            <w:r>
              <w:rPr>
                <w:b/>
              </w:rPr>
              <w:t xml:space="preserve"> 1. parauga starpvaldību nolīgumā lietoto ieguldījumu vienības definīciju?</w:t>
            </w:r>
          </w:p>
          <w:p w14:paraId="13A93B26" w14:textId="77777777" w:rsidR="00DD0A96" w:rsidRPr="00B16BC0" w:rsidRDefault="00DD0A96" w:rsidP="00D23617">
            <w:pPr>
              <w:pStyle w:val="TableParagraph"/>
              <w:spacing w:before="60" w:after="60"/>
              <w:ind w:left="113" w:right="113"/>
              <w:rPr>
                <w:noProof/>
              </w:rPr>
            </w:pPr>
            <w:r>
              <w:t xml:space="preserve">Nē, </w:t>
            </w:r>
            <w:r>
              <w:rPr>
                <w:i/>
                <w:iCs/>
              </w:rPr>
              <w:t>CRS</w:t>
            </w:r>
            <w:r>
              <w:t xml:space="preserve"> ieviešanā nevar izmantot tikai </w:t>
            </w:r>
            <w:r>
              <w:rPr>
                <w:i/>
                <w:iCs/>
              </w:rPr>
              <w:t>FATCA</w:t>
            </w:r>
            <w:r>
              <w:t xml:space="preserve"> 1. parauga starpvaldību nolīguma 1. panta 1. punkta j) daļā lietoto ieguldījumu vienības definīciju, jo tā ir šaurāka nekā VIII panta A punkta 6. apakšpunktā ietvertā ieguldījumu vienības definīcija. Tomēr </w:t>
            </w:r>
            <w:r>
              <w:rPr>
                <w:i/>
                <w:iCs/>
              </w:rPr>
              <w:t>FATCA</w:t>
            </w:r>
            <w:r>
              <w:t xml:space="preserve"> 1. parauga starpvaldību nolīgumā un </w:t>
            </w:r>
            <w:r>
              <w:rPr>
                <w:i/>
                <w:iCs/>
              </w:rPr>
              <w:t>CRS</w:t>
            </w:r>
            <w:r>
              <w:t xml:space="preserve"> lietotās definīcijas var interpretēt saskaņoti. Piemēram, </w:t>
            </w:r>
            <w:r>
              <w:rPr>
                <w:i/>
                <w:iCs/>
              </w:rPr>
              <w:t>CRS</w:t>
            </w:r>
            <w:r>
              <w:t xml:space="preserve"> lietotajā definīcijā ietverts bruto ienākumu kritērijs, lai noteiktu, vai vienības darījumdarbība galvenokārt ir viena vai vairākas A punkta 6. apakšpunkta a) daļā aprakstītās darbības un vai vienības bruto ienākumi galvenokārt ir saistīti ar finanšu aktīvu ieguldīšanu, atkārtotu ieguldīšanu vai tirdzniecību A punkta 6. apakšpunkta b) daļas izpratnē, un to var izmantot, lai interpretētu šaurākus </w:t>
            </w:r>
            <w:r>
              <w:rPr>
                <w:i/>
                <w:iCs/>
              </w:rPr>
              <w:t>FATCA</w:t>
            </w:r>
            <w:r>
              <w:t xml:space="preserve"> 1. parauga starpvaldību nolīgumā lietotās definīcijas aspektus. </w:t>
            </w:r>
            <w:r>
              <w:rPr>
                <w:i/>
                <w:iCs/>
              </w:rPr>
              <w:t>CRS</w:t>
            </w:r>
            <w:r>
              <w:t xml:space="preserve"> lietotā definīcija faktiski ir balstīta uz ieguldījumu vienības definīciju, kas sniegta ASV </w:t>
            </w:r>
            <w:r>
              <w:rPr>
                <w:i/>
                <w:iCs/>
              </w:rPr>
              <w:t>FATCA</w:t>
            </w:r>
            <w:r>
              <w:t xml:space="preserve"> noteikumos, kurus var izmantot </w:t>
            </w:r>
            <w:r>
              <w:rPr>
                <w:i/>
                <w:iCs/>
              </w:rPr>
              <w:t>FATCA</w:t>
            </w:r>
            <w:r>
              <w:t xml:space="preserve"> 1. parauga starpvaldību nolīgumā lietotās definīcijas interpretēšanai.</w:t>
            </w:r>
          </w:p>
        </w:tc>
      </w:tr>
      <w:tr w:rsidR="00DD0A96" w:rsidRPr="00B16BC0" w14:paraId="01DBC7D7" w14:textId="77777777" w:rsidTr="00697579">
        <w:trPr>
          <w:trHeight w:val="448"/>
        </w:trPr>
        <w:tc>
          <w:tcPr>
            <w:tcW w:w="0" w:type="auto"/>
            <w:gridSpan w:val="2"/>
            <w:shd w:val="clear" w:color="auto" w:fill="DAEDF3"/>
          </w:tcPr>
          <w:p w14:paraId="0FB730E7" w14:textId="77777777" w:rsidR="00DD0A96" w:rsidRPr="00B16BC0" w:rsidRDefault="00DD0A96" w:rsidP="00D23617">
            <w:pPr>
              <w:pStyle w:val="TableParagraph"/>
              <w:spacing w:before="60" w:after="60"/>
              <w:ind w:left="113" w:right="113"/>
              <w:rPr>
                <w:b/>
                <w:noProof/>
              </w:rPr>
            </w:pPr>
            <w:r>
              <w:rPr>
                <w:b/>
              </w:rPr>
              <w:lastRenderedPageBreak/>
              <w:t>5. Netiešie ieguldījumi nekustamajā īpašumā</w:t>
            </w:r>
          </w:p>
        </w:tc>
      </w:tr>
      <w:tr w:rsidR="00DD0A96" w:rsidRPr="00B16BC0" w14:paraId="4C70F303" w14:textId="77777777" w:rsidTr="00697579">
        <w:trPr>
          <w:trHeight w:val="3106"/>
        </w:trPr>
        <w:tc>
          <w:tcPr>
            <w:tcW w:w="0" w:type="auto"/>
            <w:gridSpan w:val="2"/>
          </w:tcPr>
          <w:p w14:paraId="678E463D" w14:textId="77777777" w:rsidR="00DD0A96" w:rsidRPr="00B16BC0" w:rsidRDefault="00DD0A96" w:rsidP="00D23617">
            <w:pPr>
              <w:pStyle w:val="TableParagraph"/>
              <w:spacing w:before="60" w:after="60"/>
              <w:ind w:left="113" w:right="113" w:firstLine="1"/>
              <w:rPr>
                <w:b/>
                <w:noProof/>
              </w:rPr>
            </w:pPr>
            <w:r>
              <w:rPr>
                <w:b/>
              </w:rPr>
              <w:t>Vai vienība iegūst ieguldījumu vienības statusu, ja tās bruto ienākumi galvenokārt saistīti ar netiešu(-iem) ieguldījumu(-iem) nekustamajā īpašumā?</w:t>
            </w:r>
          </w:p>
          <w:p w14:paraId="582988C6" w14:textId="77777777" w:rsidR="00DD0A96" w:rsidRPr="00B16BC0" w:rsidRDefault="00DD0A96" w:rsidP="00D23617">
            <w:pPr>
              <w:pStyle w:val="TableParagraph"/>
              <w:spacing w:before="60" w:after="60"/>
              <w:ind w:left="113" w:right="113"/>
              <w:rPr>
                <w:noProof/>
              </w:rPr>
            </w:pPr>
            <w:r>
              <w:t>Vienība, kuras bruto ienākumi galvenokārt saistīti ar ieguldījumiem vai atkārtotu ieguldīšanu nekustamajā īpašumā vai tā tirdzniecību, nav uzskatāma par ieguldījumu vienību (neatkarīgi no tā, vai tā tiek profesionāli pārvaldīta), jo nekustamo īpašumu neuzskata par finanšu aktīvu (skat. komentāru par VIII pantu 17. punktu). Ja vienībai ir līdzdalības daļa kāda citā vienībā, kas ir tieša nekustamā īpašuma turētāja, pirmās pieminētās vienības līdzdalības daļa uzskatāma par finanšu aktīvu, un no šīs līdzdalības daļas iegūtie bruto ienākumi jāņem vērā, lai noteiktu, vai vienība atbilst VIII panta A punkta 6. apakšpunkta a) daļas iii) punktā vai A punkta 6. apakšpunkta b) daļā minētās ieguldījumu vienības definīcijas nosacījumiem (skat. finanšu aktīva definīciju VIII panta A punkta 7. apakšpunktā).</w:t>
            </w:r>
          </w:p>
        </w:tc>
      </w:tr>
      <w:tr w:rsidR="00DD0A96" w:rsidRPr="00B16BC0" w14:paraId="2045A1E6" w14:textId="77777777" w:rsidTr="00697579">
        <w:trPr>
          <w:trHeight w:val="400"/>
        </w:trPr>
        <w:tc>
          <w:tcPr>
            <w:tcW w:w="0" w:type="auto"/>
            <w:gridSpan w:val="2"/>
            <w:shd w:val="clear" w:color="auto" w:fill="DAEDF3"/>
          </w:tcPr>
          <w:p w14:paraId="2427A730" w14:textId="77777777" w:rsidR="00DD0A96" w:rsidRPr="00B16BC0" w:rsidRDefault="00DD0A96" w:rsidP="00D23617">
            <w:pPr>
              <w:pStyle w:val="TableParagraph"/>
              <w:spacing w:before="60" w:after="60"/>
              <w:ind w:left="113" w:right="113"/>
              <w:rPr>
                <w:b/>
                <w:noProof/>
              </w:rPr>
            </w:pPr>
            <w:r>
              <w:rPr>
                <w:b/>
              </w:rPr>
              <w:t>6. Ieguldījumu vienības definīcija – jēdziens “atrašanās pārvaldībā”</w:t>
            </w:r>
          </w:p>
        </w:tc>
      </w:tr>
      <w:tr w:rsidR="00DD0A96" w:rsidRPr="00B16BC0" w14:paraId="7D610BD5" w14:textId="77777777" w:rsidTr="00697579">
        <w:trPr>
          <w:trHeight w:val="1838"/>
        </w:trPr>
        <w:tc>
          <w:tcPr>
            <w:tcW w:w="0" w:type="auto"/>
            <w:gridSpan w:val="2"/>
          </w:tcPr>
          <w:p w14:paraId="2A60B6A5" w14:textId="77777777" w:rsidR="00DD0A96" w:rsidRPr="00B16BC0" w:rsidRDefault="00DD0A96" w:rsidP="00D23617">
            <w:pPr>
              <w:pStyle w:val="TableParagraph"/>
              <w:spacing w:before="60" w:after="60"/>
              <w:ind w:left="113" w:right="113"/>
              <w:rPr>
                <w:b/>
                <w:noProof/>
              </w:rPr>
            </w:pPr>
            <w:r>
              <w:rPr>
                <w:b/>
              </w:rPr>
              <w:t>Vai VIII panta A punkta 6. apakšpunkta b) daļas izpratnē jēdziens “atrašanās pārvaldībā” ietver arī gadījumus, kad vienība var pārvaldīt citas vienības aktīvus pēc saviem ieskatiem (pilnīgi vai daļēji), bet nepārvalda otru vienību?</w:t>
            </w:r>
          </w:p>
          <w:p w14:paraId="5B4B935C" w14:textId="77777777" w:rsidR="00DD0A96" w:rsidRPr="00B16BC0" w:rsidRDefault="00DD0A96" w:rsidP="00D23617">
            <w:pPr>
              <w:pStyle w:val="TableParagraph"/>
              <w:spacing w:before="60" w:after="60"/>
              <w:ind w:left="113" w:right="113" w:hanging="2"/>
              <w:rPr>
                <w:noProof/>
              </w:rPr>
            </w:pPr>
            <w:r>
              <w:t>Jā, VIII panta A punkta 6. apakšpunkta b) daļas izpratnē jēdziens “atrašanās pārvaldībā” ietver arī gadījumus, kad vienība var pārvaldīt citas vienības aktīvus pēc saviem ieskatiem (pilnīgi vai daļēji), bet nepārvalda otru vienību.</w:t>
            </w:r>
          </w:p>
        </w:tc>
      </w:tr>
      <w:tr w:rsidR="00DD0A96" w:rsidRPr="00B16BC0" w14:paraId="6E5CC241" w14:textId="77777777" w:rsidTr="00697579">
        <w:trPr>
          <w:trHeight w:val="551"/>
        </w:trPr>
        <w:tc>
          <w:tcPr>
            <w:tcW w:w="0" w:type="auto"/>
            <w:gridSpan w:val="2"/>
            <w:shd w:val="clear" w:color="auto" w:fill="DAEDF3"/>
          </w:tcPr>
          <w:p w14:paraId="0F0FDB4D" w14:textId="77777777" w:rsidR="00DD0A96" w:rsidRPr="00B16BC0" w:rsidRDefault="00DD0A96" w:rsidP="00D23617">
            <w:pPr>
              <w:pStyle w:val="TableParagraph"/>
              <w:spacing w:before="60" w:after="60"/>
              <w:ind w:left="113" w:right="113"/>
              <w:rPr>
                <w:b/>
                <w:noProof/>
              </w:rPr>
            </w:pPr>
            <w:r>
              <w:rPr>
                <w:b/>
              </w:rPr>
              <w:t>7. Ieguldījumu vienības definīcija – būtiskās darbības kritērijs</w:t>
            </w:r>
          </w:p>
        </w:tc>
      </w:tr>
      <w:tr w:rsidR="005A0268" w:rsidRPr="00B16BC0" w14:paraId="4841DE86" w14:textId="77777777" w:rsidTr="00CF2EA0">
        <w:trPr>
          <w:trHeight w:val="2059"/>
        </w:trPr>
        <w:tc>
          <w:tcPr>
            <w:tcW w:w="0" w:type="auto"/>
            <w:gridSpan w:val="2"/>
          </w:tcPr>
          <w:p w14:paraId="2202841D" w14:textId="77777777" w:rsidR="005A0268" w:rsidRPr="00B16BC0" w:rsidRDefault="005A0268" w:rsidP="00D23617">
            <w:pPr>
              <w:pStyle w:val="TableParagraph"/>
              <w:spacing w:before="60" w:after="60"/>
              <w:ind w:left="113" w:right="113"/>
              <w:rPr>
                <w:b/>
                <w:noProof/>
              </w:rPr>
            </w:pPr>
            <w:r>
              <w:rPr>
                <w:b/>
              </w:rPr>
              <w:t>Nosakot, vai vienība atbilst “50 % bruto ienākumu kritērijam” ieguldījumu vienības definīcijas izpratnē, vai ir pieļaujams piemērot trīs gadu kritēriju nekalendārā gada pārskata perioda pēdējā dienā, tāpat kā tas paredzēts “20 % bruto ienākumu kritērijam” attiecībā uz turētājiestādēm?</w:t>
            </w:r>
          </w:p>
          <w:p w14:paraId="479207CB" w14:textId="62EBB047" w:rsidR="00D23617" w:rsidRPr="009077AE" w:rsidRDefault="005A0268" w:rsidP="009077AE">
            <w:pPr>
              <w:pStyle w:val="TableParagraph"/>
              <w:spacing w:before="60" w:after="60"/>
              <w:ind w:left="113" w:right="113"/>
            </w:pPr>
            <w:r>
              <w:t>Jā. Saskaņā ar turētājiestādēm izvēlēto pieeju trīs gadu kritēriju, lai noteiktu, vai vienība atbilst “50 % bruto ienākumu kritērijam” ieguldījumu vienības definīcijas izpratnē, var piemērot nekalendarā gada pārskata perioda pēdējā dienā tajā gadā, kas ir pirms gada, kurā veikta noteikšana.</w:t>
            </w:r>
          </w:p>
        </w:tc>
      </w:tr>
      <w:tr w:rsidR="00DD0A96" w:rsidRPr="00B16BC0" w14:paraId="571F2E7D" w14:textId="77777777" w:rsidTr="00697579">
        <w:trPr>
          <w:trHeight w:val="551"/>
        </w:trPr>
        <w:tc>
          <w:tcPr>
            <w:tcW w:w="0" w:type="auto"/>
            <w:gridSpan w:val="2"/>
            <w:shd w:val="clear" w:color="auto" w:fill="DAEDF3"/>
          </w:tcPr>
          <w:p w14:paraId="7756C70D" w14:textId="77777777" w:rsidR="00DD0A96" w:rsidRPr="00B16BC0" w:rsidRDefault="00DD0A96" w:rsidP="00D23617">
            <w:pPr>
              <w:pStyle w:val="TableParagraph"/>
              <w:spacing w:before="60" w:after="60"/>
              <w:ind w:left="113" w:right="113"/>
              <w:rPr>
                <w:b/>
                <w:noProof/>
              </w:rPr>
            </w:pPr>
            <w:r>
              <w:rPr>
                <w:b/>
              </w:rPr>
              <w:t>8. E-naudas pakalpojumu sniedzēju kvalificēšana par noguldījumu iestādēm*</w:t>
            </w:r>
          </w:p>
        </w:tc>
      </w:tr>
      <w:tr w:rsidR="00DD0A96" w:rsidRPr="00B16BC0" w14:paraId="5F5F7959" w14:textId="77777777" w:rsidTr="00CF2EA0">
        <w:trPr>
          <w:trHeight w:val="424"/>
        </w:trPr>
        <w:tc>
          <w:tcPr>
            <w:tcW w:w="0" w:type="auto"/>
            <w:gridSpan w:val="2"/>
            <w:shd w:val="clear" w:color="auto" w:fill="DAEDF3"/>
          </w:tcPr>
          <w:p w14:paraId="6640CF59" w14:textId="131049C6" w:rsidR="00DD0A96" w:rsidRPr="00B16BC0" w:rsidRDefault="005A0268" w:rsidP="00D23617">
            <w:pPr>
              <w:pStyle w:val="TableParagraph"/>
              <w:spacing w:before="60" w:after="60"/>
              <w:jc w:val="left"/>
              <w:rPr>
                <w:b/>
                <w:noProof/>
              </w:rPr>
            </w:pPr>
            <w:r>
              <w:rPr>
                <w:b/>
              </w:rPr>
              <w:t>9. Uzņēmumu pilnvarotās personas un mērķsabiedrību (</w:t>
            </w:r>
            <w:r>
              <w:rPr>
                <w:b/>
                <w:i/>
                <w:iCs/>
              </w:rPr>
              <w:t>SPV</w:t>
            </w:r>
            <w:r>
              <w:rPr>
                <w:b/>
              </w:rPr>
              <w:t>) pārvaldītāji</w:t>
            </w:r>
          </w:p>
        </w:tc>
      </w:tr>
      <w:tr w:rsidR="00DD0A96" w:rsidRPr="00B16BC0" w14:paraId="2396DECA" w14:textId="77777777" w:rsidTr="00CF2EA0">
        <w:trPr>
          <w:trHeight w:val="4371"/>
        </w:trPr>
        <w:tc>
          <w:tcPr>
            <w:tcW w:w="0" w:type="auto"/>
            <w:gridSpan w:val="2"/>
          </w:tcPr>
          <w:p w14:paraId="6CBF3A60" w14:textId="77777777" w:rsidR="00DD0A96" w:rsidRPr="00B16BC0" w:rsidRDefault="00DD0A96" w:rsidP="00D23617">
            <w:pPr>
              <w:pStyle w:val="TableParagraph"/>
              <w:spacing w:before="60" w:after="60"/>
              <w:ind w:right="82"/>
              <w:rPr>
                <w:b/>
                <w:noProof/>
              </w:rPr>
            </w:pPr>
            <w:r>
              <w:rPr>
                <w:b/>
              </w:rPr>
              <w:t>Noteiktos gadījumos profesionālā grāmatvedības vai juridiskā firma izveido trastu klientam un šajā procesā ieceļ uzņēmuma pilnvaroto personu. Klients tad maksā grāmatvedības vai juridiskajai firmai par visiem pakalpojumiem, kas sniegti saistībā ar trasta izveidi, tostarp par uzņēmuma pilnvarotās personas iecelšanu un citiem pilnvarotās personas pakalpojumiem. Tādējādi pati uzņēmuma pilnvarotā persona nesaņem tiešu atlīdzību par saviem pakalpojumiem, jo tie tiek samaksāti grāmatvedības vai juridiskajai firmai kā daļa no kopējās pakalpojumu paketes.</w:t>
            </w:r>
          </w:p>
          <w:p w14:paraId="7F2F560E" w14:textId="77777777" w:rsidR="00DD0A96" w:rsidRPr="00B16BC0" w:rsidRDefault="00DD0A96" w:rsidP="00D23617">
            <w:pPr>
              <w:pStyle w:val="TableParagraph"/>
              <w:spacing w:before="60" w:after="60"/>
              <w:ind w:right="82"/>
              <w:rPr>
                <w:b/>
                <w:noProof/>
              </w:rPr>
            </w:pPr>
            <w:r>
              <w:rPr>
                <w:b/>
              </w:rPr>
              <w:t>Lai šajā kontekstā piemērotu bruto ienākumu kritēriju ieguldījumu vienības un turētājiestādes definīciju izpratnē, vai nepieciešams, lai attiecīgā vienība, kurai kritērijs piemērojams, saņemtu atlīdzību par tās veiktajām darbībām?</w:t>
            </w:r>
          </w:p>
          <w:p w14:paraId="5605478D" w14:textId="77777777" w:rsidR="00DD0A96" w:rsidRPr="00B16BC0" w:rsidRDefault="00DD0A96" w:rsidP="00D23617">
            <w:pPr>
              <w:pStyle w:val="TableParagraph"/>
              <w:spacing w:before="60" w:after="60"/>
              <w:ind w:right="77"/>
              <w:rPr>
                <w:noProof/>
              </w:rPr>
            </w:pPr>
            <w:r>
              <w:t>Nē. Attiecībā uz bruto ienākumu kritērijiem, ko piemēro ieguldījumu vienības un turētājiestādes definīciju izpratnē, jāņem vērā visa atlīdzība par vienības attiecīgajām darbībām neatkarīgi no tā, vai šī atlīdzība ir samaksāta tieši vienībai, kurai piemēro šo kritēriju, vai kādai citai vienībai. Šis jautājums rodas arī saistībā ar vienībām, kas sniedz līdzekļu pārvaldīšanas pakalpojumus, ja maksas par šiem pakalpojumiem tiek maksātas citai vienībai.</w:t>
            </w:r>
          </w:p>
        </w:tc>
      </w:tr>
      <w:tr w:rsidR="00DD0A96" w:rsidRPr="00B16BC0" w14:paraId="54245F5B" w14:textId="77777777" w:rsidTr="00697579">
        <w:trPr>
          <w:trHeight w:val="572"/>
        </w:trPr>
        <w:tc>
          <w:tcPr>
            <w:tcW w:w="0" w:type="auto"/>
            <w:gridSpan w:val="2"/>
            <w:shd w:val="clear" w:color="auto" w:fill="DAEDF3"/>
          </w:tcPr>
          <w:p w14:paraId="6DEDBACE" w14:textId="77777777" w:rsidR="00DD0A96" w:rsidRPr="00B16BC0" w:rsidRDefault="00DD0A96" w:rsidP="00D23617">
            <w:pPr>
              <w:pStyle w:val="TableParagraph"/>
              <w:spacing w:before="60" w:after="60"/>
              <w:jc w:val="left"/>
              <w:rPr>
                <w:b/>
                <w:noProof/>
              </w:rPr>
            </w:pPr>
            <w:r>
              <w:rPr>
                <w:b/>
              </w:rPr>
              <w:lastRenderedPageBreak/>
              <w:t xml:space="preserve">10. Līdzdalība attiecīgajos kriptoaktīvos finanšu aktīva definīcijas izpratnē (pārskatītais </w:t>
            </w:r>
            <w:r>
              <w:rPr>
                <w:b/>
                <w:i/>
                <w:iCs/>
              </w:rPr>
              <w:t>CRS</w:t>
            </w:r>
            <w:r>
              <w:rPr>
                <w:b/>
              </w:rPr>
              <w:t>)</w:t>
            </w:r>
          </w:p>
        </w:tc>
      </w:tr>
      <w:tr w:rsidR="00DD0A96" w:rsidRPr="00B16BC0" w14:paraId="7A5DBAD4" w14:textId="77777777" w:rsidTr="00697579">
        <w:trPr>
          <w:trHeight w:val="2094"/>
        </w:trPr>
        <w:tc>
          <w:tcPr>
            <w:tcW w:w="0" w:type="auto"/>
            <w:gridSpan w:val="2"/>
          </w:tcPr>
          <w:p w14:paraId="126AFCE7" w14:textId="77777777" w:rsidR="00DD0A96" w:rsidRPr="00B16BC0" w:rsidRDefault="00DD0A96" w:rsidP="00D23617">
            <w:pPr>
              <w:pStyle w:val="TableParagraph"/>
              <w:spacing w:before="60" w:after="60"/>
              <w:ind w:right="83"/>
              <w:rPr>
                <w:b/>
                <w:noProof/>
              </w:rPr>
            </w:pPr>
            <w:r>
              <w:rPr>
                <w:b/>
              </w:rPr>
              <w:t xml:space="preserve">Saskaņā ar VIII panta “Terminu definīcijas” A punkta 7. apakšpunktu jebkāda līdzdalība attiecīgajos kriptoaktīvos ietilpst finanšu aktīva definīcijā un līdz ar to par to jāziņo saskaņā ar </w:t>
            </w:r>
            <w:r>
              <w:rPr>
                <w:b/>
                <w:i/>
                <w:iCs/>
              </w:rPr>
              <w:t>CRS</w:t>
            </w:r>
            <w:r>
              <w:rPr>
                <w:b/>
              </w:rPr>
              <w:t>. Kāda līdzdalība attiecīgajos kriptoaktīvos ietilpst šīs definīcijas tvērumā?</w:t>
            </w:r>
          </w:p>
          <w:p w14:paraId="2D74F167" w14:textId="77777777" w:rsidR="00DD0A96" w:rsidRPr="00B16BC0" w:rsidRDefault="00DD0A96" w:rsidP="00D23617">
            <w:pPr>
              <w:pStyle w:val="TableParagraph"/>
              <w:spacing w:before="60" w:after="60"/>
              <w:ind w:right="81"/>
              <w:rPr>
                <w:noProof/>
              </w:rPr>
            </w:pPr>
            <w:r>
              <w:t>Līdzdalība attiecīgajos kriptoaktīvos, kas ietilpst finanšu aktīva definīcijas tvērumā, ir līdzdalība atvasinātajos instrumentos, kas saistīti ar attiecīgajiem kriptoaktīviem, piemēram, standartizētos nākotnes darījumos, nestandartizētos nākotnes līgumos un iespējas darījumos. Attiecīgo kriptoaktīvu kontekstā šajā tvērumā neietilpst līdzdalība, kas izriet no parastiem turēšanas līgumiem.</w:t>
            </w:r>
          </w:p>
        </w:tc>
      </w:tr>
      <w:tr w:rsidR="00DD0A96" w:rsidRPr="00B16BC0" w14:paraId="2D431CB7" w14:textId="77777777" w:rsidTr="00CF2EA0">
        <w:trPr>
          <w:trHeight w:val="546"/>
        </w:trPr>
        <w:tc>
          <w:tcPr>
            <w:tcW w:w="0" w:type="auto"/>
            <w:gridSpan w:val="2"/>
            <w:tcBorders>
              <w:bottom w:val="single" w:sz="6" w:space="0" w:color="000000"/>
            </w:tcBorders>
            <w:shd w:val="clear" w:color="auto" w:fill="FFFFCC"/>
          </w:tcPr>
          <w:p w14:paraId="78D562FB" w14:textId="77777777" w:rsidR="00DD0A96" w:rsidRPr="00B16BC0" w:rsidRDefault="00DD0A96" w:rsidP="00D23617">
            <w:pPr>
              <w:pStyle w:val="TableParagraph"/>
              <w:spacing w:before="60" w:after="60"/>
              <w:jc w:val="left"/>
              <w:rPr>
                <w:b/>
                <w:noProof/>
              </w:rPr>
            </w:pPr>
            <w:r>
              <w:rPr>
                <w:b/>
              </w:rPr>
              <w:t xml:space="preserve">11. Digitāli emitēti vai žetonizēti finanšu aktīvi (pārskatītais </w:t>
            </w:r>
            <w:r>
              <w:rPr>
                <w:b/>
                <w:i/>
                <w:iCs/>
              </w:rPr>
              <w:t>CRS</w:t>
            </w:r>
            <w:r>
              <w:rPr>
                <w:b/>
              </w:rPr>
              <w:t>)</w:t>
            </w:r>
          </w:p>
        </w:tc>
      </w:tr>
      <w:tr w:rsidR="005A0268" w:rsidRPr="00B16BC0" w14:paraId="070C689C" w14:textId="77777777" w:rsidTr="00697579">
        <w:trPr>
          <w:gridAfter w:val="1"/>
          <w:wAfter w:w="13" w:type="pct"/>
          <w:trHeight w:val="1260"/>
        </w:trPr>
        <w:tc>
          <w:tcPr>
            <w:tcW w:w="0" w:type="auto"/>
            <w:tcBorders>
              <w:bottom w:val="nil"/>
            </w:tcBorders>
          </w:tcPr>
          <w:p w14:paraId="0215CF7D" w14:textId="77777777" w:rsidR="005A0268" w:rsidRPr="00B16BC0" w:rsidRDefault="005A0268" w:rsidP="00D23617">
            <w:pPr>
              <w:pStyle w:val="TableParagraph"/>
              <w:spacing w:before="60" w:after="60"/>
              <w:ind w:left="113" w:right="113"/>
              <w:rPr>
                <w:b/>
                <w:noProof/>
              </w:rPr>
            </w:pPr>
            <w:r>
              <w:rPr>
                <w:b/>
              </w:rPr>
              <w:t>Vai digitāli emitēts vai žetonizēts finanšu aktīvs kriptoaktīvu ziņošanas sistēmas (</w:t>
            </w:r>
            <w:r>
              <w:rPr>
                <w:b/>
                <w:i/>
                <w:iCs/>
              </w:rPr>
              <w:t>CARF</w:t>
            </w:r>
            <w:r>
              <w:rPr>
                <w:b/>
              </w:rPr>
              <w:t xml:space="preserve">) IV panta A punkta 1. apakšpunkta un pārskatītā </w:t>
            </w:r>
            <w:r>
              <w:rPr>
                <w:b/>
                <w:i/>
                <w:iCs/>
              </w:rPr>
              <w:t>CRS</w:t>
            </w:r>
            <w:r>
              <w:rPr>
                <w:b/>
              </w:rPr>
              <w:t xml:space="preserve"> VIII panta A punkta 12. apakšpunkta izpratnē kvalificējams kā “kriptoaktīvs”, ja šo aktīvu regulatīvu vai citu juridisku iemeslu dēļ var turēt un pārvest vienīgi ar turētāja kontu starpniecību, ko uztur viena vai vairākas noguldījumu iestādes vai turētājiestādes, vai ja šis aktīvs ir līdzdalības daļa regulētas ieguldījumu vienības kapitālā, kuru regulatīvu vai citu juridisku iemeslu dēļ var reģistrēt un pārvest vienīgi ar ieguldījumu vienības starpniecību, izmantojot tradicionālus līdzekļus vai sadalītu virsgrāmatu, ko kontrolē emitējošā ieguldījumu vienība vai tās aģents, vai abi?</w:t>
            </w:r>
          </w:p>
          <w:p w14:paraId="19C5A556" w14:textId="77777777" w:rsidR="005A0268" w:rsidRPr="00B16BC0" w:rsidRDefault="005A0268" w:rsidP="00D23617">
            <w:pPr>
              <w:pStyle w:val="TableParagraph"/>
              <w:spacing w:before="60" w:after="60"/>
              <w:ind w:left="113" w:right="113"/>
              <w:rPr>
                <w:noProof/>
              </w:rPr>
            </w:pPr>
            <w:r>
              <w:rPr>
                <w:i/>
                <w:iCs/>
              </w:rPr>
              <w:t>CARF</w:t>
            </w:r>
            <w:r>
              <w:t xml:space="preserve"> ievada daļas 11. punktā noteikts, ka kriptoaktīvu definīcija attiecas uz aktīviem, ko var turēt un pārskaitīt decentralizēti bez ierasto finanšu starpnieku iesaistes. Turklāt saskaņā ar 8. punktu </w:t>
            </w:r>
            <w:r>
              <w:rPr>
                <w:i/>
                <w:iCs/>
              </w:rPr>
              <w:t>CARF</w:t>
            </w:r>
            <w:r>
              <w:t xml:space="preserve"> komentārā par IV panta A punkta 1. apakšpunktu kriptoaktīvu definīcija ietver aktīvus, kuri balstās uz tehnoloģiju, kas ļauj decentralizētā un nepastarpinātā veidā validēt un aizsargāt digitālos darījumus.</w:t>
            </w:r>
          </w:p>
          <w:p w14:paraId="4E648D31" w14:textId="77777777" w:rsidR="005A0268" w:rsidRPr="00B16BC0" w:rsidRDefault="005A0268" w:rsidP="00D23617">
            <w:pPr>
              <w:pStyle w:val="TableParagraph"/>
              <w:spacing w:before="60" w:after="60"/>
              <w:ind w:left="113" w:right="113"/>
              <w:rPr>
                <w:noProof/>
              </w:rPr>
            </w:pPr>
            <w:r>
              <w:t xml:space="preserve">Tādēļ digitāli emitēts vai žetonizēts finanšu aktīvs neietilpst </w:t>
            </w:r>
            <w:r>
              <w:rPr>
                <w:i/>
                <w:iCs/>
              </w:rPr>
              <w:t>CARF</w:t>
            </w:r>
            <w:r>
              <w:t xml:space="preserve"> IV panta A punkta 1. apakšpunktā un pārskatītā </w:t>
            </w:r>
            <w:r>
              <w:rPr>
                <w:i/>
                <w:iCs/>
              </w:rPr>
              <w:t>CRS</w:t>
            </w:r>
            <w:r>
              <w:t xml:space="preserve"> VIII panta A punkta 12. apakšpunktā sniegtās kriptoaktīva definīcijas tvērumā, ja atteikšanās no starpniekiem nav iespējama, jo regulatīvu vai citu juridisku iemeslu dēļ aktīvu var turēt un pārskaitīt vienīgi ar turētāja kontu starpniecību, ko uztur viena vai vairākas noguldījumu iestādes vai turētājiestādes, vai ja šis aktīvs ir līdzdalības daļa regulētas ieguldījumu vienības kapitālā, kuru regulatīvu vai citu juridisku iemeslu dēļ var reģistrēt un pārvest vienīgi ar ieguldījumu vienības starpniecību, izmantojot tradicionālus līdzekļus vai sadalītu virsgrāmatu, ko kontrolē emitējošā ieguldījumu vienība vai tās aģents, vai abi. Šādos gadījumos pārskatītā </w:t>
            </w:r>
            <w:r>
              <w:rPr>
                <w:i/>
                <w:iCs/>
              </w:rPr>
              <w:t>CRS</w:t>
            </w:r>
            <w:r>
              <w:t xml:space="preserve"> I panta G punkta fakultatīvais noteikums nav piemērojams.</w:t>
            </w:r>
          </w:p>
          <w:p w14:paraId="42425D91" w14:textId="02895D15" w:rsidR="005A0268" w:rsidRPr="00B16BC0" w:rsidRDefault="005A0268" w:rsidP="00D23617">
            <w:pPr>
              <w:pStyle w:val="TableParagraph"/>
              <w:spacing w:before="60" w:after="60"/>
              <w:ind w:left="113" w:right="113"/>
              <w:jc w:val="left"/>
              <w:rPr>
                <w:b/>
                <w:noProof/>
              </w:rPr>
            </w:pPr>
            <w:r>
              <w:t xml:space="preserve">Savukārt, ja iepriekš minētie nosacījumi nav izpildīti, digitāli emitēts vai žetonizēts finanšu aktīvs kvalificējams kā kriptoaktīvs </w:t>
            </w:r>
            <w:r>
              <w:rPr>
                <w:i/>
                <w:iCs/>
              </w:rPr>
              <w:t>CARF</w:t>
            </w:r>
            <w:r>
              <w:t xml:space="preserve"> IV panta A punkta 1. apakšpunkta un pārskatītā </w:t>
            </w:r>
            <w:r>
              <w:rPr>
                <w:i/>
                <w:iCs/>
              </w:rPr>
              <w:t>CRS</w:t>
            </w:r>
            <w:r>
              <w:t xml:space="preserve"> VIII panta A punkta 12. apakšpunkta izpratnē, un pārskatītā </w:t>
            </w:r>
            <w:r>
              <w:rPr>
                <w:i/>
                <w:iCs/>
              </w:rPr>
              <w:t>CRS</w:t>
            </w:r>
            <w:r>
              <w:t xml:space="preserve"> I panta G punkta fakultatīvo noteikumu var piemērot.</w:t>
            </w:r>
          </w:p>
        </w:tc>
      </w:tr>
      <w:tr w:rsidR="00DD0A96" w:rsidRPr="00B16BC0" w14:paraId="373984DD" w14:textId="77777777" w:rsidTr="00697579">
        <w:trPr>
          <w:trHeight w:val="625"/>
        </w:trPr>
        <w:tc>
          <w:tcPr>
            <w:tcW w:w="0" w:type="auto"/>
            <w:gridSpan w:val="2"/>
            <w:shd w:val="clear" w:color="auto" w:fill="FFFFCC"/>
          </w:tcPr>
          <w:p w14:paraId="68D7BB4E" w14:textId="3090269D" w:rsidR="00DD0A96" w:rsidRPr="00B16BC0" w:rsidRDefault="00DD0A96" w:rsidP="00D23617">
            <w:pPr>
              <w:pStyle w:val="TableParagraph"/>
              <w:spacing w:before="60" w:after="60"/>
              <w:ind w:left="113" w:right="113"/>
              <w:jc w:val="left"/>
              <w:rPr>
                <w:b/>
                <w:noProof/>
              </w:rPr>
            </w:pPr>
            <w:r>
              <w:rPr>
                <w:b/>
              </w:rPr>
              <w:t xml:space="preserve">12. Noteikti elektroniskās naudas produkti – prasības par produkta atpirkšanu (pārskatītais </w:t>
            </w:r>
            <w:r>
              <w:rPr>
                <w:b/>
                <w:i/>
                <w:iCs/>
              </w:rPr>
              <w:t>CRS</w:t>
            </w:r>
            <w:r>
              <w:rPr>
                <w:b/>
              </w:rPr>
              <w:t>)</w:t>
            </w:r>
          </w:p>
        </w:tc>
      </w:tr>
      <w:tr w:rsidR="00DD0A96" w:rsidRPr="00B16BC0" w14:paraId="2719611A" w14:textId="77777777" w:rsidTr="00CF2EA0">
        <w:trPr>
          <w:trHeight w:val="3103"/>
        </w:trPr>
        <w:tc>
          <w:tcPr>
            <w:tcW w:w="0" w:type="auto"/>
            <w:gridSpan w:val="2"/>
          </w:tcPr>
          <w:p w14:paraId="34AAF0D8" w14:textId="77777777" w:rsidR="00DD0A96" w:rsidRPr="00B16BC0" w:rsidRDefault="00DD0A96" w:rsidP="00D23617">
            <w:pPr>
              <w:pStyle w:val="TableParagraph"/>
              <w:spacing w:before="60" w:after="60"/>
              <w:ind w:left="113" w:right="113"/>
              <w:rPr>
                <w:b/>
                <w:noProof/>
              </w:rPr>
            </w:pPr>
            <w:r>
              <w:rPr>
                <w:b/>
                <w:i/>
                <w:iCs/>
              </w:rPr>
              <w:t>CARF</w:t>
            </w:r>
            <w:r>
              <w:rPr>
                <w:b/>
              </w:rPr>
              <w:t xml:space="preserve"> IV panta A punkta 4. apakšpunktā un pārskatītā </w:t>
            </w:r>
            <w:r>
              <w:rPr>
                <w:b/>
                <w:i/>
                <w:iCs/>
              </w:rPr>
              <w:t>CRS</w:t>
            </w:r>
            <w:r>
              <w:rPr>
                <w:b/>
              </w:rPr>
              <w:t xml:space="preserve"> VIII panta A punkta 9. apakšpunktā termins “noteikts elektroniskās naudas produkts” definēts kā produkts, kas “(..) e) atpērkams pēc produkta turētāja pieprasījuma jebkurā laikā saskaņā ar emitentam izvirzītajām regulatīvajām prasībām un par tādu pašu bezseguma valūtas nominālvērtību”.</w:t>
            </w:r>
          </w:p>
          <w:p w14:paraId="1CE67127" w14:textId="77777777" w:rsidR="00DD0A96" w:rsidRPr="00B16BC0" w:rsidRDefault="00DD0A96" w:rsidP="00D23617">
            <w:pPr>
              <w:pStyle w:val="TableParagraph"/>
              <w:spacing w:before="60" w:after="60"/>
              <w:ind w:left="113" w:right="113"/>
              <w:rPr>
                <w:b/>
                <w:noProof/>
              </w:rPr>
            </w:pPr>
            <w:r>
              <w:rPr>
                <w:b/>
              </w:rPr>
              <w:t>Kāda ir šīs prasības piemērošanas joma un cik lielā mērā ierobežojumi vai nosacījumi, kas noteikti turētāja regulatīvajām tiesībām uz produkta atpirkšanu jebkurā laikā un par tādu pašu bezseguma valūtas nominālvērtību, liedz produktu kvalificēt kā noteiktu elektroniskās naudas produktu?</w:t>
            </w:r>
          </w:p>
          <w:p w14:paraId="4F8FA11C" w14:textId="77777777" w:rsidR="00DD0A96" w:rsidRPr="00B16BC0" w:rsidRDefault="00DD0A96" w:rsidP="00D23617">
            <w:pPr>
              <w:pStyle w:val="TableParagraph"/>
              <w:spacing w:before="60" w:after="60"/>
              <w:ind w:left="113" w:right="113"/>
              <w:rPr>
                <w:noProof/>
              </w:rPr>
            </w:pPr>
            <w:r>
              <w:t>Šī prasība jāizpilda attiecībā uz produkta emisiju kopumā, tādēļ visām vienībām vai žetoniem, kas veido daļu no attiecīgās emisijas, faktiski jāatbilst šai prasībai.</w:t>
            </w:r>
          </w:p>
          <w:p w14:paraId="54249500" w14:textId="77777777" w:rsidR="00DD0A96" w:rsidRPr="00B16BC0" w:rsidRDefault="00DD0A96" w:rsidP="00D23617">
            <w:pPr>
              <w:pStyle w:val="TableParagraph"/>
              <w:spacing w:before="60" w:after="60"/>
              <w:ind w:left="113" w:right="113"/>
              <w:rPr>
                <w:noProof/>
              </w:rPr>
            </w:pPr>
            <w:r>
              <w:t xml:space="preserve">Būtiski ierobežojumi vai nosacījumi, kas faktiski ierobežo vai sašaurina turētāja tiesības pieprasīt atpirkšanu jebkurā laikā un par tādu pašu bezseguma valūtas nominālvērtību, nav savienojami ar </w:t>
            </w:r>
            <w:r>
              <w:rPr>
                <w:i/>
                <w:iCs/>
              </w:rPr>
              <w:t>CARF</w:t>
            </w:r>
            <w:r>
              <w:t xml:space="preserve"> IV panta A punkta 4. apakšpunkta e) daļas un pārskatītā </w:t>
            </w:r>
            <w:r>
              <w:rPr>
                <w:i/>
                <w:iCs/>
              </w:rPr>
              <w:t>CRS</w:t>
            </w:r>
            <w:r>
              <w:t xml:space="preserve"> VIII panta A punkta </w:t>
            </w:r>
            <w:r>
              <w:lastRenderedPageBreak/>
              <w:t>9. apakšpunkta e) daļas prasībām.</w:t>
            </w:r>
          </w:p>
          <w:p w14:paraId="1A74F512" w14:textId="77777777" w:rsidR="00DD0A96" w:rsidRPr="00B16BC0" w:rsidRDefault="00DD0A96" w:rsidP="00D23617">
            <w:pPr>
              <w:pStyle w:val="TableParagraph"/>
              <w:spacing w:before="60" w:after="60"/>
              <w:ind w:left="113" w:right="113"/>
              <w:rPr>
                <w:noProof/>
              </w:rPr>
            </w:pPr>
            <w:r>
              <w:t xml:space="preserve">Savukārt procesuāli un piesardzīgi ierobežojumi vai nosacījumi, kas piemērojami saskaņā ar tiesību aktiem, kuri emitentam ir jāievēro, ir savienojami ar </w:t>
            </w:r>
            <w:r>
              <w:rPr>
                <w:i/>
                <w:iCs/>
              </w:rPr>
              <w:t>CARF</w:t>
            </w:r>
            <w:r>
              <w:t xml:space="preserve"> IV panta A punkta 4. apakšpunkta e) daļas un pārskatītā </w:t>
            </w:r>
            <w:r>
              <w:rPr>
                <w:i/>
                <w:iCs/>
              </w:rPr>
              <w:t>CRS</w:t>
            </w:r>
            <w:r>
              <w:t xml:space="preserve"> VIII panta A punkta 9. apakšpunkta e) daļas prasībām, ja tie neietekmē produkta atpirkšanu par valūtas nominālvērtību. Tas var ietvert, piemēram, samērīgu atpirkšanas maksu piemērošanu, </w:t>
            </w:r>
            <w:r>
              <w:rPr>
                <w:i/>
                <w:iCs/>
              </w:rPr>
              <w:t>AML/CFT</w:t>
            </w:r>
            <w:r>
              <w:t xml:space="preserve"> vai citus pārbaudes pasākumus nelikumīgas darbības novēršanai, vai arī atpirkšanu konkrētā darba laikā vai konkrētos klientu apkalpošanas kanālos.</w:t>
            </w:r>
          </w:p>
          <w:p w14:paraId="13EA85BD" w14:textId="77777777" w:rsidR="00DD0A96" w:rsidRPr="00B16BC0" w:rsidRDefault="00DD0A96" w:rsidP="00D23617">
            <w:pPr>
              <w:pStyle w:val="TableParagraph"/>
              <w:spacing w:before="60" w:after="60"/>
              <w:ind w:left="113" w:right="113"/>
              <w:rPr>
                <w:noProof/>
              </w:rPr>
            </w:pPr>
            <w:r>
              <w:t xml:space="preserve">Nosakot, vai konkrētais produkts kvalificējams kā noteikts elektroniskās naudas produkts </w:t>
            </w:r>
            <w:r>
              <w:rPr>
                <w:i/>
                <w:iCs/>
              </w:rPr>
              <w:t>CARF</w:t>
            </w:r>
            <w:r>
              <w:t xml:space="preserve"> IV panta A punkta 4. apakšpunkta e) daļas un pārskatītā </w:t>
            </w:r>
            <w:r>
              <w:rPr>
                <w:i/>
                <w:iCs/>
              </w:rPr>
              <w:t>CRS</w:t>
            </w:r>
            <w:r>
              <w:t xml:space="preserve"> VIII panta A punkta 9. apakšpunkta e) daļas izpratnē, kriptoaktīvu pakalpojumu sniedzējs, kurš sniedz ziņojumus, var paļauties uz attiecīgajām regulatīvajām atļaujām vai apstiprinājumiem saistībā ar šo produktu.</w:t>
            </w:r>
          </w:p>
        </w:tc>
      </w:tr>
      <w:tr w:rsidR="00DD0A96" w:rsidRPr="00B16BC0" w14:paraId="3AC0D1D0" w14:textId="77777777" w:rsidTr="00697579">
        <w:trPr>
          <w:trHeight w:val="408"/>
        </w:trPr>
        <w:tc>
          <w:tcPr>
            <w:tcW w:w="0" w:type="auto"/>
            <w:gridSpan w:val="2"/>
            <w:shd w:val="clear" w:color="auto" w:fill="FFFFCC"/>
          </w:tcPr>
          <w:p w14:paraId="13AEFA30" w14:textId="77777777" w:rsidR="00DD0A96" w:rsidRPr="00B16BC0" w:rsidRDefault="00DD0A96" w:rsidP="00D23617">
            <w:pPr>
              <w:pStyle w:val="TableParagraph"/>
              <w:spacing w:before="60" w:after="60"/>
              <w:ind w:left="113" w:right="113"/>
              <w:jc w:val="left"/>
              <w:rPr>
                <w:b/>
                <w:noProof/>
              </w:rPr>
            </w:pPr>
            <w:r>
              <w:rPr>
                <w:b/>
              </w:rPr>
              <w:t xml:space="preserve">13. Noteikti elektroniskās naudas produkti – statusa maiņa (pārskatītais </w:t>
            </w:r>
            <w:r>
              <w:rPr>
                <w:b/>
                <w:i/>
                <w:iCs/>
              </w:rPr>
              <w:t>CRS</w:t>
            </w:r>
            <w:r>
              <w:rPr>
                <w:b/>
              </w:rPr>
              <w:t>)</w:t>
            </w:r>
          </w:p>
        </w:tc>
      </w:tr>
      <w:tr w:rsidR="00DD0A96" w:rsidRPr="00B16BC0" w14:paraId="0C8FD6EC" w14:textId="77777777" w:rsidTr="00697579">
        <w:trPr>
          <w:trHeight w:val="1118"/>
        </w:trPr>
        <w:tc>
          <w:tcPr>
            <w:tcW w:w="0" w:type="auto"/>
            <w:gridSpan w:val="2"/>
          </w:tcPr>
          <w:p w14:paraId="123DF241" w14:textId="77777777" w:rsidR="00DD0A96" w:rsidRPr="00B16BC0" w:rsidRDefault="00DD0A96" w:rsidP="00D23617">
            <w:pPr>
              <w:pStyle w:val="TableParagraph"/>
              <w:spacing w:before="60" w:after="60"/>
              <w:ind w:left="113" w:right="113"/>
              <w:rPr>
                <w:b/>
                <w:noProof/>
              </w:rPr>
            </w:pPr>
            <w:r>
              <w:rPr>
                <w:b/>
                <w:bCs/>
              </w:rPr>
              <w:t xml:space="preserve">Kā kriptoaktīvu pakalpojumu sniedzējiem, kuri sniedz ziņojumus, un finanšu iestādēm, kas sniedz ziņojumus, ziņošanas nolūkos, respektīvi, </w:t>
            </w:r>
            <w:r>
              <w:rPr>
                <w:b/>
                <w:bCs/>
                <w:i/>
                <w:iCs/>
              </w:rPr>
              <w:t>CARF</w:t>
            </w:r>
            <w:r>
              <w:rPr>
                <w:b/>
                <w:bCs/>
              </w:rPr>
              <w:t xml:space="preserve"> un pārskatītā </w:t>
            </w:r>
            <w:r>
              <w:rPr>
                <w:b/>
                <w:bCs/>
                <w:i/>
                <w:iCs/>
              </w:rPr>
              <w:t>CRS</w:t>
            </w:r>
            <w:r>
              <w:rPr>
                <w:b/>
                <w:bCs/>
              </w:rPr>
              <w:t xml:space="preserve"> izpratnē, jākvalificē attiecīgais kriptoaktīvs, kas ziņošanas periodā kļuvis par noteiktu elektroniskās naudas produktu, piemēram, pēc tādu regulatīvo prasību ieviešanas, kuras atbilst </w:t>
            </w:r>
            <w:r>
              <w:rPr>
                <w:b/>
                <w:bCs/>
                <w:i/>
                <w:iCs/>
              </w:rPr>
              <w:t>CARF</w:t>
            </w:r>
            <w:r>
              <w:rPr>
                <w:b/>
                <w:bCs/>
              </w:rPr>
              <w:t xml:space="preserve"> IV panta A punkta 4. apakšpunkta e) daļā un pārskatītā </w:t>
            </w:r>
            <w:r>
              <w:rPr>
                <w:b/>
                <w:bCs/>
                <w:i/>
                <w:iCs/>
              </w:rPr>
              <w:t>CRS</w:t>
            </w:r>
            <w:r>
              <w:rPr>
                <w:b/>
                <w:bCs/>
              </w:rPr>
              <w:t xml:space="preserve"> VIII panta A punkta 9. apakšpunkta e) daļā minētajiem nosacījumiem?</w:t>
            </w:r>
          </w:p>
          <w:p w14:paraId="6D836B59" w14:textId="77777777" w:rsidR="00DD0A96" w:rsidRPr="00B16BC0" w:rsidRDefault="00DD0A96" w:rsidP="00D23617">
            <w:pPr>
              <w:pStyle w:val="TableParagraph"/>
              <w:spacing w:before="60" w:after="60"/>
              <w:ind w:left="113" w:right="113"/>
              <w:rPr>
                <w:noProof/>
              </w:rPr>
            </w:pPr>
            <w:r>
              <w:t xml:space="preserve">Līdz dienai, kad ir izpildīti noteikta elektroniskās naudas produkta definīcijas nosacījumi saskaņā ar </w:t>
            </w:r>
            <w:r>
              <w:rPr>
                <w:i/>
                <w:iCs/>
              </w:rPr>
              <w:t>CARF</w:t>
            </w:r>
            <w:r>
              <w:t xml:space="preserve"> IV panta A punkta 4. apakšpunktu un pārskatītā </w:t>
            </w:r>
            <w:r>
              <w:rPr>
                <w:i/>
                <w:iCs/>
              </w:rPr>
              <w:t>CRS</w:t>
            </w:r>
            <w:r>
              <w:t xml:space="preserve"> VIII panta A punkta 9. apakšpunktu, produkts saglabā attiecīgā kriptoaktīva statusu. Līdz ar to kriptoaktīvu pakalpojumu sniedzējiem, kuri sniedz ziņojumus, jāturpina piemērot</w:t>
            </w:r>
            <w:r>
              <w:rPr>
                <w:i/>
                <w:iCs/>
              </w:rPr>
              <w:t xml:space="preserve"> CARF</w:t>
            </w:r>
            <w:r>
              <w:t xml:space="preserve"> un jāziņo par visiem ar produktu saistītajiem attiecīgajiem darījumiem līdz minētajai dienai (to neieskaitot). Attiecīgos darījumus, kas īstenoti pirms minētās dienas, nevar pārklasificēt ar atpakaļejošu spēku.</w:t>
            </w:r>
          </w:p>
          <w:p w14:paraId="1FF720EE" w14:textId="06295A17" w:rsidR="009077AE" w:rsidRPr="00B16BC0" w:rsidRDefault="00DD0A96" w:rsidP="00CF2EA0">
            <w:pPr>
              <w:pStyle w:val="TableParagraph"/>
              <w:spacing w:before="60" w:after="60"/>
              <w:ind w:left="113" w:right="113"/>
            </w:pPr>
            <w:r>
              <w:t xml:space="preserve">Produkts vairs neietilpst </w:t>
            </w:r>
            <w:r>
              <w:rPr>
                <w:i/>
                <w:iCs/>
              </w:rPr>
              <w:t>CARF</w:t>
            </w:r>
            <w:r>
              <w:t xml:space="preserve"> piemērošanas jomā no dienas, kad ir izpildīti noteikta elektroniskās naudas produkta definīcijas nosacījumi saskaņā ar </w:t>
            </w:r>
            <w:r>
              <w:rPr>
                <w:i/>
                <w:iCs/>
              </w:rPr>
              <w:t>CARF</w:t>
            </w:r>
            <w:r>
              <w:t xml:space="preserve"> IV panta A punkta 4. apakšpunktu un pārskatītā </w:t>
            </w:r>
            <w:r>
              <w:rPr>
                <w:i/>
                <w:iCs/>
              </w:rPr>
              <w:t>CRS</w:t>
            </w:r>
            <w:r>
              <w:t xml:space="preserve"> VIII panta A punkta 9. apakšpunktu. Tādējādi ar produktu saistītie maiņas darījumi</w:t>
            </w:r>
            <w:r>
              <w:rPr>
                <w:i/>
                <w:iCs/>
              </w:rPr>
              <w:t xml:space="preserve"> CARF</w:t>
            </w:r>
            <w:r>
              <w:t xml:space="preserve"> izpratnē uzskatāmi par maiņas darījumiem ar bezseguma valūtu. Jebkura vienība, kura tur produktu klientu vārdā, </w:t>
            </w:r>
            <w:r>
              <w:rPr>
                <w:i/>
                <w:iCs/>
              </w:rPr>
              <w:t>CRS</w:t>
            </w:r>
            <w:r>
              <w:t xml:space="preserve"> izpratnē uzskatāma par noguldījumu iestādi, un tai jāziņo par konta bilanci gada beigās (un bruto procentu maksājumiem, ja piemērojams).</w:t>
            </w:r>
          </w:p>
          <w:p w14:paraId="2F0FCF48" w14:textId="77777777" w:rsidR="00DD0A96" w:rsidRPr="00B16BC0" w:rsidRDefault="00DD0A96" w:rsidP="00D23617">
            <w:pPr>
              <w:pStyle w:val="TableParagraph"/>
              <w:spacing w:before="60" w:after="60"/>
              <w:ind w:left="113" w:right="113"/>
              <w:rPr>
                <w:noProof/>
              </w:rPr>
            </w:pPr>
            <w:r>
              <w:t>Lai šo procesu vienkāršotu, jurisdikcijas var noteikt, ka kriptoaktīvu pakalpojumu sniedzēji, kuri sniedz ziņojumus, un finanšu iestādes, kas sniedz ziņojumus, var uzskatīt produktu vai nu par attiecīgo kriptoaktīvu, vai arī par noteiktu elektroniskās naudas produktu visā kalendārajā gadā vai kādā citā attiecīgā ziņošanas periodā (vai tā daļā), kurā produkts kļūst par noteiktu elektroniskās naudas produktu.</w:t>
            </w:r>
          </w:p>
        </w:tc>
      </w:tr>
      <w:tr w:rsidR="00DD0A96" w:rsidRPr="00B16BC0" w14:paraId="19D45661" w14:textId="77777777" w:rsidTr="00697579">
        <w:trPr>
          <w:trHeight w:val="625"/>
        </w:trPr>
        <w:tc>
          <w:tcPr>
            <w:tcW w:w="0" w:type="auto"/>
            <w:gridSpan w:val="2"/>
            <w:shd w:val="clear" w:color="auto" w:fill="FFFFCC"/>
          </w:tcPr>
          <w:p w14:paraId="59793432" w14:textId="77777777" w:rsidR="00DD0A96" w:rsidRPr="00B16BC0" w:rsidRDefault="00DD0A96" w:rsidP="00D23617">
            <w:pPr>
              <w:pStyle w:val="TableParagraph"/>
              <w:spacing w:before="60" w:after="60"/>
              <w:ind w:left="113" w:right="113"/>
              <w:jc w:val="left"/>
              <w:rPr>
                <w:b/>
                <w:noProof/>
              </w:rPr>
            </w:pPr>
            <w:r>
              <w:rPr>
                <w:b/>
              </w:rPr>
              <w:t xml:space="preserve">14. Noteikti elektroniskās naudas produkti – vairāku valūtu e-naudas produkti (pārskatītais </w:t>
            </w:r>
            <w:r>
              <w:rPr>
                <w:b/>
                <w:i/>
                <w:iCs/>
              </w:rPr>
              <w:t>CRS</w:t>
            </w:r>
            <w:r>
              <w:rPr>
                <w:b/>
              </w:rPr>
              <w:t>)</w:t>
            </w:r>
          </w:p>
        </w:tc>
      </w:tr>
      <w:tr w:rsidR="00DD0A96" w:rsidRPr="00B16BC0" w14:paraId="2FF476FF" w14:textId="77777777" w:rsidTr="00CF2EA0">
        <w:trPr>
          <w:trHeight w:val="3561"/>
        </w:trPr>
        <w:tc>
          <w:tcPr>
            <w:tcW w:w="0" w:type="auto"/>
            <w:gridSpan w:val="2"/>
          </w:tcPr>
          <w:p w14:paraId="02029684" w14:textId="77777777" w:rsidR="00DD0A96" w:rsidRPr="00B16BC0" w:rsidRDefault="00DD0A96" w:rsidP="00D23617">
            <w:pPr>
              <w:pStyle w:val="TableParagraph"/>
              <w:spacing w:before="60" w:after="60"/>
              <w:ind w:left="113" w:right="113"/>
              <w:rPr>
                <w:b/>
                <w:noProof/>
              </w:rPr>
            </w:pPr>
            <w:r>
              <w:rPr>
                <w:b/>
              </w:rPr>
              <w:t xml:space="preserve">Vai vairākas bilances (katra vienotā bezseguma valūtā), ko tur vairāku valūtu e-naudas makos, atbilst </w:t>
            </w:r>
            <w:r>
              <w:rPr>
                <w:b/>
                <w:i/>
                <w:iCs/>
              </w:rPr>
              <w:t>CARF</w:t>
            </w:r>
            <w:r>
              <w:rPr>
                <w:b/>
              </w:rPr>
              <w:t xml:space="preserve"> IV panta A punkta 4. apakšpunkta a) daļā un attiecīgi pārskatītā </w:t>
            </w:r>
            <w:r>
              <w:rPr>
                <w:b/>
                <w:i/>
                <w:iCs/>
              </w:rPr>
              <w:t>CRS</w:t>
            </w:r>
            <w:r>
              <w:rPr>
                <w:b/>
              </w:rPr>
              <w:t xml:space="preserve"> VIII panta A punkta 9. apakšpunkta a) daļā minētajai definīcijai, saskaņā ar kuru noteiktam elektroniskās naudas produktam jābūt vienotas bezseguma valūtas digitālajam atveidojumam? Kā par šīm bilancēm ziņo saskaņā ar </w:t>
            </w:r>
            <w:r>
              <w:rPr>
                <w:b/>
                <w:i/>
                <w:iCs/>
              </w:rPr>
              <w:t>CRS</w:t>
            </w:r>
            <w:r>
              <w:rPr>
                <w:b/>
              </w:rPr>
              <w:t>?</w:t>
            </w:r>
          </w:p>
          <w:p w14:paraId="3855002C" w14:textId="77777777" w:rsidR="00DD0A96" w:rsidRPr="00B16BC0" w:rsidRDefault="00DD0A96" w:rsidP="00D23617">
            <w:pPr>
              <w:pStyle w:val="TableParagraph"/>
              <w:spacing w:before="60" w:after="60"/>
              <w:ind w:left="113" w:right="113"/>
              <w:rPr>
                <w:noProof/>
              </w:rPr>
            </w:pPr>
            <w:r>
              <w:t xml:space="preserve">Jā. Katra no šīm bilancēm uzskatāma par e-naudas produktiem, kas izteikti vienotā bezseguma valūtā un atbilst </w:t>
            </w:r>
            <w:r>
              <w:rPr>
                <w:i/>
                <w:iCs/>
              </w:rPr>
              <w:t>CARF</w:t>
            </w:r>
            <w:r>
              <w:t xml:space="preserve"> IV panta A punkta 4. apakšpunkta a) daļā un attiecīgi pārskatītā </w:t>
            </w:r>
            <w:r>
              <w:rPr>
                <w:i/>
                <w:iCs/>
              </w:rPr>
              <w:t>CRS</w:t>
            </w:r>
            <w:r>
              <w:t xml:space="preserve"> VIII panta A punkta 9. apakšpunkta a) daļā sniegtajai definīcijai. </w:t>
            </w:r>
            <w:r>
              <w:rPr>
                <w:i/>
                <w:iCs/>
              </w:rPr>
              <w:t>CRS</w:t>
            </w:r>
            <w:r>
              <w:t xml:space="preserve"> ziņošanas nolūkos visi noteiktie elektroniskās naudas produkti, kurus tur viens konta turētājs, uzskatāmi par vienu (nosacītu) noguldījumu kontu. Tādēļ kopējā konta bilance un kopējie saņemtie procentu ienākumi jāpaziņo kā viens noguldījumu konts. Šādos gadījumos piemērojami kontu apkopošanas un valūtas pārrēķināšanas noteikumi, tostarp, lai noteiktu, vai noguldījumu konts uzskatāms par izslēgto kontu.</w:t>
            </w:r>
          </w:p>
        </w:tc>
      </w:tr>
      <w:tr w:rsidR="00DD0A96" w:rsidRPr="00B16BC0" w14:paraId="3CA4B54C" w14:textId="77777777" w:rsidTr="00697579">
        <w:trPr>
          <w:trHeight w:val="550"/>
        </w:trPr>
        <w:tc>
          <w:tcPr>
            <w:tcW w:w="0" w:type="auto"/>
            <w:gridSpan w:val="2"/>
            <w:shd w:val="clear" w:color="auto" w:fill="92CDDC"/>
          </w:tcPr>
          <w:p w14:paraId="5085EB67" w14:textId="77777777" w:rsidR="00DD0A96" w:rsidRPr="00B16BC0" w:rsidRDefault="00DD0A96" w:rsidP="00D23617">
            <w:pPr>
              <w:pStyle w:val="TableParagraph"/>
              <w:spacing w:before="60" w:after="60"/>
              <w:ind w:left="113" w:right="113"/>
              <w:jc w:val="center"/>
              <w:rPr>
                <w:b/>
                <w:noProof/>
              </w:rPr>
            </w:pPr>
            <w:r>
              <w:rPr>
                <w:b/>
              </w:rPr>
              <w:lastRenderedPageBreak/>
              <w:t>B. FINANŠU IESTĀDES, KAS NESNIEDZ ZIŅOJUMUS</w:t>
            </w:r>
          </w:p>
        </w:tc>
      </w:tr>
      <w:tr w:rsidR="00DD0A96" w:rsidRPr="00B16BC0" w14:paraId="2D1C982C" w14:textId="77777777" w:rsidTr="00697579">
        <w:trPr>
          <w:trHeight w:val="494"/>
        </w:trPr>
        <w:tc>
          <w:tcPr>
            <w:tcW w:w="0" w:type="auto"/>
            <w:gridSpan w:val="2"/>
            <w:shd w:val="clear" w:color="auto" w:fill="DAEDF3"/>
          </w:tcPr>
          <w:p w14:paraId="4A6F5BAB" w14:textId="77777777" w:rsidR="00DD0A96" w:rsidRPr="00B16BC0" w:rsidRDefault="00DD0A96" w:rsidP="00D23617">
            <w:pPr>
              <w:pStyle w:val="TableParagraph"/>
              <w:spacing w:before="60" w:after="60"/>
              <w:ind w:left="113" w:right="113"/>
              <w:jc w:val="left"/>
              <w:rPr>
                <w:b/>
                <w:noProof/>
              </w:rPr>
            </w:pPr>
            <w:r>
              <w:rPr>
                <w:b/>
              </w:rPr>
              <w:t>1. Centrālās bankas / starptautiskas organizācijas / valdības iestādes statuss</w:t>
            </w:r>
          </w:p>
        </w:tc>
      </w:tr>
      <w:tr w:rsidR="00DD0A96" w:rsidRPr="00B16BC0" w14:paraId="5B05E170" w14:textId="77777777" w:rsidTr="00697579">
        <w:trPr>
          <w:trHeight w:val="3671"/>
        </w:trPr>
        <w:tc>
          <w:tcPr>
            <w:tcW w:w="0" w:type="auto"/>
            <w:gridSpan w:val="2"/>
          </w:tcPr>
          <w:p w14:paraId="3D069CC9" w14:textId="77777777" w:rsidR="00DD0A96" w:rsidRPr="00B16BC0" w:rsidRDefault="00DD0A96" w:rsidP="00D23617">
            <w:pPr>
              <w:pStyle w:val="TableParagraph"/>
              <w:spacing w:before="60" w:after="60"/>
              <w:ind w:left="113" w:right="113"/>
              <w:rPr>
                <w:b/>
                <w:noProof/>
              </w:rPr>
            </w:pPr>
            <w:r>
              <w:rPr>
                <w:b/>
              </w:rPr>
              <w:t>Vai nav pretrunīgi, ka centrālā banka, starptautiska organizācija vai valdības iestāde var vienlaikus atbilst prasībām, lai tās kvalificētu gan kā finanšu iestādi, kas nesniedz ziņojumus, gan kā aktīvu nefinanšu vienību?</w:t>
            </w:r>
          </w:p>
          <w:p w14:paraId="41B9ABD4" w14:textId="77777777" w:rsidR="00DD0A96" w:rsidRPr="00B16BC0" w:rsidRDefault="00DD0A96" w:rsidP="00D23617">
            <w:pPr>
              <w:pStyle w:val="TableParagraph"/>
              <w:spacing w:before="60" w:after="60"/>
              <w:ind w:left="113" w:right="113" w:hanging="1"/>
              <w:rPr>
                <w:noProof/>
              </w:rPr>
            </w:pPr>
            <w:r>
              <w:t>Standarta piemērošana centrālajai bankai, starptautiskai organizācijai vai valdības iestādei ir atkarīga no faktiskajiem apstākļiem. Nefinanšu vienības definīcija neietver finanšu iestādes (VIII panta D punkta 7. apakšpunkts). Tādēļ vispirms jānosaka, vai centrālā banka, starptautiskā organizācija vai valdības iestāde kvalificējama kā finanšu iestāde. Tas ir funkcionāls izvērtējums, kas atkarīgs no faktiskajiem apstākļiem. Ja centrālā banka, starptautiskā organizācija vai valdības iestāde ir atzīta par finanšu iestādi, to var klasificēt kā finanšu iestādi, kas nesniedz ziņojumus, ja tā atbilst Standarta prasībām (VIII panta B punkta 1., 2., 3. un 4. apakšpunkts un attiecīgie komentāri).</w:t>
            </w:r>
          </w:p>
          <w:p w14:paraId="0B01B192" w14:textId="77777777" w:rsidR="00DD0A96" w:rsidRPr="00B16BC0" w:rsidRDefault="00DD0A96" w:rsidP="00D23617">
            <w:pPr>
              <w:pStyle w:val="TableParagraph"/>
              <w:spacing w:before="60" w:after="60"/>
              <w:ind w:left="113" w:right="113"/>
              <w:rPr>
                <w:noProof/>
              </w:rPr>
            </w:pPr>
            <w:r>
              <w:t>Ja centrālā banka, starptautiskā organizācija vai valdības iestāde neatbilst prasībām, kas to ļautu klasificēt kā finanšu iestādi, to uzskata par nefinanšu vienību un attiecīgi klasificē kā aktīvu nefinanšu vienību (VIII panta D punkta 9. apakšpunkts un attiecīgie komentāri).</w:t>
            </w:r>
          </w:p>
        </w:tc>
      </w:tr>
      <w:tr w:rsidR="00DD0A96" w:rsidRPr="00B16BC0" w14:paraId="0C26A7A1" w14:textId="77777777" w:rsidTr="00697579">
        <w:tc>
          <w:tcPr>
            <w:tcW w:w="0" w:type="auto"/>
            <w:gridSpan w:val="2"/>
            <w:tcBorders>
              <w:bottom w:val="single" w:sz="6" w:space="0" w:color="000000"/>
            </w:tcBorders>
            <w:shd w:val="clear" w:color="auto" w:fill="DAEDF3"/>
          </w:tcPr>
          <w:p w14:paraId="0BA676C2" w14:textId="77777777" w:rsidR="00DD0A96" w:rsidRPr="00B16BC0" w:rsidRDefault="00DD0A96" w:rsidP="00D23617">
            <w:pPr>
              <w:pStyle w:val="TableParagraph"/>
              <w:spacing w:before="60" w:after="60"/>
              <w:ind w:left="113" w:right="113"/>
              <w:jc w:val="left"/>
              <w:rPr>
                <w:b/>
                <w:noProof/>
              </w:rPr>
            </w:pPr>
            <w:r>
              <w:rPr>
                <w:b/>
              </w:rPr>
              <w:t>2. Zema riska finanšu iestādes, kas nesniedz ziņojumus</w:t>
            </w:r>
          </w:p>
        </w:tc>
      </w:tr>
      <w:tr w:rsidR="00B16BC0" w:rsidRPr="00B16BC0" w14:paraId="0C7C1CA6" w14:textId="77777777" w:rsidTr="00697579">
        <w:trPr>
          <w:trHeight w:val="1260"/>
        </w:trPr>
        <w:tc>
          <w:tcPr>
            <w:tcW w:w="0" w:type="auto"/>
            <w:gridSpan w:val="2"/>
            <w:tcBorders>
              <w:bottom w:val="nil"/>
            </w:tcBorders>
          </w:tcPr>
          <w:p w14:paraId="1063B824" w14:textId="77777777" w:rsidR="00B16BC0" w:rsidRPr="00B16BC0" w:rsidRDefault="00B16BC0" w:rsidP="00D23617">
            <w:pPr>
              <w:pStyle w:val="TableParagraph"/>
              <w:spacing w:before="60" w:after="60"/>
              <w:ind w:left="113" w:right="113" w:hanging="1"/>
              <w:rPr>
                <w:b/>
                <w:noProof/>
              </w:rPr>
            </w:pPr>
            <w:r>
              <w:rPr>
                <w:b/>
              </w:rPr>
              <w:t>Kāda ir saistība starp jurisdikcijai specifiskām zema riska finanšu iestāžu, kas nesniedz ziņojumus, kategorijām un ar ASV noslēdzamā</w:t>
            </w:r>
            <w:r>
              <w:rPr>
                <w:b/>
                <w:i/>
                <w:iCs/>
              </w:rPr>
              <w:t xml:space="preserve"> FATCA</w:t>
            </w:r>
            <w:r>
              <w:rPr>
                <w:b/>
              </w:rPr>
              <w:t xml:space="preserve"> starpvaldību nolīguma 2. pielikuma saturu?</w:t>
            </w:r>
          </w:p>
          <w:p w14:paraId="5C9BFA85" w14:textId="77777777" w:rsidR="00B16BC0" w:rsidRPr="00B16BC0" w:rsidRDefault="00B16BC0" w:rsidP="00D23617">
            <w:pPr>
              <w:pStyle w:val="TableParagraph"/>
              <w:widowControl/>
              <w:spacing w:before="60" w:after="60"/>
              <w:ind w:left="113" w:right="113"/>
              <w:rPr>
                <w:noProof/>
              </w:rPr>
            </w:pPr>
            <w:r>
              <w:t xml:space="preserve">Standartā noteiktās finanšu iestāžu, kas nesniedz ziņojumus, kategorijas (VIII panta B punkts un attiecīgie komentāri) ietver dažus iestāžu veidus, kas norādīti arī </w:t>
            </w:r>
            <w:r>
              <w:rPr>
                <w:i/>
                <w:iCs/>
              </w:rPr>
              <w:t>FATCA</w:t>
            </w:r>
            <w:r>
              <w:t xml:space="preserve"> starpvaldību nolīguma parauga 2. pielikumā. Tomēr Standarta izstrādes gaitā tika nolemts, ka vairākas </w:t>
            </w:r>
            <w:r>
              <w:rPr>
                <w:i/>
                <w:iCs/>
              </w:rPr>
              <w:t>FATCA</w:t>
            </w:r>
            <w:r>
              <w:t xml:space="preserve"> starpvaldību nolīguma parauga 2. pielikumā minētās kategorijas vai nu nav piemērotas, vai arī nav vēlamas Standarta kontekstā, tādēļ tās tajā netika iekļautas. Pie šīm kategorijām pieskaitāmi saskaņā ar nolīgumu kvalificēti pensiju fondi, finanšu iestādes ar vietējo klientu bāzi, vietējās bankas, finanšu iestādes, kas uztur tikai zemākas vērtības kontus, sponsorētas ieguldījumu vienības un kontrolētas ārvalstu sabiedrības, kā arī sponsorēti un šauram lokam piederoši ieguldījumu instrumenti.</w:t>
            </w:r>
          </w:p>
          <w:p w14:paraId="135A5BB0" w14:textId="1AE606E8" w:rsidR="00B16BC0" w:rsidRPr="00B16BC0" w:rsidRDefault="00B16BC0" w:rsidP="00D23617">
            <w:pPr>
              <w:pStyle w:val="TableParagraph"/>
              <w:spacing w:before="60" w:after="60"/>
              <w:ind w:left="113" w:right="113"/>
              <w:jc w:val="left"/>
              <w:rPr>
                <w:b/>
                <w:noProof/>
              </w:rPr>
            </w:pPr>
            <w:r>
              <w:t>Tomēr tika atzīts, ka var pastāvēt jurisdikcijai specifiskas finanšu iestādes, kuras pamatoti var uzskatīt par tikpat zema riska iestādēm kā Standartā minēto kategoriju iestādes, taču tās šajā standartā minētajās kategorijās neietilpst. Tāpēc tika izveidota papildu kategorija, lai iesaistītās jurisdikcijas varētu konkrēti identificēt šīs jurisdikcijai specifiskās zema riska finanšu iestādes kā finanšu iestādes, kas nesniedz ziņojumus, ar nosacījumu, ka tās atbilst Standarta prasībām (VIII panta B punkta 1. apakšpunkta c) daļa un attiecīgie komentāri).</w:t>
            </w:r>
          </w:p>
        </w:tc>
      </w:tr>
      <w:tr w:rsidR="00DD0A96" w:rsidRPr="00B16BC0" w14:paraId="31B405A8" w14:textId="77777777" w:rsidTr="00697579">
        <w:trPr>
          <w:trHeight w:val="380"/>
        </w:trPr>
        <w:tc>
          <w:tcPr>
            <w:tcW w:w="0" w:type="auto"/>
            <w:gridSpan w:val="2"/>
            <w:shd w:val="clear" w:color="auto" w:fill="DAEDF3"/>
          </w:tcPr>
          <w:p w14:paraId="6D8C12A4" w14:textId="77777777" w:rsidR="00DD0A96" w:rsidRPr="00B16BC0" w:rsidRDefault="00DD0A96" w:rsidP="00D23617">
            <w:pPr>
              <w:pStyle w:val="TableParagraph"/>
              <w:spacing w:before="60" w:after="60"/>
              <w:ind w:left="113" w:right="113"/>
              <w:jc w:val="left"/>
              <w:rPr>
                <w:b/>
                <w:noProof/>
              </w:rPr>
            </w:pPr>
            <w:r>
              <w:rPr>
                <w:b/>
              </w:rPr>
              <w:t>3. Centrālās bankas turētie noguldījumu konti</w:t>
            </w:r>
          </w:p>
        </w:tc>
      </w:tr>
      <w:tr w:rsidR="00DD0A96" w:rsidRPr="00B16BC0" w14:paraId="3659825E" w14:textId="77777777" w:rsidTr="00CF2EA0">
        <w:trPr>
          <w:trHeight w:val="3519"/>
        </w:trPr>
        <w:tc>
          <w:tcPr>
            <w:tcW w:w="0" w:type="auto"/>
            <w:gridSpan w:val="2"/>
          </w:tcPr>
          <w:p w14:paraId="6249BD0B" w14:textId="77777777" w:rsidR="00DD0A96" w:rsidRPr="00B16BC0" w:rsidRDefault="00DD0A96" w:rsidP="00D23617">
            <w:pPr>
              <w:pStyle w:val="TableParagraph"/>
              <w:spacing w:before="60" w:after="60"/>
              <w:ind w:left="113" w:right="113"/>
              <w:rPr>
                <w:b/>
                <w:noProof/>
              </w:rPr>
            </w:pPr>
            <w:r>
              <w:rPr>
                <w:b/>
              </w:rPr>
              <w:t>Centrālā banka ir finanšu iestāde, kas nesniedz ziņojumus, izņemot attiecībā uz maksājumu, kas rodas tādu saistību rezultātā, kuras izriet no tādas komerciālas finanšu darbības, kas atbilst specializētās apdrošināšanas sabiedrības, turētājiestādes vai noguldījumu iestādes veiktām darbībām (skat. VIII panta B punkta 1. apakšpunkta a) daļu).</w:t>
            </w:r>
          </w:p>
          <w:p w14:paraId="41E645FC" w14:textId="77777777" w:rsidR="00DD0A96" w:rsidRPr="00B16BC0" w:rsidRDefault="00DD0A96" w:rsidP="00D23617">
            <w:pPr>
              <w:pStyle w:val="TableParagraph"/>
              <w:spacing w:before="60" w:after="60"/>
              <w:ind w:left="113" w:right="113"/>
              <w:rPr>
                <w:b/>
                <w:noProof/>
              </w:rPr>
            </w:pPr>
            <w:r>
              <w:rPr>
                <w:b/>
              </w:rPr>
              <w:t>Vai noguldījumu konts, kuru centrālā banka tur saviem darbiniekiem, uzskatāms par saistībām, kas izriet no tādas komerciālas finanšu darbības, attiecībā uz kuru centrālajai bankai būs jāveic pienācīga pārbaude un jāziņo par kontu kā finanšu iestādei, kas sniedz ziņojumus?</w:t>
            </w:r>
          </w:p>
          <w:p w14:paraId="3A17991B" w14:textId="77777777" w:rsidR="00DD0A96" w:rsidRPr="00B16BC0" w:rsidRDefault="00DD0A96" w:rsidP="00D23617">
            <w:pPr>
              <w:pStyle w:val="TableParagraph"/>
              <w:spacing w:before="60" w:after="60"/>
              <w:ind w:left="113" w:right="113" w:firstLine="1"/>
              <w:rPr>
                <w:noProof/>
              </w:rPr>
            </w:pPr>
            <w:r>
              <w:t>Nē. Nav uzskatāms, ka noguldījumu konti, kurus centrālā banka tur saviem pašreizējiem vai bijušajiem darbiniekiem (un viņu laulātajiem un bērniem), ir saistīti ar komerciālu finanšu darbību, līdz ar to centrālā banka attiecībā uz šiem finanšu kontiem uzskatāma par finanšu iestādi, kas nesniedz ziņojumus.</w:t>
            </w:r>
          </w:p>
        </w:tc>
      </w:tr>
      <w:tr w:rsidR="00DD0A96" w:rsidRPr="00B16BC0" w14:paraId="2FD101F3" w14:textId="77777777" w:rsidTr="00697579">
        <w:trPr>
          <w:trHeight w:val="551"/>
        </w:trPr>
        <w:tc>
          <w:tcPr>
            <w:tcW w:w="0" w:type="auto"/>
            <w:gridSpan w:val="2"/>
            <w:shd w:val="clear" w:color="auto" w:fill="DAEDF3"/>
          </w:tcPr>
          <w:p w14:paraId="22EB16A8" w14:textId="77777777" w:rsidR="00DD0A96" w:rsidRPr="00B16BC0" w:rsidRDefault="00DD0A96" w:rsidP="00D23617">
            <w:pPr>
              <w:pStyle w:val="TableParagraph"/>
              <w:spacing w:before="60" w:after="60"/>
              <w:ind w:left="113" w:right="113"/>
              <w:jc w:val="left"/>
              <w:rPr>
                <w:b/>
                <w:noProof/>
              </w:rPr>
            </w:pPr>
            <w:r>
              <w:rPr>
                <w:b/>
              </w:rPr>
              <w:lastRenderedPageBreak/>
              <w:t>4. Plašas līdzdalības pensiju fondu sadalīšana apakšfondos*</w:t>
            </w:r>
          </w:p>
        </w:tc>
      </w:tr>
      <w:tr w:rsidR="00DD0A96" w:rsidRPr="00B16BC0" w14:paraId="6230E13A" w14:textId="77777777" w:rsidTr="00697579">
        <w:trPr>
          <w:trHeight w:val="552"/>
        </w:trPr>
        <w:tc>
          <w:tcPr>
            <w:tcW w:w="0" w:type="auto"/>
            <w:gridSpan w:val="2"/>
            <w:shd w:val="clear" w:color="auto" w:fill="DAEDF3"/>
          </w:tcPr>
          <w:p w14:paraId="004495BB" w14:textId="77777777" w:rsidR="00DD0A96" w:rsidRPr="00B16BC0" w:rsidRDefault="00DD0A96" w:rsidP="00D23617">
            <w:pPr>
              <w:pStyle w:val="TableParagraph"/>
              <w:spacing w:before="60" w:after="60"/>
              <w:ind w:left="113" w:right="113"/>
              <w:jc w:val="left"/>
              <w:rPr>
                <w:b/>
                <w:noProof/>
              </w:rPr>
            </w:pPr>
            <w:r>
              <w:rPr>
                <w:b/>
              </w:rPr>
              <w:t>5. Kvalificēts kredītkaršu izdevējs</w:t>
            </w:r>
          </w:p>
        </w:tc>
      </w:tr>
      <w:tr w:rsidR="00DD0A96" w:rsidRPr="00B16BC0" w14:paraId="0A96F147" w14:textId="77777777" w:rsidTr="00697579">
        <w:trPr>
          <w:trHeight w:val="3074"/>
        </w:trPr>
        <w:tc>
          <w:tcPr>
            <w:tcW w:w="0" w:type="auto"/>
            <w:gridSpan w:val="2"/>
          </w:tcPr>
          <w:p w14:paraId="083D540E" w14:textId="77777777" w:rsidR="00DD0A96" w:rsidRPr="00B16BC0" w:rsidRDefault="00DD0A96" w:rsidP="00D23617">
            <w:pPr>
              <w:pStyle w:val="TableParagraph"/>
              <w:spacing w:before="60" w:after="60"/>
              <w:ind w:left="113" w:right="113"/>
              <w:rPr>
                <w:b/>
                <w:noProof/>
              </w:rPr>
            </w:pPr>
            <w:r>
              <w:rPr>
                <w:b/>
              </w:rPr>
              <w:t xml:space="preserve">Saskaņā ar VIII panta B punkta 8. apakšpunktu kvalificēts kredītkaršu izdevējs ir finanšu iestāde, kurai ir finanšu iestādes statuss vienīgi tādēļ, ka tā izsniedz kredītkartes un pieņem noguldījumus tikai tad, ja klients veic maksājumu, kas pārsniedz atlikušo summu, kura jāapmaksā attiecībā uz karti, un pārmaksa uzreiz netiek atmaksāta klientam, kā arī īsteno noteiktu politiku un procedūras līdz dienai, kas attiecas uz terminu “jauns konts” tajā jurisdikcijā, kurā uz šo finanšu iestādi attiecas </w:t>
            </w:r>
            <w:r>
              <w:rPr>
                <w:b/>
                <w:i/>
                <w:iCs/>
              </w:rPr>
              <w:t>CRS</w:t>
            </w:r>
            <w:r>
              <w:rPr>
                <w:b/>
              </w:rPr>
              <w:t xml:space="preserve"> noteiktie pienākumi. Vai jurisdikcija var iekļaut finanšu iestādi kvalificēta kredītkaršu izdevēja definīcijā, ja finanšu iestāde atbilst VIII panta B punkta 8. apakšpunkta prasībām un īsteno nepieciešamo politiku un procedūras vēlāk, bet jebkurā gadījumā pirms nākamā ziņošanas perioda sākuma?</w:t>
            </w:r>
          </w:p>
          <w:p w14:paraId="33CE40C1" w14:textId="77777777" w:rsidR="00DD0A96" w:rsidRPr="00B16BC0" w:rsidRDefault="00DD0A96" w:rsidP="00D23617">
            <w:pPr>
              <w:pStyle w:val="TableParagraph"/>
              <w:spacing w:before="60" w:after="60"/>
              <w:ind w:left="113" w:right="113"/>
              <w:rPr>
                <w:noProof/>
              </w:rPr>
            </w:pPr>
            <w:r>
              <w:t>Jā, ja vien nepieciešamā politika un procedūras ir ieviestas nākamā ziņošanas perioda sākumā un tiek īstenotas visa šī perioda laikā.</w:t>
            </w:r>
          </w:p>
        </w:tc>
      </w:tr>
      <w:tr w:rsidR="00DD0A96" w:rsidRPr="00B16BC0" w14:paraId="76EF33A0" w14:textId="77777777" w:rsidTr="00697579">
        <w:trPr>
          <w:trHeight w:val="553"/>
        </w:trPr>
        <w:tc>
          <w:tcPr>
            <w:tcW w:w="0" w:type="auto"/>
            <w:gridSpan w:val="2"/>
            <w:shd w:val="clear" w:color="auto" w:fill="92CDDC"/>
          </w:tcPr>
          <w:p w14:paraId="5BB2D701" w14:textId="77777777" w:rsidR="00DD0A96" w:rsidRPr="00B16BC0" w:rsidRDefault="00DD0A96" w:rsidP="00D23617">
            <w:pPr>
              <w:pStyle w:val="TableParagraph"/>
              <w:spacing w:before="60" w:after="60"/>
              <w:ind w:left="113" w:right="113"/>
              <w:jc w:val="center"/>
              <w:rPr>
                <w:b/>
                <w:noProof/>
              </w:rPr>
            </w:pPr>
            <w:r>
              <w:rPr>
                <w:b/>
              </w:rPr>
              <w:t>C. FINANŠU KONTS</w:t>
            </w:r>
          </w:p>
        </w:tc>
      </w:tr>
      <w:tr w:rsidR="00DD0A96" w:rsidRPr="00B16BC0" w14:paraId="7C1D250E" w14:textId="77777777" w:rsidTr="00697579">
        <w:trPr>
          <w:trHeight w:val="551"/>
        </w:trPr>
        <w:tc>
          <w:tcPr>
            <w:tcW w:w="0" w:type="auto"/>
            <w:gridSpan w:val="2"/>
            <w:shd w:val="clear" w:color="auto" w:fill="DAEDF3"/>
          </w:tcPr>
          <w:p w14:paraId="519C8167" w14:textId="77777777" w:rsidR="00DD0A96" w:rsidRPr="00B16BC0" w:rsidRDefault="00DD0A96" w:rsidP="00D23617">
            <w:pPr>
              <w:pStyle w:val="TableParagraph"/>
              <w:spacing w:before="60" w:after="60"/>
              <w:ind w:left="113" w:right="113"/>
              <w:jc w:val="left"/>
              <w:rPr>
                <w:b/>
                <w:noProof/>
              </w:rPr>
            </w:pPr>
            <w:r>
              <w:rPr>
                <w:b/>
              </w:rPr>
              <w:t>1. Līdzdalības daļa parādkapitālā</w:t>
            </w:r>
          </w:p>
        </w:tc>
      </w:tr>
      <w:tr w:rsidR="00DD0A96" w:rsidRPr="00B16BC0" w14:paraId="3A447675" w14:textId="77777777" w:rsidTr="00697579">
        <w:trPr>
          <w:trHeight w:val="2401"/>
        </w:trPr>
        <w:tc>
          <w:tcPr>
            <w:tcW w:w="0" w:type="auto"/>
            <w:gridSpan w:val="2"/>
          </w:tcPr>
          <w:p w14:paraId="052385B9" w14:textId="77777777" w:rsidR="00DD0A96" w:rsidRPr="00B16BC0" w:rsidRDefault="00DD0A96" w:rsidP="00D23617">
            <w:pPr>
              <w:pStyle w:val="TableParagraph"/>
              <w:spacing w:before="60" w:after="60"/>
              <w:ind w:left="113" w:right="113" w:firstLine="1"/>
              <w:rPr>
                <w:b/>
                <w:noProof/>
              </w:rPr>
            </w:pPr>
            <w:r>
              <w:rPr>
                <w:b/>
              </w:rPr>
              <w:t>Saskaņā ar Standartu līdzdalības daļa ieguldījumu vienības kapitālā vai parādkapitālā ir uzskatāma par finanšu kontu (VIII panta C punkta 1. apakšpunkta a) daļa un attiecīgie komentāri). Kāda ir termina “līdzdalības daļa parādkapitālā” definīcija?</w:t>
            </w:r>
          </w:p>
          <w:p w14:paraId="3ECDB298" w14:textId="77777777" w:rsidR="00DD0A96" w:rsidRPr="00B16BC0" w:rsidRDefault="00DD0A96" w:rsidP="00D23617">
            <w:pPr>
              <w:pStyle w:val="TableParagraph"/>
              <w:spacing w:before="60" w:after="60"/>
              <w:ind w:left="113" w:right="113"/>
              <w:rPr>
                <w:noProof/>
              </w:rPr>
            </w:pPr>
            <w:r>
              <w:t>Standartā nav definēta līdzdalības daļa parādkapitālā.</w:t>
            </w:r>
          </w:p>
          <w:p w14:paraId="74494762" w14:textId="77777777" w:rsidR="00DD0A96" w:rsidRPr="00B16BC0" w:rsidRDefault="00DD0A96" w:rsidP="00D23617">
            <w:pPr>
              <w:pStyle w:val="TableParagraph"/>
              <w:spacing w:before="60" w:after="60"/>
              <w:ind w:left="113" w:right="113" w:hanging="1"/>
              <w:rPr>
                <w:noProof/>
              </w:rPr>
            </w:pPr>
            <w:r>
              <w:t>Standartā norādīts – ja kāds termins nav definēts, tam piešķir nozīmi, kas atbilst attiecīgās jurisdikcijas tiesību aktiem (Kompetento iestāžu nolīguma parauga 1. panta 2. punkts). Tādēļ termina “līdzdalības daļa parādkapitālā” definīciju nosaka saskaņā ar īstenojošās jurisdikcijas tiesību aktiem.</w:t>
            </w:r>
          </w:p>
        </w:tc>
      </w:tr>
      <w:tr w:rsidR="00DD0A96" w:rsidRPr="00B16BC0" w14:paraId="4E03F0D4" w14:textId="77777777" w:rsidTr="00697579">
        <w:trPr>
          <w:trHeight w:val="551"/>
        </w:trPr>
        <w:tc>
          <w:tcPr>
            <w:tcW w:w="0" w:type="auto"/>
            <w:gridSpan w:val="2"/>
            <w:shd w:val="clear" w:color="auto" w:fill="DAEDF3"/>
          </w:tcPr>
          <w:p w14:paraId="6F814A15" w14:textId="77777777" w:rsidR="00DD0A96" w:rsidRPr="00B16BC0" w:rsidRDefault="00DD0A96" w:rsidP="00D23617">
            <w:pPr>
              <w:pStyle w:val="TableParagraph"/>
              <w:spacing w:before="60" w:after="60"/>
              <w:ind w:left="113" w:right="113"/>
              <w:jc w:val="left"/>
              <w:rPr>
                <w:b/>
                <w:noProof/>
              </w:rPr>
            </w:pPr>
            <w:r>
              <w:rPr>
                <w:b/>
              </w:rPr>
              <w:t>2. Izslēgtais konts</w:t>
            </w:r>
          </w:p>
        </w:tc>
      </w:tr>
      <w:tr w:rsidR="00DD0A96" w:rsidRPr="00B16BC0" w14:paraId="7E6A9C82" w14:textId="77777777" w:rsidTr="00697579">
        <w:tc>
          <w:tcPr>
            <w:tcW w:w="0" w:type="auto"/>
            <w:gridSpan w:val="2"/>
          </w:tcPr>
          <w:p w14:paraId="083ACFC2" w14:textId="77777777" w:rsidR="00DD0A96" w:rsidRPr="00B16BC0" w:rsidRDefault="00DD0A96" w:rsidP="00D23617">
            <w:pPr>
              <w:pStyle w:val="TableParagraph"/>
              <w:spacing w:before="60" w:after="60"/>
              <w:ind w:left="113" w:right="113" w:hanging="1"/>
              <w:rPr>
                <w:b/>
                <w:noProof/>
              </w:rPr>
            </w:pPr>
            <w:r>
              <w:rPr>
                <w:b/>
              </w:rPr>
              <w:t>Saskaņā ar Standartu dzīvības apdrošināšanas līgums ar seguma periodu, kas beidzas, pirms apdrošinātā persona sasniedz 90 gadu vecumu, var būt izslēgtais konts, ja ir izpildītas VIII panta C punkta 17. apakšpunkta c) daļā minētās prasības. Vai jāuzskata, ka šāda izslēgšana attiecas arī uz terminētiem dzīvības apdrošināšanas līgumiem?</w:t>
            </w:r>
          </w:p>
          <w:p w14:paraId="5340F7AD" w14:textId="77777777" w:rsidR="00DD0A96" w:rsidRPr="00B16BC0" w:rsidRDefault="00DD0A96" w:rsidP="00D23617">
            <w:pPr>
              <w:pStyle w:val="TableParagraph"/>
              <w:spacing w:before="60" w:after="60"/>
              <w:ind w:left="113" w:right="113"/>
              <w:rPr>
                <w:noProof/>
              </w:rPr>
            </w:pPr>
            <w:r>
              <w:t>Jā. Saskaņā ar Standartu terminētus dzīvības apdrošināšanas līgumus kvalificē kā izslēgto kontu, ja tie atbilst VIII panta C punkta 17. apakšpunkta c) daļā minētajām prasībām (skat. komentāru par VIII pantu 86. un 91. punktu, kuros lietots termins “terminēts dzīvības apdrošināšanas līgums”).</w:t>
            </w:r>
          </w:p>
        </w:tc>
      </w:tr>
      <w:tr w:rsidR="00DD0A96" w:rsidRPr="00B16BC0" w14:paraId="445B6CA1" w14:textId="77777777" w:rsidTr="00697579">
        <w:trPr>
          <w:trHeight w:val="551"/>
        </w:trPr>
        <w:tc>
          <w:tcPr>
            <w:tcW w:w="0" w:type="auto"/>
            <w:gridSpan w:val="2"/>
            <w:shd w:val="clear" w:color="auto" w:fill="DAEDF3"/>
          </w:tcPr>
          <w:p w14:paraId="21FB64EC" w14:textId="77777777" w:rsidR="00DD0A96" w:rsidRPr="00B16BC0" w:rsidRDefault="00DD0A96" w:rsidP="00D23617">
            <w:pPr>
              <w:pStyle w:val="TableParagraph"/>
              <w:spacing w:before="60" w:after="60"/>
              <w:ind w:left="113" w:right="113"/>
              <w:jc w:val="left"/>
              <w:rPr>
                <w:b/>
                <w:noProof/>
              </w:rPr>
            </w:pPr>
            <w:r>
              <w:rPr>
                <w:b/>
              </w:rPr>
              <w:t>3. Izslēgtais konts – neaktīvi konti</w:t>
            </w:r>
          </w:p>
        </w:tc>
      </w:tr>
      <w:tr w:rsidR="00DD0A96" w:rsidRPr="00B16BC0" w14:paraId="169E0A52" w14:textId="77777777" w:rsidTr="00CF2EA0">
        <w:trPr>
          <w:trHeight w:val="3002"/>
        </w:trPr>
        <w:tc>
          <w:tcPr>
            <w:tcW w:w="0" w:type="auto"/>
            <w:gridSpan w:val="2"/>
          </w:tcPr>
          <w:p w14:paraId="02632D7D" w14:textId="77777777" w:rsidR="00DD0A96" w:rsidRPr="00B16BC0" w:rsidRDefault="00DD0A96" w:rsidP="00D23617">
            <w:pPr>
              <w:pStyle w:val="TableParagraph"/>
              <w:spacing w:before="60" w:after="60"/>
              <w:ind w:left="113" w:right="113" w:hanging="1"/>
              <w:rPr>
                <w:b/>
                <w:noProof/>
              </w:rPr>
            </w:pPr>
            <w:r>
              <w:rPr>
                <w:b/>
              </w:rPr>
              <w:t>Standartā kā piemērs minēts zema riska izslēgtais konts, kurš ir neaktīvs konts un kura gada bilance nepārsniedz 1000 USD (skat. komentāru par VIII pantu 103. punktā minēto sesto piemēru).</w:t>
            </w:r>
          </w:p>
          <w:p w14:paraId="31D4D573" w14:textId="77777777" w:rsidR="00DD0A96" w:rsidRPr="00B16BC0" w:rsidRDefault="00DD0A96" w:rsidP="00D23617">
            <w:pPr>
              <w:pStyle w:val="TableParagraph"/>
              <w:spacing w:before="60" w:after="60"/>
              <w:ind w:left="113" w:right="113" w:hanging="1"/>
              <w:rPr>
                <w:b/>
                <w:noProof/>
              </w:rPr>
            </w:pPr>
            <w:r>
              <w:rPr>
                <w:b/>
              </w:rPr>
              <w:t>Balstoties uz 1000 USD robežvērtību, kas izmantota par piemēru, cik lielā mērā jurisdikcijas, kuras izvēlas iekļaut neaktīvus kontus kā zema riska izslēgtos kontus, var noteikt augstāku robežvērtību?</w:t>
            </w:r>
          </w:p>
          <w:p w14:paraId="4D0D69BB" w14:textId="77777777" w:rsidR="00DD0A96" w:rsidRPr="00B16BC0" w:rsidRDefault="00DD0A96" w:rsidP="00D23617">
            <w:pPr>
              <w:pStyle w:val="TableParagraph"/>
              <w:spacing w:before="60" w:after="60"/>
              <w:ind w:left="113" w:right="113"/>
              <w:rPr>
                <w:noProof/>
              </w:rPr>
            </w:pPr>
            <w:r>
              <w:t>Lai gan 1000 USD ir tikai orientējoša vērtība, paredzams, ka jurisdikcijas, kuras izvēlas iekļaut neaktīvus kontus kā zema riska izslēgtos kontus, nenoteiks robežvērtību, kas būtiski pārsniedz šo vērtību.</w:t>
            </w:r>
          </w:p>
        </w:tc>
      </w:tr>
      <w:tr w:rsidR="00DD0A96" w:rsidRPr="00B16BC0" w14:paraId="0F81163F" w14:textId="77777777" w:rsidTr="00697579">
        <w:trPr>
          <w:trHeight w:val="551"/>
        </w:trPr>
        <w:tc>
          <w:tcPr>
            <w:tcW w:w="0" w:type="auto"/>
            <w:gridSpan w:val="2"/>
            <w:shd w:val="clear" w:color="auto" w:fill="DAEDF3"/>
          </w:tcPr>
          <w:p w14:paraId="47FEA808" w14:textId="77777777" w:rsidR="00DD0A96" w:rsidRPr="00B16BC0" w:rsidRDefault="00DD0A96" w:rsidP="00D23617">
            <w:pPr>
              <w:pStyle w:val="TableParagraph"/>
              <w:spacing w:before="60" w:after="60"/>
              <w:ind w:left="113" w:right="113"/>
              <w:jc w:val="left"/>
              <w:rPr>
                <w:b/>
                <w:noProof/>
              </w:rPr>
            </w:pPr>
            <w:r>
              <w:rPr>
                <w:b/>
              </w:rPr>
              <w:lastRenderedPageBreak/>
              <w:t>4. Ārpusbiržas atvasinātie instrumenti</w:t>
            </w:r>
          </w:p>
        </w:tc>
      </w:tr>
      <w:tr w:rsidR="00882ADB" w:rsidRPr="00B16BC0" w14:paraId="75A763C7" w14:textId="77777777" w:rsidTr="00697579">
        <w:tc>
          <w:tcPr>
            <w:tcW w:w="0" w:type="auto"/>
            <w:gridSpan w:val="2"/>
          </w:tcPr>
          <w:p w14:paraId="31ABC8BF" w14:textId="77777777" w:rsidR="00882ADB" w:rsidRPr="00B16BC0" w:rsidRDefault="00882ADB" w:rsidP="00D23617">
            <w:pPr>
              <w:pStyle w:val="TableParagraph"/>
              <w:spacing w:before="60" w:after="60"/>
              <w:ind w:left="113" w:right="113"/>
              <w:rPr>
                <w:b/>
                <w:noProof/>
              </w:rPr>
            </w:pPr>
            <w:r>
              <w:rPr>
                <w:b/>
              </w:rPr>
              <w:t xml:space="preserve">Saskaņā ar </w:t>
            </w:r>
            <w:r>
              <w:rPr>
                <w:b/>
                <w:i/>
                <w:iCs/>
              </w:rPr>
              <w:t>CRS</w:t>
            </w:r>
            <w:r>
              <w:rPr>
                <w:b/>
              </w:rPr>
              <w:t xml:space="preserve"> </w:t>
            </w:r>
            <w:r>
              <w:rPr>
                <w:b/>
                <w:bCs/>
              </w:rPr>
              <w:t>finanšu aktīvs</w:t>
            </w:r>
            <w:r>
              <w:rPr>
                <w:b/>
              </w:rPr>
              <w:t xml:space="preserve"> ir “vērtspapīri (piemēram, kapitāla daļas kapitālsabiedrībā, uzņēmējsabiedrības daļas vai faktisko īpašumtiesību daļas plaši turētā vai publiskā akciju sabiedrībā vai trastā, vekseļi, obligācijas, parādzīmes vai cita veida parādsaistību apliecinājumi), daļas uzņēmējsabiedrībā, preces, mijmaiņas līgumi (piemēram, procentu likmju mijmaiņas līgumi, valūtas mijmaiņas līgumi, bāzes mijmaiņas līgumi, procentu likmes maksimālo robežvērtības līgumi, procentu likmju minimālo robežvērtību līgumi, ar precēm saistīti mijmaiņas līgumi, akciju mijmaiņas līgumi, akciju indeksu mijmaiņas līgumi un līdzīgas vienošanās), apdrošināšanas līgumi vai anuitātes līgumi, vai jebkāda līdzdalība (tostarp regulētā tirgū tirgoti un regulētā tirgū netirgoti nākotnes līgumi vai iespējas līgumi) vērtspapīros, uzņēmējsabiedrības daļās, preču līgumos, mijmaiņas līgumos, apdrošināšanas līgumos vai anuitātes līgumos” (skat. komentāru par VIII pantu A punkta 7. apakšpunktu).</w:t>
            </w:r>
          </w:p>
          <w:p w14:paraId="2641202E" w14:textId="77777777" w:rsidR="00882ADB" w:rsidRPr="00B16BC0" w:rsidRDefault="00882ADB" w:rsidP="00D23617">
            <w:pPr>
              <w:pStyle w:val="TableParagraph"/>
              <w:spacing w:before="60" w:after="60"/>
              <w:ind w:left="113" w:right="113"/>
              <w:rPr>
                <w:b/>
                <w:noProof/>
              </w:rPr>
            </w:pPr>
            <w:r>
              <w:rPr>
                <w:b/>
              </w:rPr>
              <w:t>Vai finanšu aktīva definīcija ietver ārpusbiržas atvasinājumus?</w:t>
            </w:r>
          </w:p>
          <w:p w14:paraId="18043D11" w14:textId="2B7C418E" w:rsidR="00882ADB" w:rsidRPr="00B16BC0" w:rsidRDefault="00882ADB" w:rsidP="00D23617">
            <w:pPr>
              <w:pStyle w:val="TableParagraph"/>
              <w:spacing w:before="60" w:after="60"/>
              <w:ind w:left="113" w:right="113"/>
              <w:rPr>
                <w:b/>
                <w:noProof/>
              </w:rPr>
            </w:pPr>
            <w:r>
              <w:t>Jā, finanšu aktīva definīcijā biržā tirgotos (vai kotētos) atvasinātos instrumentus nenošķir no ārpusbiržas atvasinātajiem instrumentiem.</w:t>
            </w:r>
          </w:p>
        </w:tc>
      </w:tr>
      <w:tr w:rsidR="00DD0A96" w:rsidRPr="00B16BC0" w14:paraId="292341FD" w14:textId="77777777" w:rsidTr="00697579">
        <w:trPr>
          <w:trHeight w:val="408"/>
        </w:trPr>
        <w:tc>
          <w:tcPr>
            <w:tcW w:w="0" w:type="auto"/>
            <w:gridSpan w:val="2"/>
            <w:shd w:val="clear" w:color="auto" w:fill="DAEDF3"/>
          </w:tcPr>
          <w:p w14:paraId="43E7A7F5" w14:textId="77777777" w:rsidR="00DD0A96" w:rsidRPr="00B16BC0" w:rsidRDefault="00DD0A96" w:rsidP="00D23617">
            <w:pPr>
              <w:pStyle w:val="TableParagraph"/>
              <w:spacing w:before="60" w:after="60"/>
              <w:ind w:left="113" w:right="113"/>
              <w:jc w:val="left"/>
              <w:rPr>
                <w:b/>
                <w:noProof/>
              </w:rPr>
            </w:pPr>
            <w:r>
              <w:rPr>
                <w:b/>
              </w:rPr>
              <w:t>5. Izslēgtie konti – alternatīvas prasības – soda režīms</w:t>
            </w:r>
          </w:p>
        </w:tc>
      </w:tr>
      <w:tr w:rsidR="00DD0A96" w:rsidRPr="00B16BC0" w14:paraId="74C0ED00" w14:textId="77777777" w:rsidTr="00697579">
        <w:trPr>
          <w:trHeight w:val="410"/>
        </w:trPr>
        <w:tc>
          <w:tcPr>
            <w:tcW w:w="0" w:type="auto"/>
            <w:gridSpan w:val="2"/>
          </w:tcPr>
          <w:p w14:paraId="48A75489" w14:textId="77777777" w:rsidR="00DD0A96" w:rsidRPr="00B16BC0" w:rsidRDefault="00DD0A96" w:rsidP="00D23617">
            <w:pPr>
              <w:pStyle w:val="TableParagraph"/>
              <w:spacing w:before="60" w:after="60"/>
              <w:ind w:left="113" w:right="113" w:hanging="1"/>
              <w:rPr>
                <w:b/>
                <w:noProof/>
              </w:rPr>
            </w:pPr>
            <w:r>
              <w:rPr>
                <w:b/>
              </w:rPr>
              <w:t>Saskaņā ar VIII panta C punkta 17. apakšpunkta g) daļu kontu var iekļaut jurisdikcijai specifiskajā zema riska izslēgto kontu sarakstā tikai tad, ja i) attiecībā uz kontu pastāv zems risks, ka tas tiks izmantots, lai izvairītos no nodokļu maksāšanas,</w:t>
            </w:r>
          </w:p>
          <w:p w14:paraId="5662EC80" w14:textId="77777777" w:rsidR="00DD0A96" w:rsidRPr="00B16BC0" w:rsidRDefault="00DD0A96" w:rsidP="00D23617">
            <w:pPr>
              <w:pStyle w:val="TableParagraph"/>
              <w:spacing w:before="60" w:after="60"/>
              <w:ind w:left="113" w:right="113" w:firstLine="1"/>
              <w:rPr>
                <w:b/>
                <w:noProof/>
              </w:rPr>
            </w:pPr>
            <w:r>
              <w:rPr>
                <w:b/>
              </w:rPr>
              <w:t>ii) konta īpašības pēc būtības līdzinās jebkurai Standartā minētajai izslēgto kontu kategorijai, iii) konts valsts tiesību aktos ir noteikts kā izslēgtais konts, un iv) tas, ka kontam piešķirts izslēgtā konta statuss, nav pretrunā Standarta mērķiem.</w:t>
            </w:r>
          </w:p>
          <w:p w14:paraId="2C17D773" w14:textId="77777777" w:rsidR="00DD0A96" w:rsidRPr="00B16BC0" w:rsidRDefault="00DD0A96" w:rsidP="00D23617">
            <w:pPr>
              <w:pStyle w:val="TableParagraph"/>
              <w:spacing w:before="60" w:after="60"/>
              <w:ind w:left="113" w:right="113" w:hanging="1"/>
              <w:rPr>
                <w:b/>
                <w:noProof/>
              </w:rPr>
            </w:pPr>
            <w:r>
              <w:rPr>
                <w:b/>
              </w:rPr>
              <w:t>Komentāru par VIII pantu 103. punktā saistībā ar ii) daļā noteikto prasību minēts piemērs un noteikts, ka soda režīms (piemēram, augstas likmes vienotais nodoklis) par priekšlaicīgu līdzekļu izņemšanu no anuitātes līguma, ko saskaņā ar C punkta 17. apakšpunkta a) daļu uzskata par izslēgto kontu, var būt par pamatu tam, lai piemērotu alternatīvu prasību, proti, neierobežot iemaksas šādā anuitātes līgumā.</w:t>
            </w:r>
          </w:p>
          <w:p w14:paraId="29B10E4D" w14:textId="77777777" w:rsidR="00DD0A96" w:rsidRPr="00B16BC0" w:rsidRDefault="00DD0A96" w:rsidP="00D23617">
            <w:pPr>
              <w:pStyle w:val="TableParagraph"/>
              <w:spacing w:before="60" w:after="60"/>
              <w:ind w:left="113" w:right="113" w:firstLine="1"/>
              <w:rPr>
                <w:b/>
                <w:noProof/>
              </w:rPr>
            </w:pPr>
            <w:r>
              <w:rPr>
                <w:b/>
              </w:rPr>
              <w:t>Kā šo piemēru interpretēt, vēl jo vairāk ņemot vērā to, ka konta turētājs anuitātes līguma gadījumā var nebūt nodokļu rezidents tās finanšu iestādes jurisdikcijā, kura izsniedz anuitātes līgumu?</w:t>
            </w:r>
          </w:p>
          <w:p w14:paraId="087E6A4E" w14:textId="77777777" w:rsidR="00DD0A96" w:rsidRPr="00B16BC0" w:rsidRDefault="00DD0A96" w:rsidP="00D23617">
            <w:pPr>
              <w:pStyle w:val="TableParagraph"/>
              <w:spacing w:before="60" w:after="60"/>
              <w:ind w:left="113" w:right="113" w:firstLine="1"/>
              <w:rPr>
                <w:noProof/>
              </w:rPr>
            </w:pPr>
            <w:r>
              <w:t>Soda režīmam par priekšlaicīgu līdzekļu izņemšanu no anuitātes līguma tās finanšu iestādes jurisdikcijā, kura izsniegusi anuitātes līgumu nerezidentam, jānodrošina, ka finanšu iestādes jurisdikcijā šādus sodus var efektīvi piemērot. Proti, finanšu iestādes jurisdikcijai jānodrošina, ka piemērojamās starptautiskās nodokļu tiesības, tostarp konvencijas par nodokļu dubultās uzlikšanas novēršanu, neliedz šādu sodu efektīvu piemērošanu.</w:t>
            </w:r>
          </w:p>
        </w:tc>
      </w:tr>
      <w:tr w:rsidR="00DD0A96" w:rsidRPr="00B16BC0" w14:paraId="38900BDF" w14:textId="77777777" w:rsidTr="00697579">
        <w:trPr>
          <w:trHeight w:val="333"/>
        </w:trPr>
        <w:tc>
          <w:tcPr>
            <w:tcW w:w="0" w:type="auto"/>
            <w:gridSpan w:val="2"/>
            <w:shd w:val="clear" w:color="auto" w:fill="DAEDF3"/>
          </w:tcPr>
          <w:p w14:paraId="4B8B42D7" w14:textId="463714D7" w:rsidR="00DD0A96" w:rsidRPr="00B16BC0" w:rsidRDefault="00DD0A96" w:rsidP="00D23617">
            <w:pPr>
              <w:pStyle w:val="TableParagraph"/>
              <w:spacing w:before="60" w:after="60"/>
              <w:ind w:left="113" w:right="113"/>
              <w:rPr>
                <w:b/>
                <w:noProof/>
              </w:rPr>
            </w:pPr>
            <w:r>
              <w:rPr>
                <w:b/>
              </w:rPr>
              <w:t>6. Izslēgtais konts – alternatīvas prasības – ziņošana nodokļu iestādēm</w:t>
            </w:r>
          </w:p>
        </w:tc>
      </w:tr>
      <w:tr w:rsidR="00DD0A96" w:rsidRPr="00B16BC0" w14:paraId="635B95E6" w14:textId="77777777" w:rsidTr="00CF2EA0">
        <w:trPr>
          <w:trHeight w:val="3661"/>
        </w:trPr>
        <w:tc>
          <w:tcPr>
            <w:tcW w:w="0" w:type="auto"/>
            <w:gridSpan w:val="2"/>
          </w:tcPr>
          <w:p w14:paraId="092434B8" w14:textId="77777777" w:rsidR="00DD0A96" w:rsidRPr="00B16BC0" w:rsidRDefault="00DD0A96" w:rsidP="00D23617">
            <w:pPr>
              <w:pStyle w:val="TableParagraph"/>
              <w:spacing w:before="60" w:after="60"/>
              <w:ind w:left="113" w:right="113"/>
              <w:rPr>
                <w:b/>
                <w:noProof/>
              </w:rPr>
            </w:pPr>
            <w:r>
              <w:rPr>
                <w:b/>
              </w:rPr>
              <w:t>Saistībā ar izslēgtajiem kontiem tas, ka informācija par kontu jāsniedz nodokļu iestādēm, liecina par zemu risku, veidojot jurisdikcijai specifisko zema riska izslēgto kontu sarakstu saskaņā ar VIII panta C punkta 17. apakšpunkta g) daļā noteiktajām prasībām, un uzskatāms par pazīmi, lai kvalificētu pensiju kontu kā izslēgto kontu saskaņā ar VIII panta C punkta 17. apakšpunkta a) daļā noteiktajām prasībām.</w:t>
            </w:r>
          </w:p>
          <w:p w14:paraId="4D072DFE" w14:textId="77777777" w:rsidR="00DD0A96" w:rsidRPr="00B16BC0" w:rsidRDefault="00DD0A96" w:rsidP="00D23617">
            <w:pPr>
              <w:pStyle w:val="TableParagraph"/>
              <w:spacing w:before="60" w:after="60"/>
              <w:ind w:left="113" w:right="113"/>
              <w:rPr>
                <w:b/>
                <w:noProof/>
              </w:rPr>
            </w:pPr>
            <w:r>
              <w:rPr>
                <w:b/>
              </w:rPr>
              <w:t>Vai tas, ka informācija par kontu jāsniedz regulatīvajām un/vai sociālā nodrošinājuma iestādēm finanšu iestādes, kas sniedz ziņojumus, jurisdikcijā uzskatāms par būtiski līdzīgu pazīmi, lai kontu kvalificētu kā izslēgto kontu?</w:t>
            </w:r>
          </w:p>
          <w:p w14:paraId="277C3720" w14:textId="77777777" w:rsidR="00DD0A96" w:rsidRPr="00B16BC0" w:rsidRDefault="00DD0A96" w:rsidP="00D23617">
            <w:pPr>
              <w:pStyle w:val="TableParagraph"/>
              <w:spacing w:before="60" w:after="60"/>
              <w:ind w:left="113" w:right="113" w:firstLine="1"/>
              <w:rPr>
                <w:noProof/>
              </w:rPr>
            </w:pPr>
            <w:r>
              <w:t>Tas, ka informācija par kontu jāsniedz regulatīvajām un/vai sociālā nodrošinājuma iestādēm finanšu iestādes, kas sniedz ziņojumus, jurisdikcijā nav uzskatāms par būtiski līdzīgu pazīmi, ciktāl saskaņā ar attiecīgajiem valsts tiesību aktiem šī informācija nodokļu iestādēm finanšu iestādes, kas sniedz ziņojums, jurisdikcijā ir viegli pieejama.</w:t>
            </w:r>
          </w:p>
        </w:tc>
      </w:tr>
      <w:tr w:rsidR="00DD0A96" w:rsidRPr="00B16BC0" w14:paraId="4D3E12B9" w14:textId="77777777" w:rsidTr="00697579">
        <w:trPr>
          <w:trHeight w:val="414"/>
        </w:trPr>
        <w:tc>
          <w:tcPr>
            <w:tcW w:w="0" w:type="auto"/>
            <w:gridSpan w:val="2"/>
            <w:shd w:val="clear" w:color="auto" w:fill="DAEDF3"/>
          </w:tcPr>
          <w:p w14:paraId="4B927923" w14:textId="77777777" w:rsidR="00DD0A96" w:rsidRPr="00B16BC0" w:rsidRDefault="00DD0A96" w:rsidP="00D23617">
            <w:pPr>
              <w:pStyle w:val="TableParagraph"/>
              <w:spacing w:before="60" w:after="60"/>
              <w:ind w:left="113" w:right="113"/>
              <w:rPr>
                <w:b/>
                <w:noProof/>
              </w:rPr>
            </w:pPr>
            <w:r>
              <w:rPr>
                <w:b/>
              </w:rPr>
              <w:lastRenderedPageBreak/>
              <w:t>7. Izslēgtie konti – zemākas vērtības elektroniskās naudas konti*</w:t>
            </w:r>
          </w:p>
        </w:tc>
      </w:tr>
      <w:tr w:rsidR="00DD0A96" w:rsidRPr="00B16BC0" w14:paraId="677B91D2" w14:textId="77777777" w:rsidTr="00697579">
        <w:trPr>
          <w:trHeight w:val="694"/>
        </w:trPr>
        <w:tc>
          <w:tcPr>
            <w:tcW w:w="0" w:type="auto"/>
            <w:gridSpan w:val="2"/>
            <w:shd w:val="clear" w:color="auto" w:fill="DAEDF3"/>
          </w:tcPr>
          <w:p w14:paraId="61612955" w14:textId="77777777" w:rsidR="00DD0A96" w:rsidRPr="00B16BC0" w:rsidRDefault="00DD0A96" w:rsidP="00D23617">
            <w:pPr>
              <w:pStyle w:val="TableParagraph"/>
              <w:spacing w:before="60" w:after="60"/>
              <w:ind w:left="113" w:right="113"/>
              <w:rPr>
                <w:b/>
                <w:noProof/>
              </w:rPr>
            </w:pPr>
            <w:r>
              <w:rPr>
                <w:b/>
              </w:rPr>
              <w:t>8. Līdzdalības daļas kapitālā noteikšana plaši turēta kolektīvo ieguldījumu instrumenta gadījumā, kas ir finanšu iestāde, kura sniedz ziņojumus</w:t>
            </w:r>
          </w:p>
        </w:tc>
      </w:tr>
      <w:tr w:rsidR="00DD0A96" w:rsidRPr="00B16BC0" w14:paraId="39D6D203" w14:textId="77777777" w:rsidTr="00697579">
        <w:tc>
          <w:tcPr>
            <w:tcW w:w="0" w:type="auto"/>
            <w:gridSpan w:val="2"/>
          </w:tcPr>
          <w:p w14:paraId="0A960D5E" w14:textId="77777777" w:rsidR="00DD0A96" w:rsidRPr="00B16BC0" w:rsidRDefault="00DD0A96" w:rsidP="00D23617">
            <w:pPr>
              <w:pStyle w:val="TableParagraph"/>
              <w:spacing w:before="60" w:after="60"/>
              <w:ind w:left="113" w:right="113"/>
              <w:rPr>
                <w:b/>
                <w:noProof/>
              </w:rPr>
            </w:pPr>
            <w:r>
              <w:rPr>
                <w:b/>
              </w:rPr>
              <w:t xml:space="preserve">Dažiem kolektīvo ieguldījumu instrumentiem, kuri ir finanšu iestādes, kas sniedz ziņojumus, un ir strukturēti trasta veidā, ir publiski piedāvātu kolektīvo ieguldījumu instrumentu pazīmes, proti, pilnvarotā persona un labuma guvēji ir nesaistītas puses, līdzdalība kolektīvo ieguldījumu instrumentā ir sadalīta sīkākās vienībās, kolektīvo ieguldījumu instrumentam ir pienākums uzturēt aktuālu reģistrējamo vienību turētāju reģistru, noteikti reģistrētie vienību turētāji ir turētājiestādes, kuras tur vienības šajā instrumentā ieguldītāju vārdā turētāja kontā, un vienības ir brīvi nododami finanšu instrumenti. Vai šāds kolektīvo ieguldījumu instruments reģistrētos vienību turētājus </w:t>
            </w:r>
            <w:r>
              <w:rPr>
                <w:b/>
                <w:i/>
                <w:iCs/>
              </w:rPr>
              <w:t>CRS</w:t>
            </w:r>
            <w:r>
              <w:rPr>
                <w:b/>
              </w:rPr>
              <w:t xml:space="preserve"> izpratnē var uzskatīt par kontu turētājiem?</w:t>
            </w:r>
          </w:p>
          <w:p w14:paraId="398B8E17" w14:textId="77777777" w:rsidR="00DD0A96" w:rsidRPr="00B16BC0" w:rsidRDefault="00DD0A96" w:rsidP="00D23617">
            <w:pPr>
              <w:pStyle w:val="TableParagraph"/>
              <w:spacing w:before="60" w:after="60"/>
              <w:ind w:left="113" w:right="113"/>
              <w:rPr>
                <w:noProof/>
              </w:rPr>
            </w:pPr>
            <w:r>
              <w:t>Jā, šādā gadījumā reģistrētos vienību turētājus uzskata par kontu turētājiem attiecībā uz līdzdalības daļu kolektīvo ieguldījumu instrumenta kapitālā (ja vien tie nav personas, kas nav finanšu iestādes, kuras tur līdzdalības daļu kapitālā citas personas vārdā vai rīkojumā, kā noteikts VIII panta E punkta 1. apakšpunktā). Turētājiestādēm, kuras ir reģistrētās vienību turētājas, ir pienākums paziņot par līdzdalības daļu kolektīvo ieguldījumu instrumenta kapitālā, ko tās tur turētāja kontā tādu konta turētāju rīkojumā, par kuriem jāsniedz ziņojums (skat. komentāru par VIII pantu 71. punktu).</w:t>
            </w:r>
          </w:p>
        </w:tc>
      </w:tr>
      <w:tr w:rsidR="00DD0A96" w:rsidRPr="00B16BC0" w14:paraId="166FB7C0" w14:textId="77777777" w:rsidTr="00697579">
        <w:trPr>
          <w:trHeight w:val="465"/>
        </w:trPr>
        <w:tc>
          <w:tcPr>
            <w:tcW w:w="0" w:type="auto"/>
            <w:gridSpan w:val="2"/>
            <w:shd w:val="clear" w:color="auto" w:fill="DAEDF3"/>
          </w:tcPr>
          <w:p w14:paraId="014385C6" w14:textId="77777777" w:rsidR="00DD0A96" w:rsidRPr="00B16BC0" w:rsidRDefault="00DD0A96" w:rsidP="00D23617">
            <w:pPr>
              <w:pStyle w:val="TableParagraph"/>
              <w:spacing w:before="60" w:after="60"/>
              <w:ind w:left="113" w:right="113"/>
              <w:rPr>
                <w:b/>
                <w:noProof/>
              </w:rPr>
            </w:pPr>
            <w:r>
              <w:rPr>
                <w:b/>
              </w:rPr>
              <w:t>9. Ieguldījumu vienība – termina “ finanšu konts” definīcija</w:t>
            </w:r>
          </w:p>
        </w:tc>
      </w:tr>
      <w:tr w:rsidR="00B16BC0" w:rsidRPr="00B16BC0" w14:paraId="5BBAA847" w14:textId="77777777" w:rsidTr="00697579">
        <w:trPr>
          <w:trHeight w:val="3391"/>
        </w:trPr>
        <w:tc>
          <w:tcPr>
            <w:tcW w:w="0" w:type="auto"/>
            <w:gridSpan w:val="2"/>
          </w:tcPr>
          <w:p w14:paraId="22D68303" w14:textId="77777777" w:rsidR="00B16BC0" w:rsidRPr="00B16BC0" w:rsidRDefault="00B16BC0" w:rsidP="00D23617">
            <w:pPr>
              <w:pStyle w:val="TableParagraph"/>
              <w:spacing w:before="60" w:after="60"/>
              <w:ind w:left="113" w:right="113"/>
              <w:rPr>
                <w:b/>
                <w:noProof/>
              </w:rPr>
            </w:pPr>
            <w:r>
              <w:rPr>
                <w:b/>
              </w:rPr>
              <w:t xml:space="preserve">Saskaņā ar VIII panta C punkta 1. apakšpunkta b) daļu līdzdalības daļa finanšu iestādes kapitālā vai parādkapitālā, kas nav minēta VIII panta C punkta 1. apakšpunkta a) daļā, tiek uzskatīta par finanšu kontu vienīgi tad, ja līdzdalības daļu klase izveidota nolūkā izvairīties no ziņojumu sniegšanas atbilstīgi </w:t>
            </w:r>
            <w:r>
              <w:rPr>
                <w:b/>
                <w:i/>
                <w:iCs/>
              </w:rPr>
              <w:t>CRS</w:t>
            </w:r>
            <w:r>
              <w:rPr>
                <w:b/>
              </w:rPr>
              <w:t>. Kā šis noteikums attiecas uz līdzdalības daļām tādas vienības kapitālā vai parādkapitālā, kura tiek uzskatīta par ieguldījumu vienību vienīgi tāpēc, ka tā ir ieguldījumu konsultants vai ieguldījumu pārvaldītājs?</w:t>
            </w:r>
          </w:p>
          <w:p w14:paraId="5C1CE644" w14:textId="1A6CCE0D" w:rsidR="00B16BC0" w:rsidRPr="00B16BC0" w:rsidRDefault="00B16BC0" w:rsidP="00D23617">
            <w:pPr>
              <w:pStyle w:val="TableParagraph"/>
              <w:spacing w:before="60" w:after="60"/>
              <w:ind w:left="113" w:right="113"/>
              <w:rPr>
                <w:b/>
                <w:noProof/>
              </w:rPr>
            </w:pPr>
            <w:r>
              <w:t xml:space="preserve">VIII panta C punkta 1. apakšpunkta b) daļa attiecas uz līdzdalības daļām tādas vienības kapitālā vai parādkapitālā, kura tiek uzskatīta par ieguldījumu vienību vienīgi tāpēc, ka tā i) sniedz ieguldījumu konsultācijas klientam un rīkojas klienta vārdā vai ii) veic portfeļa pārvaldību klientam vai rīkojas klienta vārdā nolūkā ieguldīt, pārvaldīt un administrēt finanšu aktīvus, kas klienta vārdā noguldīti tādā finanšu iestādē, kas nav šāda vienība, ja līdzdalības daļu klase noteikta nolūkā izvairīties no ziņojumu sniegšanas atbilstīgi </w:t>
            </w:r>
            <w:r>
              <w:rPr>
                <w:i/>
                <w:iCs/>
              </w:rPr>
              <w:t>CRS</w:t>
            </w:r>
            <w:r>
              <w:t>.</w:t>
            </w:r>
          </w:p>
        </w:tc>
      </w:tr>
      <w:tr w:rsidR="00DD0A96" w:rsidRPr="00B16BC0" w14:paraId="1F898E30" w14:textId="77777777" w:rsidTr="00697579">
        <w:trPr>
          <w:trHeight w:val="551"/>
        </w:trPr>
        <w:tc>
          <w:tcPr>
            <w:tcW w:w="0" w:type="auto"/>
            <w:gridSpan w:val="2"/>
            <w:shd w:val="clear" w:color="auto" w:fill="DAEDF3"/>
          </w:tcPr>
          <w:p w14:paraId="0B498BEC" w14:textId="77777777" w:rsidR="00DD0A96" w:rsidRPr="00B16BC0" w:rsidRDefault="00DD0A96" w:rsidP="00D23617">
            <w:pPr>
              <w:pStyle w:val="TableParagraph"/>
              <w:spacing w:before="60" w:after="60"/>
              <w:ind w:left="113" w:right="113"/>
              <w:rPr>
                <w:b/>
                <w:noProof/>
              </w:rPr>
            </w:pPr>
            <w:r>
              <w:rPr>
                <w:b/>
              </w:rPr>
              <w:t>10. Izslēgtie konti – konti, kuri tiek turēti kondomīnija vai dzīvokļu kooperatīva mērķiem*</w:t>
            </w:r>
          </w:p>
        </w:tc>
      </w:tr>
      <w:tr w:rsidR="00DD0A96" w:rsidRPr="00B16BC0" w14:paraId="2D2B7A3A" w14:textId="77777777" w:rsidTr="00697579">
        <w:trPr>
          <w:trHeight w:val="594"/>
        </w:trPr>
        <w:tc>
          <w:tcPr>
            <w:tcW w:w="0" w:type="auto"/>
            <w:gridSpan w:val="2"/>
            <w:tcBorders>
              <w:bottom w:val="single" w:sz="6" w:space="0" w:color="000000"/>
            </w:tcBorders>
            <w:shd w:val="clear" w:color="auto" w:fill="DAEDF3"/>
          </w:tcPr>
          <w:p w14:paraId="7B209CC7" w14:textId="77777777" w:rsidR="00DD0A96" w:rsidRPr="00B16BC0" w:rsidRDefault="00DD0A96" w:rsidP="00D23617">
            <w:pPr>
              <w:pStyle w:val="TableParagraph"/>
              <w:spacing w:before="60" w:after="60"/>
              <w:ind w:left="113" w:right="113"/>
              <w:rPr>
                <w:b/>
                <w:noProof/>
              </w:rPr>
            </w:pPr>
            <w:r>
              <w:rPr>
                <w:b/>
              </w:rPr>
              <w:t>11. Netieša sadale, ko veic trasts*</w:t>
            </w:r>
          </w:p>
        </w:tc>
      </w:tr>
      <w:tr w:rsidR="00DD0A96" w:rsidRPr="00B16BC0" w14:paraId="3777CD90" w14:textId="77777777" w:rsidTr="00697579">
        <w:trPr>
          <w:trHeight w:val="480"/>
        </w:trPr>
        <w:tc>
          <w:tcPr>
            <w:tcW w:w="0" w:type="auto"/>
            <w:gridSpan w:val="2"/>
            <w:tcBorders>
              <w:bottom w:val="nil"/>
            </w:tcBorders>
            <w:shd w:val="clear" w:color="auto" w:fill="DAEDF3"/>
          </w:tcPr>
          <w:p w14:paraId="77FCC754" w14:textId="77777777" w:rsidR="00DD0A96" w:rsidRPr="00B16BC0" w:rsidRDefault="00DD0A96" w:rsidP="00D23617">
            <w:pPr>
              <w:pStyle w:val="TableParagraph"/>
              <w:spacing w:before="60" w:after="60"/>
              <w:ind w:left="113" w:right="113"/>
              <w:rPr>
                <w:b/>
                <w:noProof/>
              </w:rPr>
            </w:pPr>
            <w:r>
              <w:rPr>
                <w:b/>
              </w:rPr>
              <w:t>12. Konta turētāji attiecībā uz apdrošināšanas līgumiem ar naudas vērtību*</w:t>
            </w:r>
          </w:p>
        </w:tc>
      </w:tr>
      <w:tr w:rsidR="00DD0A96" w:rsidRPr="00B16BC0" w14:paraId="23E0F16F" w14:textId="77777777" w:rsidTr="00697579">
        <w:trPr>
          <w:trHeight w:val="551"/>
        </w:trPr>
        <w:tc>
          <w:tcPr>
            <w:tcW w:w="0" w:type="auto"/>
            <w:gridSpan w:val="2"/>
            <w:shd w:val="clear" w:color="auto" w:fill="DAEDF3"/>
          </w:tcPr>
          <w:p w14:paraId="04EA1980" w14:textId="77777777" w:rsidR="00DD0A96" w:rsidRPr="00B16BC0" w:rsidRDefault="00DD0A96" w:rsidP="00D23617">
            <w:pPr>
              <w:pStyle w:val="TableParagraph"/>
              <w:spacing w:before="60" w:after="60"/>
              <w:ind w:left="113" w:right="113"/>
              <w:jc w:val="left"/>
              <w:rPr>
                <w:b/>
                <w:noProof/>
              </w:rPr>
            </w:pPr>
            <w:r>
              <w:rPr>
                <w:b/>
              </w:rPr>
              <w:t>13. Finanšu konti saistībā ar tirdzniecības darbībām līgumu par cenu starpībām (</w:t>
            </w:r>
            <w:r>
              <w:rPr>
                <w:b/>
                <w:i/>
                <w:iCs/>
              </w:rPr>
              <w:t>CFD</w:t>
            </w:r>
            <w:r>
              <w:rPr>
                <w:b/>
              </w:rPr>
              <w:t>) ietvaros</w:t>
            </w:r>
          </w:p>
        </w:tc>
      </w:tr>
      <w:tr w:rsidR="00DD0A96" w:rsidRPr="00B16BC0" w14:paraId="1E842F7B" w14:textId="77777777" w:rsidTr="00CF2EA0">
        <w:trPr>
          <w:trHeight w:val="2792"/>
        </w:trPr>
        <w:tc>
          <w:tcPr>
            <w:tcW w:w="0" w:type="auto"/>
            <w:gridSpan w:val="2"/>
          </w:tcPr>
          <w:p w14:paraId="079AF011" w14:textId="77777777" w:rsidR="00DD0A96" w:rsidRPr="00B16BC0" w:rsidRDefault="00DD0A96" w:rsidP="00D23617">
            <w:pPr>
              <w:pStyle w:val="TableParagraph"/>
              <w:spacing w:before="60" w:after="60"/>
              <w:ind w:left="113" w:right="113"/>
              <w:rPr>
                <w:b/>
                <w:noProof/>
              </w:rPr>
            </w:pPr>
            <w:r>
              <w:rPr>
                <w:b/>
              </w:rPr>
              <w:t xml:space="preserve">Vai saskaņā ar </w:t>
            </w:r>
            <w:r>
              <w:rPr>
                <w:b/>
                <w:i/>
                <w:iCs/>
              </w:rPr>
              <w:t>CRS</w:t>
            </w:r>
            <w:r>
              <w:rPr>
                <w:b/>
              </w:rPr>
              <w:t xml:space="preserve"> VIII panta C punkta 1. apakšpunktu finanšu iestāde uztur finanšu kontu tādēļ, ka tā tur klientu līdzekļus saistībā ar tirdzniecības darbībām ar klientiem līgumu par cenu starpībām </w:t>
            </w:r>
            <w:r>
              <w:rPr>
                <w:b/>
                <w:i/>
                <w:iCs/>
              </w:rPr>
              <w:t>CFD</w:t>
            </w:r>
            <w:r>
              <w:rPr>
                <w:b/>
              </w:rPr>
              <w:t xml:space="preserve"> ietvaros?</w:t>
            </w:r>
          </w:p>
          <w:p w14:paraId="5DF86D41" w14:textId="77777777" w:rsidR="00DD0A96" w:rsidRPr="00B16BC0" w:rsidRDefault="00DD0A96" w:rsidP="00D23617">
            <w:pPr>
              <w:pStyle w:val="TableParagraph"/>
              <w:spacing w:before="60" w:after="60"/>
              <w:ind w:left="113" w:right="113"/>
              <w:rPr>
                <w:noProof/>
              </w:rPr>
            </w:pPr>
            <w:r>
              <w:t>Tā kā turētāja konts ir konts, kurā viens vai vairāki finanšu aktīvi tiek turēti kādas citas personas vārdā, un termins “finanšu aktīvi” neietver naudas līdzekļus, konti, kuros finanšu iestāde tur klienta naudas līdzekļus, nav uzskatāmi par turētāja kontiem. Šos kontus var uzskatīt par noguldījumu kontiem, ciktāl finanšu iestāde uztur kontus, veicot parastu bankas darbību vai līdzīgu darījumdarbību.</w:t>
            </w:r>
          </w:p>
        </w:tc>
      </w:tr>
      <w:tr w:rsidR="00DD0A96" w:rsidRPr="00B16BC0" w14:paraId="345CDB60" w14:textId="77777777" w:rsidTr="00697579">
        <w:trPr>
          <w:trHeight w:val="551"/>
        </w:trPr>
        <w:tc>
          <w:tcPr>
            <w:tcW w:w="0" w:type="auto"/>
            <w:gridSpan w:val="2"/>
            <w:shd w:val="clear" w:color="auto" w:fill="92CDDC"/>
          </w:tcPr>
          <w:p w14:paraId="501E457E" w14:textId="77777777" w:rsidR="00DD0A96" w:rsidRPr="00B16BC0" w:rsidRDefault="00DD0A96" w:rsidP="00D23617">
            <w:pPr>
              <w:pStyle w:val="TableParagraph"/>
              <w:spacing w:before="60" w:after="60"/>
              <w:ind w:left="113" w:right="113"/>
              <w:jc w:val="center"/>
              <w:rPr>
                <w:b/>
                <w:noProof/>
              </w:rPr>
            </w:pPr>
            <w:r>
              <w:rPr>
                <w:b/>
              </w:rPr>
              <w:lastRenderedPageBreak/>
              <w:t>D. KONTS, PAR KURU JĀSNIEDZ ZIŅOJUMS</w:t>
            </w:r>
          </w:p>
        </w:tc>
      </w:tr>
      <w:tr w:rsidR="00DD0A96" w:rsidRPr="00B16BC0" w14:paraId="0C13999C" w14:textId="77777777" w:rsidTr="00697579">
        <w:trPr>
          <w:trHeight w:val="553"/>
        </w:trPr>
        <w:tc>
          <w:tcPr>
            <w:tcW w:w="0" w:type="auto"/>
            <w:gridSpan w:val="2"/>
            <w:shd w:val="clear" w:color="auto" w:fill="DAEDF3"/>
          </w:tcPr>
          <w:p w14:paraId="6958BB3A" w14:textId="77777777" w:rsidR="00DD0A96" w:rsidRPr="00B16BC0" w:rsidRDefault="00DD0A96" w:rsidP="00D23617">
            <w:pPr>
              <w:pStyle w:val="TableParagraph"/>
              <w:spacing w:before="60" w:after="60"/>
              <w:ind w:left="113" w:right="113"/>
              <w:jc w:val="left"/>
              <w:rPr>
                <w:b/>
                <w:noProof/>
              </w:rPr>
            </w:pPr>
            <w:r>
              <w:rPr>
                <w:b/>
              </w:rPr>
              <w:t>1. Ziņošana par konkrētām kontrolējošajām personām</w:t>
            </w:r>
          </w:p>
        </w:tc>
      </w:tr>
      <w:tr w:rsidR="00DD0A96" w:rsidRPr="00B16BC0" w14:paraId="4FAB7201" w14:textId="77777777" w:rsidTr="00697579">
        <w:tc>
          <w:tcPr>
            <w:tcW w:w="0" w:type="auto"/>
            <w:gridSpan w:val="2"/>
          </w:tcPr>
          <w:p w14:paraId="66F89A9C" w14:textId="77777777" w:rsidR="00DD0A96" w:rsidRPr="00B16BC0" w:rsidRDefault="00DD0A96" w:rsidP="00D23617">
            <w:pPr>
              <w:pStyle w:val="TableParagraph"/>
              <w:spacing w:before="60" w:after="60"/>
              <w:ind w:left="113" w:right="113"/>
              <w:rPr>
                <w:b/>
                <w:noProof/>
              </w:rPr>
            </w:pPr>
            <w:r>
              <w:rPr>
                <w:b/>
              </w:rPr>
              <w:t>Vai jāziņo par vienības kontrolējošo(-ajām) personu(-ām), kas ir rezidents tajā pašā jurisdikcijā kā finanšu iestāde, kura sniedz ziņojumus?</w:t>
            </w:r>
          </w:p>
          <w:p w14:paraId="6A504190" w14:textId="77777777" w:rsidR="00DD0A96" w:rsidRPr="00B16BC0" w:rsidRDefault="00DD0A96" w:rsidP="00D23617">
            <w:pPr>
              <w:pStyle w:val="TableParagraph"/>
              <w:spacing w:before="60" w:after="60"/>
              <w:ind w:left="113" w:right="113"/>
              <w:rPr>
                <w:noProof/>
              </w:rPr>
            </w:pPr>
            <w:r>
              <w:t>Saskaņā ar Standartu jāziņo vienīgi par personām jurisdikcijā, par kuru jāsniedz ziņojums. Personas jurisdikcijā, par kuru jāsniedz ziņojums, ir personas, kuras ir rezidenti kādā noteiktā jurisdikciju kopumā, kā noteikts valsts īstenošanas tiesību aktos iesaistītajā jurisdikcijā, kurā atrodas finanšu iestāde, kas sniedz ziņojumus (VIII panta D punkta 3. apakšpunkts). Šajā sarakstā jāiekļauj vismaz jurisdikcijas, ar kurām iesaistītā jurisdikcija ir noslēgusi līgumu par automātisku informācijas apmaiņu saskaņā ar Standartu. Tādēļ šajā sarakstā neiekļauj personas, kuras ir rezidenti vienīgi attiecīgajā iesaistītajā jurisdikcijā.</w:t>
            </w:r>
          </w:p>
          <w:p w14:paraId="23F02AEC" w14:textId="77777777" w:rsidR="00DD0A96" w:rsidRPr="00B16BC0" w:rsidRDefault="00DD0A96" w:rsidP="00D23617">
            <w:pPr>
              <w:pStyle w:val="TableParagraph"/>
              <w:spacing w:before="60" w:after="60"/>
              <w:ind w:left="113" w:right="113" w:hanging="1"/>
              <w:rPr>
                <w:noProof/>
              </w:rPr>
            </w:pPr>
            <w:r>
              <w:t>Tomēr Standartā ir aplūkota pieeja, kas ļautu iesaistītajai jurisdikcijai izvērst ziņošanu, ietverot arī pašas jurisdikcijas rezidentus, kuri ir kontrolējošās personas, lai gan tā saskaņā ar Standartu nav obligāta prasība (Standarta 5. pielikuma 5. punkts).</w:t>
            </w:r>
          </w:p>
        </w:tc>
      </w:tr>
      <w:tr w:rsidR="00DD0A96" w:rsidRPr="00B16BC0" w14:paraId="268ECEFE" w14:textId="77777777" w:rsidTr="00697579">
        <w:trPr>
          <w:trHeight w:val="553"/>
        </w:trPr>
        <w:tc>
          <w:tcPr>
            <w:tcW w:w="0" w:type="auto"/>
            <w:gridSpan w:val="2"/>
            <w:shd w:val="clear" w:color="auto" w:fill="DAEDF3"/>
          </w:tcPr>
          <w:p w14:paraId="0E1DC157" w14:textId="77777777" w:rsidR="00DD0A96" w:rsidRPr="00B16BC0" w:rsidRDefault="00DD0A96" w:rsidP="00D23617">
            <w:pPr>
              <w:pStyle w:val="TableParagraph"/>
              <w:spacing w:before="60" w:after="60"/>
              <w:ind w:left="113" w:right="113"/>
              <w:jc w:val="left"/>
              <w:rPr>
                <w:b/>
                <w:noProof/>
              </w:rPr>
            </w:pPr>
            <w:r>
              <w:rPr>
                <w:b/>
              </w:rPr>
              <w:t>2. Pasīvās nefinanšu vienības*</w:t>
            </w:r>
          </w:p>
        </w:tc>
      </w:tr>
      <w:tr w:rsidR="00DD0A96" w:rsidRPr="00B16BC0" w14:paraId="70F5108B" w14:textId="77777777" w:rsidTr="00697579">
        <w:trPr>
          <w:trHeight w:val="551"/>
        </w:trPr>
        <w:tc>
          <w:tcPr>
            <w:tcW w:w="0" w:type="auto"/>
            <w:gridSpan w:val="2"/>
            <w:shd w:val="clear" w:color="auto" w:fill="DAEDF3"/>
          </w:tcPr>
          <w:p w14:paraId="4FA7BC71" w14:textId="77777777" w:rsidR="00DD0A96" w:rsidRPr="00B16BC0" w:rsidRDefault="00DD0A96" w:rsidP="00D23617">
            <w:pPr>
              <w:pStyle w:val="TableParagraph"/>
              <w:spacing w:before="60" w:after="60"/>
              <w:ind w:left="113" w:right="113"/>
              <w:jc w:val="left"/>
              <w:rPr>
                <w:b/>
                <w:noProof/>
              </w:rPr>
            </w:pPr>
            <w:r>
              <w:rPr>
                <w:b/>
              </w:rPr>
              <w:t>3. Pasīvie ienākumi*</w:t>
            </w:r>
          </w:p>
        </w:tc>
      </w:tr>
      <w:tr w:rsidR="00DD0A96" w:rsidRPr="00B16BC0" w14:paraId="04D64A3C" w14:textId="77777777" w:rsidTr="00697579">
        <w:trPr>
          <w:trHeight w:val="548"/>
        </w:trPr>
        <w:tc>
          <w:tcPr>
            <w:tcW w:w="0" w:type="auto"/>
            <w:gridSpan w:val="2"/>
            <w:shd w:val="clear" w:color="auto" w:fill="DAEDF3"/>
          </w:tcPr>
          <w:p w14:paraId="04888801" w14:textId="77777777" w:rsidR="00DD0A96" w:rsidRPr="00B16BC0" w:rsidRDefault="00DD0A96" w:rsidP="00D23617">
            <w:pPr>
              <w:pStyle w:val="TableParagraph"/>
              <w:spacing w:before="60" w:after="60"/>
              <w:ind w:left="113" w:right="113"/>
              <w:jc w:val="left"/>
              <w:rPr>
                <w:b/>
                <w:noProof/>
              </w:rPr>
            </w:pPr>
            <w:r>
              <w:rPr>
                <w:b/>
              </w:rPr>
              <w:t>4. Persona, par kuru jāsniedz ziņojums – termina “regulāri tirgots” definīcija*</w:t>
            </w:r>
          </w:p>
        </w:tc>
      </w:tr>
      <w:tr w:rsidR="00DD0A96" w:rsidRPr="00B16BC0" w14:paraId="61E14D6F" w14:textId="77777777" w:rsidTr="00697579">
        <w:trPr>
          <w:trHeight w:val="551"/>
        </w:trPr>
        <w:tc>
          <w:tcPr>
            <w:tcW w:w="0" w:type="auto"/>
            <w:gridSpan w:val="2"/>
            <w:shd w:val="clear" w:color="auto" w:fill="DAEDF3"/>
          </w:tcPr>
          <w:p w14:paraId="2BEA984B" w14:textId="77777777" w:rsidR="00DD0A96" w:rsidRPr="00B16BC0" w:rsidRDefault="00DD0A96" w:rsidP="00D23617">
            <w:pPr>
              <w:pStyle w:val="TableParagraph"/>
              <w:spacing w:before="60" w:after="60"/>
              <w:ind w:left="113" w:right="113"/>
              <w:jc w:val="left"/>
              <w:rPr>
                <w:b/>
                <w:noProof/>
              </w:rPr>
            </w:pPr>
            <w:r>
              <w:rPr>
                <w:b/>
              </w:rPr>
              <w:t>5. Termina “aktīva nefinanšu vienība” definīcija – vispāratzītā vērtspapīru tirgū tirgotas akcijas</w:t>
            </w:r>
          </w:p>
        </w:tc>
      </w:tr>
      <w:tr w:rsidR="00B16BC0" w:rsidRPr="00B16BC0" w14:paraId="05023073" w14:textId="77777777" w:rsidTr="00697579">
        <w:trPr>
          <w:trHeight w:val="2333"/>
        </w:trPr>
        <w:tc>
          <w:tcPr>
            <w:tcW w:w="0" w:type="auto"/>
            <w:gridSpan w:val="2"/>
          </w:tcPr>
          <w:p w14:paraId="400951EB" w14:textId="77777777" w:rsidR="00B16BC0" w:rsidRPr="00B16BC0" w:rsidRDefault="00B16BC0" w:rsidP="00D23617">
            <w:pPr>
              <w:pStyle w:val="TableParagraph"/>
              <w:spacing w:before="60" w:after="60"/>
              <w:ind w:left="113" w:right="113"/>
              <w:rPr>
                <w:b/>
                <w:noProof/>
              </w:rPr>
            </w:pPr>
            <w:r>
              <w:rPr>
                <w:b/>
              </w:rPr>
              <w:t>Termins “aktīva nefinanšu vienība” ietver nefinanšu vienību, kuras akcijas tiek regulāri tirgotas vispāratzītā vērtspapīru tirgū, vai nefinanšu vienību, kura ir tādas vienības saistītā vienība, kuras akcijas tiek regulāri tirgotas vispāratzītā vērtspapīru tirgū. Vai vienībai, kas nav kapitālsabiedrība, var būt “akcijas, kuras tiek regulāri tirgotas vispāratzītā vērtspapīru tirgū”?</w:t>
            </w:r>
          </w:p>
          <w:p w14:paraId="7552CFFE" w14:textId="4098694E" w:rsidR="00B16BC0" w:rsidRPr="00B16BC0" w:rsidRDefault="00B16BC0" w:rsidP="00D23617">
            <w:pPr>
              <w:pStyle w:val="TableParagraph"/>
              <w:spacing w:before="60" w:after="60"/>
              <w:ind w:left="113" w:right="113"/>
              <w:jc w:val="left"/>
              <w:rPr>
                <w:b/>
                <w:noProof/>
              </w:rPr>
            </w:pPr>
            <w:r>
              <w:t>Nē. Termins “akcijas” attiecas vienīgi uz kapitāldaļām kapitālsabiedrībā. Līdz ar to vienīgi kapitālsabiedrība kvalificējama kā aktīva nefinanšu vienība, ņemot vērā, ka tās akcijas tiek regulāri tirgotas vispāratzītā vērtspapīru tirgū.</w:t>
            </w:r>
          </w:p>
        </w:tc>
      </w:tr>
      <w:tr w:rsidR="00DD0A96" w:rsidRPr="00B16BC0" w14:paraId="0F36542D" w14:textId="77777777" w:rsidTr="00697579">
        <w:trPr>
          <w:trHeight w:val="551"/>
        </w:trPr>
        <w:tc>
          <w:tcPr>
            <w:tcW w:w="0" w:type="auto"/>
            <w:gridSpan w:val="2"/>
            <w:shd w:val="clear" w:color="auto" w:fill="DAEDF3"/>
          </w:tcPr>
          <w:p w14:paraId="1C0537B1" w14:textId="77777777" w:rsidR="00DD0A96" w:rsidRPr="00B16BC0" w:rsidRDefault="00DD0A96" w:rsidP="00D23617">
            <w:pPr>
              <w:pStyle w:val="TableParagraph"/>
              <w:spacing w:before="60" w:after="60"/>
              <w:ind w:left="113" w:right="113"/>
              <w:jc w:val="left"/>
              <w:rPr>
                <w:b/>
                <w:noProof/>
              </w:rPr>
            </w:pPr>
            <w:r>
              <w:rPr>
                <w:b/>
              </w:rPr>
              <w:t>6. Pārraudzītāji trastam, kas ir finanšu iestāde, kura sniedz ziņojumus</w:t>
            </w:r>
          </w:p>
        </w:tc>
      </w:tr>
      <w:tr w:rsidR="00DD0A96" w:rsidRPr="00B16BC0" w14:paraId="35640072" w14:textId="77777777" w:rsidTr="00697579">
        <w:trPr>
          <w:trHeight w:val="1412"/>
        </w:trPr>
        <w:tc>
          <w:tcPr>
            <w:tcW w:w="0" w:type="auto"/>
            <w:gridSpan w:val="2"/>
          </w:tcPr>
          <w:p w14:paraId="3247F1C7" w14:textId="77777777" w:rsidR="00DD0A96" w:rsidRPr="00B16BC0" w:rsidRDefault="00DD0A96" w:rsidP="00D23617">
            <w:pPr>
              <w:pStyle w:val="TableParagraph"/>
              <w:spacing w:before="60" w:after="60"/>
              <w:ind w:left="113" w:right="113" w:firstLine="1"/>
              <w:rPr>
                <w:b/>
                <w:noProof/>
              </w:rPr>
            </w:pPr>
            <w:r>
              <w:rPr>
                <w:b/>
              </w:rPr>
              <w:t>Vai pārraudzītāji trastam, kas ir finanšu iestāde, kura sniedz ziņojumus, par trasta konta turētājiem uzskatāmi vienmēr vai tikai gadījumos, kad viņu pilnvaras ļauj viņiem īstenot kontroli pār trastu?</w:t>
            </w:r>
          </w:p>
          <w:p w14:paraId="0D133850" w14:textId="77777777" w:rsidR="00DD0A96" w:rsidRPr="00B16BC0" w:rsidRDefault="00DD0A96" w:rsidP="00D23617">
            <w:pPr>
              <w:pStyle w:val="TableParagraph"/>
              <w:spacing w:before="60" w:after="60"/>
              <w:ind w:left="113" w:right="113"/>
              <w:rPr>
                <w:noProof/>
              </w:rPr>
            </w:pPr>
            <w:r>
              <w:t>Pārraudzītājs uzskatāms par konta turētāju neatkarīgi no tā, vai tas īsteno faktisku kontroli pār trastu.</w:t>
            </w:r>
          </w:p>
        </w:tc>
      </w:tr>
      <w:tr w:rsidR="00DD0A96" w:rsidRPr="00B16BC0" w14:paraId="25596066" w14:textId="77777777" w:rsidTr="00697579">
        <w:trPr>
          <w:trHeight w:val="666"/>
        </w:trPr>
        <w:tc>
          <w:tcPr>
            <w:tcW w:w="0" w:type="auto"/>
            <w:gridSpan w:val="2"/>
            <w:shd w:val="clear" w:color="auto" w:fill="DAEDF3"/>
          </w:tcPr>
          <w:p w14:paraId="26EE7709" w14:textId="50452D3A" w:rsidR="00DD0A96" w:rsidRPr="00B16BC0" w:rsidRDefault="00DD0A96" w:rsidP="00D23617">
            <w:pPr>
              <w:pStyle w:val="TableParagraph"/>
              <w:spacing w:before="60" w:after="60"/>
              <w:ind w:left="113" w:right="113"/>
              <w:jc w:val="left"/>
              <w:rPr>
                <w:b/>
                <w:noProof/>
              </w:rPr>
            </w:pPr>
            <w:r>
              <w:rPr>
                <w:b/>
              </w:rPr>
              <w:t>7. Maksājuma veida kods saistībā ar apdrošināšanas līgumu ar naudas vērtību, anuitātes līgumu un līdzdalības daļu kapitālā vai parādkapitālā</w:t>
            </w:r>
          </w:p>
        </w:tc>
      </w:tr>
      <w:tr w:rsidR="00DD0A96" w:rsidRPr="00B16BC0" w14:paraId="2478ED31" w14:textId="77777777" w:rsidTr="00697579">
        <w:trPr>
          <w:trHeight w:val="2533"/>
        </w:trPr>
        <w:tc>
          <w:tcPr>
            <w:tcW w:w="0" w:type="auto"/>
            <w:gridSpan w:val="2"/>
          </w:tcPr>
          <w:p w14:paraId="70D3F182" w14:textId="77777777" w:rsidR="00DD0A96" w:rsidRPr="00B16BC0" w:rsidRDefault="00DD0A96" w:rsidP="00D23617">
            <w:pPr>
              <w:pStyle w:val="TableParagraph"/>
              <w:spacing w:before="60" w:after="60"/>
              <w:ind w:left="113" w:right="113"/>
              <w:rPr>
                <w:b/>
                <w:noProof/>
              </w:rPr>
            </w:pPr>
            <w:r>
              <w:rPr>
                <w:b/>
              </w:rPr>
              <w:t>Vai kodu CRS504 var izmantot, lai identificētu visus maksājumu veidus, par kuriem ziņo saistībā ar apdrošināšanas līgumu ar naudas vērtību, anuitātes līgumu un līdzdalības daļu kapitālā vai parādkapitālā?</w:t>
            </w:r>
          </w:p>
          <w:p w14:paraId="0DE4FADF" w14:textId="77777777" w:rsidR="00DD0A96" w:rsidRPr="00B16BC0" w:rsidRDefault="00DD0A96" w:rsidP="00D23617">
            <w:pPr>
              <w:pStyle w:val="TableParagraph"/>
              <w:spacing w:before="60" w:after="60"/>
              <w:ind w:left="113" w:right="113" w:hanging="1"/>
              <w:rPr>
                <w:noProof/>
              </w:rPr>
            </w:pPr>
            <w:r>
              <w:t>Jā, kodu CRS504 var izmantot, lai identificētu visus maksājumu veidus, par kuriem ziņo saistībā ar apdrošināšanas līgumu ar naudas vērtību, anuitātes līgumu un līdzdalības daļu kapitālā vai parādkapitālā, tostarp tad, ja šie maksājumi ir dividendes, procenti, bruto ieņēmumi vai dzēšanas maksājumi. Standarts neparedz prasību izmantot vienu konkrētu kodu (t. i., CRS501, CRS502 vai CRS503), lai identificētu katru maksājuma veidu, par ko ziņo saistībā ar apdrošināšanas līgumu ar naudas vērtību, anuitātes līgumu un līdzdalības daļu kapitālā vai parādkapitālā.</w:t>
            </w:r>
          </w:p>
        </w:tc>
      </w:tr>
      <w:tr w:rsidR="00DD0A96" w:rsidRPr="00B16BC0" w14:paraId="2C7E74D5" w14:textId="77777777" w:rsidTr="00697579">
        <w:trPr>
          <w:trHeight w:val="401"/>
        </w:trPr>
        <w:tc>
          <w:tcPr>
            <w:tcW w:w="0" w:type="auto"/>
            <w:gridSpan w:val="2"/>
            <w:shd w:val="clear" w:color="auto" w:fill="DAEDF3"/>
          </w:tcPr>
          <w:p w14:paraId="4E3042C6" w14:textId="77777777" w:rsidR="00DD0A96" w:rsidRPr="00B16BC0" w:rsidRDefault="00DD0A96" w:rsidP="00D23617">
            <w:pPr>
              <w:pStyle w:val="TableParagraph"/>
              <w:spacing w:before="60" w:after="60"/>
              <w:ind w:left="113" w:right="113"/>
              <w:jc w:val="left"/>
              <w:rPr>
                <w:b/>
                <w:noProof/>
              </w:rPr>
            </w:pPr>
            <w:r>
              <w:rPr>
                <w:b/>
              </w:rPr>
              <w:lastRenderedPageBreak/>
              <w:t>8. Ienākumi no ieguldījumiem apdrošināšanas sabiedrību kapitālā</w:t>
            </w:r>
          </w:p>
        </w:tc>
      </w:tr>
      <w:tr w:rsidR="00DD0A96" w:rsidRPr="00B16BC0" w14:paraId="3250E4D8" w14:textId="77777777" w:rsidTr="00697579">
        <w:trPr>
          <w:trHeight w:val="2351"/>
        </w:trPr>
        <w:tc>
          <w:tcPr>
            <w:tcW w:w="0" w:type="auto"/>
            <w:gridSpan w:val="2"/>
          </w:tcPr>
          <w:p w14:paraId="0A54CD20" w14:textId="77777777" w:rsidR="00DD0A96" w:rsidRPr="00B16BC0" w:rsidRDefault="00DD0A96" w:rsidP="00D23617">
            <w:pPr>
              <w:pStyle w:val="TableParagraph"/>
              <w:spacing w:before="60" w:after="60"/>
              <w:ind w:left="113" w:right="113"/>
              <w:rPr>
                <w:b/>
                <w:noProof/>
              </w:rPr>
            </w:pPr>
            <w:r>
              <w:rPr>
                <w:b/>
              </w:rPr>
              <w:t>Vai ienākumus, kas gūti no aktīviem, lai tos ieguldītu apdrošināšanas sabiedrības kapitālā, var uzskatīt par aktīviem ienākumiem?</w:t>
            </w:r>
          </w:p>
          <w:p w14:paraId="724DEB83" w14:textId="77777777" w:rsidR="00DD0A96" w:rsidRPr="00B16BC0" w:rsidRDefault="00DD0A96" w:rsidP="00D23617">
            <w:pPr>
              <w:pStyle w:val="TableParagraph"/>
              <w:spacing w:before="60" w:after="60"/>
              <w:ind w:left="113" w:right="113"/>
              <w:rPr>
                <w:noProof/>
              </w:rPr>
            </w:pPr>
            <w:r>
              <w:t>Jā. Lai noteiktu, vai ienākumi uzskatāmi par pasīviem, jāņem vērā apdrošināšanas sabiedrības ienākumu veids. Kā liecina nosaukums, pasīvos ienākumus iegūst no ieguldījuma aktīvos nevis darbībām, ko veic ierastās tirdzniecības vai darījumdarbības gaitā. Ņemot vērā to ienākumu būtību, kas iegūti no aktīviem, kuri tiek turēti kā apdrošināšanas sabiedrības darījumdarbības vai regulatīvās rezerves, ienākumus šajā konkrētajā gadījumā var uzskatīt par aktīviem, nevis pasīviem ienākumiem.</w:t>
            </w:r>
          </w:p>
        </w:tc>
      </w:tr>
      <w:tr w:rsidR="00DD0A96" w:rsidRPr="00B16BC0" w14:paraId="06E681CA" w14:textId="77777777" w:rsidTr="00697579">
        <w:trPr>
          <w:trHeight w:val="551"/>
        </w:trPr>
        <w:tc>
          <w:tcPr>
            <w:tcW w:w="0" w:type="auto"/>
            <w:gridSpan w:val="2"/>
            <w:shd w:val="clear" w:color="auto" w:fill="DAEDF3"/>
          </w:tcPr>
          <w:p w14:paraId="64680DCE" w14:textId="77777777" w:rsidR="00DD0A96" w:rsidRPr="00B16BC0" w:rsidRDefault="00DD0A96" w:rsidP="00D23617">
            <w:pPr>
              <w:pStyle w:val="TableParagraph"/>
              <w:spacing w:before="60" w:after="60"/>
              <w:ind w:left="113" w:right="113"/>
              <w:jc w:val="left"/>
              <w:rPr>
                <w:b/>
                <w:noProof/>
              </w:rPr>
            </w:pPr>
            <w:r>
              <w:rPr>
                <w:b/>
              </w:rPr>
              <w:t>9. Jurisdikcijas, par kurām jāsniedz ziņojums, attiecībā uz iepriekšpastāvējušiem vienību kontiem</w:t>
            </w:r>
          </w:p>
        </w:tc>
      </w:tr>
      <w:tr w:rsidR="00DD0A96" w:rsidRPr="00B16BC0" w14:paraId="230C38C3" w14:textId="77777777" w:rsidTr="00CF2EA0">
        <w:trPr>
          <w:trHeight w:val="6057"/>
        </w:trPr>
        <w:tc>
          <w:tcPr>
            <w:tcW w:w="0" w:type="auto"/>
            <w:gridSpan w:val="2"/>
          </w:tcPr>
          <w:p w14:paraId="540DCFB7" w14:textId="77777777" w:rsidR="00DD0A96" w:rsidRPr="00B16BC0" w:rsidRDefault="00DD0A96" w:rsidP="00D23617">
            <w:pPr>
              <w:pStyle w:val="TableParagraph"/>
              <w:spacing w:before="60" w:after="60"/>
              <w:ind w:left="113" w:right="113"/>
              <w:rPr>
                <w:b/>
                <w:noProof/>
              </w:rPr>
            </w:pPr>
            <w:r>
              <w:rPr>
                <w:b/>
              </w:rPr>
              <w:t>Attiecībā uz iepriekšpastāvējušiem vienību kontiem finanšu iestādēm saskaņā ar V panta D punktu ir jānosaka, vai iepriekšpastāvējušā vienības konta turētājs ir rezidents vienā vai vairākās jurisdikcijās, par kurām jāsniedz ziņojums.</w:t>
            </w:r>
          </w:p>
          <w:p w14:paraId="30E67533" w14:textId="77777777" w:rsidR="00DD0A96" w:rsidRPr="00B16BC0" w:rsidRDefault="00DD0A96" w:rsidP="00D23617">
            <w:pPr>
              <w:pStyle w:val="TableParagraph"/>
              <w:spacing w:before="60" w:after="60"/>
              <w:ind w:left="113" w:right="113"/>
              <w:rPr>
                <w:b/>
                <w:noProof/>
              </w:rPr>
            </w:pPr>
            <w:r>
              <w:rPr>
                <w:b/>
              </w:rPr>
              <w:t>Saskaņā ar komentāru par V pantu 10. punktu iepriekšpastāvējuša konta turētājs uzskatāms par rezidentu jurisdikcijā, par kuru jāsniedz ziņojums, ja saskaņā ar finanšu iestādes rīcībā esošo informāciju tam tostarp ir:</w:t>
            </w:r>
          </w:p>
          <w:p w14:paraId="142AF794" w14:textId="77777777" w:rsidR="00DD0A96" w:rsidRPr="00B16BC0" w:rsidRDefault="00DD0A96" w:rsidP="00D23617">
            <w:pPr>
              <w:pStyle w:val="TableParagraph"/>
              <w:numPr>
                <w:ilvl w:val="0"/>
                <w:numId w:val="1"/>
              </w:numPr>
              <w:tabs>
                <w:tab w:val="left" w:pos="830"/>
              </w:tabs>
              <w:spacing w:before="60" w:after="60"/>
              <w:ind w:left="683" w:right="113" w:hanging="360"/>
              <w:jc w:val="left"/>
              <w:rPr>
                <w:b/>
                <w:noProof/>
              </w:rPr>
            </w:pPr>
            <w:r>
              <w:rPr>
                <w:b/>
              </w:rPr>
              <w:t>reģistrācijas vai dibināšanas vieta jurisdikcijā, par kuru jāsniedz ziņojums;</w:t>
            </w:r>
          </w:p>
          <w:p w14:paraId="4F689845" w14:textId="77777777" w:rsidR="00DD0A96" w:rsidRPr="00B16BC0" w:rsidRDefault="00DD0A96" w:rsidP="00D23617">
            <w:pPr>
              <w:pStyle w:val="TableParagraph"/>
              <w:numPr>
                <w:ilvl w:val="0"/>
                <w:numId w:val="1"/>
              </w:numPr>
              <w:tabs>
                <w:tab w:val="left" w:pos="830"/>
              </w:tabs>
              <w:spacing w:before="60" w:after="60"/>
              <w:ind w:left="683" w:right="113"/>
              <w:jc w:val="left"/>
              <w:rPr>
                <w:b/>
                <w:noProof/>
              </w:rPr>
            </w:pPr>
            <w:r>
              <w:rPr>
                <w:b/>
              </w:rPr>
              <w:t>adrese jurisdikcijā, par kuru jāsniedz ziņojums (piemēram, (..) juridiskā adrese, galvenā biroja adrese vai faktiskā vadības adrese);</w:t>
            </w:r>
          </w:p>
          <w:p w14:paraId="7AA66F0C" w14:textId="77777777" w:rsidR="00DD0A96" w:rsidRPr="00B16BC0" w:rsidRDefault="00DD0A96" w:rsidP="00D23617">
            <w:pPr>
              <w:pStyle w:val="TableParagraph"/>
              <w:numPr>
                <w:ilvl w:val="0"/>
                <w:numId w:val="1"/>
              </w:numPr>
              <w:tabs>
                <w:tab w:val="left" w:pos="830"/>
              </w:tabs>
              <w:spacing w:before="60" w:after="60"/>
              <w:ind w:left="683" w:right="113" w:hanging="360"/>
              <w:jc w:val="left"/>
              <w:rPr>
                <w:b/>
                <w:noProof/>
              </w:rPr>
            </w:pPr>
            <w:r>
              <w:rPr>
                <w:b/>
              </w:rPr>
              <w:t>vienas vai vairāku trasta pilnvaroto personu adrese jurisdikcijā, par kuru jāsniedz ziņojums.</w:t>
            </w:r>
          </w:p>
          <w:p w14:paraId="5DFF1359" w14:textId="77777777" w:rsidR="00DD0A96" w:rsidRPr="00B16BC0" w:rsidRDefault="00DD0A96" w:rsidP="00D23617">
            <w:pPr>
              <w:pStyle w:val="TableParagraph"/>
              <w:spacing w:before="60" w:after="60"/>
              <w:ind w:left="113" w:right="113"/>
              <w:rPr>
                <w:b/>
                <w:noProof/>
              </w:rPr>
            </w:pPr>
            <w:r>
              <w:rPr>
                <w:b/>
              </w:rPr>
              <w:t>Vai, īstenojot pienācīgas pārbaudes procedūras attiecībā uz iepriekšpastāvējušu vienību kontu turētājiem, jāņem vērā visi iepriekš minētie rādītāji un jebkuri citi būtiski apsvērumi, lai noteiktu konkrēto iepriekšpastāvējušo vienību kontu turētāju jurisdikcijas, par kurām jāsniedz ziņojums?</w:t>
            </w:r>
          </w:p>
          <w:p w14:paraId="1D961E11" w14:textId="77777777" w:rsidR="00DD0A96" w:rsidRPr="00B16BC0" w:rsidRDefault="00DD0A96" w:rsidP="00D23617">
            <w:pPr>
              <w:pStyle w:val="TableParagraph"/>
              <w:spacing w:before="60" w:after="60"/>
              <w:ind w:left="113" w:right="113"/>
              <w:rPr>
                <w:noProof/>
              </w:rPr>
            </w:pPr>
            <w:r>
              <w:t>Jā. Visi iepriekš minētie rādītāji un jebkuri citi būtiski apsvērumi jāņem vērā, lai noteiktu jurisdikcijas, par kurām jāsniedz ziņojums, attiecībā uz iepriekšpastāvējuša vienības konta turētāju, un finanšu iestādēm jāturpina pārskatīt visa pieejamā informācija arī pēc vienas rezidences pazīmes konstatēšanas. Iepriekšpastāvējuša vienības konta turētājs uzskatāms par rezidentu katrā jurisdikcijā, par kuru jāsniedz ziņojums un attiecībā uz kuru pazīme konstatēta, ja vien nevar piemērot V panta D punkta 1. apakšpunkta b) daļā minētās labošanas procedūras.</w:t>
            </w:r>
          </w:p>
        </w:tc>
      </w:tr>
      <w:tr w:rsidR="00DD0A96" w:rsidRPr="00B16BC0" w14:paraId="287D5392" w14:textId="77777777" w:rsidTr="00697579">
        <w:trPr>
          <w:trHeight w:val="418"/>
        </w:trPr>
        <w:tc>
          <w:tcPr>
            <w:tcW w:w="0" w:type="auto"/>
            <w:gridSpan w:val="2"/>
            <w:shd w:val="clear" w:color="auto" w:fill="92CDDC"/>
          </w:tcPr>
          <w:p w14:paraId="04E6E21E" w14:textId="77777777" w:rsidR="00DD0A96" w:rsidRPr="00B16BC0" w:rsidRDefault="00DD0A96" w:rsidP="00D23617">
            <w:pPr>
              <w:pStyle w:val="TableParagraph"/>
              <w:spacing w:before="60" w:after="60"/>
              <w:ind w:left="11"/>
              <w:jc w:val="center"/>
              <w:rPr>
                <w:b/>
                <w:noProof/>
              </w:rPr>
            </w:pPr>
            <w:r>
              <w:rPr>
                <w:b/>
              </w:rPr>
              <w:t>E. DAŽĀDI</w:t>
            </w:r>
          </w:p>
        </w:tc>
      </w:tr>
      <w:tr w:rsidR="00DD0A96" w:rsidRPr="00B16BC0" w14:paraId="57A019C0" w14:textId="77777777" w:rsidTr="00697579">
        <w:trPr>
          <w:trHeight w:val="554"/>
        </w:trPr>
        <w:tc>
          <w:tcPr>
            <w:tcW w:w="0" w:type="auto"/>
            <w:gridSpan w:val="2"/>
            <w:shd w:val="clear" w:color="auto" w:fill="DAEDF3"/>
          </w:tcPr>
          <w:p w14:paraId="6AFBC421" w14:textId="77777777" w:rsidR="00DD0A96" w:rsidRPr="00B16BC0" w:rsidRDefault="00DD0A96" w:rsidP="00D23617">
            <w:pPr>
              <w:pStyle w:val="TableParagraph"/>
              <w:spacing w:before="60" w:after="60"/>
              <w:ind w:left="113" w:right="113"/>
              <w:jc w:val="left"/>
              <w:rPr>
                <w:b/>
                <w:noProof/>
              </w:rPr>
            </w:pPr>
            <w:r>
              <w:rPr>
                <w:b/>
              </w:rPr>
              <w:t>1. Termina “saistītā vienība” definīcija netiešo īpašumtiesību gadījumā*</w:t>
            </w:r>
          </w:p>
        </w:tc>
      </w:tr>
      <w:tr w:rsidR="00DD0A96" w:rsidRPr="00B16BC0" w14:paraId="50ADEC5E" w14:textId="77777777" w:rsidTr="00697579">
        <w:trPr>
          <w:trHeight w:val="546"/>
        </w:trPr>
        <w:tc>
          <w:tcPr>
            <w:tcW w:w="0" w:type="auto"/>
            <w:gridSpan w:val="2"/>
            <w:shd w:val="clear" w:color="auto" w:fill="DAEDF3"/>
          </w:tcPr>
          <w:p w14:paraId="3408CD04" w14:textId="77777777" w:rsidR="00DD0A96" w:rsidRPr="00B16BC0" w:rsidRDefault="00DD0A96" w:rsidP="00D23617">
            <w:pPr>
              <w:pStyle w:val="TableParagraph"/>
              <w:spacing w:before="60" w:after="60"/>
              <w:ind w:left="113" w:right="113"/>
              <w:jc w:val="left"/>
              <w:rPr>
                <w:b/>
                <w:noProof/>
              </w:rPr>
            </w:pPr>
            <w:r>
              <w:rPr>
                <w:b/>
              </w:rPr>
              <w:t>2. Ienākumi no ieguldījumiem apdrošināšanas sabiedrību kapitālā</w:t>
            </w:r>
          </w:p>
        </w:tc>
      </w:tr>
      <w:tr w:rsidR="00DD0A96" w:rsidRPr="00B16BC0" w14:paraId="134AC145" w14:textId="77777777" w:rsidTr="00CF2EA0">
        <w:trPr>
          <w:trHeight w:val="3144"/>
        </w:trPr>
        <w:tc>
          <w:tcPr>
            <w:tcW w:w="0" w:type="auto"/>
            <w:gridSpan w:val="2"/>
          </w:tcPr>
          <w:p w14:paraId="3B51AACA" w14:textId="77777777" w:rsidR="00DD0A96" w:rsidRPr="00B16BC0" w:rsidRDefault="00DD0A96" w:rsidP="00D23617">
            <w:pPr>
              <w:pStyle w:val="TableParagraph"/>
              <w:spacing w:before="60" w:after="60"/>
              <w:ind w:left="113" w:right="113"/>
              <w:rPr>
                <w:b/>
                <w:noProof/>
              </w:rPr>
            </w:pPr>
            <w:r>
              <w:rPr>
                <w:b/>
              </w:rPr>
              <w:t>Vai ienākumus, kas gūti no aktīviem, lai tos ieguldītu apdrošināšanas sabiedrības kapitālā, var uzskatīt par aktīviem ienākumiem?</w:t>
            </w:r>
          </w:p>
          <w:p w14:paraId="4711DCA7" w14:textId="77777777" w:rsidR="00DD0A96" w:rsidRPr="00B16BC0" w:rsidRDefault="00DD0A96" w:rsidP="00D23617">
            <w:pPr>
              <w:pStyle w:val="TableParagraph"/>
              <w:spacing w:before="60" w:after="60"/>
              <w:ind w:left="113" w:right="113"/>
              <w:rPr>
                <w:noProof/>
              </w:rPr>
            </w:pPr>
            <w:r>
              <w:t>Jā. Lai noteiktu, vai ienākumi uzskatāmi par pasīviem, jāņem vērā apdrošināšanas sabiedrības ienākumu veids. Kā liecina nosaukums, pasīvos ienākumus iegūst no ieguldījuma aktīvos nevis darbībām, ko veic ierastās tirdzniecības vai darījumdarbības gaitā. Ņemot vērā to ienākumu būtību, kas iegūti no aktīviem, kuri tiek turēti kā apdrošināšanas sabiedrības darījumdarbības vai regulatīvās rezerves, ienākums šajā konkrētajā gadījumā var uzskatīt par aktīviem nevis pasīviem ienākumiem, ja vien šīs rezerves netiek mākslīgi palielinātas ļaunprātīgos nolūkos.</w:t>
            </w:r>
          </w:p>
        </w:tc>
      </w:tr>
      <w:tr w:rsidR="00DD0A96" w:rsidRPr="00B16BC0" w14:paraId="3E3B8D64" w14:textId="77777777" w:rsidTr="00697579">
        <w:trPr>
          <w:trHeight w:val="402"/>
        </w:trPr>
        <w:tc>
          <w:tcPr>
            <w:tcW w:w="0" w:type="auto"/>
            <w:gridSpan w:val="2"/>
            <w:shd w:val="clear" w:color="auto" w:fill="92CDDC"/>
          </w:tcPr>
          <w:p w14:paraId="17AF617C" w14:textId="77777777" w:rsidR="00DD0A96" w:rsidRPr="00B16BC0" w:rsidRDefault="00DD0A96" w:rsidP="00D23617">
            <w:pPr>
              <w:pStyle w:val="TableParagraph"/>
              <w:spacing w:before="60" w:after="60"/>
              <w:ind w:left="58" w:right="41"/>
              <w:jc w:val="center"/>
              <w:rPr>
                <w:b/>
                <w:noProof/>
              </w:rPr>
            </w:pPr>
            <w:r>
              <w:rPr>
                <w:b/>
              </w:rPr>
              <w:lastRenderedPageBreak/>
              <w:t>CITI JAUTĀJUMI</w:t>
            </w:r>
          </w:p>
        </w:tc>
      </w:tr>
      <w:tr w:rsidR="00DD0A96" w:rsidRPr="00B16BC0" w14:paraId="1BFFBF9B" w14:textId="77777777" w:rsidTr="00697579">
        <w:trPr>
          <w:trHeight w:val="292"/>
        </w:trPr>
        <w:tc>
          <w:tcPr>
            <w:tcW w:w="0" w:type="auto"/>
            <w:gridSpan w:val="2"/>
            <w:shd w:val="clear" w:color="auto" w:fill="DAEDF3"/>
          </w:tcPr>
          <w:p w14:paraId="0DAC09C7" w14:textId="77777777" w:rsidR="00DD0A96" w:rsidRPr="00B16BC0" w:rsidRDefault="00DD0A96" w:rsidP="00D23617">
            <w:pPr>
              <w:pStyle w:val="TableParagraph"/>
              <w:spacing w:before="60" w:after="60"/>
              <w:ind w:left="113" w:right="113"/>
              <w:jc w:val="left"/>
              <w:rPr>
                <w:b/>
                <w:noProof/>
              </w:rPr>
            </w:pPr>
            <w:r>
              <w:rPr>
                <w:b/>
              </w:rPr>
              <w:t>1. Datu drošība – ISO 27000</w:t>
            </w:r>
          </w:p>
        </w:tc>
      </w:tr>
      <w:tr w:rsidR="00DD0A96" w:rsidRPr="00B16BC0" w14:paraId="298A6B3D" w14:textId="77777777" w:rsidTr="00CF2EA0">
        <w:trPr>
          <w:trHeight w:val="3157"/>
        </w:trPr>
        <w:tc>
          <w:tcPr>
            <w:tcW w:w="0" w:type="auto"/>
            <w:gridSpan w:val="2"/>
          </w:tcPr>
          <w:p w14:paraId="3D666C82" w14:textId="77777777" w:rsidR="00DD0A96" w:rsidRPr="00B16BC0" w:rsidRDefault="00DD0A96" w:rsidP="00D23617">
            <w:pPr>
              <w:pStyle w:val="TableParagraph"/>
              <w:spacing w:before="60" w:after="60"/>
              <w:ind w:left="113" w:right="113"/>
              <w:rPr>
                <w:b/>
                <w:noProof/>
              </w:rPr>
            </w:pPr>
            <w:r>
              <w:rPr>
                <w:b/>
              </w:rPr>
              <w:t>Standartā sniegta norāde uz ISO 27000 sērijas standartiem saistībā ar datu drošību. Vai Standarts paredz pienākumu piemērot šīs sērijas standartus un vai šādā gadījumā ir nepieciešama sertifikācija?</w:t>
            </w:r>
          </w:p>
          <w:p w14:paraId="1D5D90D8" w14:textId="77777777" w:rsidR="00DD0A96" w:rsidRPr="00B16BC0" w:rsidRDefault="00DD0A96" w:rsidP="00697579">
            <w:pPr>
              <w:pStyle w:val="TableParagraph"/>
              <w:spacing w:before="60" w:after="100" w:afterAutospacing="1"/>
              <w:ind w:left="113" w:right="113"/>
              <w:rPr>
                <w:noProof/>
              </w:rPr>
            </w:pPr>
            <w:r>
              <w:t>ISO 27000 sērijas standarti neietver obligātas prasības, bet gan piedāvā pieeju risku pārvaldībai, sniedzot ieteikumus par paraugpraksi saistībā ar informācijas drošības pārvaldību, riskiem un kontroles mehānismiem. Konkrētā izvēlētā pieeja atkarīga no nodokļu administrācijas kopējās informācijas drošības pārvaldības sistēmas. Turklāt līdzvērtīgu informācijas drošību var nodrošināt arī citas pieejas. Tādēļ sagaidāms, ka jurisdikcija piemēros ISO 27000 sērijas standartus vai līdzvērtīgu standartu, vai arī atbilstoši pamatos, kādēļ tā no šī standarta atkāpusies konkrētajā nodokļu administrācijas kontekstā (norādes uz ISO 27000 sērijas standartiem sniegtas Kompetento iestāžu nolīguma parauga 3. panta komentāru 13. punktā un 5. panta komentāru 12. punktā).</w:t>
            </w:r>
          </w:p>
        </w:tc>
      </w:tr>
    </w:tbl>
    <w:p w14:paraId="3E40C28D" w14:textId="77777777" w:rsidR="00DD0A96" w:rsidRPr="00B16BC0" w:rsidRDefault="00DD0A96" w:rsidP="00697579">
      <w:pPr>
        <w:spacing w:before="60" w:after="60"/>
        <w:rPr>
          <w:noProof/>
        </w:rPr>
      </w:pPr>
    </w:p>
    <w:sectPr w:rsidR="00DD0A96" w:rsidRPr="00B16BC0" w:rsidSect="0073510E">
      <w:headerReference w:type="even" r:id="rId18"/>
      <w:headerReference w:type="default" r:id="rId19"/>
      <w:footerReference w:type="even" r:id="rId20"/>
      <w:footerReference w:type="default" r:id="rId21"/>
      <w:headerReference w:type="first" r:id="rId22"/>
      <w:footerReference w:type="first" r:id="rId23"/>
      <w:pgSz w:w="11907"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B8FA6" w14:textId="77777777" w:rsidR="005750AB" w:rsidRPr="00DD0A96" w:rsidRDefault="005750AB">
      <w:pPr>
        <w:rPr>
          <w:noProof/>
        </w:rPr>
      </w:pPr>
      <w:r w:rsidRPr="00DD0A96">
        <w:rPr>
          <w:noProof/>
        </w:rPr>
        <w:separator/>
      </w:r>
    </w:p>
  </w:endnote>
  <w:endnote w:type="continuationSeparator" w:id="0">
    <w:p w14:paraId="324DE84B" w14:textId="77777777" w:rsidR="005750AB" w:rsidRPr="00DD0A96" w:rsidRDefault="005750AB">
      <w:pPr>
        <w:rPr>
          <w:noProof/>
        </w:rPr>
      </w:pPr>
      <w:r w:rsidRPr="00DD0A96">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01C58" w14:textId="77777777" w:rsidR="00862220" w:rsidRPr="00224D64" w:rsidRDefault="00862220" w:rsidP="00862220">
    <w:pPr>
      <w:tabs>
        <w:tab w:val="right" w:leader="underscore" w:pos="9072"/>
      </w:tabs>
      <w:autoSpaceDE/>
      <w:autoSpaceDN/>
      <w:rPr>
        <w:rFonts w:eastAsiaTheme="minorHAnsi"/>
        <w:sz w:val="20"/>
        <w:szCs w:val="18"/>
      </w:rPr>
    </w:pPr>
    <w:r w:rsidRPr="00224D64">
      <w:rPr>
        <w:rFonts w:eastAsiaTheme="minorHAnsi"/>
        <w:sz w:val="20"/>
        <w:szCs w:val="18"/>
      </w:rPr>
      <w:tab/>
    </w:r>
  </w:p>
  <w:p w14:paraId="67DC2E63" w14:textId="77777777" w:rsidR="00862220" w:rsidRPr="00224D64" w:rsidRDefault="00862220" w:rsidP="00862220">
    <w:pPr>
      <w:tabs>
        <w:tab w:val="center" w:pos="4513"/>
        <w:tab w:val="right" w:pos="9026"/>
        <w:tab w:val="right" w:pos="9072"/>
      </w:tabs>
      <w:autoSpaceDE/>
      <w:autoSpaceDN/>
      <w:rPr>
        <w:rFonts w:eastAsiaTheme="minorHAnsi"/>
        <w:sz w:val="20"/>
        <w:szCs w:val="18"/>
      </w:rPr>
    </w:pPr>
  </w:p>
  <w:p w14:paraId="47A5DC2E" w14:textId="20DD571F" w:rsidR="00DD0A96" w:rsidRPr="00862220" w:rsidRDefault="00862220" w:rsidP="00862220">
    <w:pPr>
      <w:tabs>
        <w:tab w:val="right" w:pos="9072"/>
      </w:tabs>
      <w:autoSpaceDE/>
      <w:autoSpaceDN/>
      <w:rPr>
        <w:rFonts w:eastAsiaTheme="minorHAnsi"/>
        <w:sz w:val="20"/>
        <w:szCs w:val="18"/>
      </w:rPr>
    </w:pPr>
    <w:r w:rsidRPr="00224D64">
      <w:rPr>
        <w:rFonts w:eastAsiaTheme="minorHAnsi"/>
        <w:noProof/>
        <w:sz w:val="20"/>
        <w:szCs w:val="18"/>
      </w:rPr>
      <w:t xml:space="preserve">Tulkojums </w:t>
    </w:r>
    <w:r w:rsidRPr="00224D64">
      <w:rPr>
        <w:rFonts w:eastAsiaTheme="minorHAnsi"/>
        <w:noProof/>
        <w:sz w:val="20"/>
        <w:szCs w:val="18"/>
      </w:rPr>
      <w:fldChar w:fldCharType="begin"/>
    </w:r>
    <w:r w:rsidRPr="00224D64">
      <w:rPr>
        <w:rFonts w:eastAsiaTheme="minorHAnsi"/>
        <w:noProof/>
        <w:sz w:val="20"/>
        <w:szCs w:val="18"/>
      </w:rPr>
      <w:instrText>symbol 211 \f "Symbol" \s 9</w:instrText>
    </w:r>
    <w:r w:rsidRPr="00224D64">
      <w:rPr>
        <w:rFonts w:eastAsiaTheme="minorHAnsi"/>
        <w:noProof/>
        <w:sz w:val="20"/>
        <w:szCs w:val="18"/>
      </w:rPr>
      <w:fldChar w:fldCharType="separate"/>
    </w:r>
    <w:r w:rsidRPr="00224D64">
      <w:rPr>
        <w:rFonts w:eastAsiaTheme="minorHAnsi"/>
        <w:noProof/>
        <w:sz w:val="20"/>
        <w:szCs w:val="18"/>
      </w:rPr>
      <w:t>Ó</w:t>
    </w:r>
    <w:r w:rsidRPr="00224D64">
      <w:rPr>
        <w:rFonts w:eastAsiaTheme="minorHAnsi"/>
        <w:noProof/>
        <w:sz w:val="20"/>
        <w:szCs w:val="18"/>
      </w:rPr>
      <w:fldChar w:fldCharType="end"/>
    </w:r>
    <w:r w:rsidRPr="00224D64">
      <w:rPr>
        <w:rFonts w:eastAsiaTheme="minorHAnsi"/>
        <w:noProof/>
        <w:sz w:val="20"/>
        <w:szCs w:val="18"/>
      </w:rPr>
      <w:t xml:space="preserve"> Valsts valodas centrs, 202</w:t>
    </w:r>
    <w:r>
      <w:rPr>
        <w:rFonts w:eastAsiaTheme="minorHAnsi"/>
        <w:noProof/>
        <w:sz w:val="20"/>
        <w:szCs w:val="18"/>
      </w:rPr>
      <w:t>6</w:t>
    </w:r>
    <w:r w:rsidRPr="00224D64">
      <w:rPr>
        <w:rFonts w:eastAsiaTheme="minorHAnsi"/>
        <w:sz w:val="20"/>
        <w:szCs w:val="18"/>
      </w:rPr>
      <w:tab/>
    </w:r>
    <w:r w:rsidRPr="00224D64">
      <w:rPr>
        <w:rFonts w:eastAsiaTheme="minorHAnsi"/>
        <w:sz w:val="20"/>
        <w:szCs w:val="18"/>
      </w:rPr>
      <w:fldChar w:fldCharType="begin"/>
    </w:r>
    <w:r w:rsidRPr="00224D64">
      <w:rPr>
        <w:rFonts w:eastAsiaTheme="minorHAnsi"/>
        <w:sz w:val="20"/>
        <w:szCs w:val="18"/>
      </w:rPr>
      <w:instrText xml:space="preserve">page </w:instrText>
    </w:r>
    <w:r w:rsidRPr="00224D64">
      <w:rPr>
        <w:rFonts w:eastAsiaTheme="minorHAnsi"/>
        <w:sz w:val="20"/>
        <w:szCs w:val="18"/>
      </w:rPr>
      <w:fldChar w:fldCharType="separate"/>
    </w:r>
    <w:r>
      <w:rPr>
        <w:rFonts w:eastAsiaTheme="minorHAnsi"/>
        <w:sz w:val="20"/>
        <w:szCs w:val="18"/>
      </w:rPr>
      <w:t>1</w:t>
    </w:r>
    <w:r w:rsidRPr="00224D64">
      <w:rPr>
        <w:rFonts w:eastAsiaTheme="minorHAnsi"/>
        <w:sz w:val="20"/>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E7F8" w14:textId="77777777" w:rsidR="00DE6362" w:rsidRPr="0048535E" w:rsidRDefault="00DE6362" w:rsidP="00DE6362">
    <w:pPr>
      <w:tabs>
        <w:tab w:val="left" w:leader="underscore" w:pos="9072"/>
      </w:tabs>
      <w:autoSpaceDE/>
      <w:autoSpaceDN/>
      <w:rPr>
        <w:rFonts w:eastAsiaTheme="minorHAnsi"/>
        <w:sz w:val="20"/>
        <w:szCs w:val="18"/>
      </w:rPr>
    </w:pPr>
    <w:bookmarkStart w:id="5" w:name="_Hlk496261764"/>
    <w:bookmarkStart w:id="6" w:name="_Hlk496261765"/>
    <w:bookmarkStart w:id="7" w:name="_Hlk496261766"/>
    <w:bookmarkStart w:id="8" w:name="_Hlk30491075"/>
    <w:bookmarkStart w:id="9" w:name="_Hlk30491076"/>
    <w:r w:rsidRPr="0048535E">
      <w:rPr>
        <w:rFonts w:eastAsiaTheme="minorHAnsi"/>
        <w:sz w:val="20"/>
        <w:szCs w:val="18"/>
      </w:rPr>
      <w:tab/>
    </w:r>
  </w:p>
  <w:p w14:paraId="287D0291" w14:textId="77777777" w:rsidR="00DE6362" w:rsidRPr="0048535E" w:rsidRDefault="00DE6362" w:rsidP="00DE6362">
    <w:pPr>
      <w:tabs>
        <w:tab w:val="center" w:pos="4513"/>
        <w:tab w:val="right" w:pos="9026"/>
        <w:tab w:val="left" w:pos="9072"/>
      </w:tabs>
      <w:autoSpaceDE/>
      <w:autoSpaceDN/>
      <w:rPr>
        <w:rFonts w:eastAsiaTheme="minorHAnsi"/>
        <w:sz w:val="20"/>
        <w:szCs w:val="18"/>
      </w:rPr>
    </w:pPr>
  </w:p>
  <w:p w14:paraId="4A6086D9" w14:textId="3A5938C3" w:rsidR="00E46A06" w:rsidRPr="00DE6362" w:rsidRDefault="00DE6362" w:rsidP="00DE6362">
    <w:pPr>
      <w:tabs>
        <w:tab w:val="center" w:pos="4513"/>
        <w:tab w:val="right" w:pos="9026"/>
      </w:tabs>
      <w:autoSpaceDE/>
      <w:autoSpaceDN/>
      <w:rPr>
        <w:rFonts w:eastAsiaTheme="minorHAnsi"/>
        <w:sz w:val="20"/>
        <w:szCs w:val="18"/>
      </w:rPr>
    </w:pPr>
    <w:r w:rsidRPr="0048535E">
      <w:rPr>
        <w:rFonts w:eastAsiaTheme="minorHAnsi"/>
        <w:noProof/>
        <w:sz w:val="20"/>
        <w:szCs w:val="18"/>
      </w:rPr>
      <w:t xml:space="preserve">Tulkojums </w:t>
    </w:r>
    <w:r w:rsidRPr="0048535E">
      <w:rPr>
        <w:rFonts w:eastAsiaTheme="minorHAnsi"/>
        <w:noProof/>
        <w:sz w:val="20"/>
        <w:szCs w:val="18"/>
      </w:rPr>
      <w:fldChar w:fldCharType="begin"/>
    </w:r>
    <w:r w:rsidRPr="0048535E">
      <w:rPr>
        <w:rFonts w:eastAsiaTheme="minorHAnsi"/>
        <w:noProof/>
        <w:sz w:val="20"/>
        <w:szCs w:val="18"/>
      </w:rPr>
      <w:instrText>symbol 211 \f "Symbol" \s 9</w:instrText>
    </w:r>
    <w:r w:rsidRPr="0048535E">
      <w:rPr>
        <w:rFonts w:eastAsiaTheme="minorHAnsi"/>
        <w:noProof/>
        <w:sz w:val="20"/>
        <w:szCs w:val="18"/>
      </w:rPr>
      <w:fldChar w:fldCharType="separate"/>
    </w:r>
    <w:r w:rsidRPr="0048535E">
      <w:rPr>
        <w:rFonts w:eastAsiaTheme="minorHAnsi"/>
        <w:noProof/>
        <w:sz w:val="20"/>
        <w:szCs w:val="18"/>
      </w:rPr>
      <w:t>Ó</w:t>
    </w:r>
    <w:r w:rsidRPr="0048535E">
      <w:rPr>
        <w:rFonts w:eastAsiaTheme="minorHAnsi"/>
        <w:noProof/>
        <w:sz w:val="20"/>
        <w:szCs w:val="18"/>
      </w:rPr>
      <w:fldChar w:fldCharType="end"/>
    </w:r>
    <w:r w:rsidRPr="0048535E">
      <w:rPr>
        <w:rFonts w:eastAsiaTheme="minorHAnsi"/>
        <w:noProof/>
        <w:sz w:val="20"/>
        <w:szCs w:val="18"/>
      </w:rPr>
      <w:t xml:space="preserve"> Valsts valodas centrs, 20</w:t>
    </w:r>
    <w:bookmarkEnd w:id="5"/>
    <w:bookmarkEnd w:id="6"/>
    <w:bookmarkEnd w:id="7"/>
    <w:r w:rsidRPr="0048535E">
      <w:rPr>
        <w:rFonts w:eastAsiaTheme="minorHAnsi"/>
        <w:noProof/>
        <w:sz w:val="20"/>
        <w:szCs w:val="18"/>
      </w:rPr>
      <w:t>2</w:t>
    </w:r>
    <w:bookmarkEnd w:id="8"/>
    <w:bookmarkEnd w:id="9"/>
    <w:r>
      <w:rPr>
        <w:rFonts w:eastAsiaTheme="minorHAnsi"/>
        <w:noProof/>
        <w:sz w:val="20"/>
        <w:szCs w:val="18"/>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6EFB" w14:textId="77777777" w:rsidR="00D82D09" w:rsidRPr="00224D64" w:rsidRDefault="00D82D09" w:rsidP="00D82D09">
    <w:pPr>
      <w:tabs>
        <w:tab w:val="right" w:leader="underscore" w:pos="9072"/>
      </w:tabs>
      <w:autoSpaceDE/>
      <w:autoSpaceDN/>
      <w:rPr>
        <w:rFonts w:eastAsiaTheme="minorHAnsi"/>
        <w:sz w:val="20"/>
        <w:szCs w:val="18"/>
      </w:rPr>
    </w:pPr>
    <w:r w:rsidRPr="00224D64">
      <w:rPr>
        <w:rFonts w:eastAsiaTheme="minorHAnsi"/>
        <w:sz w:val="20"/>
        <w:szCs w:val="18"/>
      </w:rPr>
      <w:tab/>
    </w:r>
  </w:p>
  <w:p w14:paraId="40B37AE2" w14:textId="77777777" w:rsidR="00D82D09" w:rsidRPr="00224D64" w:rsidRDefault="00D82D09" w:rsidP="00D82D09">
    <w:pPr>
      <w:tabs>
        <w:tab w:val="center" w:pos="4513"/>
        <w:tab w:val="right" w:pos="9026"/>
        <w:tab w:val="right" w:pos="9072"/>
      </w:tabs>
      <w:autoSpaceDE/>
      <w:autoSpaceDN/>
      <w:rPr>
        <w:rFonts w:eastAsiaTheme="minorHAnsi"/>
        <w:sz w:val="20"/>
        <w:szCs w:val="18"/>
      </w:rPr>
    </w:pPr>
  </w:p>
  <w:p w14:paraId="042F447B" w14:textId="21A95DDD" w:rsidR="00D82D09" w:rsidRPr="00D82D09" w:rsidRDefault="00D82D09" w:rsidP="00D82D09">
    <w:pPr>
      <w:tabs>
        <w:tab w:val="right" w:pos="9072"/>
      </w:tabs>
      <w:autoSpaceDE/>
      <w:autoSpaceDN/>
      <w:rPr>
        <w:rFonts w:eastAsiaTheme="minorHAnsi"/>
        <w:sz w:val="20"/>
        <w:szCs w:val="18"/>
      </w:rPr>
    </w:pPr>
    <w:r w:rsidRPr="00224D64">
      <w:rPr>
        <w:rFonts w:eastAsiaTheme="minorHAnsi"/>
        <w:noProof/>
        <w:sz w:val="20"/>
        <w:szCs w:val="18"/>
      </w:rPr>
      <w:t xml:space="preserve">Tulkojums </w:t>
    </w:r>
    <w:r w:rsidRPr="00224D64">
      <w:rPr>
        <w:rFonts w:eastAsiaTheme="minorHAnsi"/>
        <w:noProof/>
        <w:sz w:val="20"/>
        <w:szCs w:val="18"/>
      </w:rPr>
      <w:fldChar w:fldCharType="begin"/>
    </w:r>
    <w:r w:rsidRPr="00224D64">
      <w:rPr>
        <w:rFonts w:eastAsiaTheme="minorHAnsi"/>
        <w:noProof/>
        <w:sz w:val="20"/>
        <w:szCs w:val="18"/>
      </w:rPr>
      <w:instrText>symbol 211 \f "Symbol" \s 9</w:instrText>
    </w:r>
    <w:r w:rsidRPr="00224D64">
      <w:rPr>
        <w:rFonts w:eastAsiaTheme="minorHAnsi"/>
        <w:noProof/>
        <w:sz w:val="20"/>
        <w:szCs w:val="18"/>
      </w:rPr>
      <w:fldChar w:fldCharType="separate"/>
    </w:r>
    <w:r w:rsidRPr="00224D64">
      <w:rPr>
        <w:rFonts w:eastAsiaTheme="minorHAnsi"/>
        <w:noProof/>
        <w:sz w:val="20"/>
        <w:szCs w:val="18"/>
      </w:rPr>
      <w:t>Ó</w:t>
    </w:r>
    <w:r w:rsidRPr="00224D64">
      <w:rPr>
        <w:rFonts w:eastAsiaTheme="minorHAnsi"/>
        <w:noProof/>
        <w:sz w:val="20"/>
        <w:szCs w:val="18"/>
      </w:rPr>
      <w:fldChar w:fldCharType="end"/>
    </w:r>
    <w:r w:rsidRPr="00224D64">
      <w:rPr>
        <w:rFonts w:eastAsiaTheme="minorHAnsi"/>
        <w:noProof/>
        <w:sz w:val="20"/>
        <w:szCs w:val="18"/>
      </w:rPr>
      <w:t xml:space="preserve"> Valsts valodas centrs, 202</w:t>
    </w:r>
    <w:r>
      <w:rPr>
        <w:rFonts w:eastAsiaTheme="minorHAnsi"/>
        <w:noProof/>
        <w:sz w:val="20"/>
        <w:szCs w:val="18"/>
      </w:rPr>
      <w:t>6</w:t>
    </w:r>
    <w:r w:rsidRPr="00224D64">
      <w:rPr>
        <w:rFonts w:eastAsiaTheme="minorHAnsi"/>
        <w:sz w:val="20"/>
        <w:szCs w:val="18"/>
      </w:rPr>
      <w:tab/>
    </w:r>
    <w:r w:rsidRPr="00224D64">
      <w:rPr>
        <w:rFonts w:eastAsiaTheme="minorHAnsi"/>
        <w:sz w:val="20"/>
        <w:szCs w:val="18"/>
      </w:rPr>
      <w:fldChar w:fldCharType="begin"/>
    </w:r>
    <w:r w:rsidRPr="00224D64">
      <w:rPr>
        <w:rFonts w:eastAsiaTheme="minorHAnsi"/>
        <w:sz w:val="20"/>
        <w:szCs w:val="18"/>
      </w:rPr>
      <w:instrText xml:space="preserve">page </w:instrText>
    </w:r>
    <w:r w:rsidRPr="00224D64">
      <w:rPr>
        <w:rFonts w:eastAsiaTheme="minorHAnsi"/>
        <w:sz w:val="20"/>
        <w:szCs w:val="18"/>
      </w:rPr>
      <w:fldChar w:fldCharType="separate"/>
    </w:r>
    <w:r>
      <w:rPr>
        <w:rFonts w:eastAsiaTheme="minorHAnsi"/>
        <w:sz w:val="20"/>
        <w:szCs w:val="18"/>
      </w:rPr>
      <w:t>3</w:t>
    </w:r>
    <w:r w:rsidRPr="00224D64">
      <w:rPr>
        <w:rFonts w:eastAsiaTheme="minorHAnsi"/>
        <w:sz w:val="20"/>
        <w:szCs w:val="18"/>
      </w:rPr>
      <w:fldChar w:fldCharType="end"/>
    </w:r>
    <w:r w:rsidRPr="00224D64">
      <w:rPr>
        <w:rFonts w:eastAsiaTheme="minorHAnsi"/>
        <w:sz w:val="20"/>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B63D1" w14:textId="77777777" w:rsidR="00DD0A96" w:rsidRDefault="00DD0A9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0F6B" w14:textId="77777777" w:rsidR="009077AE" w:rsidRPr="00224D64" w:rsidRDefault="009077AE" w:rsidP="009077AE">
    <w:pPr>
      <w:tabs>
        <w:tab w:val="right" w:leader="underscore" w:pos="9072"/>
      </w:tabs>
      <w:autoSpaceDE/>
      <w:autoSpaceDN/>
      <w:rPr>
        <w:rFonts w:eastAsiaTheme="minorHAnsi"/>
        <w:sz w:val="20"/>
        <w:szCs w:val="18"/>
      </w:rPr>
    </w:pPr>
    <w:r w:rsidRPr="00224D64">
      <w:rPr>
        <w:rFonts w:eastAsiaTheme="minorHAnsi"/>
        <w:sz w:val="20"/>
        <w:szCs w:val="18"/>
      </w:rPr>
      <w:tab/>
    </w:r>
  </w:p>
  <w:p w14:paraId="629D71E2" w14:textId="77777777" w:rsidR="009077AE" w:rsidRPr="00224D64" w:rsidRDefault="009077AE" w:rsidP="009077AE">
    <w:pPr>
      <w:tabs>
        <w:tab w:val="center" w:pos="4513"/>
        <w:tab w:val="right" w:pos="9026"/>
        <w:tab w:val="right" w:pos="9072"/>
      </w:tabs>
      <w:autoSpaceDE/>
      <w:autoSpaceDN/>
      <w:rPr>
        <w:rFonts w:eastAsiaTheme="minorHAnsi"/>
        <w:sz w:val="20"/>
        <w:szCs w:val="18"/>
      </w:rPr>
    </w:pPr>
  </w:p>
  <w:p w14:paraId="4D26C829" w14:textId="77777777" w:rsidR="009077AE" w:rsidRPr="00D82D09" w:rsidRDefault="009077AE" w:rsidP="009077AE">
    <w:pPr>
      <w:tabs>
        <w:tab w:val="right" w:pos="9072"/>
      </w:tabs>
      <w:autoSpaceDE/>
      <w:autoSpaceDN/>
      <w:rPr>
        <w:rFonts w:eastAsiaTheme="minorHAnsi"/>
        <w:sz w:val="20"/>
        <w:szCs w:val="18"/>
      </w:rPr>
    </w:pPr>
    <w:r w:rsidRPr="00224D64">
      <w:rPr>
        <w:rFonts w:eastAsiaTheme="minorHAnsi"/>
        <w:noProof/>
        <w:sz w:val="20"/>
        <w:szCs w:val="18"/>
      </w:rPr>
      <w:t xml:space="preserve">Tulkojums </w:t>
    </w:r>
    <w:r w:rsidRPr="00224D64">
      <w:rPr>
        <w:rFonts w:eastAsiaTheme="minorHAnsi"/>
        <w:noProof/>
        <w:sz w:val="20"/>
        <w:szCs w:val="18"/>
      </w:rPr>
      <w:fldChar w:fldCharType="begin"/>
    </w:r>
    <w:r w:rsidRPr="00224D64">
      <w:rPr>
        <w:rFonts w:eastAsiaTheme="minorHAnsi"/>
        <w:noProof/>
        <w:sz w:val="20"/>
        <w:szCs w:val="18"/>
      </w:rPr>
      <w:instrText>symbol 211 \f "Symbol" \s 9</w:instrText>
    </w:r>
    <w:r w:rsidRPr="00224D64">
      <w:rPr>
        <w:rFonts w:eastAsiaTheme="minorHAnsi"/>
        <w:noProof/>
        <w:sz w:val="20"/>
        <w:szCs w:val="18"/>
      </w:rPr>
      <w:fldChar w:fldCharType="separate"/>
    </w:r>
    <w:r w:rsidRPr="00224D64">
      <w:rPr>
        <w:rFonts w:eastAsiaTheme="minorHAnsi"/>
        <w:noProof/>
        <w:sz w:val="20"/>
        <w:szCs w:val="18"/>
      </w:rPr>
      <w:t>Ó</w:t>
    </w:r>
    <w:r w:rsidRPr="00224D64">
      <w:rPr>
        <w:rFonts w:eastAsiaTheme="minorHAnsi"/>
        <w:noProof/>
        <w:sz w:val="20"/>
        <w:szCs w:val="18"/>
      </w:rPr>
      <w:fldChar w:fldCharType="end"/>
    </w:r>
    <w:r w:rsidRPr="00224D64">
      <w:rPr>
        <w:rFonts w:eastAsiaTheme="minorHAnsi"/>
        <w:noProof/>
        <w:sz w:val="20"/>
        <w:szCs w:val="18"/>
      </w:rPr>
      <w:t xml:space="preserve"> Valsts valodas centrs, 202</w:t>
    </w:r>
    <w:r>
      <w:rPr>
        <w:rFonts w:eastAsiaTheme="minorHAnsi"/>
        <w:noProof/>
        <w:sz w:val="20"/>
        <w:szCs w:val="18"/>
      </w:rPr>
      <w:t>6</w:t>
    </w:r>
    <w:r w:rsidRPr="00224D64">
      <w:rPr>
        <w:rFonts w:eastAsiaTheme="minorHAnsi"/>
        <w:sz w:val="20"/>
        <w:szCs w:val="18"/>
      </w:rPr>
      <w:tab/>
    </w:r>
    <w:r w:rsidRPr="00224D64">
      <w:rPr>
        <w:rFonts w:eastAsiaTheme="minorHAnsi"/>
        <w:sz w:val="20"/>
        <w:szCs w:val="18"/>
      </w:rPr>
      <w:fldChar w:fldCharType="begin"/>
    </w:r>
    <w:r w:rsidRPr="00224D64">
      <w:rPr>
        <w:rFonts w:eastAsiaTheme="minorHAnsi"/>
        <w:sz w:val="20"/>
        <w:szCs w:val="18"/>
      </w:rPr>
      <w:instrText xml:space="preserve">page </w:instrText>
    </w:r>
    <w:r w:rsidRPr="00224D64">
      <w:rPr>
        <w:rFonts w:eastAsiaTheme="minorHAnsi"/>
        <w:sz w:val="20"/>
        <w:szCs w:val="18"/>
      </w:rPr>
      <w:fldChar w:fldCharType="separate"/>
    </w:r>
    <w:r>
      <w:rPr>
        <w:rFonts w:eastAsiaTheme="minorHAnsi"/>
        <w:sz w:val="20"/>
        <w:szCs w:val="18"/>
      </w:rPr>
      <w:t>10</w:t>
    </w:r>
    <w:r w:rsidRPr="00224D64">
      <w:rPr>
        <w:rFonts w:eastAsiaTheme="minorHAnsi"/>
        <w:sz w:val="20"/>
        <w:szCs w:val="18"/>
      </w:rPr>
      <w:fldChar w:fldCharType="end"/>
    </w:r>
  </w:p>
  <w:p w14:paraId="2B166CDB" w14:textId="74BA7357" w:rsidR="00562D95" w:rsidRDefault="00562D95">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C71CF" w14:textId="77777777" w:rsidR="00D82D09" w:rsidRPr="00224D64" w:rsidRDefault="00D82D09" w:rsidP="00D82D09">
    <w:pPr>
      <w:tabs>
        <w:tab w:val="right" w:leader="underscore" w:pos="9072"/>
      </w:tabs>
      <w:autoSpaceDE/>
      <w:autoSpaceDN/>
      <w:rPr>
        <w:rFonts w:eastAsiaTheme="minorHAnsi"/>
        <w:sz w:val="20"/>
        <w:szCs w:val="18"/>
      </w:rPr>
    </w:pPr>
    <w:r w:rsidRPr="00224D64">
      <w:rPr>
        <w:rFonts w:eastAsiaTheme="minorHAnsi"/>
        <w:sz w:val="20"/>
        <w:szCs w:val="18"/>
      </w:rPr>
      <w:tab/>
    </w:r>
  </w:p>
  <w:p w14:paraId="3AF6D436" w14:textId="77777777" w:rsidR="00D82D09" w:rsidRPr="00224D64" w:rsidRDefault="00D82D09" w:rsidP="00D82D09">
    <w:pPr>
      <w:tabs>
        <w:tab w:val="center" w:pos="4513"/>
        <w:tab w:val="right" w:pos="9026"/>
        <w:tab w:val="right" w:pos="9072"/>
      </w:tabs>
      <w:autoSpaceDE/>
      <w:autoSpaceDN/>
      <w:rPr>
        <w:rFonts w:eastAsiaTheme="minorHAnsi"/>
        <w:sz w:val="20"/>
        <w:szCs w:val="18"/>
      </w:rPr>
    </w:pPr>
  </w:p>
  <w:p w14:paraId="360DC309" w14:textId="5A7663B3" w:rsidR="00DD0A96" w:rsidRPr="00D82D09" w:rsidRDefault="00D82D09" w:rsidP="00D82D09">
    <w:pPr>
      <w:tabs>
        <w:tab w:val="right" w:pos="9072"/>
      </w:tabs>
      <w:autoSpaceDE/>
      <w:autoSpaceDN/>
      <w:rPr>
        <w:rFonts w:eastAsiaTheme="minorHAnsi"/>
        <w:sz w:val="20"/>
        <w:szCs w:val="18"/>
      </w:rPr>
    </w:pPr>
    <w:r w:rsidRPr="00224D64">
      <w:rPr>
        <w:rFonts w:eastAsiaTheme="minorHAnsi"/>
        <w:noProof/>
        <w:sz w:val="20"/>
        <w:szCs w:val="18"/>
      </w:rPr>
      <w:t xml:space="preserve">Tulkojums </w:t>
    </w:r>
    <w:r w:rsidRPr="00224D64">
      <w:rPr>
        <w:rFonts w:eastAsiaTheme="minorHAnsi"/>
        <w:noProof/>
        <w:sz w:val="20"/>
        <w:szCs w:val="18"/>
      </w:rPr>
      <w:fldChar w:fldCharType="begin"/>
    </w:r>
    <w:r w:rsidRPr="00224D64">
      <w:rPr>
        <w:rFonts w:eastAsiaTheme="minorHAnsi"/>
        <w:noProof/>
        <w:sz w:val="20"/>
        <w:szCs w:val="18"/>
      </w:rPr>
      <w:instrText>symbol 211 \f "Symbol" \s 9</w:instrText>
    </w:r>
    <w:r w:rsidRPr="00224D64">
      <w:rPr>
        <w:rFonts w:eastAsiaTheme="minorHAnsi"/>
        <w:noProof/>
        <w:sz w:val="20"/>
        <w:szCs w:val="18"/>
      </w:rPr>
      <w:fldChar w:fldCharType="separate"/>
    </w:r>
    <w:r w:rsidRPr="00224D64">
      <w:rPr>
        <w:rFonts w:eastAsiaTheme="minorHAnsi"/>
        <w:noProof/>
        <w:sz w:val="20"/>
        <w:szCs w:val="18"/>
      </w:rPr>
      <w:t>Ó</w:t>
    </w:r>
    <w:r w:rsidRPr="00224D64">
      <w:rPr>
        <w:rFonts w:eastAsiaTheme="minorHAnsi"/>
        <w:noProof/>
        <w:sz w:val="20"/>
        <w:szCs w:val="18"/>
      </w:rPr>
      <w:fldChar w:fldCharType="end"/>
    </w:r>
    <w:r w:rsidRPr="00224D64">
      <w:rPr>
        <w:rFonts w:eastAsiaTheme="minorHAnsi"/>
        <w:noProof/>
        <w:sz w:val="20"/>
        <w:szCs w:val="18"/>
      </w:rPr>
      <w:t xml:space="preserve"> Valsts valodas centrs, 202</w:t>
    </w:r>
    <w:r>
      <w:rPr>
        <w:rFonts w:eastAsiaTheme="minorHAnsi"/>
        <w:noProof/>
        <w:sz w:val="20"/>
        <w:szCs w:val="18"/>
      </w:rPr>
      <w:t>6</w:t>
    </w:r>
    <w:r w:rsidRPr="00224D64">
      <w:rPr>
        <w:rFonts w:eastAsiaTheme="minorHAnsi"/>
        <w:sz w:val="20"/>
        <w:szCs w:val="18"/>
      </w:rPr>
      <w:tab/>
    </w:r>
    <w:r w:rsidRPr="00224D64">
      <w:rPr>
        <w:rFonts w:eastAsiaTheme="minorHAnsi"/>
        <w:sz w:val="20"/>
        <w:szCs w:val="18"/>
      </w:rPr>
      <w:fldChar w:fldCharType="begin"/>
    </w:r>
    <w:r w:rsidRPr="00224D64">
      <w:rPr>
        <w:rFonts w:eastAsiaTheme="minorHAnsi"/>
        <w:sz w:val="20"/>
        <w:szCs w:val="18"/>
      </w:rPr>
      <w:instrText xml:space="preserve">page </w:instrText>
    </w:r>
    <w:r w:rsidRPr="00224D64">
      <w:rPr>
        <w:rFonts w:eastAsiaTheme="minorHAnsi"/>
        <w:sz w:val="20"/>
        <w:szCs w:val="18"/>
      </w:rPr>
      <w:fldChar w:fldCharType="separate"/>
    </w:r>
    <w:r>
      <w:rPr>
        <w:rFonts w:eastAsiaTheme="minorHAnsi"/>
        <w:sz w:val="20"/>
        <w:szCs w:val="18"/>
      </w:rPr>
      <w:t>5</w:t>
    </w:r>
    <w:r w:rsidRPr="00224D64">
      <w:rPr>
        <w:rFonts w:eastAsiaTheme="minorHAnsi"/>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BDA3C" w14:textId="77777777" w:rsidR="005750AB" w:rsidRPr="00DD0A96" w:rsidRDefault="005750AB">
      <w:pPr>
        <w:rPr>
          <w:noProof/>
        </w:rPr>
      </w:pPr>
      <w:r w:rsidRPr="00DD0A96">
        <w:rPr>
          <w:noProof/>
        </w:rPr>
        <w:separator/>
      </w:r>
    </w:p>
  </w:footnote>
  <w:footnote w:type="continuationSeparator" w:id="0">
    <w:p w14:paraId="2AAF16F9" w14:textId="77777777" w:rsidR="005750AB" w:rsidRPr="00DD0A96" w:rsidRDefault="005750AB">
      <w:pPr>
        <w:rPr>
          <w:noProof/>
        </w:rPr>
      </w:pPr>
      <w:r w:rsidRPr="00DD0A96">
        <w:rPr>
          <w:noProo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AC97D" w14:textId="77777777" w:rsidR="00276732" w:rsidRDefault="00276732" w:rsidP="00276732">
    <w:pPr>
      <w:tabs>
        <w:tab w:val="right" w:leader="underscore" w:pos="9072"/>
      </w:tabs>
      <w:autoSpaceDE/>
      <w:autoSpaceDN/>
      <w:rPr>
        <w:rFonts w:eastAsiaTheme="minorHAnsi"/>
        <w:sz w:val="20"/>
        <w:szCs w:val="20"/>
      </w:rPr>
    </w:pPr>
    <w:r w:rsidRPr="002A766E">
      <w:rPr>
        <w:rFonts w:eastAsiaTheme="minorHAnsi"/>
        <w:sz w:val="20"/>
        <w:szCs w:val="20"/>
      </w:rPr>
      <w:tab/>
    </w:r>
  </w:p>
  <w:p w14:paraId="36BB5DDD" w14:textId="77777777" w:rsidR="00E46A06" w:rsidRDefault="00E46A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06BC2" w14:textId="77777777" w:rsidR="00461EC9" w:rsidRPr="00461EC9" w:rsidRDefault="00461EC9" w:rsidP="00461EC9">
    <w:pPr>
      <w:pBdr>
        <w:bottom w:val="single" w:sz="12" w:space="5" w:color="auto"/>
      </w:pBdr>
      <w:autoSpaceDE/>
      <w:autoSpaceDN/>
      <w:rPr>
        <w:rFonts w:eastAsiaTheme="minorHAnsi"/>
        <w:spacing w:val="-2"/>
        <w:sz w:val="20"/>
        <w:szCs w:val="20"/>
      </w:rPr>
    </w:pPr>
    <w:bookmarkStart w:id="0" w:name="_Hlk496261745"/>
    <w:bookmarkStart w:id="1" w:name="_Hlk496261746"/>
    <w:bookmarkStart w:id="2" w:name="_Hlk496261747"/>
    <w:bookmarkStart w:id="3" w:name="_Hlk30491063"/>
    <w:bookmarkStart w:id="4" w:name="_Hlk30491064"/>
  </w:p>
  <w:bookmarkEnd w:id="0"/>
  <w:bookmarkEnd w:id="1"/>
  <w:bookmarkEnd w:id="2"/>
  <w:bookmarkEnd w:id="3"/>
  <w:bookmarkEnd w:id="4"/>
  <w:p w14:paraId="6A53F2EC" w14:textId="77777777" w:rsidR="0067031B" w:rsidRPr="00461EC9" w:rsidRDefault="0067031B" w:rsidP="00461E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BB856" w14:textId="77777777" w:rsidR="00D82D09" w:rsidRDefault="00D82D09" w:rsidP="00D82D09">
    <w:pPr>
      <w:tabs>
        <w:tab w:val="right" w:leader="underscore" w:pos="9072"/>
      </w:tabs>
      <w:autoSpaceDE/>
      <w:autoSpaceDN/>
      <w:rPr>
        <w:rFonts w:eastAsiaTheme="minorHAnsi"/>
        <w:sz w:val="20"/>
        <w:szCs w:val="20"/>
      </w:rPr>
    </w:pPr>
    <w:r w:rsidRPr="002A766E">
      <w:rPr>
        <w:rFonts w:eastAsiaTheme="minorHAnsi"/>
        <w:sz w:val="20"/>
        <w:szCs w:val="20"/>
      </w:rPr>
      <w:tab/>
    </w:r>
  </w:p>
  <w:p w14:paraId="534D1D30" w14:textId="77777777" w:rsidR="00D82D09" w:rsidRPr="00461EC9" w:rsidRDefault="00D82D09" w:rsidP="00461E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24B5" w14:textId="77777777" w:rsidR="00DD0A96" w:rsidRDefault="00DD0A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09D44" w14:textId="77777777" w:rsidR="009077AE" w:rsidRDefault="009077AE" w:rsidP="009077AE">
    <w:pPr>
      <w:tabs>
        <w:tab w:val="right" w:leader="underscore" w:pos="9072"/>
      </w:tabs>
      <w:autoSpaceDE/>
      <w:autoSpaceDN/>
      <w:rPr>
        <w:rFonts w:eastAsiaTheme="minorHAnsi"/>
        <w:sz w:val="20"/>
        <w:szCs w:val="20"/>
      </w:rPr>
    </w:pPr>
    <w:r w:rsidRPr="002A766E">
      <w:rPr>
        <w:rFonts w:eastAsiaTheme="minorHAnsi"/>
        <w:sz w:val="20"/>
        <w:szCs w:val="20"/>
      </w:rPr>
      <w:tab/>
    </w:r>
  </w:p>
  <w:p w14:paraId="6C6C0127" w14:textId="77777777" w:rsidR="00DD0A96" w:rsidRDefault="00DD0A9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438D" w14:textId="77777777" w:rsidR="00D82D09" w:rsidRDefault="00D82D09" w:rsidP="00D82D09">
    <w:pPr>
      <w:tabs>
        <w:tab w:val="right" w:leader="underscore" w:pos="9072"/>
      </w:tabs>
      <w:autoSpaceDE/>
      <w:autoSpaceDN/>
      <w:rPr>
        <w:rFonts w:eastAsiaTheme="minorHAnsi"/>
        <w:sz w:val="20"/>
        <w:szCs w:val="20"/>
      </w:rPr>
    </w:pPr>
    <w:r w:rsidRPr="002A766E">
      <w:rPr>
        <w:rFonts w:eastAsiaTheme="minorHAnsi"/>
        <w:sz w:val="20"/>
        <w:szCs w:val="20"/>
      </w:rPr>
      <w:tab/>
    </w:r>
  </w:p>
  <w:p w14:paraId="3B22FBEE" w14:textId="77777777" w:rsidR="00DD0A96" w:rsidRDefault="00DD0A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54701"/>
    <w:multiLevelType w:val="hybridMultilevel"/>
    <w:tmpl w:val="1F569DBC"/>
    <w:lvl w:ilvl="0" w:tplc="BB7C354E">
      <w:numFmt w:val="bullet"/>
      <w:lvlText w:val=""/>
      <w:lvlJc w:val="left"/>
      <w:pPr>
        <w:ind w:left="830" w:hanging="361"/>
      </w:pPr>
      <w:rPr>
        <w:rFonts w:ascii="Symbol" w:eastAsia="Symbol" w:hAnsi="Symbol" w:cs="Symbol" w:hint="default"/>
        <w:b w:val="0"/>
        <w:bCs w:val="0"/>
        <w:i w:val="0"/>
        <w:iCs w:val="0"/>
        <w:spacing w:val="0"/>
        <w:w w:val="100"/>
        <w:sz w:val="22"/>
        <w:szCs w:val="22"/>
        <w:lang w:val="en-US" w:eastAsia="en-US" w:bidi="ar-SA"/>
      </w:rPr>
    </w:lvl>
    <w:lvl w:ilvl="1" w:tplc="80C21FE8">
      <w:numFmt w:val="bullet"/>
      <w:lvlText w:val="•"/>
      <w:lvlJc w:val="left"/>
      <w:pPr>
        <w:ind w:left="1822" w:hanging="361"/>
      </w:pPr>
      <w:rPr>
        <w:rFonts w:hint="default"/>
        <w:lang w:val="en-US" w:eastAsia="en-US" w:bidi="ar-SA"/>
      </w:rPr>
    </w:lvl>
    <w:lvl w:ilvl="2" w:tplc="6AF0120E">
      <w:numFmt w:val="bullet"/>
      <w:lvlText w:val="•"/>
      <w:lvlJc w:val="left"/>
      <w:pPr>
        <w:ind w:left="2805" w:hanging="361"/>
      </w:pPr>
      <w:rPr>
        <w:rFonts w:hint="default"/>
        <w:lang w:val="en-US" w:eastAsia="en-US" w:bidi="ar-SA"/>
      </w:rPr>
    </w:lvl>
    <w:lvl w:ilvl="3" w:tplc="E1CE1F82">
      <w:numFmt w:val="bullet"/>
      <w:lvlText w:val="•"/>
      <w:lvlJc w:val="left"/>
      <w:pPr>
        <w:ind w:left="3788" w:hanging="361"/>
      </w:pPr>
      <w:rPr>
        <w:rFonts w:hint="default"/>
        <w:lang w:val="en-US" w:eastAsia="en-US" w:bidi="ar-SA"/>
      </w:rPr>
    </w:lvl>
    <w:lvl w:ilvl="4" w:tplc="35267EFE">
      <w:numFmt w:val="bullet"/>
      <w:lvlText w:val="•"/>
      <w:lvlJc w:val="left"/>
      <w:pPr>
        <w:ind w:left="4770" w:hanging="361"/>
      </w:pPr>
      <w:rPr>
        <w:rFonts w:hint="default"/>
        <w:lang w:val="en-US" w:eastAsia="en-US" w:bidi="ar-SA"/>
      </w:rPr>
    </w:lvl>
    <w:lvl w:ilvl="5" w:tplc="39E0C708">
      <w:numFmt w:val="bullet"/>
      <w:lvlText w:val="•"/>
      <w:lvlJc w:val="left"/>
      <w:pPr>
        <w:ind w:left="5753" w:hanging="361"/>
      </w:pPr>
      <w:rPr>
        <w:rFonts w:hint="default"/>
        <w:lang w:val="en-US" w:eastAsia="en-US" w:bidi="ar-SA"/>
      </w:rPr>
    </w:lvl>
    <w:lvl w:ilvl="6" w:tplc="FFDE991A">
      <w:numFmt w:val="bullet"/>
      <w:lvlText w:val="•"/>
      <w:lvlJc w:val="left"/>
      <w:pPr>
        <w:ind w:left="6736" w:hanging="361"/>
      </w:pPr>
      <w:rPr>
        <w:rFonts w:hint="default"/>
        <w:lang w:val="en-US" w:eastAsia="en-US" w:bidi="ar-SA"/>
      </w:rPr>
    </w:lvl>
    <w:lvl w:ilvl="7" w:tplc="1DBE880E">
      <w:numFmt w:val="bullet"/>
      <w:lvlText w:val="•"/>
      <w:lvlJc w:val="left"/>
      <w:pPr>
        <w:ind w:left="7718" w:hanging="361"/>
      </w:pPr>
      <w:rPr>
        <w:rFonts w:hint="default"/>
        <w:lang w:val="en-US" w:eastAsia="en-US" w:bidi="ar-SA"/>
      </w:rPr>
    </w:lvl>
    <w:lvl w:ilvl="8" w:tplc="09E8502E">
      <w:numFmt w:val="bullet"/>
      <w:lvlText w:val="•"/>
      <w:lvlJc w:val="left"/>
      <w:pPr>
        <w:ind w:left="8701" w:hanging="361"/>
      </w:pPr>
      <w:rPr>
        <w:rFonts w:hint="default"/>
        <w:lang w:val="en-US" w:eastAsia="en-US" w:bidi="ar-SA"/>
      </w:rPr>
    </w:lvl>
  </w:abstractNum>
  <w:abstractNum w:abstractNumId="1" w15:restartNumberingAfterBreak="0">
    <w:nsid w:val="41E81436"/>
    <w:multiLevelType w:val="hybridMultilevel"/>
    <w:tmpl w:val="35F42234"/>
    <w:lvl w:ilvl="0" w:tplc="78FE340C">
      <w:start w:val="1"/>
      <w:numFmt w:val="lowerLetter"/>
      <w:lvlText w:val="%1)"/>
      <w:lvlJc w:val="left"/>
      <w:pPr>
        <w:ind w:left="402" w:hanging="293"/>
      </w:pPr>
      <w:rPr>
        <w:rFonts w:ascii="Times New Roman" w:eastAsia="Times New Roman" w:hAnsi="Times New Roman" w:cs="Times New Roman" w:hint="default"/>
        <w:b/>
        <w:bCs/>
        <w:i w:val="0"/>
        <w:iCs w:val="0"/>
        <w:spacing w:val="0"/>
        <w:w w:val="100"/>
        <w:sz w:val="22"/>
        <w:szCs w:val="22"/>
        <w:lang w:val="en-US" w:eastAsia="en-US" w:bidi="ar-SA"/>
      </w:rPr>
    </w:lvl>
    <w:lvl w:ilvl="1" w:tplc="3BE4E70C">
      <w:numFmt w:val="bullet"/>
      <w:lvlText w:val="•"/>
      <w:lvlJc w:val="left"/>
      <w:pPr>
        <w:ind w:left="1426" w:hanging="293"/>
      </w:pPr>
      <w:rPr>
        <w:rFonts w:hint="default"/>
        <w:lang w:val="en-US" w:eastAsia="en-US" w:bidi="ar-SA"/>
      </w:rPr>
    </w:lvl>
    <w:lvl w:ilvl="2" w:tplc="53CC261C">
      <w:numFmt w:val="bullet"/>
      <w:lvlText w:val="•"/>
      <w:lvlJc w:val="left"/>
      <w:pPr>
        <w:ind w:left="2453" w:hanging="293"/>
      </w:pPr>
      <w:rPr>
        <w:rFonts w:hint="default"/>
        <w:lang w:val="en-US" w:eastAsia="en-US" w:bidi="ar-SA"/>
      </w:rPr>
    </w:lvl>
    <w:lvl w:ilvl="3" w:tplc="4E7A0DE8">
      <w:numFmt w:val="bullet"/>
      <w:lvlText w:val="•"/>
      <w:lvlJc w:val="left"/>
      <w:pPr>
        <w:ind w:left="3480" w:hanging="293"/>
      </w:pPr>
      <w:rPr>
        <w:rFonts w:hint="default"/>
        <w:lang w:val="en-US" w:eastAsia="en-US" w:bidi="ar-SA"/>
      </w:rPr>
    </w:lvl>
    <w:lvl w:ilvl="4" w:tplc="B8123DFA">
      <w:numFmt w:val="bullet"/>
      <w:lvlText w:val="•"/>
      <w:lvlJc w:val="left"/>
      <w:pPr>
        <w:ind w:left="4506" w:hanging="293"/>
      </w:pPr>
      <w:rPr>
        <w:rFonts w:hint="default"/>
        <w:lang w:val="en-US" w:eastAsia="en-US" w:bidi="ar-SA"/>
      </w:rPr>
    </w:lvl>
    <w:lvl w:ilvl="5" w:tplc="14EAC8B4">
      <w:numFmt w:val="bullet"/>
      <w:lvlText w:val="•"/>
      <w:lvlJc w:val="left"/>
      <w:pPr>
        <w:ind w:left="5533" w:hanging="293"/>
      </w:pPr>
      <w:rPr>
        <w:rFonts w:hint="default"/>
        <w:lang w:val="en-US" w:eastAsia="en-US" w:bidi="ar-SA"/>
      </w:rPr>
    </w:lvl>
    <w:lvl w:ilvl="6" w:tplc="1CB0001E">
      <w:numFmt w:val="bullet"/>
      <w:lvlText w:val="•"/>
      <w:lvlJc w:val="left"/>
      <w:pPr>
        <w:ind w:left="6560" w:hanging="293"/>
      </w:pPr>
      <w:rPr>
        <w:rFonts w:hint="default"/>
        <w:lang w:val="en-US" w:eastAsia="en-US" w:bidi="ar-SA"/>
      </w:rPr>
    </w:lvl>
    <w:lvl w:ilvl="7" w:tplc="C46639FE">
      <w:numFmt w:val="bullet"/>
      <w:lvlText w:val="•"/>
      <w:lvlJc w:val="left"/>
      <w:pPr>
        <w:ind w:left="7586" w:hanging="293"/>
      </w:pPr>
      <w:rPr>
        <w:rFonts w:hint="default"/>
        <w:lang w:val="en-US" w:eastAsia="en-US" w:bidi="ar-SA"/>
      </w:rPr>
    </w:lvl>
    <w:lvl w:ilvl="8" w:tplc="231A1166">
      <w:numFmt w:val="bullet"/>
      <w:lvlText w:val="•"/>
      <w:lvlJc w:val="left"/>
      <w:pPr>
        <w:ind w:left="8613" w:hanging="293"/>
      </w:pPr>
      <w:rPr>
        <w:rFonts w:hint="default"/>
        <w:lang w:val="en-US" w:eastAsia="en-US" w:bidi="ar-SA"/>
      </w:rPr>
    </w:lvl>
  </w:abstractNum>
  <w:num w:numId="1" w16cid:durableId="1696803233">
    <w:abstractNumId w:val="0"/>
  </w:num>
  <w:num w:numId="2" w16cid:durableId="1336494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removePersonalInformation/>
  <w:removeDateAndTime/>
  <w:hideSpellingErrors/>
  <w:hideGrammaticalErrors/>
  <w:defaultTabStop w:val="720"/>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62D95"/>
    <w:rsid w:val="000171FE"/>
    <w:rsid w:val="00027485"/>
    <w:rsid w:val="000442D3"/>
    <w:rsid w:val="0010174B"/>
    <w:rsid w:val="001F62D3"/>
    <w:rsid w:val="0022671D"/>
    <w:rsid w:val="00276732"/>
    <w:rsid w:val="002F0895"/>
    <w:rsid w:val="00316B61"/>
    <w:rsid w:val="00461EC9"/>
    <w:rsid w:val="004D019A"/>
    <w:rsid w:val="00542E9B"/>
    <w:rsid w:val="00555547"/>
    <w:rsid w:val="00562D95"/>
    <w:rsid w:val="005750AB"/>
    <w:rsid w:val="005A0268"/>
    <w:rsid w:val="005E5E53"/>
    <w:rsid w:val="00627FEF"/>
    <w:rsid w:val="0067031B"/>
    <w:rsid w:val="00697579"/>
    <w:rsid w:val="00705720"/>
    <w:rsid w:val="0073510E"/>
    <w:rsid w:val="00862220"/>
    <w:rsid w:val="00882ADB"/>
    <w:rsid w:val="008A1D61"/>
    <w:rsid w:val="009077AE"/>
    <w:rsid w:val="00936CE5"/>
    <w:rsid w:val="00A1042E"/>
    <w:rsid w:val="00A507D8"/>
    <w:rsid w:val="00B16BC0"/>
    <w:rsid w:val="00B526EC"/>
    <w:rsid w:val="00B900A5"/>
    <w:rsid w:val="00C67A21"/>
    <w:rsid w:val="00CF2EA0"/>
    <w:rsid w:val="00D23617"/>
    <w:rsid w:val="00D679DF"/>
    <w:rsid w:val="00D763FC"/>
    <w:rsid w:val="00D82D09"/>
    <w:rsid w:val="00DD0A96"/>
    <w:rsid w:val="00DE6362"/>
    <w:rsid w:val="00E03D94"/>
    <w:rsid w:val="00E46A06"/>
    <w:rsid w:val="00EA5573"/>
    <w:rsid w:val="00ED61DE"/>
    <w:rsid w:val="00EE314A"/>
    <w:rsid w:val="00F06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66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right="1"/>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14"/>
      <w:ind w:left="110"/>
      <w:jc w:val="both"/>
    </w:pPr>
  </w:style>
  <w:style w:type="paragraph" w:styleId="Header">
    <w:name w:val="header"/>
    <w:basedOn w:val="Normal"/>
    <w:link w:val="HeaderChar"/>
    <w:uiPriority w:val="99"/>
    <w:unhideWhenUsed/>
    <w:rsid w:val="00DD0A96"/>
    <w:pPr>
      <w:tabs>
        <w:tab w:val="center" w:pos="4680"/>
        <w:tab w:val="right" w:pos="9360"/>
      </w:tabs>
    </w:pPr>
  </w:style>
  <w:style w:type="character" w:customStyle="1" w:styleId="HeaderChar">
    <w:name w:val="Header Char"/>
    <w:basedOn w:val="DefaultParagraphFont"/>
    <w:link w:val="Header"/>
    <w:uiPriority w:val="99"/>
    <w:rsid w:val="00DD0A96"/>
    <w:rPr>
      <w:rFonts w:ascii="Times New Roman" w:eastAsia="Times New Roman" w:hAnsi="Times New Roman" w:cs="Times New Roman"/>
    </w:rPr>
  </w:style>
  <w:style w:type="paragraph" w:styleId="Footer">
    <w:name w:val="footer"/>
    <w:basedOn w:val="Normal"/>
    <w:link w:val="FooterChar"/>
    <w:uiPriority w:val="99"/>
    <w:unhideWhenUsed/>
    <w:rsid w:val="00DD0A96"/>
    <w:pPr>
      <w:tabs>
        <w:tab w:val="center" w:pos="4680"/>
        <w:tab w:val="right" w:pos="9360"/>
      </w:tabs>
    </w:pPr>
  </w:style>
  <w:style w:type="character" w:customStyle="1" w:styleId="FooterChar">
    <w:name w:val="Footer Char"/>
    <w:basedOn w:val="DefaultParagraphFont"/>
    <w:link w:val="Footer"/>
    <w:uiPriority w:val="99"/>
    <w:rsid w:val="00DD0A96"/>
    <w:rPr>
      <w:rFonts w:ascii="Times New Roman" w:eastAsia="Times New Roman" w:hAnsi="Times New Roman" w:cs="Times New Roman"/>
    </w:rPr>
  </w:style>
  <w:style w:type="table" w:styleId="TableGrid">
    <w:name w:val="Table Grid"/>
    <w:basedOn w:val="TableNormal"/>
    <w:uiPriority w:val="39"/>
    <w:rsid w:val="00D679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ecd.org/en/topics/sub-issues/international-standards-on-tax-transparency/tax-transparency-resource-centre.html"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image" Target="media/image1.png"/><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7409639620A48BB08F713A1AC624B" ma:contentTypeVersion="15" ma:contentTypeDescription="Create a new document." ma:contentTypeScope="" ma:versionID="130ea73f67fe6bb7ef79f5958eb3f3ce">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17e55fa473a3bd9307e576bd93bc0dd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F081D9-7D47-493A-80F9-0D647DDAD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7a815-79e8-498e-8f04-9c2e9221b678"/>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D9A9E4-6E56-476A-85B2-D019F06F81A3}">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3.xml><?xml version="1.0" encoding="utf-8"?>
<ds:datastoreItem xmlns:ds="http://schemas.openxmlformats.org/officeDocument/2006/customXml" ds:itemID="{CFB25289-CB0B-4ACF-8D03-D500CBD03E98}">
  <ds:schemaRefs>
    <ds:schemaRef ds:uri="http://schemas.microsoft.com/sharepoint/v3/contenttype/forms"/>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10481</Words>
  <Characters>59748</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2026-06-10T07:09:00Z</dcterms:created>
  <dcterms:modified xsi:type="dcterms:W3CDTF">2026-10-02T08:25:00Z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0x0101006747409639620A48BB08F713A1AC624B</vt:lpwstr>
  </property>
  <property fmtid="{D5CDD505-2E9C-101B-9397-08002B2CF9AE}" pid="3" name="MediaServiceImageTags">
    <vt:lpwstr/>
  </property>
</Properties>
</file>