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FD4EB" w14:textId="7230BC57" w:rsidR="00F02FF0" w:rsidRPr="00FD391F" w:rsidRDefault="00F02FF0" w:rsidP="00CB441B">
      <w:pPr>
        <w:spacing w:before="120"/>
        <w:ind w:left="259"/>
        <w:rPr>
          <w:rFonts w:ascii="Times New Roman" w:hAnsi="Times New Roman" w:cs="Times New Roman"/>
          <w:noProof/>
          <w:sz w:val="20"/>
        </w:rPr>
      </w:pPr>
      <w:r>
        <w:rPr>
          <w:rFonts w:ascii="Times New Roman" w:hAnsi="Times New Roman"/>
          <w:noProof/>
          <w:sz w:val="20"/>
        </w:rPr>
        <w:drawing>
          <wp:anchor distT="0" distB="0" distL="114300" distR="114300" simplePos="0" relativeHeight="251658246" behindDoc="1" locked="0" layoutInCell="1" allowOverlap="1" wp14:anchorId="1CADF390" wp14:editId="24B0901A">
            <wp:simplePos x="0" y="0"/>
            <wp:positionH relativeFrom="column">
              <wp:posOffset>31115</wp:posOffset>
            </wp:positionH>
            <wp:positionV relativeFrom="paragraph">
              <wp:posOffset>73660</wp:posOffset>
            </wp:positionV>
            <wp:extent cx="1990090" cy="461645"/>
            <wp:effectExtent l="0" t="0" r="0" b="0"/>
            <wp:wrapTight wrapText="bothSides">
              <wp:wrapPolygon edited="0">
                <wp:start x="1034" y="0"/>
                <wp:lineTo x="0" y="4457"/>
                <wp:lineTo x="0" y="16044"/>
                <wp:lineTo x="1034" y="20501"/>
                <wp:lineTo x="7237" y="20501"/>
                <wp:lineTo x="21297" y="18718"/>
                <wp:lineTo x="21297" y="1783"/>
                <wp:lineTo x="7237" y="0"/>
                <wp:lineTo x="1034" y="0"/>
              </wp:wrapPolygon>
            </wp:wrapTight>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090" cy="461645"/>
                    </a:xfrm>
                    <a:prstGeom prst="rect">
                      <a:avLst/>
                    </a:prstGeom>
                  </pic:spPr>
                </pic:pic>
              </a:graphicData>
            </a:graphic>
            <wp14:sizeRelH relativeFrom="margin">
              <wp14:pctWidth>0</wp14:pctWidth>
            </wp14:sizeRelH>
          </wp:anchor>
        </w:drawing>
      </w:r>
    </w:p>
    <w:p w14:paraId="3E482E16" w14:textId="77777777" w:rsidR="00F02FF0" w:rsidRPr="00FD391F" w:rsidRDefault="00F02FF0" w:rsidP="00CB441B">
      <w:pPr>
        <w:pStyle w:val="BodyText"/>
        <w:spacing w:before="120"/>
        <w:jc w:val="left"/>
        <w:rPr>
          <w:rFonts w:ascii="Times New Roman" w:hAnsi="Times New Roman" w:cs="Times New Roman"/>
          <w:noProof/>
          <w:sz w:val="80"/>
        </w:rPr>
      </w:pPr>
    </w:p>
    <w:p w14:paraId="58B165F9" w14:textId="5E2FE692" w:rsidR="00F02FF0" w:rsidRPr="00FD391F" w:rsidRDefault="00F02FF0" w:rsidP="00CB441B">
      <w:pPr>
        <w:pStyle w:val="Title"/>
        <w:spacing w:before="120"/>
        <w:ind w:left="0"/>
        <w:rPr>
          <w:rFonts w:ascii="Times New Roman" w:hAnsi="Times New Roman" w:cs="Times New Roman"/>
          <w:noProof/>
          <w:color w:val="101D40"/>
          <w:sz w:val="56"/>
          <w:szCs w:val="56"/>
        </w:rPr>
      </w:pPr>
      <w:r>
        <w:rPr>
          <w:rFonts w:ascii="Times New Roman" w:hAnsi="Times New Roman"/>
          <w:color w:val="101D40"/>
          <w:sz w:val="56"/>
        </w:rPr>
        <w:t>Kopējā ziņošanas standarta konsolidētais teksts (2025)</w:t>
      </w:r>
    </w:p>
    <w:p w14:paraId="0E0A0ACC" w14:textId="73904372" w:rsidR="00961ED6" w:rsidRPr="00FD391F" w:rsidRDefault="00EC087E" w:rsidP="00CB441B">
      <w:pPr>
        <w:spacing w:before="360"/>
        <w:rPr>
          <w:rFonts w:ascii="Times New Roman" w:hAnsi="Times New Roman" w:cs="Times New Roman"/>
          <w:noProof/>
          <w:color w:val="101D40"/>
          <w:sz w:val="44"/>
          <w:szCs w:val="20"/>
        </w:rPr>
        <w:sectPr w:rsidR="00961ED6" w:rsidRPr="00FD391F" w:rsidSect="00DA3881">
          <w:headerReference w:type="default" r:id="rId12"/>
          <w:footerReference w:type="default" r:id="rId13"/>
          <w:headerReference w:type="first" r:id="rId14"/>
          <w:footerReference w:type="first" r:id="rId15"/>
          <w:type w:val="continuous"/>
          <w:pgSz w:w="11907" w:h="16840" w:code="9"/>
          <w:pgMar w:top="1134" w:right="1134" w:bottom="1134" w:left="1701" w:header="567" w:footer="567" w:gutter="0"/>
          <w:cols w:space="720"/>
          <w:titlePg/>
        </w:sectPr>
      </w:pPr>
      <w:r>
        <w:rPr>
          <w:rFonts w:ascii="Times New Roman" w:hAnsi="Times New Roman"/>
          <w:noProof/>
          <w:sz w:val="20"/>
        </w:rPr>
        <w:drawing>
          <wp:anchor distT="0" distB="0" distL="0" distR="0" simplePos="0" relativeHeight="251658243" behindDoc="0" locked="0" layoutInCell="1" allowOverlap="1" wp14:anchorId="6BBECB7F" wp14:editId="5777B562">
            <wp:simplePos x="0" y="0"/>
            <wp:positionH relativeFrom="page">
              <wp:posOffset>-218049</wp:posOffset>
            </wp:positionH>
            <wp:positionV relativeFrom="page">
              <wp:posOffset>3805311</wp:posOffset>
            </wp:positionV>
            <wp:extent cx="9583908" cy="596511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6" cstate="print"/>
                    <a:stretch>
                      <a:fillRect/>
                    </a:stretch>
                  </pic:blipFill>
                  <pic:spPr>
                    <a:xfrm>
                      <a:off x="0" y="0"/>
                      <a:ext cx="9599195" cy="5974628"/>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olor w:val="101D40"/>
          <w:sz w:val="44"/>
        </w:rPr>
        <w:t>Standarts finanšu konta informācijas automātiskai apmaiņai nodokļu jomā</w:t>
      </w:r>
    </w:p>
    <w:p w14:paraId="28A1D90D" w14:textId="3B1018B2" w:rsidR="00F02FF0" w:rsidRPr="00FD391F" w:rsidRDefault="00F02FF0" w:rsidP="00CB441B">
      <w:pPr>
        <w:spacing w:before="120"/>
        <w:rPr>
          <w:rFonts w:ascii="Times New Roman" w:hAnsi="Times New Roman" w:cs="Times New Roman"/>
          <w:noProof/>
          <w:color w:val="101D40"/>
          <w:sz w:val="44"/>
          <w:szCs w:val="20"/>
        </w:rPr>
      </w:pPr>
    </w:p>
    <w:p w14:paraId="612F09AC" w14:textId="762F5A80" w:rsidR="00F54EB1" w:rsidRPr="00FD391F" w:rsidRDefault="00F54EB1" w:rsidP="00CB441B">
      <w:pPr>
        <w:spacing w:before="120"/>
        <w:rPr>
          <w:rFonts w:ascii="Times New Roman" w:hAnsi="Times New Roman" w:cs="Times New Roman"/>
          <w:noProof/>
          <w:sz w:val="48"/>
        </w:rPr>
      </w:pPr>
    </w:p>
    <w:p w14:paraId="37DCB980" w14:textId="6162D062" w:rsidR="00F02FF0" w:rsidRPr="00FD391F" w:rsidRDefault="00F02FF0" w:rsidP="00CB441B">
      <w:pPr>
        <w:spacing w:before="120"/>
        <w:ind w:left="160"/>
        <w:jc w:val="center"/>
        <w:rPr>
          <w:rFonts w:ascii="Times New Roman" w:hAnsi="Times New Roman" w:cs="Times New Roman"/>
          <w:b/>
          <w:noProof/>
          <w:sz w:val="52"/>
        </w:rPr>
      </w:pPr>
      <w:r>
        <w:rPr>
          <w:rFonts w:ascii="Times New Roman" w:hAnsi="Times New Roman"/>
          <w:b/>
          <w:sz w:val="52"/>
        </w:rPr>
        <w:t>Kopējā ziņošanas standarta konsolidētais teksts (2025)</w:t>
      </w:r>
    </w:p>
    <w:p w14:paraId="29C52729" w14:textId="1120870F" w:rsidR="00F02FF0" w:rsidRPr="00FD391F" w:rsidRDefault="00F02FF0" w:rsidP="00CB441B">
      <w:pPr>
        <w:pStyle w:val="BodyText"/>
        <w:spacing w:before="120"/>
        <w:jc w:val="left"/>
        <w:rPr>
          <w:rFonts w:ascii="Times New Roman" w:hAnsi="Times New Roman" w:cs="Times New Roman"/>
          <w:b/>
          <w:noProof/>
          <w:sz w:val="52"/>
        </w:rPr>
      </w:pPr>
    </w:p>
    <w:p w14:paraId="0B7C2A90" w14:textId="2ED9D51C" w:rsidR="00EC087E" w:rsidRPr="00FD391F" w:rsidRDefault="00F02FF0" w:rsidP="00CB441B">
      <w:pPr>
        <w:spacing w:before="120"/>
        <w:ind w:left="159"/>
        <w:jc w:val="center"/>
        <w:rPr>
          <w:rFonts w:ascii="Times New Roman" w:hAnsi="Times New Roman" w:cs="Times New Roman"/>
          <w:noProof/>
          <w:sz w:val="40"/>
        </w:rPr>
      </w:pPr>
      <w:r>
        <w:rPr>
          <w:rFonts w:ascii="Times New Roman" w:hAnsi="Times New Roman"/>
          <w:sz w:val="40"/>
        </w:rPr>
        <w:t>Standarts finanšu konta informācijas automātiskai apmaiņai nodokļu jomā</w:t>
      </w:r>
    </w:p>
    <w:p w14:paraId="72EFD8BA" w14:textId="30CD43B0" w:rsidR="00EC087E" w:rsidRPr="00FD391F" w:rsidRDefault="00EC087E" w:rsidP="00CB441B">
      <w:pPr>
        <w:spacing w:before="120"/>
        <w:rPr>
          <w:rFonts w:ascii="Times New Roman" w:hAnsi="Times New Roman" w:cs="Times New Roman"/>
          <w:noProof/>
          <w:sz w:val="40"/>
        </w:rPr>
      </w:pPr>
      <w:r>
        <w:rPr>
          <w:rFonts w:ascii="Times New Roman" w:hAnsi="Times New Roman"/>
          <w:noProof/>
          <w:sz w:val="52"/>
        </w:rPr>
        <w:drawing>
          <wp:anchor distT="0" distB="0" distL="0" distR="0" simplePos="0" relativeHeight="251656192" behindDoc="1" locked="0" layoutInCell="1" allowOverlap="1" wp14:anchorId="12D64355" wp14:editId="2676553B">
            <wp:simplePos x="0" y="0"/>
            <wp:positionH relativeFrom="page">
              <wp:posOffset>2857500</wp:posOffset>
            </wp:positionH>
            <wp:positionV relativeFrom="page">
              <wp:posOffset>9220200</wp:posOffset>
            </wp:positionV>
            <wp:extent cx="1640205" cy="391795"/>
            <wp:effectExtent l="0" t="0" r="0" b="8255"/>
            <wp:wrapTight wrapText="bothSides">
              <wp:wrapPolygon edited="0">
                <wp:start x="1003" y="0"/>
                <wp:lineTo x="0" y="4201"/>
                <wp:lineTo x="0" y="17854"/>
                <wp:lineTo x="1003" y="21005"/>
                <wp:lineTo x="7275" y="21005"/>
                <wp:lineTo x="21324" y="18904"/>
                <wp:lineTo x="21324" y="2100"/>
                <wp:lineTo x="7275" y="0"/>
                <wp:lineTo x="1003" y="0"/>
              </wp:wrapPolygon>
            </wp:wrapTight>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7" cstate="print"/>
                    <a:stretch>
                      <a:fillRect/>
                    </a:stretch>
                  </pic:blipFill>
                  <pic:spPr>
                    <a:xfrm>
                      <a:off x="0" y="0"/>
                      <a:ext cx="1640205" cy="391795"/>
                    </a:xfrm>
                    <a:prstGeom prst="rect">
                      <a:avLst/>
                    </a:prstGeom>
                  </pic:spPr>
                </pic:pic>
              </a:graphicData>
            </a:graphic>
          </wp:anchor>
        </w:drawing>
      </w:r>
      <w:r>
        <w:br w:type="page"/>
      </w:r>
    </w:p>
    <w:p w14:paraId="6966FBE1" w14:textId="77777777" w:rsidR="00F02FF0" w:rsidRPr="00FD391F" w:rsidRDefault="00F02FF0" w:rsidP="00CB441B">
      <w:pPr>
        <w:spacing w:before="120"/>
        <w:ind w:left="159"/>
        <w:jc w:val="center"/>
        <w:rPr>
          <w:rFonts w:ascii="Times New Roman" w:hAnsi="Times New Roman" w:cs="Times New Roman"/>
          <w:noProof/>
          <w:sz w:val="40"/>
        </w:rPr>
      </w:pPr>
    </w:p>
    <w:p w14:paraId="54E170A6" w14:textId="6893BC8D" w:rsidR="00F54EB1" w:rsidRPr="00FD391F" w:rsidRDefault="00F54EB1" w:rsidP="00CB441B">
      <w:pPr>
        <w:spacing w:before="120"/>
        <w:jc w:val="center"/>
        <w:rPr>
          <w:rFonts w:ascii="Times New Roman" w:hAnsi="Times New Roman" w:cs="Times New Roman"/>
          <w:noProof/>
          <w:sz w:val="40"/>
        </w:rPr>
      </w:pPr>
    </w:p>
    <w:p w14:paraId="6A705E80" w14:textId="6C20A4AA" w:rsidR="00F02FF0" w:rsidRPr="00FD391F" w:rsidRDefault="00E63F3B" w:rsidP="00CB441B">
      <w:pPr>
        <w:spacing w:before="120"/>
        <w:jc w:val="both"/>
        <w:rPr>
          <w:rFonts w:ascii="Times New Roman" w:hAnsi="Times New Roman" w:cs="Times New Roman"/>
          <w:noProof/>
          <w:sz w:val="18"/>
          <w:szCs w:val="18"/>
        </w:rPr>
      </w:pPr>
      <w:r>
        <w:rPr>
          <w:rFonts w:ascii="Times New Roman" w:hAnsi="Times New Roman"/>
          <w:noProof/>
          <w:sz w:val="18"/>
        </w:rPr>
        <mc:AlternateContent>
          <mc:Choice Requires="wps">
            <w:drawing>
              <wp:anchor distT="0" distB="0" distL="0" distR="0" simplePos="0" relativeHeight="251655168" behindDoc="1" locked="0" layoutInCell="1" allowOverlap="1" wp14:anchorId="0FBC3BB5" wp14:editId="58693734">
                <wp:simplePos x="0" y="0"/>
                <wp:positionH relativeFrom="page">
                  <wp:posOffset>1082040</wp:posOffset>
                </wp:positionH>
                <wp:positionV relativeFrom="paragraph">
                  <wp:posOffset>676275</wp:posOffset>
                </wp:positionV>
                <wp:extent cx="5715000" cy="57340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573405"/>
                        </a:xfrm>
                        <a:prstGeom prst="rect">
                          <a:avLst/>
                        </a:prstGeom>
                        <a:solidFill>
                          <a:srgbClr val="E5E5E5"/>
                        </a:solidFill>
                      </wps:spPr>
                      <wps:txbx>
                        <w:txbxContent>
                          <w:p w14:paraId="7EC1CEBA" w14:textId="77777777" w:rsidR="00F02FF0" w:rsidRPr="00EC087E" w:rsidRDefault="00F02FF0" w:rsidP="00F02FF0">
                            <w:pPr>
                              <w:spacing w:before="121" w:line="183" w:lineRule="exact"/>
                              <w:ind w:left="122"/>
                              <w:rPr>
                                <w:rFonts w:ascii="Times New Roman" w:hAnsi="Times New Roman" w:cs="Times New Roman"/>
                                <w:b/>
                                <w:noProof/>
                                <w:color w:val="000000"/>
                                <w:sz w:val="18"/>
                                <w:szCs w:val="18"/>
                              </w:rPr>
                            </w:pPr>
                            <w:r>
                              <w:rPr>
                                <w:rFonts w:ascii="Times New Roman" w:hAnsi="Times New Roman"/>
                                <w:b/>
                                <w:color w:val="000000"/>
                                <w:sz w:val="18"/>
                              </w:rPr>
                              <w:t>Citējot šo publikāciju, lūdzam izmantot šādu atsauci:</w:t>
                            </w:r>
                          </w:p>
                          <w:p w14:paraId="6C24A8E2" w14:textId="77777777" w:rsidR="00F02FF0" w:rsidRPr="00EC087E" w:rsidRDefault="00F02FF0" w:rsidP="00F02FF0">
                            <w:pPr>
                              <w:ind w:left="122"/>
                              <w:rPr>
                                <w:rFonts w:ascii="Times New Roman" w:hAnsi="Times New Roman" w:cs="Times New Roman"/>
                                <w:noProof/>
                                <w:color w:val="000000"/>
                                <w:sz w:val="18"/>
                                <w:szCs w:val="18"/>
                              </w:rPr>
                            </w:pPr>
                            <w:r>
                              <w:rPr>
                                <w:rFonts w:ascii="Times New Roman" w:hAnsi="Times New Roman"/>
                                <w:i/>
                                <w:iCs/>
                                <w:color w:val="000000"/>
                                <w:sz w:val="18"/>
                              </w:rPr>
                              <w:t>OECD</w:t>
                            </w:r>
                            <w:r>
                              <w:rPr>
                                <w:rFonts w:ascii="Times New Roman" w:hAnsi="Times New Roman"/>
                                <w:color w:val="000000"/>
                                <w:sz w:val="18"/>
                              </w:rPr>
                              <w:t xml:space="preserve"> (2025) </w:t>
                            </w:r>
                            <w:r>
                              <w:rPr>
                                <w:rFonts w:ascii="Times New Roman" w:hAnsi="Times New Roman"/>
                                <w:i/>
                                <w:iCs/>
                                <w:color w:val="000000"/>
                                <w:sz w:val="18"/>
                              </w:rPr>
                              <w:t>Kopējā ziņošanas standarta konsolidētais teksts.</w:t>
                            </w:r>
                            <w:r>
                              <w:rPr>
                                <w:rFonts w:ascii="Times New Roman" w:hAnsi="Times New Roman"/>
                                <w:i/>
                                <w:color w:val="000000"/>
                                <w:sz w:val="18"/>
                              </w:rPr>
                              <w:t xml:space="preserve"> </w:t>
                            </w:r>
                            <w:r>
                              <w:rPr>
                                <w:rFonts w:ascii="Times New Roman" w:hAnsi="Times New Roman"/>
                                <w:i/>
                                <w:iCs/>
                                <w:color w:val="000000"/>
                                <w:sz w:val="18"/>
                              </w:rPr>
                              <w:t>Standarts finanšu konta informācijas automātiskai apmaiņai nodokļu jomā</w:t>
                            </w:r>
                            <w:r>
                              <w:rPr>
                                <w:rFonts w:ascii="Times New Roman" w:hAnsi="Times New Roman"/>
                                <w:color w:val="000000"/>
                                <w:sz w:val="18"/>
                              </w:rPr>
                              <w:t xml:space="preserve">, “OECD Publishing”, </w:t>
                            </w:r>
                            <w:r>
                              <w:rPr>
                                <w:rFonts w:ascii="Times New Roman" w:hAnsi="Times New Roman"/>
                                <w:color w:val="0000FF"/>
                                <w:sz w:val="18"/>
                                <w:u w:val="single" w:color="0000FF"/>
                              </w:rPr>
                              <w:t>https://doi.org/10.1787/055664b1-en</w:t>
                            </w:r>
                            <w: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FBC3BB5" id="_x0000_t202" coordsize="21600,21600" o:spt="202" path="m,l,21600r21600,l21600,xe">
                <v:stroke joinstyle="miter"/>
                <v:path gradientshapeok="t" o:connecttype="rect"/>
              </v:shapetype>
              <v:shape id="Textbox 10" o:spid="_x0000_s1026" type="#_x0000_t202" style="position:absolute;left:0;text-align:left;margin-left:85.2pt;margin-top:53.25pt;width:450pt;height:45.1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" fillcolor="#e5e5e5" stroked="f">
                <v:textbox inset="0,0,0,0">
                  <w:txbxContent>
                    <w:p w14:paraId="7EC1CEBA" w14:textId="77777777" w:rsidR="00F02FF0" w:rsidRPr="00EC087E" w:rsidRDefault="00F02FF0" w:rsidP="00F02FF0">
                      <w:pPr>
                        <w:spacing w:before="121" w:line="183" w:lineRule="exact"/>
                        <w:ind w:left="122"/>
                        <w:rPr>
                          <w:rFonts w:ascii="Times New Roman" w:hAnsi="Times New Roman" w:cs="Times New Roman"/>
                          <w:b/>
                          <w:noProof/>
                          <w:color w:val="000000"/>
                          <w:sz w:val="18"/>
                          <w:szCs w:val="18"/>
                        </w:rPr>
                      </w:pPr>
                      <w:r>
                        <w:rPr>
                          <w:rFonts w:ascii="Times New Roman" w:hAnsi="Times New Roman"/>
                          <w:b/>
                          <w:color w:val="000000"/>
                          <w:sz w:val="18"/>
                        </w:rPr>
                        <w:t>Citējot šo publikāciju, lūdzam izmantot šādu atsauci:</w:t>
                      </w:r>
                    </w:p>
                    <w:p w14:paraId="6C24A8E2" w14:textId="77777777" w:rsidR="00F02FF0" w:rsidRPr="00EC087E" w:rsidRDefault="00F02FF0" w:rsidP="00F02FF0">
                      <w:pPr>
                        <w:ind w:left="122"/>
                        <w:rPr>
                          <w:rFonts w:ascii="Times New Roman" w:hAnsi="Times New Roman" w:cs="Times New Roman"/>
                          <w:noProof/>
                          <w:color w:val="000000"/>
                          <w:sz w:val="18"/>
                          <w:szCs w:val="18"/>
                        </w:rPr>
                      </w:pPr>
                      <w:r>
                        <w:rPr>
                          <w:rFonts w:ascii="Times New Roman" w:hAnsi="Times New Roman"/>
                          <w:i/>
                          <w:iCs/>
                          <w:color w:val="000000"/>
                          <w:sz w:val="18"/>
                        </w:rPr>
                        <w:t>OECD</w:t>
                      </w:r>
                      <w:r>
                        <w:rPr>
                          <w:rFonts w:ascii="Times New Roman" w:hAnsi="Times New Roman"/>
                          <w:color w:val="000000"/>
                          <w:sz w:val="18"/>
                        </w:rPr>
                        <w:t xml:space="preserve"> (2025) </w:t>
                      </w:r>
                      <w:r>
                        <w:rPr>
                          <w:rFonts w:ascii="Times New Roman" w:hAnsi="Times New Roman"/>
                          <w:i/>
                          <w:iCs/>
                          <w:color w:val="000000"/>
                          <w:sz w:val="18"/>
                        </w:rPr>
                        <w:t>Kopējā ziņošanas standarta konsolidētais teksts.</w:t>
                      </w:r>
                      <w:r>
                        <w:rPr>
                          <w:rFonts w:ascii="Times New Roman" w:hAnsi="Times New Roman"/>
                          <w:i/>
                          <w:color w:val="000000"/>
                          <w:sz w:val="18"/>
                        </w:rPr>
                        <w:t xml:space="preserve"> </w:t>
                      </w:r>
                      <w:r>
                        <w:rPr>
                          <w:rFonts w:ascii="Times New Roman" w:hAnsi="Times New Roman"/>
                          <w:i/>
                          <w:iCs/>
                          <w:color w:val="000000"/>
                          <w:sz w:val="18"/>
                        </w:rPr>
                        <w:t>Standarts finanšu konta informācijas automātiskai apmaiņai nodokļu jomā</w:t>
                      </w:r>
                      <w:r>
                        <w:rPr>
                          <w:rFonts w:ascii="Times New Roman" w:hAnsi="Times New Roman"/>
                          <w:color w:val="000000"/>
                          <w:sz w:val="18"/>
                        </w:rPr>
                        <w:t xml:space="preserve">, “OECD Publishing”, </w:t>
                      </w:r>
                      <w:r>
                        <w:rPr>
                          <w:rFonts w:ascii="Times New Roman" w:hAnsi="Times New Roman"/>
                          <w:color w:val="0000FF"/>
                          <w:sz w:val="18"/>
                          <w:u w:val="single" w:color="0000FF"/>
                        </w:rPr>
                        <w:t>https://doi.org/10.1787/055664b1-en</w:t>
                      </w:r>
                      <w:r>
                        <w:t>.</w:t>
                      </w:r>
                    </w:p>
                  </w:txbxContent>
                </v:textbox>
                <w10:wrap type="topAndBottom" anchorx="page"/>
              </v:shape>
            </w:pict>
          </mc:Fallback>
        </mc:AlternateContent>
      </w:r>
      <w:r>
        <w:rPr>
          <w:rFonts w:ascii="Times New Roman" w:hAnsi="Times New Roman"/>
          <w:sz w:val="18"/>
        </w:rPr>
        <w:t>Par šā dokumenta publicēšanu atbildīgs ir Ekonomiskās sadarbības un attīstības organizācijas (</w:t>
      </w:r>
      <w:r>
        <w:rPr>
          <w:rFonts w:ascii="Times New Roman" w:hAnsi="Times New Roman"/>
          <w:i/>
          <w:iCs/>
          <w:sz w:val="18"/>
        </w:rPr>
        <w:t>OECD</w:t>
      </w:r>
      <w:r>
        <w:rPr>
          <w:rFonts w:ascii="Times New Roman" w:hAnsi="Times New Roman"/>
          <w:sz w:val="18"/>
        </w:rPr>
        <w:t xml:space="preserve">) ģenerālsekretārs. Šeit paustie atzinumi un izmantotie argumenti ne vienmēr ataino </w:t>
      </w:r>
      <w:r>
        <w:rPr>
          <w:rFonts w:ascii="Times New Roman" w:hAnsi="Times New Roman"/>
          <w:i/>
          <w:iCs/>
          <w:sz w:val="18"/>
        </w:rPr>
        <w:t>OECD</w:t>
      </w:r>
      <w:r>
        <w:rPr>
          <w:rFonts w:ascii="Times New Roman" w:hAnsi="Times New Roman"/>
          <w:sz w:val="18"/>
        </w:rPr>
        <w:t xml:space="preserve"> dalībvalstu valdību oficiālo viedokli. Šis dokuments un tajā iekļautie dati un kartes nemaina nevienas teritorijas statusu vai suverenitāti pār šādu teritoriju, starptautiskās robežas un nevienas teritorijas, pilsētas vai apgabala nosaukumu.</w:t>
      </w:r>
    </w:p>
    <w:p w14:paraId="73E6463D" w14:textId="5F8AD52A" w:rsidR="00F02FF0" w:rsidRPr="00FD391F" w:rsidRDefault="00F02FF0" w:rsidP="00CB441B">
      <w:pPr>
        <w:pStyle w:val="BodyText"/>
        <w:spacing w:before="120"/>
        <w:rPr>
          <w:rFonts w:ascii="Times New Roman" w:hAnsi="Times New Roman" w:cs="Times New Roman"/>
          <w:noProof/>
          <w:sz w:val="18"/>
          <w:szCs w:val="18"/>
        </w:rPr>
      </w:pPr>
    </w:p>
    <w:p w14:paraId="64218805" w14:textId="1D52DE85" w:rsidR="00F02FF0" w:rsidRPr="00FD391F" w:rsidRDefault="00F02FF0" w:rsidP="00CB441B">
      <w:pPr>
        <w:spacing w:before="120"/>
        <w:jc w:val="both"/>
        <w:rPr>
          <w:rFonts w:ascii="Times New Roman" w:hAnsi="Times New Roman" w:cs="Times New Roman"/>
          <w:noProof/>
          <w:sz w:val="18"/>
          <w:szCs w:val="18"/>
        </w:rPr>
      </w:pPr>
      <w:r>
        <w:rPr>
          <w:rFonts w:ascii="Times New Roman" w:hAnsi="Times New Roman"/>
          <w:sz w:val="18"/>
        </w:rPr>
        <w:t xml:space="preserve">Statistikas datus par Izraēlu ir sniegušas attiecīgās Izraēlas iestādes, un tās uzņemas atbildību par šiem statistikas datiem. Tas, ka </w:t>
      </w:r>
      <w:r>
        <w:rPr>
          <w:rFonts w:ascii="Times New Roman" w:hAnsi="Times New Roman"/>
          <w:i/>
          <w:iCs/>
          <w:sz w:val="18"/>
        </w:rPr>
        <w:t>OECD</w:t>
      </w:r>
      <w:r>
        <w:rPr>
          <w:rFonts w:ascii="Times New Roman" w:hAnsi="Times New Roman"/>
          <w:sz w:val="18"/>
        </w:rPr>
        <w:t xml:space="preserve"> izmanto šādus datus, neskar starptautiskajās tiesībās noteikto Golānas augstieņu, Jeruzalemes austrumu daļas un izraēliešu Rietumkrasta apmetņu statusu.</w:t>
      </w:r>
    </w:p>
    <w:p w14:paraId="756C1D60" w14:textId="3FCC1ED7" w:rsidR="00F02FF0" w:rsidRPr="00FD391F" w:rsidRDefault="00F02FF0" w:rsidP="00CB441B">
      <w:pPr>
        <w:spacing w:before="120"/>
        <w:jc w:val="both"/>
        <w:rPr>
          <w:rFonts w:ascii="Times New Roman" w:hAnsi="Times New Roman" w:cs="Times New Roman"/>
          <w:noProof/>
          <w:sz w:val="18"/>
          <w:szCs w:val="18"/>
        </w:rPr>
      </w:pPr>
      <w:r>
        <w:rPr>
          <w:rFonts w:ascii="Times New Roman" w:hAnsi="Times New Roman"/>
          <w:sz w:val="18"/>
        </w:rPr>
        <w:t>Turcijas piezīme</w:t>
      </w:r>
    </w:p>
    <w:p w14:paraId="4FAFEBDA" w14:textId="187A3978" w:rsidR="00F02FF0" w:rsidRPr="00FD391F" w:rsidRDefault="00F02FF0" w:rsidP="00CB441B">
      <w:pPr>
        <w:spacing w:before="120"/>
        <w:jc w:val="both"/>
        <w:rPr>
          <w:rFonts w:ascii="Times New Roman" w:hAnsi="Times New Roman" w:cs="Times New Roman"/>
          <w:noProof/>
          <w:sz w:val="18"/>
          <w:szCs w:val="18"/>
        </w:rPr>
      </w:pPr>
      <w:r>
        <w:rPr>
          <w:rFonts w:ascii="Times New Roman" w:hAnsi="Times New Roman"/>
          <w:sz w:val="18"/>
        </w:rPr>
        <w:t>Šajā dokumentā informācija ar atsauci uz “Kipru” attiecas uz salas dienvidu daļu. Šajā salā nav vienas varas iestādes, kas pārstāvētu gan Kipras turku, gan Kipras grieķu tautu. Turcija atzīst Ziemeļkipras Turku Republiku (ZKTR). Turcija saglabā savu nostāju attiecībā uz “Kipras jautājumu”, līdz tiks atrasts ilglaicīgs un taisnīgs risinājums Apvienoto Nāciju Organizācijas kontekstā.</w:t>
      </w:r>
    </w:p>
    <w:p w14:paraId="2AF7ED54" w14:textId="77777777" w:rsidR="00F02FF0" w:rsidRPr="00FD391F" w:rsidRDefault="00F02FF0" w:rsidP="00CB441B">
      <w:pPr>
        <w:spacing w:before="120"/>
        <w:jc w:val="both"/>
        <w:rPr>
          <w:rFonts w:ascii="Times New Roman" w:hAnsi="Times New Roman" w:cs="Times New Roman"/>
          <w:noProof/>
          <w:sz w:val="18"/>
          <w:szCs w:val="18"/>
        </w:rPr>
      </w:pPr>
      <w:r>
        <w:rPr>
          <w:rFonts w:ascii="Times New Roman" w:hAnsi="Times New Roman"/>
          <w:sz w:val="18"/>
        </w:rPr>
        <w:t xml:space="preserve">Visu </w:t>
      </w:r>
      <w:r>
        <w:rPr>
          <w:rFonts w:ascii="Times New Roman" w:hAnsi="Times New Roman"/>
          <w:i/>
          <w:iCs/>
          <w:sz w:val="18"/>
        </w:rPr>
        <w:t>OECD</w:t>
      </w:r>
      <w:r>
        <w:rPr>
          <w:rFonts w:ascii="Times New Roman" w:hAnsi="Times New Roman"/>
          <w:sz w:val="18"/>
        </w:rPr>
        <w:t xml:space="preserve"> Eiropas Savienības dalībvalstu un Eiropas Savienības piezīme</w:t>
      </w:r>
    </w:p>
    <w:p w14:paraId="04586EE9" w14:textId="424DB093" w:rsidR="00F02FF0" w:rsidRPr="00FD391F" w:rsidRDefault="00F02FF0" w:rsidP="00CB441B">
      <w:pPr>
        <w:spacing w:before="120"/>
        <w:jc w:val="both"/>
        <w:rPr>
          <w:rFonts w:ascii="Times New Roman" w:hAnsi="Times New Roman" w:cs="Times New Roman"/>
          <w:noProof/>
          <w:sz w:val="18"/>
          <w:szCs w:val="18"/>
        </w:rPr>
      </w:pPr>
      <w:r>
        <w:rPr>
          <w:rFonts w:ascii="Times New Roman" w:hAnsi="Times New Roman"/>
          <w:sz w:val="18"/>
        </w:rPr>
        <w:t>Kipras Republiku atzīst visi Apvienoto Nāciju Organizācijas dalībnieki, izņemot Turciju. Šajā dokumentā informācija attiecas uz teritoriju, kuru faktiski kontrolē Kipras Republikas valdība.</w:t>
      </w:r>
    </w:p>
    <w:p w14:paraId="04FD6ACE" w14:textId="77777777" w:rsidR="00F02FF0" w:rsidRPr="00FD391F" w:rsidRDefault="00F02FF0" w:rsidP="00CB441B">
      <w:pPr>
        <w:pStyle w:val="BodyText"/>
        <w:spacing w:before="120"/>
        <w:rPr>
          <w:rFonts w:ascii="Times New Roman" w:hAnsi="Times New Roman" w:cs="Times New Roman"/>
          <w:noProof/>
          <w:sz w:val="18"/>
          <w:szCs w:val="18"/>
        </w:rPr>
      </w:pPr>
    </w:p>
    <w:p w14:paraId="0A09B048" w14:textId="77777777" w:rsidR="00F02FF0" w:rsidRPr="00FD391F" w:rsidRDefault="00F02FF0" w:rsidP="00CB441B">
      <w:pPr>
        <w:spacing w:before="120"/>
        <w:jc w:val="both"/>
        <w:rPr>
          <w:rFonts w:ascii="Times New Roman" w:hAnsi="Times New Roman" w:cs="Times New Roman"/>
          <w:b/>
          <w:i/>
          <w:noProof/>
          <w:sz w:val="18"/>
          <w:szCs w:val="18"/>
        </w:rPr>
      </w:pPr>
      <w:r>
        <w:rPr>
          <w:rFonts w:ascii="Times New Roman" w:hAnsi="Times New Roman"/>
          <w:b/>
          <w:i/>
          <w:sz w:val="18"/>
        </w:rPr>
        <w:t>Šajā redakcijā iekļautie grozījumi</w:t>
      </w:r>
    </w:p>
    <w:p w14:paraId="30BC6B9C" w14:textId="77777777" w:rsidR="00F02FF0" w:rsidRPr="00FD391F" w:rsidRDefault="00F02FF0" w:rsidP="00596901">
      <w:pPr>
        <w:spacing w:before="120"/>
        <w:rPr>
          <w:rFonts w:ascii="Times New Roman" w:hAnsi="Times New Roman" w:cs="Times New Roman"/>
          <w:b/>
          <w:noProof/>
          <w:sz w:val="18"/>
          <w:szCs w:val="18"/>
        </w:rPr>
      </w:pPr>
      <w:r>
        <w:rPr>
          <w:rFonts w:ascii="Times New Roman" w:hAnsi="Times New Roman"/>
          <w:b/>
          <w:sz w:val="18"/>
        </w:rPr>
        <w:t>25. lappuse</w:t>
      </w:r>
    </w:p>
    <w:p w14:paraId="47791504" w14:textId="77777777" w:rsidR="00F02FF0" w:rsidRPr="00FD391F" w:rsidRDefault="00F02FF0" w:rsidP="00596901">
      <w:pPr>
        <w:spacing w:before="120"/>
        <w:rPr>
          <w:rFonts w:ascii="Times New Roman" w:hAnsi="Times New Roman" w:cs="Times New Roman"/>
          <w:noProof/>
          <w:sz w:val="18"/>
          <w:szCs w:val="18"/>
        </w:rPr>
      </w:pPr>
      <w:r>
        <w:rPr>
          <w:rFonts w:ascii="Times New Roman" w:hAnsi="Times New Roman"/>
          <w:sz w:val="18"/>
        </w:rPr>
        <w:t>Grozīta e) apakšpunkta numerācija, lai pievienotu aizzīmi šādam punktam:</w:t>
      </w:r>
    </w:p>
    <w:p w14:paraId="15E86C50" w14:textId="77777777" w:rsidR="008A7D90" w:rsidRDefault="00F02FF0" w:rsidP="00596901">
      <w:pPr>
        <w:spacing w:before="120"/>
        <w:rPr>
          <w:rFonts w:ascii="Times New Roman" w:hAnsi="Times New Roman" w:cs="Times New Roman"/>
          <w:i/>
          <w:noProof/>
          <w:sz w:val="18"/>
          <w:szCs w:val="18"/>
        </w:rPr>
      </w:pPr>
      <w:r>
        <w:rPr>
          <w:rFonts w:ascii="Times New Roman" w:hAnsi="Times New Roman"/>
          <w:i/>
          <w:sz w:val="18"/>
        </w:rPr>
        <w:t>“iv) Finanšu iestādes, kas sniedz ziņojumus, pienākumu veicināt vēlāku nodokļu nomaksu”.</w:t>
      </w:r>
    </w:p>
    <w:p w14:paraId="449EB167" w14:textId="77777777" w:rsidR="00596901" w:rsidRDefault="00F02FF0" w:rsidP="00596901">
      <w:pPr>
        <w:spacing w:before="120"/>
        <w:rPr>
          <w:rFonts w:ascii="Times New Roman" w:hAnsi="Times New Roman"/>
          <w:sz w:val="18"/>
        </w:rPr>
      </w:pPr>
      <w:r>
        <w:rPr>
          <w:rFonts w:ascii="Times New Roman" w:hAnsi="Times New Roman"/>
          <w:sz w:val="18"/>
        </w:rPr>
        <w:t>Pašreizējā iv) punkta aizzīme aizstāta ar v) un izlabota atkāpe, lai teksts atbilstu pārējiem punktiem.</w:t>
      </w:r>
    </w:p>
    <w:p w14:paraId="0B281006" w14:textId="72E13442" w:rsidR="00F02FF0" w:rsidRPr="00596901" w:rsidRDefault="00F02FF0" w:rsidP="00596901">
      <w:pPr>
        <w:spacing w:before="120"/>
        <w:rPr>
          <w:rFonts w:ascii="Times New Roman" w:hAnsi="Times New Roman"/>
          <w:b/>
          <w:sz w:val="18"/>
        </w:rPr>
      </w:pPr>
      <w:r>
        <w:rPr>
          <w:rFonts w:ascii="Times New Roman" w:hAnsi="Times New Roman"/>
          <w:b/>
          <w:sz w:val="18"/>
        </w:rPr>
        <w:t>98. lappuse</w:t>
      </w:r>
    </w:p>
    <w:p w14:paraId="1AFB7A4B" w14:textId="77777777" w:rsidR="00F02FF0" w:rsidRPr="00FD391F" w:rsidRDefault="00F02FF0" w:rsidP="00596901">
      <w:pPr>
        <w:spacing w:before="120"/>
        <w:rPr>
          <w:rFonts w:ascii="Times New Roman" w:hAnsi="Times New Roman" w:cs="Times New Roman"/>
          <w:noProof/>
          <w:sz w:val="18"/>
          <w:szCs w:val="18"/>
        </w:rPr>
      </w:pPr>
      <w:r>
        <w:rPr>
          <w:rFonts w:ascii="Times New Roman" w:hAnsi="Times New Roman"/>
          <w:noProof/>
          <w:sz w:val="18"/>
        </w:rPr>
        <mc:AlternateContent>
          <mc:Choice Requires="wps">
            <w:drawing>
              <wp:anchor distT="0" distB="0" distL="0" distR="0" simplePos="0" relativeHeight="251650048" behindDoc="0" locked="0" layoutInCell="1" allowOverlap="1" wp14:anchorId="3B048E6A" wp14:editId="30E253FA">
                <wp:simplePos x="0" y="0"/>
                <wp:positionH relativeFrom="page">
                  <wp:posOffset>2900807</wp:posOffset>
                </wp:positionH>
                <wp:positionV relativeFrom="paragraph">
                  <wp:posOffset>106169</wp:posOffset>
                </wp:positionV>
                <wp:extent cx="27940" cy="1079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 cy="10795"/>
                        </a:xfrm>
                        <a:custGeom>
                          <a:avLst/>
                          <a:gdLst/>
                          <a:ahLst/>
                          <a:cxnLst/>
                          <a:rect l="l" t="t" r="r" b="b"/>
                          <a:pathLst>
                            <a:path w="27940" h="10795">
                              <a:moveTo>
                                <a:pt x="27431" y="0"/>
                              </a:moveTo>
                              <a:lnTo>
                                <a:pt x="0" y="0"/>
                              </a:lnTo>
                              <a:lnTo>
                                <a:pt x="0" y="10667"/>
                              </a:lnTo>
                              <a:lnTo>
                                <a:pt x="27431" y="10667"/>
                              </a:lnTo>
                              <a:lnTo>
                                <a:pt x="274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F9D416" id="Graphic 11" o:spid="_x0000_s1026" style="position:absolute;margin-left:228.4pt;margin-top:8.35pt;width:2.2pt;height:.85pt;z-index:251650048;visibility:visible;mso-wrap-style:square;mso-wrap-distance-left:0;mso-wrap-distance-top:0;mso-wrap-distance-right:0;mso-wrap-distance-bottom:0;mso-position-horizontal:absolute;mso-position-horizontal-relative:page;mso-position-vertical:absolute;mso-position-vertical-relative:text;v-text-anchor:top" coordsize="2794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" path="m27431,l,,,10667r27431,l27431,xe" fillcolor="black" stroked="f">
                <v:path arrowok="t"/>
                <w10:wrap anchorx="page"/>
              </v:shape>
            </w:pict>
          </mc:Fallback>
        </mc:AlternateContent>
      </w:r>
      <w:r>
        <w:rPr>
          <w:rFonts w:ascii="Times New Roman" w:hAnsi="Times New Roman"/>
          <w:sz w:val="18"/>
        </w:rPr>
        <w:t>Angļu valodas redakcijā 66. punkta a) apakšpunkta beigās vārdā “there</w:t>
      </w:r>
      <w:r>
        <w:rPr>
          <w:rFonts w:ascii="Times New Roman" w:hAnsi="Times New Roman"/>
          <w:b/>
          <w:i/>
          <w:sz w:val="18"/>
        </w:rPr>
        <w:t>i</w:t>
      </w:r>
      <w:r>
        <w:rPr>
          <w:rFonts w:ascii="Times New Roman" w:hAnsi="Times New Roman"/>
          <w:strike/>
          <w:sz w:val="18"/>
        </w:rPr>
        <w:t>o</w:t>
      </w:r>
      <w:r>
        <w:rPr>
          <w:rFonts w:ascii="Times New Roman" w:hAnsi="Times New Roman"/>
          <w:sz w:val="18"/>
        </w:rPr>
        <w:t>n” pārsvītrots burts “o”.</w:t>
      </w:r>
      <w:r>
        <w:rPr>
          <w:rFonts w:ascii="Times New Roman" w:hAnsi="Times New Roman"/>
          <w:sz w:val="18"/>
        </w:rPr>
        <w:br/>
        <w:t xml:space="preserve">Aizzīme </w:t>
      </w:r>
      <w:r>
        <w:rPr>
          <w:rFonts w:ascii="Times New Roman" w:hAnsi="Times New Roman"/>
          <w:b/>
          <w:i/>
          <w:sz w:val="18"/>
          <w:u w:val="single"/>
        </w:rPr>
        <w:t>c)</w:t>
      </w:r>
      <w:r>
        <w:rPr>
          <w:rFonts w:ascii="Times New Roman" w:hAnsi="Times New Roman"/>
          <w:sz w:val="18"/>
        </w:rPr>
        <w:t xml:space="preserve"> izcelta treknā slīprakstā ar pasvītrojumu.</w:t>
      </w:r>
    </w:p>
    <w:p w14:paraId="5FA35D81" w14:textId="77777777" w:rsidR="00F02FF0" w:rsidRPr="00FD391F" w:rsidRDefault="00F02FF0" w:rsidP="00596901">
      <w:pPr>
        <w:spacing w:before="120"/>
        <w:rPr>
          <w:rFonts w:ascii="Times New Roman" w:hAnsi="Times New Roman" w:cs="Times New Roman"/>
          <w:b/>
          <w:noProof/>
          <w:sz w:val="18"/>
          <w:szCs w:val="18"/>
        </w:rPr>
      </w:pPr>
      <w:r>
        <w:rPr>
          <w:rFonts w:ascii="Times New Roman" w:hAnsi="Times New Roman"/>
          <w:b/>
          <w:sz w:val="18"/>
        </w:rPr>
        <w:t>116. lappuse</w:t>
      </w:r>
    </w:p>
    <w:p w14:paraId="194718E6" w14:textId="77777777" w:rsidR="00F02FF0" w:rsidRPr="00FD391F" w:rsidRDefault="00F02FF0" w:rsidP="00596901">
      <w:pPr>
        <w:spacing w:before="120"/>
        <w:rPr>
          <w:rFonts w:ascii="Times New Roman" w:hAnsi="Times New Roman" w:cs="Times New Roman"/>
          <w:noProof/>
          <w:sz w:val="18"/>
          <w:szCs w:val="18"/>
        </w:rPr>
      </w:pPr>
      <w:r>
        <w:rPr>
          <w:rFonts w:ascii="Times New Roman" w:hAnsi="Times New Roman"/>
          <w:sz w:val="18"/>
        </w:rPr>
        <w:t>140. punktā pievienots šāds teikums, kas izcelts treknā slīprakstā ar pasvītrojumu:</w:t>
      </w:r>
    </w:p>
    <w:p w14:paraId="3A922AC4" w14:textId="376DCE93" w:rsidR="00F02FF0" w:rsidRPr="00FD391F" w:rsidRDefault="00F02FF0" w:rsidP="00CB441B">
      <w:pPr>
        <w:spacing w:before="120"/>
        <w:jc w:val="both"/>
        <w:rPr>
          <w:rFonts w:ascii="Times New Roman" w:hAnsi="Times New Roman" w:cs="Times New Roman"/>
          <w:b/>
          <w:i/>
          <w:noProof/>
          <w:sz w:val="18"/>
          <w:szCs w:val="18"/>
        </w:rPr>
      </w:pPr>
      <w:r>
        <w:rPr>
          <w:rFonts w:ascii="Times New Roman" w:hAnsi="Times New Roman"/>
          <w:b/>
          <w:i/>
          <w:sz w:val="18"/>
          <w:u w:val="single"/>
        </w:rPr>
        <w:t>“Ja konta īpašumtiesības ir gan īpašniekam bez lietošanas tiesībām, gan lietotājam, pienācīgas pārbaudes un ziņošanas nolūkos abus var uzskatīt par kopīgā konta turētājiem vai trastu kontrolējošajām personām.”</w:t>
      </w:r>
    </w:p>
    <w:p w14:paraId="79C2A51D" w14:textId="77777777" w:rsidR="00F02FF0" w:rsidRPr="00FD391F" w:rsidRDefault="00F02FF0" w:rsidP="00CB441B">
      <w:pPr>
        <w:spacing w:before="120"/>
        <w:jc w:val="both"/>
        <w:rPr>
          <w:rFonts w:ascii="Times New Roman" w:hAnsi="Times New Roman" w:cs="Times New Roman"/>
          <w:noProof/>
          <w:sz w:val="18"/>
          <w:szCs w:val="18"/>
        </w:rPr>
      </w:pPr>
      <w:r>
        <w:rPr>
          <w:rFonts w:ascii="Times New Roman" w:hAnsi="Times New Roman"/>
          <w:b/>
          <w:bCs/>
          <w:sz w:val="18"/>
        </w:rPr>
        <w:t>Izmantotās fotogrāfijas:</w:t>
      </w:r>
      <w:r>
        <w:rPr>
          <w:rFonts w:ascii="Times New Roman" w:hAnsi="Times New Roman"/>
          <w:sz w:val="18"/>
        </w:rPr>
        <w:t xml:space="preserve"> © Shutterstock/Lena Nestere [</w:t>
      </w:r>
      <w:r>
        <w:rPr>
          <w:rFonts w:ascii="Times New Roman" w:hAnsi="Times New Roman"/>
          <w:i/>
          <w:iCs/>
          <w:sz w:val="18"/>
        </w:rPr>
        <w:t>Lena Nester</w:t>
      </w:r>
      <w:r>
        <w:rPr>
          <w:rFonts w:ascii="Times New Roman" w:hAnsi="Times New Roman"/>
          <w:sz w:val="18"/>
        </w:rPr>
        <w:t>].</w:t>
      </w:r>
    </w:p>
    <w:p w14:paraId="6A6FFD52" w14:textId="77777777" w:rsidR="00F02FF0" w:rsidRPr="00FD391F" w:rsidRDefault="00F02FF0" w:rsidP="00CB441B">
      <w:pPr>
        <w:spacing w:before="120"/>
        <w:jc w:val="both"/>
        <w:rPr>
          <w:rFonts w:ascii="Times New Roman" w:hAnsi="Times New Roman" w:cs="Times New Roman"/>
          <w:noProof/>
          <w:sz w:val="18"/>
          <w:szCs w:val="18"/>
        </w:rPr>
      </w:pPr>
      <w:r>
        <w:rPr>
          <w:rFonts w:ascii="Times New Roman" w:hAnsi="Times New Roman"/>
          <w:sz w:val="18"/>
        </w:rPr>
        <w:t>© OECD 2025</w:t>
      </w:r>
    </w:p>
    <w:p w14:paraId="3732BA9E" w14:textId="77777777" w:rsidR="003E77A2" w:rsidRPr="00FD391F" w:rsidRDefault="00EE5795" w:rsidP="00CB441B">
      <w:pPr>
        <w:pStyle w:val="BodyText"/>
        <w:spacing w:before="120"/>
        <w:rPr>
          <w:rFonts w:ascii="Times New Roman" w:hAnsi="Times New Roman" w:cs="Times New Roman"/>
          <w:noProof/>
          <w:sz w:val="18"/>
          <w:szCs w:val="18"/>
        </w:rPr>
      </w:pPr>
      <w:r>
        <w:rPr>
          <w:rFonts w:ascii="Times New Roman" w:hAnsi="Times New Roman"/>
          <w:sz w:val="18"/>
        </w:rPr>
        <w:t>____________________________________________________________________________________________________</w:t>
      </w:r>
    </w:p>
    <w:p w14:paraId="35487EF5" w14:textId="16EDADD6" w:rsidR="00F02FF0" w:rsidRPr="00FD391F" w:rsidRDefault="00F02FF0" w:rsidP="00CB441B">
      <w:pPr>
        <w:pStyle w:val="BodyText"/>
        <w:spacing w:before="120"/>
        <w:rPr>
          <w:rFonts w:ascii="Times New Roman" w:hAnsi="Times New Roman" w:cs="Times New Roman"/>
          <w:b/>
          <w:noProof/>
          <w:sz w:val="14"/>
          <w:szCs w:val="14"/>
        </w:rPr>
      </w:pPr>
      <w:r>
        <w:rPr>
          <w:rFonts w:ascii="Times New Roman" w:hAnsi="Times New Roman"/>
          <w:b/>
          <w:noProof/>
          <w:sz w:val="14"/>
        </w:rPr>
        <w:drawing>
          <wp:inline distT="0" distB="0" distL="0" distR="0" wp14:anchorId="4A597F8D" wp14:editId="667F1704">
            <wp:extent cx="647700" cy="228600"/>
            <wp:effectExtent l="0" t="0" r="0" b="0"/>
            <wp:docPr id="15" name="Image 15" descr="A grey and black sign with a person in a circ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A grey and black sign with a person in a circle  Description automatically generated"/>
                    <pic:cNvPicPr/>
                  </pic:nvPicPr>
                  <pic:blipFill>
                    <a:blip r:embed="rId18" cstate="print"/>
                    <a:stretch>
                      <a:fillRect/>
                    </a:stretch>
                  </pic:blipFill>
                  <pic:spPr>
                    <a:xfrm>
                      <a:off x="0" y="0"/>
                      <a:ext cx="647700" cy="228600"/>
                    </a:xfrm>
                    <a:prstGeom prst="rect">
                      <a:avLst/>
                    </a:prstGeom>
                  </pic:spPr>
                </pic:pic>
              </a:graphicData>
            </a:graphic>
          </wp:inline>
        </w:drawing>
      </w:r>
      <w:r>
        <w:rPr>
          <w:rFonts w:ascii="Times New Roman" w:hAnsi="Times New Roman"/>
          <w:b/>
          <w:sz w:val="14"/>
        </w:rPr>
        <w:t xml:space="preserve"> </w:t>
      </w:r>
      <w:r>
        <w:rPr>
          <w:rFonts w:ascii="Times New Roman" w:hAnsi="Times New Roman"/>
          <w:b/>
          <w:i/>
          <w:iCs/>
          <w:sz w:val="14"/>
        </w:rPr>
        <w:t>Attribution 4.0 International</w:t>
      </w:r>
      <w:r>
        <w:rPr>
          <w:rFonts w:ascii="Times New Roman" w:hAnsi="Times New Roman"/>
          <w:b/>
          <w:sz w:val="14"/>
        </w:rPr>
        <w:t xml:space="preserve"> (CC BY 4.0)</w:t>
      </w:r>
    </w:p>
    <w:p w14:paraId="393B4E60" w14:textId="77777777" w:rsidR="00F02FF0" w:rsidRPr="00FD391F" w:rsidRDefault="00F02FF0" w:rsidP="00CB441B">
      <w:pPr>
        <w:spacing w:before="120"/>
        <w:jc w:val="both"/>
        <w:rPr>
          <w:rFonts w:ascii="Times New Roman" w:hAnsi="Times New Roman" w:cs="Times New Roman"/>
          <w:noProof/>
          <w:sz w:val="14"/>
          <w:szCs w:val="14"/>
        </w:rPr>
      </w:pPr>
      <w:r>
        <w:rPr>
          <w:rFonts w:ascii="Times New Roman" w:hAnsi="Times New Roman"/>
          <w:sz w:val="14"/>
        </w:rPr>
        <w:t xml:space="preserve">Šis darbs ir pieejams saskaņā ar </w:t>
      </w:r>
      <w:r>
        <w:rPr>
          <w:rFonts w:ascii="Times New Roman" w:hAnsi="Times New Roman"/>
          <w:i/>
          <w:iCs/>
          <w:sz w:val="14"/>
        </w:rPr>
        <w:t>Creative Commons Attribution 4.0 International</w:t>
      </w:r>
      <w:r>
        <w:rPr>
          <w:rFonts w:ascii="Times New Roman" w:hAnsi="Times New Roman"/>
          <w:sz w:val="14"/>
        </w:rPr>
        <w:t xml:space="preserve"> licenci. Izmantojot šo darbu, jūs piekrītat, ka jums ir saistoši šīs licences noteikumi (</w:t>
      </w:r>
      <w:hyperlink r:id="rId19">
        <w:r>
          <w:rPr>
            <w:rFonts w:ascii="Times New Roman" w:hAnsi="Times New Roman"/>
            <w:sz w:val="14"/>
            <w:u w:val="single" w:color="0000FF"/>
          </w:rPr>
          <w:t>https://creativecommons.org/licenses/by/4.0/</w:t>
        </w:r>
      </w:hyperlink>
      <w:r>
        <w:rPr>
          <w:rFonts w:ascii="Times New Roman" w:hAnsi="Times New Roman"/>
          <w:sz w:val="14"/>
        </w:rPr>
        <w:t>).</w:t>
      </w:r>
    </w:p>
    <w:p w14:paraId="333A9CC1" w14:textId="77777777" w:rsidR="00F02FF0" w:rsidRPr="00FD391F" w:rsidRDefault="00F02FF0" w:rsidP="00CB441B">
      <w:pPr>
        <w:spacing w:before="120"/>
        <w:jc w:val="both"/>
        <w:rPr>
          <w:rFonts w:ascii="Times New Roman" w:hAnsi="Times New Roman" w:cs="Times New Roman"/>
          <w:noProof/>
          <w:sz w:val="14"/>
          <w:szCs w:val="14"/>
        </w:rPr>
      </w:pPr>
      <w:r>
        <w:rPr>
          <w:rFonts w:ascii="Times New Roman" w:hAnsi="Times New Roman"/>
          <w:b/>
          <w:sz w:val="14"/>
        </w:rPr>
        <w:t>Atribūts</w:t>
      </w:r>
      <w:r>
        <w:rPr>
          <w:rFonts w:ascii="Times New Roman" w:hAnsi="Times New Roman"/>
          <w:sz w:val="14"/>
        </w:rPr>
        <w:t xml:space="preserve"> – jums jāatsaucas uz šo darbu.</w:t>
      </w:r>
    </w:p>
    <w:p w14:paraId="6A9C76D2" w14:textId="77777777" w:rsidR="00F02FF0" w:rsidRPr="00FD391F" w:rsidRDefault="00F02FF0" w:rsidP="00CB441B">
      <w:pPr>
        <w:spacing w:before="120"/>
        <w:jc w:val="both"/>
        <w:rPr>
          <w:rFonts w:ascii="Times New Roman" w:hAnsi="Times New Roman" w:cs="Times New Roman"/>
          <w:i/>
          <w:noProof/>
          <w:sz w:val="14"/>
          <w:szCs w:val="14"/>
        </w:rPr>
      </w:pPr>
      <w:r>
        <w:rPr>
          <w:rFonts w:ascii="Times New Roman" w:hAnsi="Times New Roman"/>
          <w:b/>
          <w:sz w:val="14"/>
        </w:rPr>
        <w:t>Tulkojumi</w:t>
      </w:r>
      <w:r>
        <w:rPr>
          <w:rFonts w:ascii="Times New Roman" w:hAnsi="Times New Roman"/>
          <w:sz w:val="14"/>
        </w:rPr>
        <w:t xml:space="preserve"> – jums jāatsaucas uz oriģināldarbu, jānorāda oriģināldarbā veiktās izmaiņas un jāpievieno šāds teksts: </w:t>
      </w:r>
      <w:r>
        <w:rPr>
          <w:rFonts w:ascii="Times New Roman" w:hAnsi="Times New Roman"/>
          <w:i/>
          <w:sz w:val="14"/>
        </w:rPr>
        <w:t>Oriģināldarba un tulkojuma nesakritību gadījumā par spēkā esošu ir jāuzskata tikai oriģināldarba teksts.</w:t>
      </w:r>
    </w:p>
    <w:p w14:paraId="0F8746E9" w14:textId="77777777" w:rsidR="00F02FF0" w:rsidRPr="00FD391F" w:rsidRDefault="00F02FF0" w:rsidP="00CB441B">
      <w:pPr>
        <w:spacing w:before="120"/>
        <w:jc w:val="both"/>
        <w:rPr>
          <w:rFonts w:ascii="Times New Roman" w:hAnsi="Times New Roman" w:cs="Times New Roman"/>
          <w:i/>
          <w:noProof/>
          <w:sz w:val="14"/>
          <w:szCs w:val="14"/>
        </w:rPr>
      </w:pPr>
      <w:r>
        <w:rPr>
          <w:rFonts w:ascii="Times New Roman" w:hAnsi="Times New Roman"/>
          <w:b/>
          <w:sz w:val="14"/>
        </w:rPr>
        <w:t>Pielāgojumi</w:t>
      </w:r>
      <w:r>
        <w:rPr>
          <w:rFonts w:ascii="Times New Roman" w:hAnsi="Times New Roman"/>
          <w:sz w:val="14"/>
        </w:rPr>
        <w:t xml:space="preserve"> – jums jāatsaucas uz oriģināldarbu, jānorāda oriģināldarbā veiktās izmaiņas un jāpievieno šāds teksts: </w:t>
      </w:r>
      <w:r>
        <w:rPr>
          <w:rFonts w:ascii="Times New Roman" w:hAnsi="Times New Roman"/>
          <w:i/>
          <w:sz w:val="14"/>
        </w:rPr>
        <w:t>Šis ir OECD oriģināldarba pielāgojums. Šajā pielāgojumā izteiktos uzskatus un izmantotos apgalvojumus nedrīkst norādīt kā OECD vai tās dalībvalstu oficiālos viedokļus.</w:t>
      </w:r>
    </w:p>
    <w:p w14:paraId="53B80C58" w14:textId="77777777" w:rsidR="00F02FF0" w:rsidRPr="00FD391F" w:rsidRDefault="00F02FF0" w:rsidP="00CB441B">
      <w:pPr>
        <w:spacing w:before="120"/>
        <w:jc w:val="both"/>
        <w:rPr>
          <w:rFonts w:ascii="Times New Roman" w:hAnsi="Times New Roman" w:cs="Times New Roman"/>
          <w:noProof/>
          <w:sz w:val="14"/>
          <w:szCs w:val="14"/>
        </w:rPr>
      </w:pPr>
      <w:r>
        <w:rPr>
          <w:rFonts w:ascii="Times New Roman" w:hAnsi="Times New Roman"/>
          <w:b/>
          <w:sz w:val="14"/>
        </w:rPr>
        <w:t>Trešo personu materiāls</w:t>
      </w:r>
      <w:r>
        <w:rPr>
          <w:rFonts w:ascii="Times New Roman" w:hAnsi="Times New Roman"/>
          <w:sz w:val="14"/>
        </w:rPr>
        <w:t xml:space="preserve"> – licence neattiecas uz trešo personu materiālu darbā. Ja izmantojat šādu materiālu, jūs esat atbildīgi par trešās personas atļaujas saņemšanu un par prasījumiem saistībā ar pārkāpumiem. Jūs nedrīkstat izmantot </w:t>
      </w:r>
      <w:r>
        <w:rPr>
          <w:rFonts w:ascii="Times New Roman" w:hAnsi="Times New Roman"/>
          <w:i/>
          <w:iCs/>
          <w:sz w:val="14"/>
        </w:rPr>
        <w:t>OECD</w:t>
      </w:r>
      <w:r>
        <w:rPr>
          <w:rFonts w:ascii="Times New Roman" w:hAnsi="Times New Roman"/>
          <w:sz w:val="14"/>
        </w:rPr>
        <w:t xml:space="preserve"> logotipu, vizuālo identitāti vai vāka attēlu bez skaidri izteiktas atļaujas vai vedināt uz domām, ka </w:t>
      </w:r>
      <w:r>
        <w:rPr>
          <w:rFonts w:ascii="Times New Roman" w:hAnsi="Times New Roman"/>
          <w:i/>
          <w:iCs/>
          <w:sz w:val="14"/>
        </w:rPr>
        <w:t>OECD</w:t>
      </w:r>
      <w:r>
        <w:rPr>
          <w:rFonts w:ascii="Times New Roman" w:hAnsi="Times New Roman"/>
          <w:sz w:val="14"/>
        </w:rPr>
        <w:t xml:space="preserve"> ir jums apstiprinājusi šā darba izmantošanu.</w:t>
      </w:r>
    </w:p>
    <w:p w14:paraId="64C22F1F" w14:textId="573F2C9A" w:rsidR="00F54EB1" w:rsidRPr="0017229E" w:rsidRDefault="00F02FF0" w:rsidP="00CB441B">
      <w:pPr>
        <w:spacing w:before="120"/>
        <w:jc w:val="both"/>
        <w:rPr>
          <w:rFonts w:ascii="Times New Roman" w:hAnsi="Times New Roman" w:cs="Times New Roman"/>
          <w:noProof/>
          <w:sz w:val="14"/>
          <w:szCs w:val="14"/>
        </w:rPr>
      </w:pPr>
      <w:r>
        <w:rPr>
          <w:rFonts w:ascii="Times New Roman" w:hAnsi="Times New Roman"/>
          <w:sz w:val="14"/>
        </w:rPr>
        <w:t>Jebkādus strīdus, kas rodas saskaņā ar šo licenci, risina šķīrējtiesa saskaņā ar Pastāvīgās šķīrējtiesas 2012. gada noteikumiem. Šķīrējtiesas galvenās mītnes vieta ir Parīze (Francija). Lietu izskata viena šķīrējtiesneša sastāvā.</w:t>
      </w:r>
    </w:p>
    <w:p w14:paraId="3DAFA0D0" w14:textId="77777777" w:rsidR="00F02FF0" w:rsidRPr="00FD391F" w:rsidRDefault="00F02FF0" w:rsidP="00CB441B">
      <w:pPr>
        <w:pStyle w:val="Heading1"/>
        <w:spacing w:before="120"/>
        <w:rPr>
          <w:rFonts w:ascii="Times New Roman" w:hAnsi="Times New Roman" w:cs="Times New Roman"/>
          <w:noProof/>
          <w:color w:val="4E81BD"/>
          <w:sz w:val="56"/>
          <w:szCs w:val="56"/>
        </w:rPr>
      </w:pPr>
      <w:bookmarkStart w:id="10" w:name="Foreword"/>
      <w:bookmarkStart w:id="11" w:name="_bookmark0"/>
      <w:bookmarkStart w:id="12" w:name="_Toc241827490"/>
      <w:bookmarkEnd w:id="10"/>
      <w:bookmarkEnd w:id="11"/>
      <w:r>
        <w:rPr>
          <w:rFonts w:ascii="Times New Roman" w:hAnsi="Times New Roman"/>
          <w:color w:val="4E81BD"/>
          <w:sz w:val="56"/>
        </w:rPr>
        <w:lastRenderedPageBreak/>
        <w:t>Priekšvārds</w:t>
      </w:r>
      <w:bookmarkEnd w:id="12"/>
    </w:p>
    <w:p w14:paraId="15B9331E" w14:textId="77777777" w:rsidR="00F02FF0" w:rsidRPr="00FD391F" w:rsidRDefault="00F02FF0" w:rsidP="00CB441B">
      <w:pPr>
        <w:pStyle w:val="BodyText"/>
        <w:spacing w:before="120"/>
        <w:jc w:val="left"/>
        <w:rPr>
          <w:rFonts w:ascii="Times New Roman" w:hAnsi="Times New Roman" w:cs="Times New Roman"/>
          <w:b/>
          <w:noProof/>
          <w:sz w:val="72"/>
        </w:rPr>
      </w:pPr>
    </w:p>
    <w:p w14:paraId="7CEABA6B" w14:textId="77777777" w:rsidR="00F02FF0" w:rsidRPr="00FD391F" w:rsidRDefault="00F02FF0" w:rsidP="00CB441B">
      <w:pPr>
        <w:pStyle w:val="BodyText"/>
        <w:spacing w:before="120"/>
        <w:jc w:val="left"/>
        <w:rPr>
          <w:rFonts w:ascii="Times New Roman" w:hAnsi="Times New Roman" w:cs="Times New Roman"/>
          <w:b/>
          <w:noProof/>
          <w:sz w:val="72"/>
        </w:rPr>
      </w:pPr>
    </w:p>
    <w:p w14:paraId="53FEA7BC" w14:textId="77777777" w:rsidR="00F02FF0" w:rsidRPr="00FD391F" w:rsidRDefault="00F02FF0" w:rsidP="00CB441B">
      <w:pPr>
        <w:pStyle w:val="BodyText"/>
        <w:spacing w:before="120"/>
        <w:rPr>
          <w:rFonts w:ascii="Times New Roman" w:hAnsi="Times New Roman" w:cs="Times New Roman"/>
          <w:noProof/>
          <w:sz w:val="24"/>
          <w:szCs w:val="24"/>
        </w:rPr>
      </w:pPr>
      <w:r>
        <w:rPr>
          <w:rFonts w:ascii="Times New Roman" w:hAnsi="Times New Roman"/>
          <w:sz w:val="24"/>
        </w:rPr>
        <w:t xml:space="preserve">2014. gada februārī </w:t>
      </w:r>
      <w:r>
        <w:rPr>
          <w:rFonts w:ascii="Times New Roman" w:hAnsi="Times New Roman"/>
          <w:i/>
          <w:iCs/>
          <w:sz w:val="24"/>
        </w:rPr>
        <w:t>OECD</w:t>
      </w:r>
      <w:r>
        <w:rPr>
          <w:rFonts w:ascii="Times New Roman" w:hAnsi="Times New Roman"/>
          <w:sz w:val="24"/>
        </w:rPr>
        <w:t xml:space="preserve"> pieņēma Standartu finanšu konta informācijas automātiskai apmaiņai nodokļu jomā, ko dēvē arī par Kopējo ziņošanas standartu (</w:t>
      </w:r>
      <w:r>
        <w:rPr>
          <w:rFonts w:ascii="Times New Roman" w:hAnsi="Times New Roman"/>
          <w:i/>
          <w:iCs/>
          <w:sz w:val="24"/>
        </w:rPr>
        <w:t>CRS</w:t>
      </w:r>
      <w:r>
        <w:rPr>
          <w:rFonts w:ascii="Times New Roman" w:hAnsi="Times New Roman"/>
          <w:sz w:val="24"/>
        </w:rPr>
        <w:t xml:space="preserve">). Standartā jurisdikcijas tiek aicinātas iegūt informāciju no savām finanšu iestādēm un automātiski katru gadu apmainīties ar šo informāciju ar citām jurisdikcijām. Kopš tā pieņemšanas </w:t>
      </w:r>
      <w:r>
        <w:rPr>
          <w:rFonts w:ascii="Times New Roman" w:hAnsi="Times New Roman"/>
          <w:i/>
          <w:iCs/>
          <w:sz w:val="24"/>
        </w:rPr>
        <w:t>CRS</w:t>
      </w:r>
      <w:r>
        <w:rPr>
          <w:rFonts w:ascii="Times New Roman" w:hAnsi="Times New Roman"/>
          <w:sz w:val="24"/>
        </w:rPr>
        <w:t xml:space="preserve"> ir plaši ieviests visā pasaulē, ļaujot jurisdikcijām un finanšu iestādēm uzlabot nodokļu saistību izpildi un sekmēt starptautisko sadarbību nodokļu jomā.</w:t>
      </w:r>
    </w:p>
    <w:p w14:paraId="6B75C3B7" w14:textId="77777777" w:rsidR="00F02FF0" w:rsidRPr="00FD391F" w:rsidRDefault="00F02FF0" w:rsidP="00CB441B">
      <w:pPr>
        <w:pStyle w:val="BodyText"/>
        <w:spacing w:before="120"/>
        <w:rPr>
          <w:rFonts w:ascii="Times New Roman" w:hAnsi="Times New Roman" w:cs="Times New Roman"/>
          <w:noProof/>
          <w:sz w:val="24"/>
          <w:szCs w:val="24"/>
        </w:rPr>
      </w:pPr>
      <w:r>
        <w:rPr>
          <w:rFonts w:ascii="Times New Roman" w:hAnsi="Times New Roman"/>
          <w:sz w:val="24"/>
        </w:rPr>
        <w:t xml:space="preserve">Pēc </w:t>
      </w:r>
      <w:r>
        <w:rPr>
          <w:rFonts w:ascii="Times New Roman" w:hAnsi="Times New Roman"/>
          <w:i/>
          <w:iCs/>
          <w:sz w:val="24"/>
        </w:rPr>
        <w:t>CRS</w:t>
      </w:r>
      <w:r>
        <w:rPr>
          <w:rFonts w:ascii="Times New Roman" w:hAnsi="Times New Roman"/>
          <w:sz w:val="24"/>
        </w:rPr>
        <w:t xml:space="preserve"> visaptverošas pārskatīšanas </w:t>
      </w:r>
      <w:r>
        <w:rPr>
          <w:rFonts w:ascii="Times New Roman" w:hAnsi="Times New Roman"/>
          <w:i/>
          <w:iCs/>
          <w:sz w:val="24"/>
        </w:rPr>
        <w:t>OECD</w:t>
      </w:r>
      <w:r>
        <w:rPr>
          <w:rFonts w:ascii="Times New Roman" w:hAnsi="Times New Roman"/>
          <w:sz w:val="24"/>
        </w:rPr>
        <w:t xml:space="preserve"> 2022. gada augustā pieņēma grozījumu kopumu. Tādējādi </w:t>
      </w:r>
      <w:r>
        <w:rPr>
          <w:rFonts w:ascii="Times New Roman" w:hAnsi="Times New Roman"/>
          <w:i/>
          <w:iCs/>
          <w:sz w:val="24"/>
        </w:rPr>
        <w:t>CRS</w:t>
      </w:r>
      <w:r>
        <w:rPr>
          <w:rFonts w:ascii="Times New Roman" w:hAnsi="Times New Roman"/>
          <w:sz w:val="24"/>
        </w:rPr>
        <w:t xml:space="preserve"> darbības joma tika paplašināta, iekļaujot tajā konkrētus elektroniskās naudas produktus un centrālo banku digitālās valūtas. Izmaiņas tika veiktas arī tamdēļ, lai nodrošinātu, ka tagad </w:t>
      </w:r>
      <w:r>
        <w:rPr>
          <w:rFonts w:ascii="Times New Roman" w:hAnsi="Times New Roman"/>
          <w:i/>
          <w:iCs/>
          <w:sz w:val="24"/>
        </w:rPr>
        <w:t>CRS</w:t>
      </w:r>
      <w:r>
        <w:rPr>
          <w:rFonts w:ascii="Times New Roman" w:hAnsi="Times New Roman"/>
          <w:sz w:val="24"/>
        </w:rPr>
        <w:t xml:space="preserve"> darbības jomā ietilpst netiešie ieguldījumi kriptoaktīvos, kas tiek veikti, izmantojot atvasinātos instrumentus un ieguldījumu instrumentus. Turklāt grozījumi tika veikti, lai noteiktu stingrākas pienācīgas pārbaudes un ziņojumu sniegšanas prasības un lai paredzētu patiesu bezpeļņas organizāciju izslēgšanu. Šajā publikācijā ir iekļauts neoficiāls </w:t>
      </w:r>
      <w:r>
        <w:rPr>
          <w:rFonts w:ascii="Times New Roman" w:hAnsi="Times New Roman"/>
          <w:i/>
          <w:iCs/>
          <w:sz w:val="24"/>
        </w:rPr>
        <w:t>CRS</w:t>
      </w:r>
      <w:r>
        <w:rPr>
          <w:rFonts w:ascii="Times New Roman" w:hAnsi="Times New Roman"/>
          <w:sz w:val="24"/>
        </w:rPr>
        <w:t xml:space="preserve"> konsolidētais teksts, kurā ietverti standarta visaptverošajā pārskatīšanā veiktie grozījumi.</w:t>
      </w:r>
    </w:p>
    <w:p w14:paraId="1FE23D51" w14:textId="77777777" w:rsidR="00F02FF0" w:rsidRPr="00FD391F" w:rsidRDefault="00F02FF0" w:rsidP="00CB441B">
      <w:pPr>
        <w:spacing w:before="120"/>
        <w:jc w:val="both"/>
        <w:rPr>
          <w:rFonts w:ascii="Times New Roman" w:hAnsi="Times New Roman" w:cs="Times New Roman"/>
          <w:noProof/>
          <w:sz w:val="24"/>
          <w:szCs w:val="24"/>
        </w:rPr>
      </w:pPr>
      <w:r>
        <w:rPr>
          <w:rFonts w:ascii="Times New Roman" w:hAnsi="Times New Roman"/>
          <w:sz w:val="24"/>
        </w:rPr>
        <w:t xml:space="preserve">Izmaiņas 2014. gada </w:t>
      </w:r>
      <w:r>
        <w:rPr>
          <w:rFonts w:ascii="Times New Roman" w:hAnsi="Times New Roman"/>
          <w:i/>
          <w:iCs/>
          <w:sz w:val="24"/>
        </w:rPr>
        <w:t>CRS</w:t>
      </w:r>
      <w:r>
        <w:rPr>
          <w:rFonts w:ascii="Times New Roman" w:hAnsi="Times New Roman"/>
          <w:sz w:val="24"/>
        </w:rPr>
        <w:t xml:space="preserve"> tekstā ir izceltas šādi – papildinājumi izcelti </w:t>
      </w:r>
      <w:r>
        <w:rPr>
          <w:rFonts w:ascii="Times New Roman" w:hAnsi="Times New Roman"/>
          <w:b/>
          <w:i/>
          <w:sz w:val="24"/>
          <w:u w:val="single"/>
        </w:rPr>
        <w:t>treknā slīprakstā ar pasvīrtojumu</w:t>
      </w:r>
      <w:r>
        <w:rPr>
          <w:rFonts w:ascii="Times New Roman" w:hAnsi="Times New Roman"/>
          <w:sz w:val="24"/>
        </w:rPr>
        <w:t xml:space="preserve"> un svītrojumi ir </w:t>
      </w:r>
      <w:r>
        <w:rPr>
          <w:rFonts w:ascii="Times New Roman" w:hAnsi="Times New Roman"/>
          <w:strike/>
          <w:sz w:val="24"/>
        </w:rPr>
        <w:t>pārsvītroti</w:t>
      </w:r>
      <w:r>
        <w:rPr>
          <w:rFonts w:ascii="Times New Roman" w:hAnsi="Times New Roman"/>
          <w:sz w:val="24"/>
        </w:rPr>
        <w:t>.</w:t>
      </w:r>
    </w:p>
    <w:p w14:paraId="4D7202D5" w14:textId="77777777" w:rsidR="003E77A2" w:rsidRPr="00FD391F" w:rsidRDefault="003E77A2" w:rsidP="00CB441B">
      <w:pPr>
        <w:spacing w:before="120"/>
        <w:rPr>
          <w:rFonts w:ascii="Times New Roman" w:hAnsi="Times New Roman" w:cs="Times New Roman"/>
          <w:b/>
          <w:bCs/>
          <w:noProof/>
          <w:color w:val="4E81BD"/>
          <w:sz w:val="72"/>
          <w:szCs w:val="72"/>
        </w:rPr>
      </w:pPr>
      <w:r>
        <w:br w:type="page"/>
      </w:r>
    </w:p>
    <w:p w14:paraId="37A97B50" w14:textId="7F8932E2" w:rsidR="00F02FF0" w:rsidRDefault="00F02FF0" w:rsidP="00CB441B">
      <w:pPr>
        <w:pStyle w:val="Heading1"/>
        <w:spacing w:before="120"/>
        <w:rPr>
          <w:rFonts w:ascii="Times New Roman" w:hAnsi="Times New Roman"/>
          <w:color w:val="4E81BD"/>
          <w:sz w:val="56"/>
        </w:rPr>
      </w:pPr>
      <w:bookmarkStart w:id="13" w:name="_Toc241827491"/>
      <w:r>
        <w:rPr>
          <w:rFonts w:ascii="Times New Roman" w:hAnsi="Times New Roman"/>
          <w:color w:val="4E81BD"/>
          <w:sz w:val="56"/>
        </w:rPr>
        <w:lastRenderedPageBreak/>
        <w:t>Satura rādītājs</w:t>
      </w:r>
      <w:bookmarkEnd w:id="13"/>
    </w:p>
    <w:p w14:paraId="319F2C3D" w14:textId="77777777" w:rsidR="00135FA5" w:rsidRDefault="00135FA5" w:rsidP="00CB441B">
      <w:pPr>
        <w:pStyle w:val="Heading1"/>
        <w:spacing w:before="120"/>
        <w:rPr>
          <w:rFonts w:ascii="Times New Roman" w:hAnsi="Times New Roman"/>
          <w:color w:val="4E81BD"/>
          <w:sz w:val="56"/>
        </w:rPr>
      </w:pPr>
    </w:p>
    <w:sdt>
      <w:sdtPr>
        <w:rPr>
          <w:rFonts w:asciiTheme="majorHAnsi" w:eastAsiaTheme="majorEastAsia" w:hAnsiTheme="majorHAnsi" w:cstheme="majorBidi"/>
          <w:color w:val="365F91" w:themeColor="accent1" w:themeShade="BF"/>
          <w:sz w:val="32"/>
          <w:szCs w:val="32"/>
          <w:lang w:val="en-US"/>
        </w:rPr>
        <w:id w:val="-1960241893"/>
        <w:docPartObj>
          <w:docPartGallery w:val="Table of Contents"/>
          <w:docPartUnique/>
        </w:docPartObj>
      </w:sdtPr>
      <w:sdtEndPr>
        <w:rPr>
          <w:b/>
          <w:bCs/>
          <w:noProof/>
        </w:rPr>
      </w:sdtEndPr>
      <w:sdtContent>
        <w:p w14:paraId="2150C826" w14:textId="77777777"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r w:rsidRPr="00632CC2">
            <w:rPr>
              <w:rFonts w:ascii="Times New Roman" w:hAnsi="Times New Roman" w:cs="Times New Roman"/>
            </w:rPr>
            <w:fldChar w:fldCharType="begin"/>
          </w:r>
          <w:r w:rsidRPr="00632CC2">
            <w:rPr>
              <w:rFonts w:ascii="Times New Roman" w:hAnsi="Times New Roman" w:cs="Times New Roman"/>
            </w:rPr>
            <w:instrText xml:space="preserve"> TOC \o "1-5" \h \z \u </w:instrText>
          </w:r>
          <w:r w:rsidRPr="00632CC2">
            <w:rPr>
              <w:rFonts w:ascii="Times New Roman" w:hAnsi="Times New Roman" w:cs="Times New Roman"/>
            </w:rPr>
            <w:fldChar w:fldCharType="separate"/>
          </w:r>
          <w:hyperlink w:anchor="_Toc232165502" w:history="1">
            <w:r w:rsidRPr="00632CC2">
              <w:rPr>
                <w:rStyle w:val="Hyperlink"/>
                <w:rFonts w:ascii="Times New Roman" w:hAnsi="Times New Roman" w:cs="Times New Roman"/>
                <w:noProof/>
                <w:color w:val="365F91" w:themeColor="accent1" w:themeShade="BF"/>
              </w:rPr>
              <w:t>Priekšvārds</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_Toc232165502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4</w:t>
            </w:r>
            <w:r w:rsidRPr="00632CC2">
              <w:rPr>
                <w:rFonts w:ascii="Times New Roman" w:hAnsi="Times New Roman" w:cs="Times New Roman"/>
                <w:noProof/>
                <w:webHidden/>
                <w:color w:val="365F91" w:themeColor="accent1" w:themeShade="BF"/>
              </w:rPr>
              <w:fldChar w:fldCharType="end"/>
            </w:r>
          </w:hyperlink>
        </w:p>
        <w:p w14:paraId="331B263C" w14:textId="77777777" w:rsidR="00D056A7" w:rsidRPr="00632CC2" w:rsidRDefault="00D056A7" w:rsidP="00D056A7">
          <w:pPr>
            <w:pStyle w:val="TOC1"/>
            <w:tabs>
              <w:tab w:val="right" w:leader="dot" w:pos="9062"/>
            </w:tabs>
            <w:spacing w:before="80"/>
            <w:rPr>
              <w:rFonts w:ascii="Times New Roman" w:eastAsiaTheme="minorEastAsia" w:hAnsi="Times New Roman" w:cs="Times New Roman"/>
              <w:noProof/>
              <w:kern w:val="2"/>
              <w:sz w:val="24"/>
              <w:szCs w:val="24"/>
              <w:lang w:val="en-US"/>
              <w14:ligatures w14:val="standardContextual"/>
            </w:rPr>
          </w:pPr>
          <w:hyperlink w:anchor="_Toc232165504" w:history="1">
            <w:r w:rsidRPr="00632CC2">
              <w:rPr>
                <w:rStyle w:val="Hyperlink"/>
                <w:rFonts w:ascii="Times New Roman" w:hAnsi="Times New Roman" w:cs="Times New Roman"/>
                <w:noProof/>
                <w:color w:val="365F91" w:themeColor="accent1" w:themeShade="BF"/>
              </w:rPr>
              <w:t>Kopējais ziņošanas standarts</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_Toc232165504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6</w:t>
            </w:r>
            <w:r w:rsidRPr="00632CC2">
              <w:rPr>
                <w:rFonts w:ascii="Times New Roman" w:hAnsi="Times New Roman" w:cs="Times New Roman"/>
                <w:noProof/>
                <w:webHidden/>
                <w:color w:val="365F91" w:themeColor="accent1" w:themeShade="BF"/>
              </w:rPr>
              <w:fldChar w:fldCharType="end"/>
            </w:r>
          </w:hyperlink>
        </w:p>
        <w:p w14:paraId="339689C3" w14:textId="48205CE2"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05" w:history="1">
            <w:r w:rsidRPr="00632CC2">
              <w:rPr>
                <w:rStyle w:val="Hyperlink"/>
                <w:rFonts w:ascii="Times New Roman" w:hAnsi="Times New Roman" w:cs="Times New Roman"/>
                <w:noProof/>
                <w:sz w:val="24"/>
                <w:szCs w:val="24"/>
              </w:rPr>
              <w:t>I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Ziņojumu sniegšanas vispārīgās prasības</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_Toc232165505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632CC2">
              <w:rPr>
                <w:rFonts w:ascii="Times New Roman" w:hAnsi="Times New Roman" w:cs="Times New Roman"/>
                <w:noProof/>
                <w:webHidden/>
                <w:sz w:val="24"/>
                <w:szCs w:val="24"/>
              </w:rPr>
              <w:fldChar w:fldCharType="end"/>
            </w:r>
          </w:hyperlink>
        </w:p>
        <w:p w14:paraId="312FDFFF" w14:textId="7DC112CC"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06" w:history="1">
            <w:r w:rsidRPr="00632CC2">
              <w:rPr>
                <w:rStyle w:val="Hyperlink"/>
                <w:rFonts w:ascii="Times New Roman" w:hAnsi="Times New Roman" w:cs="Times New Roman"/>
                <w:noProof/>
                <w:sz w:val="24"/>
                <w:szCs w:val="24"/>
              </w:rPr>
              <w:t>II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Pienācīgas pārbaudes vispārīgās prasības</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_Toc232165506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632CC2">
              <w:rPr>
                <w:rFonts w:ascii="Times New Roman" w:hAnsi="Times New Roman" w:cs="Times New Roman"/>
                <w:noProof/>
                <w:webHidden/>
                <w:sz w:val="24"/>
                <w:szCs w:val="24"/>
              </w:rPr>
              <w:fldChar w:fldCharType="end"/>
            </w:r>
          </w:hyperlink>
        </w:p>
        <w:p w14:paraId="14B11188" w14:textId="73599A87"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07" w:history="1">
            <w:r w:rsidRPr="00632CC2">
              <w:rPr>
                <w:rStyle w:val="Hyperlink"/>
                <w:rFonts w:ascii="Times New Roman" w:hAnsi="Times New Roman" w:cs="Times New Roman"/>
                <w:noProof/>
                <w:sz w:val="24"/>
                <w:szCs w:val="24"/>
              </w:rPr>
              <w:t>III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Iepriekšpastāvējušu fizisku personu kontu pienācīga pārbaude</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_Toc232165507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632CC2">
              <w:rPr>
                <w:rFonts w:ascii="Times New Roman" w:hAnsi="Times New Roman" w:cs="Times New Roman"/>
                <w:noProof/>
                <w:webHidden/>
                <w:sz w:val="24"/>
                <w:szCs w:val="24"/>
              </w:rPr>
              <w:fldChar w:fldCharType="end"/>
            </w:r>
          </w:hyperlink>
        </w:p>
        <w:p w14:paraId="67FA445A" w14:textId="410F0DA3"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08" w:history="1">
            <w:r w:rsidRPr="00632CC2">
              <w:rPr>
                <w:rStyle w:val="Hyperlink"/>
                <w:rFonts w:ascii="Times New Roman" w:hAnsi="Times New Roman" w:cs="Times New Roman"/>
                <w:noProof/>
                <w:sz w:val="24"/>
                <w:szCs w:val="24"/>
              </w:rPr>
              <w:t>IV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xml:space="preserve">. </w:t>
            </w:r>
            <w:r w:rsidR="006929A0">
              <w:rPr>
                <w:rStyle w:val="Hyperlink"/>
                <w:rFonts w:ascii="Times New Roman" w:hAnsi="Times New Roman" w:cs="Times New Roman"/>
                <w:noProof/>
                <w:sz w:val="24"/>
                <w:szCs w:val="24"/>
              </w:rPr>
              <w:t>Jaunu</w:t>
            </w:r>
            <w:r w:rsidRPr="00632CC2">
              <w:rPr>
                <w:rStyle w:val="Hyperlink"/>
                <w:rFonts w:ascii="Times New Roman" w:hAnsi="Times New Roman" w:cs="Times New Roman"/>
                <w:noProof/>
                <w:sz w:val="24"/>
                <w:szCs w:val="24"/>
              </w:rPr>
              <w:t xml:space="preserve"> fizisku personu kontu pienācīga pārbaude</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_Toc232165508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632CC2">
              <w:rPr>
                <w:rFonts w:ascii="Times New Roman" w:hAnsi="Times New Roman" w:cs="Times New Roman"/>
                <w:noProof/>
                <w:webHidden/>
                <w:sz w:val="24"/>
                <w:szCs w:val="24"/>
              </w:rPr>
              <w:fldChar w:fldCharType="end"/>
            </w:r>
          </w:hyperlink>
        </w:p>
        <w:p w14:paraId="071D2882" w14:textId="0A94A72D"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09" w:history="1">
            <w:r w:rsidRPr="00632CC2">
              <w:rPr>
                <w:rStyle w:val="Hyperlink"/>
                <w:rFonts w:ascii="Times New Roman" w:hAnsi="Times New Roman" w:cs="Times New Roman"/>
                <w:noProof/>
                <w:sz w:val="24"/>
                <w:szCs w:val="24"/>
              </w:rPr>
              <w:t>V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Iepriekšpastāvējušu vienību kontu pienācīga pārbaude</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_Toc232165509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632CC2">
              <w:rPr>
                <w:rFonts w:ascii="Times New Roman" w:hAnsi="Times New Roman" w:cs="Times New Roman"/>
                <w:noProof/>
                <w:webHidden/>
                <w:sz w:val="24"/>
                <w:szCs w:val="24"/>
              </w:rPr>
              <w:fldChar w:fldCharType="end"/>
            </w:r>
          </w:hyperlink>
        </w:p>
        <w:p w14:paraId="04A7C7B7" w14:textId="7866CDD3"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10" w:history="1">
            <w:r w:rsidRPr="00632CC2">
              <w:rPr>
                <w:rStyle w:val="Hyperlink"/>
                <w:rFonts w:ascii="Times New Roman" w:hAnsi="Times New Roman" w:cs="Times New Roman"/>
                <w:noProof/>
                <w:sz w:val="24"/>
                <w:szCs w:val="24"/>
              </w:rPr>
              <w:t>VI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Jaunu vienības kontu pienācīga pārbaude</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_Toc232165510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632CC2">
              <w:rPr>
                <w:rFonts w:ascii="Times New Roman" w:hAnsi="Times New Roman" w:cs="Times New Roman"/>
                <w:noProof/>
                <w:webHidden/>
                <w:sz w:val="24"/>
                <w:szCs w:val="24"/>
              </w:rPr>
              <w:fldChar w:fldCharType="end"/>
            </w:r>
          </w:hyperlink>
        </w:p>
        <w:p w14:paraId="33A56BB5" w14:textId="3174178C"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11" w:history="1">
            <w:r w:rsidRPr="00632CC2">
              <w:rPr>
                <w:rStyle w:val="Hyperlink"/>
                <w:rFonts w:ascii="Times New Roman" w:hAnsi="Times New Roman" w:cs="Times New Roman"/>
                <w:noProof/>
                <w:sz w:val="24"/>
                <w:szCs w:val="24"/>
              </w:rPr>
              <w:t>VII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Īpaši pienācīgas pārbaudes noteikumi</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_Toc232165511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632CC2">
              <w:rPr>
                <w:rFonts w:ascii="Times New Roman" w:hAnsi="Times New Roman" w:cs="Times New Roman"/>
                <w:noProof/>
                <w:webHidden/>
                <w:sz w:val="24"/>
                <w:szCs w:val="24"/>
              </w:rPr>
              <w:fldChar w:fldCharType="end"/>
            </w:r>
          </w:hyperlink>
        </w:p>
        <w:p w14:paraId="6C21C961" w14:textId="436168D2" w:rsidR="00D056A7" w:rsidRPr="00632CC2" w:rsidRDefault="00D056A7" w:rsidP="00D056A7">
          <w:pPr>
            <w:pStyle w:val="TOC5"/>
            <w:tabs>
              <w:tab w:val="right" w:leader="dot" w:pos="9062"/>
            </w:tabs>
            <w:spacing w:before="80" w:after="0"/>
            <w:rPr>
              <w:rFonts w:ascii="Times New Roman" w:hAnsi="Times New Roman" w:cs="Times New Roman"/>
              <w:noProof/>
              <w:sz w:val="24"/>
              <w:szCs w:val="24"/>
            </w:rPr>
          </w:pPr>
          <w:hyperlink w:anchor="_Toc232165512" w:history="1">
            <w:r w:rsidRPr="00632CC2">
              <w:rPr>
                <w:rStyle w:val="Hyperlink"/>
                <w:rFonts w:ascii="Times New Roman" w:hAnsi="Times New Roman" w:cs="Times New Roman"/>
                <w:noProof/>
                <w:sz w:val="24"/>
                <w:szCs w:val="24"/>
              </w:rPr>
              <w:t>VIII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Terminu definīcijas</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_Toc232165512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632CC2">
              <w:rPr>
                <w:rFonts w:ascii="Times New Roman" w:hAnsi="Times New Roman" w:cs="Times New Roman"/>
                <w:noProof/>
                <w:webHidden/>
                <w:sz w:val="24"/>
                <w:szCs w:val="24"/>
              </w:rPr>
              <w:fldChar w:fldCharType="end"/>
            </w:r>
          </w:hyperlink>
        </w:p>
        <w:p w14:paraId="67378B24" w14:textId="289779B9" w:rsidR="00D056A7" w:rsidRDefault="00D056A7" w:rsidP="00D056A7">
          <w:pPr>
            <w:pStyle w:val="TOC5"/>
            <w:tabs>
              <w:tab w:val="right" w:leader="dot" w:pos="9062"/>
            </w:tabs>
            <w:spacing w:before="80" w:after="0"/>
          </w:pPr>
          <w:hyperlink w:anchor="_Toc232165513" w:history="1">
            <w:r w:rsidRPr="00632CC2">
              <w:rPr>
                <w:rStyle w:val="Hyperlink"/>
                <w:rFonts w:ascii="Times New Roman" w:hAnsi="Times New Roman" w:cs="Times New Roman"/>
                <w:noProof/>
                <w:sz w:val="24"/>
                <w:szCs w:val="24"/>
              </w:rPr>
              <w:t>IX </w:t>
            </w:r>
            <w:r w:rsidR="00971F84">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Efektīva īstenošana</w:t>
            </w:r>
            <w:r w:rsidRPr="00632CC2">
              <w:rPr>
                <w:rFonts w:ascii="Times New Roman" w:hAnsi="Times New Roman" w:cs="Times New Roman"/>
                <w:noProof/>
                <w:webHidden/>
                <w:sz w:val="24"/>
                <w:szCs w:val="24"/>
              </w:rPr>
              <w:tab/>
            </w:r>
            <w:r w:rsidRPr="00632CC2">
              <w:rPr>
                <w:rFonts w:ascii="Times New Roman" w:hAnsi="Times New Roman" w:cs="Times New Roman"/>
                <w:noProof/>
                <w:webHidden/>
                <w:sz w:val="24"/>
                <w:szCs w:val="24"/>
              </w:rPr>
              <w:fldChar w:fldCharType="begin"/>
            </w:r>
            <w:r w:rsidRPr="00632CC2">
              <w:rPr>
                <w:rFonts w:ascii="Times New Roman" w:hAnsi="Times New Roman" w:cs="Times New Roman"/>
                <w:noProof/>
                <w:webHidden/>
                <w:sz w:val="24"/>
                <w:szCs w:val="24"/>
              </w:rPr>
              <w:instrText xml:space="preserve"> PAGEREF _Toc232165513 \h </w:instrText>
            </w:r>
            <w:r w:rsidRPr="00632CC2">
              <w:rPr>
                <w:rFonts w:ascii="Times New Roman" w:hAnsi="Times New Roman" w:cs="Times New Roman"/>
                <w:noProof/>
                <w:webHidden/>
                <w:sz w:val="24"/>
                <w:szCs w:val="24"/>
              </w:rPr>
            </w:r>
            <w:r w:rsidRPr="00632CC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Pr="00632CC2">
              <w:rPr>
                <w:rFonts w:ascii="Times New Roman" w:hAnsi="Times New Roman" w:cs="Times New Roman"/>
                <w:noProof/>
                <w:webHidden/>
                <w:sz w:val="24"/>
                <w:szCs w:val="24"/>
              </w:rPr>
              <w:fldChar w:fldCharType="end"/>
            </w:r>
          </w:hyperlink>
        </w:p>
        <w:p w14:paraId="7275BB0F" w14:textId="6B676C09" w:rsidR="00A95AFB" w:rsidRPr="00632CC2" w:rsidRDefault="00A95AFB" w:rsidP="00A95AFB">
          <w:pPr>
            <w:pStyle w:val="TOC5"/>
            <w:tabs>
              <w:tab w:val="right" w:leader="dot" w:pos="9062"/>
            </w:tabs>
            <w:spacing w:before="80" w:after="0"/>
            <w:rPr>
              <w:rFonts w:ascii="Times New Roman" w:hAnsi="Times New Roman" w:cs="Times New Roman"/>
              <w:noProof/>
              <w:sz w:val="24"/>
              <w:szCs w:val="24"/>
            </w:rPr>
          </w:pPr>
          <w:hyperlink w:anchor="_Toc232165513" w:history="1">
            <w:r w:rsidRPr="00632CC2">
              <w:rPr>
                <w:rStyle w:val="Hyperlink"/>
                <w:rFonts w:ascii="Times New Roman" w:hAnsi="Times New Roman" w:cs="Times New Roman"/>
                <w:noProof/>
                <w:sz w:val="24"/>
                <w:szCs w:val="24"/>
              </w:rPr>
              <w:t>X </w:t>
            </w:r>
            <w:r>
              <w:rPr>
                <w:rStyle w:val="Hyperlink"/>
                <w:rFonts w:ascii="Times New Roman" w:hAnsi="Times New Roman" w:cs="Times New Roman"/>
                <w:noProof/>
                <w:sz w:val="24"/>
                <w:szCs w:val="24"/>
              </w:rPr>
              <w:t>pants</w:t>
            </w:r>
            <w:r w:rsidRPr="00632CC2">
              <w:rPr>
                <w:rStyle w:val="Hyperlink"/>
                <w:rFonts w:ascii="Times New Roman" w:hAnsi="Times New Roman" w:cs="Times New Roman"/>
                <w:noProof/>
                <w:sz w:val="24"/>
                <w:szCs w:val="24"/>
              </w:rPr>
              <w:t xml:space="preserve">. </w:t>
            </w:r>
            <w:r>
              <w:rPr>
                <w:rStyle w:val="Hyperlink"/>
                <w:rFonts w:ascii="Times New Roman" w:hAnsi="Times New Roman" w:cs="Times New Roman"/>
                <w:noProof/>
                <w:sz w:val="24"/>
                <w:szCs w:val="24"/>
              </w:rPr>
              <w:t>Pārejas pasākumi</w:t>
            </w:r>
            <w:r w:rsidRPr="00632CC2">
              <w:rPr>
                <w:rFonts w:ascii="Times New Roman" w:hAnsi="Times New Roman" w:cs="Times New Roman"/>
                <w:noProof/>
                <w:webHidden/>
                <w:sz w:val="24"/>
                <w:szCs w:val="24"/>
              </w:rPr>
              <w:tab/>
            </w:r>
            <w:r>
              <w:rPr>
                <w:rFonts w:ascii="Times New Roman" w:hAnsi="Times New Roman" w:cs="Times New Roman"/>
                <w:noProof/>
                <w:webHidden/>
                <w:sz w:val="24"/>
                <w:szCs w:val="24"/>
              </w:rPr>
              <w:t>30</w:t>
            </w:r>
          </w:hyperlink>
        </w:p>
        <w:p w14:paraId="3ED0FC8E" w14:textId="77777777" w:rsidR="00A95AFB" w:rsidRPr="00A95AFB" w:rsidRDefault="00A95AFB" w:rsidP="00A95AFB"/>
        <w:p w14:paraId="58E1DC7D" w14:textId="77777777"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14" w:history="1">
            <w:r w:rsidRPr="00632CC2">
              <w:rPr>
                <w:rStyle w:val="Hyperlink"/>
                <w:rFonts w:ascii="Times New Roman" w:hAnsi="Times New Roman" w:cs="Times New Roman"/>
                <w:noProof/>
                <w:color w:val="365F91" w:themeColor="accent1" w:themeShade="BF"/>
              </w:rPr>
              <w:t>Komentāri par Kopējo ziņošanas standartu</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_Toc232165514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31</w:t>
            </w:r>
            <w:r w:rsidRPr="00632CC2">
              <w:rPr>
                <w:rFonts w:ascii="Times New Roman" w:hAnsi="Times New Roman" w:cs="Times New Roman"/>
                <w:noProof/>
                <w:webHidden/>
                <w:color w:val="365F91" w:themeColor="accent1" w:themeShade="BF"/>
              </w:rPr>
              <w:fldChar w:fldCharType="end"/>
            </w:r>
          </w:hyperlink>
        </w:p>
        <w:p w14:paraId="6BD47D47" w14:textId="05893D1B"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16" w:history="1">
            <w:r w:rsidRPr="00632CC2">
              <w:rPr>
                <w:rStyle w:val="Hyperlink"/>
                <w:rFonts w:ascii="Times New Roman" w:hAnsi="Times New Roman" w:cs="Times New Roman"/>
                <w:noProof/>
                <w:color w:val="365F91" w:themeColor="accent1" w:themeShade="BF"/>
              </w:rPr>
              <w:t>Komentāri par I </w:t>
            </w:r>
            <w:r w:rsidR="00DB0F45">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ziņojumu sniegšanas vispārīgajām prasībām</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_Toc232165516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32</w:t>
            </w:r>
            <w:r w:rsidRPr="00632CC2">
              <w:rPr>
                <w:rFonts w:ascii="Times New Roman" w:hAnsi="Times New Roman" w:cs="Times New Roman"/>
                <w:noProof/>
                <w:webHidden/>
                <w:color w:val="365F91" w:themeColor="accent1" w:themeShade="BF"/>
              </w:rPr>
              <w:fldChar w:fldCharType="end"/>
            </w:r>
          </w:hyperlink>
        </w:p>
        <w:p w14:paraId="51D6ECC6" w14:textId="6D690F7B"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17" w:history="1">
            <w:r w:rsidRPr="00632CC2">
              <w:rPr>
                <w:rStyle w:val="Hyperlink"/>
                <w:rFonts w:ascii="Times New Roman" w:hAnsi="Times New Roman" w:cs="Times New Roman"/>
                <w:noProof/>
                <w:color w:val="365F91" w:themeColor="accent1" w:themeShade="BF"/>
              </w:rPr>
              <w:t>Komentāri par II </w:t>
            </w:r>
            <w:r w:rsidR="00DB0F45">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pienācīgas pārbaudes vispārīgajām prasībām</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_Toc232165517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42</w:t>
            </w:r>
            <w:r w:rsidRPr="00632CC2">
              <w:rPr>
                <w:rFonts w:ascii="Times New Roman" w:hAnsi="Times New Roman" w:cs="Times New Roman"/>
                <w:noProof/>
                <w:webHidden/>
                <w:color w:val="365F91" w:themeColor="accent1" w:themeShade="BF"/>
              </w:rPr>
              <w:fldChar w:fldCharType="end"/>
            </w:r>
          </w:hyperlink>
        </w:p>
        <w:p w14:paraId="3D465BFE" w14:textId="0433FFF5"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18" w:history="1">
            <w:r w:rsidRPr="00632CC2">
              <w:rPr>
                <w:rStyle w:val="Hyperlink"/>
                <w:rFonts w:ascii="Times New Roman" w:hAnsi="Times New Roman" w:cs="Times New Roman"/>
                <w:noProof/>
                <w:color w:val="365F91" w:themeColor="accent1" w:themeShade="BF"/>
              </w:rPr>
              <w:t>Komentāri par III </w:t>
            </w:r>
            <w:r w:rsidR="00DB0F45">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iepriekšpastāvējušu fizisku personu kontu pienācīgu pārbaudi</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_Toc232165518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45</w:t>
            </w:r>
            <w:r w:rsidRPr="00632CC2">
              <w:rPr>
                <w:rFonts w:ascii="Times New Roman" w:hAnsi="Times New Roman" w:cs="Times New Roman"/>
                <w:noProof/>
                <w:webHidden/>
                <w:color w:val="365F91" w:themeColor="accent1" w:themeShade="BF"/>
              </w:rPr>
              <w:fldChar w:fldCharType="end"/>
            </w:r>
          </w:hyperlink>
        </w:p>
        <w:p w14:paraId="4F4406F9" w14:textId="391B8141"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19" w:history="1">
            <w:r w:rsidRPr="00632CC2">
              <w:rPr>
                <w:rStyle w:val="Hyperlink"/>
                <w:rFonts w:ascii="Times New Roman" w:hAnsi="Times New Roman" w:cs="Times New Roman"/>
                <w:noProof/>
                <w:color w:val="365F91" w:themeColor="accent1" w:themeShade="BF"/>
              </w:rPr>
              <w:t>Komentāri par IV </w:t>
            </w:r>
            <w:r w:rsidR="00DB0F45">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jaunu fizisku personu kontu pienācīgu pārbaudi</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_Toc232165519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57</w:t>
            </w:r>
            <w:r w:rsidRPr="00632CC2">
              <w:rPr>
                <w:rFonts w:ascii="Times New Roman" w:hAnsi="Times New Roman" w:cs="Times New Roman"/>
                <w:noProof/>
                <w:webHidden/>
                <w:color w:val="365F91" w:themeColor="accent1" w:themeShade="BF"/>
              </w:rPr>
              <w:fldChar w:fldCharType="end"/>
            </w:r>
          </w:hyperlink>
        </w:p>
        <w:p w14:paraId="7FCC6747" w14:textId="65F6AC9D"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20" w:history="1">
            <w:r w:rsidRPr="00632CC2">
              <w:rPr>
                <w:rStyle w:val="Hyperlink"/>
                <w:rFonts w:ascii="Times New Roman" w:hAnsi="Times New Roman" w:cs="Times New Roman"/>
                <w:noProof/>
                <w:color w:val="365F91" w:themeColor="accent1" w:themeShade="BF"/>
              </w:rPr>
              <w:t>Komentāri par V </w:t>
            </w:r>
            <w:r w:rsidR="00DB0F45">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iepriekšpastāvējušu vienību kontu pienācīgu pārbaudi</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_Toc232165520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63</w:t>
            </w:r>
            <w:r w:rsidRPr="00632CC2">
              <w:rPr>
                <w:rFonts w:ascii="Times New Roman" w:hAnsi="Times New Roman" w:cs="Times New Roman"/>
                <w:noProof/>
                <w:webHidden/>
                <w:color w:val="365F91" w:themeColor="accent1" w:themeShade="BF"/>
              </w:rPr>
              <w:fldChar w:fldCharType="end"/>
            </w:r>
          </w:hyperlink>
        </w:p>
        <w:p w14:paraId="5FA3136A" w14:textId="06B646AE"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21" w:history="1">
            <w:r w:rsidRPr="00632CC2">
              <w:rPr>
                <w:rStyle w:val="Hyperlink"/>
                <w:rFonts w:ascii="Times New Roman" w:hAnsi="Times New Roman" w:cs="Times New Roman"/>
                <w:noProof/>
                <w:color w:val="365F91" w:themeColor="accent1" w:themeShade="BF"/>
              </w:rPr>
              <w:t>Komentāri par VI </w:t>
            </w:r>
            <w:r w:rsidR="00DB0F45">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jaunu vienību kontu pienācīgu pārbaudi</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_Toc232165521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69</w:t>
            </w:r>
            <w:r w:rsidRPr="00632CC2">
              <w:rPr>
                <w:rFonts w:ascii="Times New Roman" w:hAnsi="Times New Roman" w:cs="Times New Roman"/>
                <w:noProof/>
                <w:webHidden/>
                <w:color w:val="365F91" w:themeColor="accent1" w:themeShade="BF"/>
              </w:rPr>
              <w:fldChar w:fldCharType="end"/>
            </w:r>
          </w:hyperlink>
        </w:p>
        <w:p w14:paraId="0E2CB6D5" w14:textId="43777943"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22" w:history="1">
            <w:r w:rsidRPr="00632CC2">
              <w:rPr>
                <w:rStyle w:val="Hyperlink"/>
                <w:rFonts w:ascii="Times New Roman" w:hAnsi="Times New Roman" w:cs="Times New Roman"/>
                <w:noProof/>
                <w:color w:val="365F91" w:themeColor="accent1" w:themeShade="BF"/>
              </w:rPr>
              <w:t>Komentāri par VII </w:t>
            </w:r>
            <w:r w:rsidR="001A36E8">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īpašām pienācīgas pārbaudes prasībām</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_Toc232165522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74</w:t>
            </w:r>
            <w:r w:rsidRPr="00632CC2">
              <w:rPr>
                <w:rFonts w:ascii="Times New Roman" w:hAnsi="Times New Roman" w:cs="Times New Roman"/>
                <w:noProof/>
                <w:webHidden/>
                <w:color w:val="365F91" w:themeColor="accent1" w:themeShade="BF"/>
              </w:rPr>
              <w:fldChar w:fldCharType="end"/>
            </w:r>
          </w:hyperlink>
        </w:p>
        <w:p w14:paraId="646EBD61" w14:textId="176CF63E"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23" w:history="1">
            <w:r w:rsidRPr="00632CC2">
              <w:rPr>
                <w:rStyle w:val="Hyperlink"/>
                <w:rFonts w:ascii="Times New Roman" w:hAnsi="Times New Roman" w:cs="Times New Roman"/>
                <w:noProof/>
                <w:color w:val="365F91" w:themeColor="accent1" w:themeShade="BF"/>
              </w:rPr>
              <w:t>Komentāri par VIII </w:t>
            </w:r>
            <w:r w:rsidR="001A36E8">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terminu definīcijām</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_Toc232165523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81</w:t>
            </w:r>
            <w:r w:rsidRPr="00632CC2">
              <w:rPr>
                <w:rFonts w:ascii="Times New Roman" w:hAnsi="Times New Roman" w:cs="Times New Roman"/>
                <w:noProof/>
                <w:webHidden/>
                <w:color w:val="365F91" w:themeColor="accent1" w:themeShade="BF"/>
              </w:rPr>
              <w:fldChar w:fldCharType="end"/>
            </w:r>
          </w:hyperlink>
        </w:p>
        <w:p w14:paraId="07640E54" w14:textId="7178D61A"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24" w:history="1">
            <w:r w:rsidRPr="00632CC2">
              <w:rPr>
                <w:rStyle w:val="Hyperlink"/>
                <w:rFonts w:ascii="Times New Roman" w:hAnsi="Times New Roman" w:cs="Times New Roman"/>
                <w:noProof/>
                <w:color w:val="365F91" w:themeColor="accent1" w:themeShade="BF"/>
              </w:rPr>
              <w:t>Komentāri par IX </w:t>
            </w:r>
            <w:r w:rsidR="001A36E8">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efektīvu īstenošanu</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_Toc232165524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124</w:t>
            </w:r>
            <w:r w:rsidRPr="00632CC2">
              <w:rPr>
                <w:rFonts w:ascii="Times New Roman" w:hAnsi="Times New Roman" w:cs="Times New Roman"/>
                <w:noProof/>
                <w:webHidden/>
                <w:color w:val="365F91" w:themeColor="accent1" w:themeShade="BF"/>
              </w:rPr>
              <w:fldChar w:fldCharType="end"/>
            </w:r>
          </w:hyperlink>
        </w:p>
        <w:p w14:paraId="2486690F" w14:textId="5C00D9C7" w:rsidR="00D056A7" w:rsidRPr="00632CC2" w:rsidRDefault="00D056A7" w:rsidP="00D056A7">
          <w:pPr>
            <w:pStyle w:val="TOC1"/>
            <w:tabs>
              <w:tab w:val="right" w:leader="dot" w:pos="9062"/>
            </w:tabs>
            <w:spacing w:before="80"/>
            <w:rPr>
              <w:rFonts w:ascii="Times New Roman" w:eastAsiaTheme="minorEastAsia" w:hAnsi="Times New Roman" w:cs="Times New Roman"/>
              <w:noProof/>
              <w:color w:val="365F91" w:themeColor="accent1" w:themeShade="BF"/>
              <w:kern w:val="2"/>
              <w:lang w:val="en-US"/>
              <w14:ligatures w14:val="standardContextual"/>
            </w:rPr>
          </w:pPr>
          <w:hyperlink w:anchor="_Toc232165525" w:history="1">
            <w:r w:rsidRPr="00632CC2">
              <w:rPr>
                <w:rStyle w:val="Hyperlink"/>
                <w:rFonts w:ascii="Times New Roman" w:hAnsi="Times New Roman" w:cs="Times New Roman"/>
                <w:noProof/>
                <w:color w:val="365F91" w:themeColor="accent1" w:themeShade="BF"/>
              </w:rPr>
              <w:t>Komentāri par X </w:t>
            </w:r>
            <w:r w:rsidR="001A36E8">
              <w:rPr>
                <w:rStyle w:val="Hyperlink"/>
                <w:rFonts w:ascii="Times New Roman" w:hAnsi="Times New Roman" w:cs="Times New Roman"/>
                <w:noProof/>
                <w:color w:val="365F91" w:themeColor="accent1" w:themeShade="BF"/>
              </w:rPr>
              <w:t>pantu</w:t>
            </w:r>
            <w:r w:rsidRPr="00632CC2">
              <w:rPr>
                <w:rStyle w:val="Hyperlink"/>
                <w:rFonts w:ascii="Times New Roman" w:hAnsi="Times New Roman" w:cs="Times New Roman"/>
                <w:noProof/>
                <w:color w:val="365F91" w:themeColor="accent1" w:themeShade="BF"/>
              </w:rPr>
              <w:t> – par pārejas pasākumiem</w:t>
            </w:r>
            <w:r w:rsidRPr="00632CC2">
              <w:rPr>
                <w:rFonts w:ascii="Times New Roman" w:hAnsi="Times New Roman" w:cs="Times New Roman"/>
                <w:noProof/>
                <w:webHidden/>
                <w:color w:val="365F91" w:themeColor="accent1" w:themeShade="BF"/>
              </w:rPr>
              <w:tab/>
            </w:r>
            <w:r w:rsidRPr="00632CC2">
              <w:rPr>
                <w:rFonts w:ascii="Times New Roman" w:hAnsi="Times New Roman" w:cs="Times New Roman"/>
                <w:noProof/>
                <w:webHidden/>
                <w:color w:val="365F91" w:themeColor="accent1" w:themeShade="BF"/>
              </w:rPr>
              <w:fldChar w:fldCharType="begin"/>
            </w:r>
            <w:r w:rsidRPr="00632CC2">
              <w:rPr>
                <w:rFonts w:ascii="Times New Roman" w:hAnsi="Times New Roman" w:cs="Times New Roman"/>
                <w:noProof/>
                <w:webHidden/>
                <w:color w:val="365F91" w:themeColor="accent1" w:themeShade="BF"/>
              </w:rPr>
              <w:instrText xml:space="preserve"> PAGEREF _Toc232165525 \h </w:instrText>
            </w:r>
            <w:r w:rsidRPr="00632CC2">
              <w:rPr>
                <w:rFonts w:ascii="Times New Roman" w:hAnsi="Times New Roman" w:cs="Times New Roman"/>
                <w:noProof/>
                <w:webHidden/>
                <w:color w:val="365F91" w:themeColor="accent1" w:themeShade="BF"/>
              </w:rPr>
            </w:r>
            <w:r w:rsidRPr="00632CC2">
              <w:rPr>
                <w:rFonts w:ascii="Times New Roman" w:hAnsi="Times New Roman" w:cs="Times New Roman"/>
                <w:noProof/>
                <w:webHidden/>
                <w:color w:val="365F91" w:themeColor="accent1" w:themeShade="BF"/>
              </w:rPr>
              <w:fldChar w:fldCharType="separate"/>
            </w:r>
            <w:r>
              <w:rPr>
                <w:rFonts w:ascii="Times New Roman" w:hAnsi="Times New Roman" w:cs="Times New Roman"/>
                <w:noProof/>
                <w:webHidden/>
                <w:color w:val="365F91" w:themeColor="accent1" w:themeShade="BF"/>
              </w:rPr>
              <w:t>128</w:t>
            </w:r>
            <w:r w:rsidRPr="00632CC2">
              <w:rPr>
                <w:rFonts w:ascii="Times New Roman" w:hAnsi="Times New Roman" w:cs="Times New Roman"/>
                <w:noProof/>
                <w:webHidden/>
                <w:color w:val="365F91" w:themeColor="accent1" w:themeShade="BF"/>
              </w:rPr>
              <w:fldChar w:fldCharType="end"/>
            </w:r>
          </w:hyperlink>
        </w:p>
        <w:p w14:paraId="5379354C" w14:textId="77777777" w:rsidR="00D056A7" w:rsidRPr="00632CC2" w:rsidRDefault="00D056A7" w:rsidP="00D056A7">
          <w:pPr>
            <w:pStyle w:val="TOC4"/>
            <w:tabs>
              <w:tab w:val="right" w:leader="dot" w:pos="9062"/>
            </w:tabs>
            <w:spacing w:before="80" w:after="0"/>
            <w:ind w:left="0"/>
            <w:rPr>
              <w:rFonts w:ascii="Times New Roman" w:hAnsi="Times New Roman" w:cs="Times New Roman"/>
              <w:noProof/>
              <w:color w:val="365F91" w:themeColor="accent1" w:themeShade="BF"/>
              <w:sz w:val="24"/>
              <w:szCs w:val="24"/>
            </w:rPr>
          </w:pPr>
        </w:p>
        <w:p w14:paraId="7428E080" w14:textId="6BFE7E12" w:rsidR="00135FA5" w:rsidRDefault="00D056A7" w:rsidP="00D056A7">
          <w:pPr>
            <w:pStyle w:val="TOCHeading"/>
          </w:pPr>
          <w:r w:rsidRPr="00632CC2">
            <w:rPr>
              <w:rFonts w:ascii="Times New Roman" w:hAnsi="Times New Roman" w:cs="Times New Roman"/>
              <w:sz w:val="28"/>
              <w:szCs w:val="28"/>
            </w:rPr>
            <w:fldChar w:fldCharType="end"/>
          </w:r>
        </w:p>
      </w:sdtContent>
    </w:sdt>
    <w:p w14:paraId="03D49C6F" w14:textId="77777777" w:rsidR="00135FA5" w:rsidRPr="00FD391F" w:rsidRDefault="00135FA5" w:rsidP="00CB441B">
      <w:pPr>
        <w:pStyle w:val="Heading1"/>
        <w:spacing w:before="120"/>
        <w:rPr>
          <w:rFonts w:ascii="Times New Roman" w:hAnsi="Times New Roman" w:cs="Times New Roman"/>
          <w:noProof/>
          <w:color w:val="4E81BD"/>
          <w:sz w:val="56"/>
          <w:szCs w:val="56"/>
        </w:rPr>
      </w:pPr>
    </w:p>
    <w:p w14:paraId="20C84796" w14:textId="77777777" w:rsidR="003E77A2" w:rsidRPr="00FD391F" w:rsidRDefault="003E77A2" w:rsidP="00CB441B">
      <w:pPr>
        <w:spacing w:before="120"/>
        <w:rPr>
          <w:rFonts w:ascii="Times New Roman" w:hAnsi="Times New Roman" w:cs="Times New Roman"/>
          <w:b/>
          <w:bCs/>
          <w:noProof/>
          <w:color w:val="4E81BD"/>
          <w:sz w:val="72"/>
          <w:szCs w:val="72"/>
        </w:rPr>
      </w:pPr>
      <w:bookmarkStart w:id="14" w:name="Common_Reporting_Standard"/>
      <w:bookmarkStart w:id="15" w:name="_bookmark1"/>
      <w:bookmarkEnd w:id="14"/>
      <w:bookmarkEnd w:id="15"/>
      <w:r>
        <w:br w:type="page"/>
      </w:r>
    </w:p>
    <w:p w14:paraId="1733666C" w14:textId="1F9B3837" w:rsidR="00F02FF0" w:rsidRPr="00FD391F" w:rsidRDefault="00F02FF0" w:rsidP="00CB441B">
      <w:pPr>
        <w:pStyle w:val="Heading1"/>
        <w:spacing w:before="120"/>
        <w:ind w:left="0"/>
        <w:rPr>
          <w:rFonts w:ascii="Times New Roman" w:hAnsi="Times New Roman" w:cs="Times New Roman"/>
          <w:noProof/>
          <w:color w:val="4E81BD"/>
          <w:sz w:val="56"/>
          <w:szCs w:val="56"/>
        </w:rPr>
      </w:pPr>
      <w:bookmarkStart w:id="16" w:name="_Toc241827492"/>
      <w:r>
        <w:rPr>
          <w:rFonts w:ascii="Times New Roman" w:hAnsi="Times New Roman"/>
          <w:color w:val="4E81BD"/>
          <w:sz w:val="56"/>
        </w:rPr>
        <w:lastRenderedPageBreak/>
        <w:t>Kopējais ziņošanas standarts</w:t>
      </w:r>
      <w:bookmarkEnd w:id="16"/>
    </w:p>
    <w:p w14:paraId="29ECEDF0" w14:textId="77777777" w:rsidR="00F02FF0" w:rsidRPr="00FD391F" w:rsidRDefault="00F02FF0" w:rsidP="00CB441B">
      <w:pPr>
        <w:pStyle w:val="BodyText"/>
        <w:spacing w:before="120"/>
        <w:jc w:val="left"/>
        <w:rPr>
          <w:rFonts w:ascii="Times New Roman" w:hAnsi="Times New Roman" w:cs="Times New Roman"/>
          <w:b/>
          <w:noProof/>
          <w:sz w:val="72"/>
        </w:rPr>
      </w:pPr>
    </w:p>
    <w:p w14:paraId="0170EC94" w14:textId="77777777" w:rsidR="00F02FF0" w:rsidRPr="00FD391F" w:rsidRDefault="00F02FF0" w:rsidP="00CB441B">
      <w:pPr>
        <w:pStyle w:val="BodyText"/>
        <w:spacing w:before="120"/>
        <w:jc w:val="left"/>
        <w:rPr>
          <w:rFonts w:ascii="Times New Roman" w:hAnsi="Times New Roman" w:cs="Times New Roman"/>
          <w:b/>
          <w:noProof/>
          <w:sz w:val="72"/>
        </w:rPr>
      </w:pPr>
    </w:p>
    <w:p w14:paraId="64309BD1" w14:textId="77777777" w:rsidR="00F02FF0" w:rsidRPr="00FD391F" w:rsidRDefault="00F02FF0" w:rsidP="00CB441B">
      <w:pPr>
        <w:pStyle w:val="Heading5"/>
        <w:spacing w:before="120"/>
        <w:ind w:left="0"/>
        <w:rPr>
          <w:rFonts w:ascii="Times New Roman" w:hAnsi="Times New Roman" w:cs="Times New Roman"/>
          <w:noProof/>
          <w:color w:val="4E81BD"/>
          <w:sz w:val="28"/>
          <w:szCs w:val="28"/>
        </w:rPr>
      </w:pPr>
      <w:bookmarkStart w:id="17" w:name="Section_I:_General_Reporting_Requirement"/>
      <w:bookmarkStart w:id="18" w:name="_bookmark2"/>
      <w:bookmarkEnd w:id="17"/>
      <w:bookmarkEnd w:id="18"/>
      <w:r>
        <w:rPr>
          <w:rFonts w:ascii="Times New Roman" w:hAnsi="Times New Roman"/>
          <w:color w:val="4E81BD"/>
          <w:sz w:val="28"/>
        </w:rPr>
        <w:t>I pants. Ziņojumu sniegšanas vispārīgās prasības</w:t>
      </w:r>
    </w:p>
    <w:p w14:paraId="3C1EF818" w14:textId="409ADE3D" w:rsidR="00F02FF0" w:rsidRPr="00FD391F" w:rsidRDefault="00FD391F" w:rsidP="00CB441B">
      <w:pPr>
        <w:tabs>
          <w:tab w:val="left" w:pos="941"/>
          <w:tab w:val="left" w:pos="943"/>
        </w:tabs>
        <w:spacing w:before="240"/>
        <w:ind w:left="284" w:hanging="284"/>
        <w:jc w:val="both"/>
        <w:rPr>
          <w:rFonts w:ascii="Times New Roman" w:hAnsi="Times New Roman" w:cs="Times New Roman"/>
          <w:noProof/>
          <w:sz w:val="24"/>
          <w:szCs w:val="24"/>
        </w:rPr>
      </w:pPr>
      <w:r>
        <w:rPr>
          <w:rFonts w:ascii="Times New Roman" w:hAnsi="Times New Roman"/>
          <w:sz w:val="24"/>
        </w:rPr>
        <w:t>A. Ievērojot C–F punktu, katrai finanšu iestādei, kas sniedz ziņojumus, jāsniedz turpmāk minētā informācija attiecībā uz katru kontu, par kuru šādai finanšu iestādei jāsniedz ziņojums:</w:t>
      </w:r>
    </w:p>
    <w:p w14:paraId="0B20962D" w14:textId="560A77EB" w:rsidR="00F02FF0" w:rsidRPr="00FD391F" w:rsidRDefault="00FC4107" w:rsidP="00CB441B">
      <w:pPr>
        <w:pStyle w:val="ListParagraph"/>
        <w:tabs>
          <w:tab w:val="left" w:pos="709"/>
        </w:tabs>
        <w:ind w:left="284"/>
        <w:rPr>
          <w:rFonts w:ascii="Times New Roman" w:hAnsi="Times New Roman" w:cs="Times New Roman"/>
          <w:noProof/>
          <w:sz w:val="24"/>
          <w:szCs w:val="24"/>
        </w:rPr>
      </w:pPr>
      <w:r>
        <w:rPr>
          <w:rFonts w:ascii="Times New Roman" w:hAnsi="Times New Roman"/>
          <w:sz w:val="24"/>
        </w:rPr>
        <w:t xml:space="preserve">1) </w:t>
      </w:r>
    </w:p>
    <w:p w14:paraId="7C2DED92" w14:textId="78372320" w:rsidR="00F02FF0" w:rsidRPr="00BD3047" w:rsidRDefault="00BD3047" w:rsidP="00CB441B">
      <w:pPr>
        <w:tabs>
          <w:tab w:val="left" w:pos="1661"/>
          <w:tab w:val="left" w:pos="1663"/>
        </w:tabs>
        <w:spacing w:before="120"/>
        <w:ind w:left="851" w:hanging="284"/>
        <w:jc w:val="both"/>
        <w:rPr>
          <w:rFonts w:ascii="Times New Roman" w:hAnsi="Times New Roman" w:cs="Times New Roman"/>
          <w:b/>
          <w:i/>
          <w:noProof/>
          <w:sz w:val="24"/>
          <w:szCs w:val="24"/>
        </w:rPr>
      </w:pPr>
      <w:r>
        <w:rPr>
          <w:rFonts w:ascii="Times New Roman" w:hAnsi="Times New Roman"/>
          <w:b/>
          <w:bCs/>
          <w:i/>
          <w:iCs/>
          <w:sz w:val="24"/>
        </w:rPr>
        <w:t>a)</w:t>
      </w:r>
      <w:r>
        <w:rPr>
          <w:rFonts w:ascii="Times New Roman" w:hAnsi="Times New Roman"/>
          <w:sz w:val="24"/>
        </w:rPr>
        <w:t xml:space="preserve"> par katru personu, par kuru jāsniedz ziņojums un kura ir konta turētājs, – vārds, uzvārds, rezidences jurisdikcija(-as), nodokļu maksātāja identifikācijas numurs(-i), dzimšanas datums un vieta(fiziskas personas gadījumā) </w:t>
      </w:r>
      <w:r>
        <w:rPr>
          <w:rFonts w:ascii="Times New Roman" w:hAnsi="Times New Roman"/>
          <w:b/>
          <w:i/>
          <w:sz w:val="24"/>
          <w:u w:val="single"/>
        </w:rPr>
        <w:t>un tas, vai konta turētājs ir iesniedzis derīgu pašapliecinājumu</w:t>
      </w:r>
      <w:r>
        <w:rPr>
          <w:rFonts w:ascii="Times New Roman" w:hAnsi="Times New Roman"/>
          <w:sz w:val="24"/>
        </w:rPr>
        <w:t>;</w:t>
      </w:r>
    </w:p>
    <w:p w14:paraId="09000735" w14:textId="4AF34BA3" w:rsidR="00F02FF0" w:rsidRPr="00BD3047" w:rsidRDefault="00BD3047" w:rsidP="00CB441B">
      <w:pPr>
        <w:tabs>
          <w:tab w:val="left" w:pos="1661"/>
          <w:tab w:val="left" w:pos="1663"/>
        </w:tabs>
        <w:spacing w:before="120"/>
        <w:ind w:left="851" w:hanging="284"/>
        <w:jc w:val="both"/>
        <w:rPr>
          <w:rFonts w:ascii="Times New Roman" w:hAnsi="Times New Roman" w:cs="Times New Roman"/>
          <w:b/>
          <w:i/>
          <w:noProof/>
          <w:sz w:val="24"/>
          <w:szCs w:val="24"/>
        </w:rPr>
      </w:pPr>
      <w:r>
        <w:rPr>
          <w:rFonts w:ascii="Times New Roman" w:hAnsi="Times New Roman"/>
          <w:b/>
          <w:bCs/>
          <w:i/>
          <w:iCs/>
          <w:sz w:val="24"/>
        </w:rPr>
        <w:t>b)</w:t>
      </w:r>
      <w:r>
        <w:rPr>
          <w:rFonts w:ascii="Times New Roman" w:hAnsi="Times New Roman"/>
          <w:sz w:val="24"/>
        </w:rPr>
        <w:t xml:space="preserve"> ja konta turētājs ir vienība un pēc pienācīgas pārbaudes procedūru piemērošanas saskaņā ar V, VI un VII pantu ir konstatēts, ka tai ir viena vai vairākas kontrolējošās personas, kas ir personas, par kurām jāsniedz ziņojums, – vienības nosaukums, adrese, rezidences jurisdikcija(-as) un nodokļu maksātāja identifikācijas numurs(-i), kā arī par katru personu, par kuru jāsniedz ziņojums, – vārds, uzvārds, rezidences jurisdikcija(-as), nodokļu maksātāja identifikācijas numurs(-i), dzimšanas datums un vieta, </w:t>
      </w:r>
      <w:r>
        <w:rPr>
          <w:rFonts w:ascii="Times New Roman" w:hAnsi="Times New Roman"/>
          <w:b/>
          <w:bCs/>
          <w:i/>
          <w:iCs/>
          <w:sz w:val="24"/>
          <w:u w:val="single"/>
        </w:rPr>
        <w:t>kā arī loma(-as), saskaņā ar kuru(-ām) katra persona, par ko jāsniedz ziņojums, ir vienību kontrolējošā persona un vai par katru šādu personu ir iesniegts derīgs pašapliecinājums, un</w:t>
      </w:r>
    </w:p>
    <w:p w14:paraId="612137D2" w14:textId="07B9B826" w:rsidR="00F02FF0" w:rsidRPr="00CB441B" w:rsidRDefault="00BD3047" w:rsidP="00CB441B">
      <w:pPr>
        <w:tabs>
          <w:tab w:val="left" w:pos="1661"/>
          <w:tab w:val="left" w:pos="1663"/>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rPr>
        <w:t xml:space="preserve">c) </w:t>
      </w:r>
      <w:r>
        <w:rPr>
          <w:rFonts w:ascii="Times New Roman" w:hAnsi="Times New Roman"/>
          <w:b/>
          <w:i/>
          <w:sz w:val="24"/>
          <w:u w:val="single"/>
        </w:rPr>
        <w:t>vai konts ir kopīgs konts, tostarp kopīgā konta turētāju skaits;</w:t>
      </w:r>
    </w:p>
    <w:p w14:paraId="52675CA3" w14:textId="1AA7EFE2" w:rsidR="00F02FF0" w:rsidRPr="00785FF4" w:rsidRDefault="00785FF4" w:rsidP="00CB441B">
      <w:pPr>
        <w:tabs>
          <w:tab w:val="left" w:pos="1301"/>
          <w:tab w:val="left" w:pos="1303"/>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2) konta numurs (vai funkcionāls ekvivalents, ja nav konta numura), </w:t>
      </w:r>
      <w:r>
        <w:rPr>
          <w:rFonts w:ascii="Times New Roman" w:hAnsi="Times New Roman"/>
          <w:b/>
          <w:bCs/>
          <w:i/>
          <w:iCs/>
          <w:color w:val="231F20"/>
          <w:sz w:val="24"/>
          <w:u w:val="single"/>
        </w:rPr>
        <w:t>konta veids un vai konts ir iepriekšpastāvējis konts vai jauns konts</w:t>
      </w:r>
      <w:r>
        <w:rPr>
          <w:rFonts w:ascii="Times New Roman" w:hAnsi="Times New Roman"/>
          <w:b/>
          <w:bCs/>
          <w:color w:val="231F20"/>
          <w:sz w:val="24"/>
          <w:u w:val="single"/>
        </w:rPr>
        <w:t>;</w:t>
      </w:r>
    </w:p>
    <w:p w14:paraId="6259C1E3" w14:textId="7FEDBD94" w:rsidR="00F02FF0" w:rsidRPr="00785FF4" w:rsidRDefault="00785FF4" w:rsidP="00CB441B">
      <w:pPr>
        <w:tabs>
          <w:tab w:val="left" w:pos="130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3) finanšu iestādes, kas sniedz ziņojumus, nosaukums un identifikācijas numurs (ja tāds ir);</w:t>
      </w:r>
    </w:p>
    <w:p w14:paraId="28701827" w14:textId="307C533C" w:rsidR="00F02FF0" w:rsidRPr="00785FF4" w:rsidRDefault="00785FF4" w:rsidP="00CB441B">
      <w:pPr>
        <w:tabs>
          <w:tab w:val="left" w:pos="1301"/>
          <w:tab w:val="left" w:pos="130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4) konta bilance vai vērtība (tostarp apdrošināšanas līguma ar naudas vērtību vai anuitātes līguma gadījumā – naudas vērtība vai līguma laušanas gadījumā – izmaksājamā summa) attiecīgā kalendārā gada vai cita attiecīga ziņošanas perioda beigās vai informācija par konta slēgšanu, ja konts ticis slēgts minētā gada vai perioda laikā;</w:t>
      </w:r>
    </w:p>
    <w:p w14:paraId="6F5B5F37" w14:textId="04B3A998" w:rsidR="00F02FF0" w:rsidRPr="00785FF4" w:rsidRDefault="00785FF4" w:rsidP="00CB441B">
      <w:pPr>
        <w:tabs>
          <w:tab w:val="left" w:pos="130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5) turētāja konta gadījumā:</w:t>
      </w:r>
    </w:p>
    <w:p w14:paraId="1F60B306" w14:textId="0E69BE13" w:rsidR="00F02FF0" w:rsidRPr="009F0EBA" w:rsidRDefault="009F0EBA" w:rsidP="00CB441B">
      <w:pPr>
        <w:tabs>
          <w:tab w:val="left" w:pos="1661"/>
          <w:tab w:val="left" w:pos="1663"/>
        </w:tabs>
        <w:spacing w:before="120"/>
        <w:ind w:left="851" w:hanging="283"/>
        <w:jc w:val="both"/>
        <w:rPr>
          <w:rFonts w:ascii="Times New Roman" w:hAnsi="Times New Roman" w:cs="Times New Roman"/>
          <w:noProof/>
          <w:sz w:val="24"/>
          <w:szCs w:val="24"/>
        </w:rPr>
      </w:pPr>
      <w:r>
        <w:rPr>
          <w:rFonts w:ascii="Times New Roman" w:hAnsi="Times New Roman"/>
          <w:sz w:val="24"/>
        </w:rPr>
        <w:t>a) procentu kopējā bruto summa, dividenžu kopējā bruto summa, citu saistībā ar kontā turētajiem aktīviem gūto ienākumu kopējā bruto summa, kas katrā gadījumā iemaksāta kontā vai kreditēta uz kontu (vai saistībā ar kontu) kalendārajā gadā vai citā attiecīgajā ziņošanas periodā, un</w:t>
      </w:r>
    </w:p>
    <w:p w14:paraId="5BC0B256" w14:textId="50B1E381" w:rsidR="00F02FF0" w:rsidRPr="009F0EBA" w:rsidRDefault="009F0EBA" w:rsidP="00CB441B">
      <w:pPr>
        <w:tabs>
          <w:tab w:val="left" w:pos="1661"/>
          <w:tab w:val="left" w:pos="1663"/>
        </w:tabs>
        <w:spacing w:before="120"/>
        <w:ind w:left="851" w:hanging="283"/>
        <w:jc w:val="both"/>
        <w:rPr>
          <w:rFonts w:ascii="Times New Roman" w:hAnsi="Times New Roman" w:cs="Times New Roman"/>
          <w:noProof/>
          <w:color w:val="231F20"/>
          <w:sz w:val="24"/>
          <w:szCs w:val="24"/>
        </w:rPr>
      </w:pPr>
      <w:r>
        <w:rPr>
          <w:rFonts w:ascii="Times New Roman" w:hAnsi="Times New Roman"/>
          <w:color w:val="231F20"/>
          <w:sz w:val="24"/>
        </w:rPr>
        <w:t>b) kopējie bruto ieņēmumi no finanšu aktīvu pārdošanas vai dzēšanas, kas iemaksāti kontā vai kreditēti uz kontu kalendārajā gadā vai citā attiecīgā ziņošanas periodā, kurā finanšu iestāde, kas sniedz ziņojumus, rīkojās kā turētājiestāde, ieguldījumu iestāde, nominālais finanšu aktīvu turētājs vai kā konta turētāja aģents;</w:t>
      </w:r>
    </w:p>
    <w:p w14:paraId="73458EBB" w14:textId="30793E3E" w:rsidR="00F02FF0" w:rsidRPr="00A350CA" w:rsidRDefault="00A350CA" w:rsidP="00AC7889">
      <w:pPr>
        <w:keepNext/>
        <w:keepLines/>
        <w:tabs>
          <w:tab w:val="left" w:pos="1301"/>
          <w:tab w:val="left" w:pos="1303"/>
        </w:tabs>
        <w:spacing w:before="120"/>
        <w:ind w:left="568"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6) jebkāda noguldījumu konta gadījumā – kopējā procentu bruto summa, kas iemaksāta kontā vai kreditēta uz kontu kalendārajā gadā vai citā attiecīgā ziņošanas periodā;</w:t>
      </w:r>
    </w:p>
    <w:p w14:paraId="4E819AF0" w14:textId="77777777" w:rsidR="00F02FF0" w:rsidRPr="00FD391F" w:rsidRDefault="00F02FF0" w:rsidP="00CB441B">
      <w:pPr>
        <w:spacing w:before="120"/>
        <w:ind w:left="567" w:hanging="283"/>
        <w:jc w:val="both"/>
        <w:rPr>
          <w:rFonts w:ascii="Times New Roman" w:hAnsi="Times New Roman" w:cs="Times New Roman"/>
          <w:noProof/>
          <w:sz w:val="24"/>
          <w:szCs w:val="24"/>
        </w:rPr>
      </w:pPr>
      <w:r>
        <w:rPr>
          <w:rFonts w:ascii="Times New Roman" w:hAnsi="Times New Roman"/>
          <w:b/>
          <w:bCs/>
          <w:i/>
          <w:iCs/>
          <w:color w:val="231F20"/>
          <w:sz w:val="24"/>
          <w:u w:val="single"/>
        </w:rPr>
        <w:t>6.bis) attiecībā uz vienību, kurai līdzdalības daļas tiek turētas ieguldījumu vienībā, kas ir juridisks veidojums, loma(-as), saskaņā ar kuru(-ām) persona, par kuru jāsniedz ziņojums, ir vienības līdzdalības daļu turētāja,</w:t>
      </w:r>
      <w:r>
        <w:rPr>
          <w:rFonts w:ascii="Times New Roman" w:hAnsi="Times New Roman"/>
          <w:color w:val="231F20"/>
          <w:sz w:val="24"/>
        </w:rPr>
        <w:t xml:space="preserve"> un</w:t>
      </w:r>
    </w:p>
    <w:p w14:paraId="5D21BE88" w14:textId="156F84F5" w:rsidR="00F02FF0" w:rsidRPr="00334F87" w:rsidRDefault="00334F87" w:rsidP="00CB441B">
      <w:pPr>
        <w:tabs>
          <w:tab w:val="left" w:pos="1301"/>
          <w:tab w:val="left" w:pos="1303"/>
        </w:tabs>
        <w:spacing w:before="120"/>
        <w:ind w:left="567" w:hanging="283"/>
        <w:jc w:val="both"/>
        <w:rPr>
          <w:rFonts w:ascii="Times New Roman" w:hAnsi="Times New Roman" w:cs="Times New Roman"/>
          <w:noProof/>
          <w:color w:val="231F20"/>
          <w:sz w:val="24"/>
          <w:szCs w:val="24"/>
        </w:rPr>
      </w:pPr>
      <w:r>
        <w:rPr>
          <w:rFonts w:ascii="Times New Roman" w:hAnsi="Times New Roman"/>
          <w:color w:val="231F20"/>
          <w:sz w:val="24"/>
        </w:rPr>
        <w:t>7) jebkura tāda konta gadījumā, kas nav minēts A punkta 5. vai 6. apakšpunktā, sniedz informāciju par kopējo bruto summu, kas iemaksāta vai kreditēta konta turētājam attiecībā uz kontu kalendārajā gadā vai citā attiecīgā ziņošanas periodā, attiecībā uz kuru finanšu iestāde, kas sniedz ziņojumus, ir maksājuma saistībām pakļauta persona vai parādnieks, tostarp par jebkādu tādu dzēšanai paredzētu maksājumu kopsummu, kas veikti konta turētājam kalendārajā gadā vai citā attiecīgā ziņošanas periodā.</w:t>
      </w:r>
    </w:p>
    <w:p w14:paraId="72973CF9" w14:textId="7823384B" w:rsidR="00F02FF0" w:rsidRPr="00334F87" w:rsidRDefault="00334F87" w:rsidP="00CB441B">
      <w:pPr>
        <w:tabs>
          <w:tab w:val="left" w:pos="941"/>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B. Paziņotajā informācijā jānorāda valūta, kurā ir izteikta katra summa.</w:t>
      </w:r>
    </w:p>
    <w:p w14:paraId="2F0B06EE" w14:textId="07AC66DA" w:rsidR="00F02FF0" w:rsidRPr="00334F87" w:rsidRDefault="00334F87" w:rsidP="00CB441B">
      <w:pPr>
        <w:tabs>
          <w:tab w:val="left" w:pos="934"/>
          <w:tab w:val="left" w:pos="936"/>
        </w:tabs>
        <w:spacing w:before="120"/>
        <w:ind w:left="284" w:hanging="284"/>
        <w:jc w:val="both"/>
        <w:rPr>
          <w:rFonts w:ascii="Times New Roman" w:hAnsi="Times New Roman" w:cs="Times New Roman"/>
          <w:noProof/>
          <w:sz w:val="24"/>
          <w:szCs w:val="24"/>
        </w:rPr>
      </w:pPr>
      <w:r>
        <w:rPr>
          <w:rFonts w:ascii="Times New Roman" w:hAnsi="Times New Roman"/>
          <w:color w:val="231F20"/>
          <w:sz w:val="24"/>
        </w:rPr>
        <w:t xml:space="preserve">C. Atkāpjoties no A punkta 1. apakšpunkta, ja konts, par kuru jāsniedz ziņojums, ir iepriekšpastāvējis konts, tad attiecībā uz to nav jāpaziņo </w:t>
      </w:r>
      <w:r>
        <w:rPr>
          <w:rFonts w:ascii="Times New Roman" w:hAnsi="Times New Roman"/>
          <w:i/>
          <w:iCs/>
          <w:color w:val="231F20"/>
          <w:sz w:val="24"/>
        </w:rPr>
        <w:t>TIN</w:t>
      </w:r>
      <w:r>
        <w:rPr>
          <w:rFonts w:ascii="Times New Roman" w:hAnsi="Times New Roman"/>
          <w:color w:val="231F20"/>
          <w:sz w:val="24"/>
        </w:rPr>
        <w:t xml:space="preserve"> vai dzimšanas datums, ja šāds(-i) </w:t>
      </w:r>
      <w:r>
        <w:rPr>
          <w:rFonts w:ascii="Times New Roman" w:hAnsi="Times New Roman"/>
          <w:i/>
          <w:iCs/>
          <w:color w:val="231F20"/>
          <w:sz w:val="24"/>
        </w:rPr>
        <w:t>TIN</w:t>
      </w:r>
      <w:r>
        <w:rPr>
          <w:rFonts w:ascii="Times New Roman" w:hAnsi="Times New Roman"/>
          <w:color w:val="231F20"/>
          <w:sz w:val="24"/>
        </w:rPr>
        <w:t xml:space="preserve"> vai dzimšanas datums nav norādīts finanšu iestādes, kas sniedz ziņojumus, reģistrētajos datos un ja attiecīgās valsts tiesību aktos šādai finanšu iestādei, kas sniedz ziņojumus, nav noteikts pienākums vākt šādu informāciju. Taču finanšu iestādei, kas sniedz ziņojumus, ir jāveic pietiekami pasākumi, lai noskaidrotu </w:t>
      </w:r>
      <w:r>
        <w:rPr>
          <w:rFonts w:ascii="Times New Roman" w:hAnsi="Times New Roman"/>
          <w:i/>
          <w:iCs/>
          <w:color w:val="231F20"/>
          <w:sz w:val="24"/>
        </w:rPr>
        <w:t>TIN</w:t>
      </w:r>
      <w:r>
        <w:rPr>
          <w:rFonts w:ascii="Times New Roman" w:hAnsi="Times New Roman"/>
          <w:color w:val="231F20"/>
          <w:sz w:val="24"/>
        </w:rPr>
        <w:t xml:space="preserve"> un dzimšanas datumu attiecībā uz iepriekšpastāvējušiem kontiem līdz tā otrā kalendārā gada beigām, kas seko gadam, kurā šie iepriekšpastāvējušie konti tika identificēti kā konti, par kuriem jāsniedz ziņojums,</w:t>
      </w:r>
      <w:r>
        <w:rPr>
          <w:rFonts w:ascii="Times New Roman" w:hAnsi="Times New Roman"/>
          <w:b/>
          <w:bCs/>
          <w:color w:val="231F20"/>
          <w:sz w:val="24"/>
        </w:rPr>
        <w:t xml:space="preserve"> </w:t>
      </w:r>
      <w:r>
        <w:rPr>
          <w:rFonts w:ascii="Times New Roman" w:hAnsi="Times New Roman"/>
          <w:b/>
          <w:bCs/>
          <w:i/>
          <w:iCs/>
          <w:color w:val="231F20"/>
          <w:sz w:val="24"/>
          <w:u w:val="single"/>
        </w:rPr>
        <w:t>un tad, kad tai nepieciešams atjaunot informāciju par iepriekšpastāvējušu kontu saskaņā ar valsts tiesību aktos paredzētajām</w:t>
      </w:r>
      <w:r>
        <w:rPr>
          <w:rFonts w:ascii="Times New Roman" w:hAnsi="Times New Roman"/>
          <w:b/>
          <w:bCs/>
          <w:color w:val="231F20"/>
          <w:sz w:val="24"/>
          <w:u w:val="single"/>
        </w:rPr>
        <w:t xml:space="preserve"> </w:t>
      </w:r>
      <w:r>
        <w:rPr>
          <w:rFonts w:ascii="Times New Roman" w:hAnsi="Times New Roman"/>
          <w:b/>
          <w:bCs/>
          <w:i/>
          <w:iCs/>
          <w:color w:val="231F20"/>
          <w:sz w:val="24"/>
          <w:u w:val="single"/>
        </w:rPr>
        <w:t>AML/KYC</w:t>
      </w:r>
      <w:r>
        <w:rPr>
          <w:rFonts w:ascii="Times New Roman" w:hAnsi="Times New Roman"/>
          <w:b/>
          <w:bCs/>
          <w:color w:val="231F20"/>
          <w:sz w:val="24"/>
          <w:u w:val="single"/>
        </w:rPr>
        <w:t xml:space="preserve"> </w:t>
      </w:r>
      <w:r>
        <w:rPr>
          <w:rFonts w:ascii="Times New Roman" w:hAnsi="Times New Roman"/>
          <w:b/>
          <w:bCs/>
          <w:i/>
          <w:iCs/>
          <w:color w:val="231F20"/>
          <w:sz w:val="24"/>
          <w:u w:val="single"/>
        </w:rPr>
        <w:t>procedūrām</w:t>
      </w:r>
      <w:r>
        <w:rPr>
          <w:rFonts w:ascii="Times New Roman" w:hAnsi="Times New Roman"/>
          <w:b/>
          <w:bCs/>
          <w:color w:val="231F20"/>
          <w:sz w:val="24"/>
        </w:rPr>
        <w:t>.</w:t>
      </w:r>
    </w:p>
    <w:p w14:paraId="5515B6A5" w14:textId="79A413F7" w:rsidR="00F02FF0" w:rsidRPr="00334F87" w:rsidRDefault="006E48F3" w:rsidP="00CB441B">
      <w:pPr>
        <w:tabs>
          <w:tab w:val="left" w:pos="941"/>
          <w:tab w:val="left" w:pos="943"/>
        </w:tabs>
        <w:spacing w:before="120"/>
        <w:ind w:left="284" w:hanging="284"/>
        <w:jc w:val="both"/>
        <w:rPr>
          <w:rFonts w:ascii="Times New Roman" w:hAnsi="Times New Roman" w:cs="Times New Roman"/>
          <w:noProof/>
          <w:sz w:val="24"/>
          <w:szCs w:val="24"/>
        </w:rPr>
      </w:pPr>
      <w:r>
        <w:rPr>
          <w:rFonts w:ascii="Times New Roman" w:hAnsi="Times New Roman"/>
          <w:color w:val="231F20"/>
          <w:sz w:val="24"/>
        </w:rPr>
        <w:t xml:space="preserve">D. Atkāpjoties no A punkta 1. apakšpunkta, </w:t>
      </w:r>
      <w:r>
        <w:rPr>
          <w:rFonts w:ascii="Times New Roman" w:hAnsi="Times New Roman"/>
          <w:i/>
          <w:iCs/>
          <w:color w:val="231F20"/>
          <w:sz w:val="24"/>
        </w:rPr>
        <w:t>TIN</w:t>
      </w:r>
      <w:r>
        <w:rPr>
          <w:rFonts w:ascii="Times New Roman" w:hAnsi="Times New Roman"/>
          <w:color w:val="231F20"/>
          <w:sz w:val="24"/>
        </w:rPr>
        <w:t xml:space="preserve"> nav jāpaziņo, ja i) </w:t>
      </w:r>
      <w:r>
        <w:rPr>
          <w:rFonts w:ascii="Times New Roman" w:hAnsi="Times New Roman"/>
          <w:i/>
          <w:iCs/>
          <w:color w:val="231F20"/>
          <w:sz w:val="24"/>
        </w:rPr>
        <w:t>TIN</w:t>
      </w:r>
      <w:r>
        <w:rPr>
          <w:rFonts w:ascii="Times New Roman" w:hAnsi="Times New Roman"/>
          <w:color w:val="231F20"/>
          <w:sz w:val="24"/>
        </w:rPr>
        <w:t xml:space="preserve"> nav izdevusi attiecīgā jurisdikcija, par kuru jāsniedz ziņojums, vai ii) attiecīgās jurisdikcijas, par kuru jāsniedz ziņojums, tiesību aktos nav noteikts pienākums vākt </w:t>
      </w:r>
      <w:r>
        <w:rPr>
          <w:rFonts w:ascii="Times New Roman" w:hAnsi="Times New Roman"/>
          <w:i/>
          <w:iCs/>
          <w:color w:val="231F20"/>
          <w:sz w:val="24"/>
        </w:rPr>
        <w:t>TIN</w:t>
      </w:r>
      <w:r>
        <w:rPr>
          <w:rFonts w:ascii="Times New Roman" w:hAnsi="Times New Roman"/>
          <w:color w:val="231F20"/>
          <w:sz w:val="24"/>
        </w:rPr>
        <w:t>, ko izdevusi šāda jurisdikcija, par kuru jāsniedz ziņojums.</w:t>
      </w:r>
    </w:p>
    <w:p w14:paraId="3D0CBE25" w14:textId="383A94EC" w:rsidR="00F02FF0" w:rsidRPr="00334F87" w:rsidRDefault="006E48F3" w:rsidP="00CB441B">
      <w:pPr>
        <w:tabs>
          <w:tab w:val="left" w:pos="941"/>
          <w:tab w:val="left" w:pos="943"/>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E. Atkāpjoties no A punkta 1. apakšpunkta, dzimšanas vieta nav jāziņo, ja finanšu iestādei, kas sniedz ziņojumus, valsts tiesību aktos ir noteikts pienākums vākt un sniegt šādu informāciju saistībā ar citām vajadzībām un tā ir pieejama elektroniski uzmeklējamajos datos, kurus uztur finanšu iestāde, kas sniedz ziņojumus.</w:t>
      </w:r>
    </w:p>
    <w:p w14:paraId="2CE761FE" w14:textId="72F3C084" w:rsidR="00F02FF0" w:rsidRPr="00334F87" w:rsidRDefault="006E48F3" w:rsidP="00CB441B">
      <w:pPr>
        <w:tabs>
          <w:tab w:val="left" w:pos="941"/>
          <w:tab w:val="left" w:pos="943"/>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F. Atkāpjoties no A punkta, par [xxxx]. gadu jāsniedz A punktā minētā informācija, izņemot A. punkta 5. apakšpunkta b) daļā minēto informāciju par bruto ieņēmumiem.</w:t>
      </w:r>
    </w:p>
    <w:p w14:paraId="43A70ADD" w14:textId="45B9C726" w:rsidR="00F02FF0" w:rsidRPr="00334F87" w:rsidRDefault="006E48F3" w:rsidP="00CB441B">
      <w:pPr>
        <w:tabs>
          <w:tab w:val="left" w:pos="941"/>
          <w:tab w:val="left" w:pos="943"/>
        </w:tabs>
        <w:spacing w:before="120"/>
        <w:ind w:left="284" w:hanging="284"/>
        <w:jc w:val="both"/>
        <w:rPr>
          <w:rFonts w:ascii="Times New Roman" w:hAnsi="Times New Roman" w:cs="Times New Roman"/>
          <w:b/>
          <w:i/>
          <w:noProof/>
          <w:color w:val="231F20"/>
          <w:sz w:val="24"/>
          <w:szCs w:val="24"/>
          <w:u w:val="thick" w:color="231F20"/>
        </w:rPr>
      </w:pPr>
      <w:r>
        <w:rPr>
          <w:rFonts w:ascii="Times New Roman" w:hAnsi="Times New Roman"/>
          <w:b/>
          <w:i/>
          <w:color w:val="231F20"/>
          <w:sz w:val="24"/>
        </w:rPr>
        <w:t xml:space="preserve">G. </w:t>
      </w:r>
      <w:r>
        <w:rPr>
          <w:rFonts w:ascii="Times New Roman" w:hAnsi="Times New Roman"/>
          <w:b/>
          <w:i/>
          <w:iCs/>
          <w:color w:val="231F20"/>
          <w:sz w:val="24"/>
          <w:u w:val="single"/>
        </w:rPr>
        <w:t>Atkāpjoties no A punkta 5. apakšpunkta b) daļas un ja vien finanšu iestāde, kas sniedz ziņojumus, neizlemj citādi attiecībā uz jebkādu skaidri identificētu kontu grupu, bruto ieņēmumi no finanšu aktīva pārdošanas vai dzēšanas nav jāziņo, ciktāl šādus bruto ieņēmumus no šāda finanšu aktīva pārdošanas vai dzēšanas finanšu iestāde, kas sniedz ziņojumus, paziņo saskaņā ar kriptoaktīvu ziņošanas sistēmu.</w:t>
      </w:r>
    </w:p>
    <w:p w14:paraId="7A58A5F6" w14:textId="77777777" w:rsidR="00F02FF0" w:rsidRPr="00FD391F" w:rsidRDefault="00F02FF0" w:rsidP="00CB441B">
      <w:pPr>
        <w:pStyle w:val="BodyText"/>
        <w:spacing w:before="120"/>
        <w:jc w:val="left"/>
        <w:rPr>
          <w:rFonts w:ascii="Times New Roman" w:hAnsi="Times New Roman" w:cs="Times New Roman"/>
          <w:b/>
          <w:i/>
          <w:noProof/>
          <w:sz w:val="24"/>
          <w:szCs w:val="24"/>
        </w:rPr>
      </w:pPr>
    </w:p>
    <w:p w14:paraId="35E3BADD" w14:textId="77777777" w:rsidR="00F02FF0" w:rsidRPr="006E48F3" w:rsidRDefault="00F02FF0" w:rsidP="00CB441B">
      <w:pPr>
        <w:pStyle w:val="Heading5"/>
        <w:spacing w:before="120"/>
        <w:ind w:left="0"/>
        <w:rPr>
          <w:rFonts w:ascii="Times New Roman" w:hAnsi="Times New Roman" w:cs="Times New Roman"/>
          <w:noProof/>
          <w:color w:val="4E81BD"/>
          <w:sz w:val="28"/>
          <w:szCs w:val="28"/>
        </w:rPr>
      </w:pPr>
      <w:bookmarkStart w:id="19" w:name="Section_II:_General_Due_Diligence_Requir"/>
      <w:bookmarkStart w:id="20" w:name="_bookmark3"/>
      <w:bookmarkEnd w:id="19"/>
      <w:bookmarkEnd w:id="20"/>
      <w:r>
        <w:rPr>
          <w:rFonts w:ascii="Times New Roman" w:hAnsi="Times New Roman"/>
          <w:color w:val="4E81BD"/>
          <w:sz w:val="28"/>
        </w:rPr>
        <w:t>II pants. Pienācīgas pārbaudes vispārīgās prasības</w:t>
      </w:r>
    </w:p>
    <w:p w14:paraId="03CABE44" w14:textId="14D76106" w:rsidR="00F02FF0" w:rsidRPr="006E48F3" w:rsidRDefault="006E48F3" w:rsidP="00CB441B">
      <w:pPr>
        <w:tabs>
          <w:tab w:val="left" w:pos="934"/>
          <w:tab w:val="left" w:pos="936"/>
        </w:tabs>
        <w:spacing w:before="240"/>
        <w:ind w:left="284" w:hanging="284"/>
        <w:jc w:val="both"/>
        <w:rPr>
          <w:rFonts w:ascii="Times New Roman" w:hAnsi="Times New Roman" w:cs="Times New Roman"/>
          <w:noProof/>
          <w:color w:val="231F20"/>
          <w:sz w:val="24"/>
          <w:szCs w:val="24"/>
        </w:rPr>
      </w:pPr>
      <w:r>
        <w:rPr>
          <w:rFonts w:ascii="Times New Roman" w:hAnsi="Times New Roman"/>
          <w:color w:val="231F20"/>
          <w:sz w:val="24"/>
        </w:rPr>
        <w:t>A. Kontu uzskata par kontu, par kuru jāsniedz ziņojums, no dienas, kad tas šādi identificēts saskaņā ar II–VII pantā noteiktajām pienācīgas pārbaudes procedūrām, un, ja vien nav noteikts citādi, informācija attiecībā uz kontu, par kuru jāsniedz ziņojums, ir jāpaziņo katru gadu kalendārajā gadā pēc gada, uz kuru informācija attiecas.</w:t>
      </w:r>
    </w:p>
    <w:p w14:paraId="13F1EF47" w14:textId="2ACEE971" w:rsidR="00F02FF0" w:rsidRPr="004E478C" w:rsidRDefault="004E478C" w:rsidP="00CB441B">
      <w:pPr>
        <w:tabs>
          <w:tab w:val="left" w:pos="934"/>
          <w:tab w:val="left" w:pos="936"/>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B. Konta bilanci vai vērtību nosaka kalendārā gada vai cita attiecīga ziņošanas perioda pēdējā dienā.</w:t>
      </w:r>
    </w:p>
    <w:p w14:paraId="7225CD60" w14:textId="77777777" w:rsidR="004E478C" w:rsidRDefault="004E478C" w:rsidP="00AC7889">
      <w:pPr>
        <w:keepNext/>
        <w:keepLines/>
        <w:tabs>
          <w:tab w:val="left" w:pos="934"/>
          <w:tab w:val="left" w:pos="936"/>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C. Ja robežvērtība konta bilancei vai vērtībai jānosaka kalendārā gada pēdējā dienā, attiecīgā bilance vai vērtība jānosaka tā ziņošanas perioda pēdējā dienā, kas beidzas līdz ar šo kalendāro gadu vai šajā kalendārajā gadā.</w:t>
      </w:r>
    </w:p>
    <w:p w14:paraId="2E28C073" w14:textId="77777777" w:rsidR="004E478C" w:rsidRDefault="004E478C" w:rsidP="00CB441B">
      <w:pPr>
        <w:tabs>
          <w:tab w:val="left" w:pos="934"/>
          <w:tab w:val="left" w:pos="936"/>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D. Katra jurisdikcija var atļaut finanšu iestādēm, kas sniedz ziņojumus, izmantot pakalpojumu sniedzējus, lai izpildītu ziņojumu sniegšanas vai pienācīgas pārbaudes pienākumus, kuri noteikti šādai finanšu iestādei, kas sniedz ziņojumus, kā tas paredzēts attiecīgās valsts tiesību aktos, taču par šādu pienākumu izpildi joprojām atbild finanšu iestāde, kas sniedz ziņojumus.</w:t>
      </w:r>
    </w:p>
    <w:p w14:paraId="10B9663C" w14:textId="750C0231" w:rsidR="00F02FF0" w:rsidRPr="004E478C" w:rsidRDefault="004E478C" w:rsidP="00CB441B">
      <w:pPr>
        <w:tabs>
          <w:tab w:val="left" w:pos="934"/>
          <w:tab w:val="left" w:pos="936"/>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E. Katra jurisdikcija var atļaut finanšu iestādēm, kas sniedz ziņojumus, piemērot jaunu kontu pienācīgas pārbaudes procedūras iepriekšpastāvējušiem kontiem un lielas vērtības kontu pienācīgas pārbaudes procedūras zemākas vērtības kontiem. Ja jurisdikcija atļauj izmantot jaunu kontu pienācīgas pārbaudes procedūras iepriekšpastāvējušiem kontiem, citi noteikumi, kas piemērojami attiecībā uz iepriekšpastāvējušiem kontiem, paliek spēkā.</w:t>
      </w:r>
    </w:p>
    <w:p w14:paraId="3393C98A" w14:textId="77777777" w:rsidR="00F02FF0" w:rsidRPr="00FD391F" w:rsidRDefault="00F02FF0" w:rsidP="00CB441B">
      <w:pPr>
        <w:pStyle w:val="BodyText"/>
        <w:spacing w:before="120"/>
        <w:jc w:val="left"/>
        <w:rPr>
          <w:rFonts w:ascii="Times New Roman" w:hAnsi="Times New Roman" w:cs="Times New Roman"/>
          <w:noProof/>
          <w:sz w:val="24"/>
          <w:szCs w:val="24"/>
        </w:rPr>
      </w:pPr>
    </w:p>
    <w:p w14:paraId="47A78062" w14:textId="77777777" w:rsidR="00F02FF0" w:rsidRPr="004E478C" w:rsidRDefault="00F02FF0" w:rsidP="00CB441B">
      <w:pPr>
        <w:pStyle w:val="Heading5"/>
        <w:spacing w:before="120"/>
        <w:ind w:left="0"/>
        <w:jc w:val="both"/>
        <w:rPr>
          <w:rFonts w:ascii="Times New Roman" w:hAnsi="Times New Roman" w:cs="Times New Roman"/>
          <w:noProof/>
          <w:color w:val="4E81BD"/>
          <w:sz w:val="28"/>
          <w:szCs w:val="28"/>
        </w:rPr>
      </w:pPr>
      <w:bookmarkStart w:id="21" w:name="Section_III:_Due_Diligence_for_Preexisti"/>
      <w:bookmarkStart w:id="22" w:name="_bookmark4"/>
      <w:bookmarkEnd w:id="21"/>
      <w:bookmarkEnd w:id="22"/>
      <w:r>
        <w:rPr>
          <w:rFonts w:ascii="Times New Roman" w:hAnsi="Times New Roman"/>
          <w:color w:val="4E81BD"/>
          <w:sz w:val="28"/>
        </w:rPr>
        <w:t>III pants. Iepriekšpastāvējušu fizisku personu kontu pienācīga pārbaude</w:t>
      </w:r>
    </w:p>
    <w:p w14:paraId="6E0FB300" w14:textId="77777777" w:rsidR="004E478C" w:rsidRDefault="00F02FF0" w:rsidP="00CB441B">
      <w:pPr>
        <w:pStyle w:val="BodyText"/>
        <w:spacing w:before="240"/>
        <w:rPr>
          <w:rFonts w:ascii="Times New Roman" w:hAnsi="Times New Roman" w:cs="Times New Roman"/>
          <w:noProof/>
          <w:sz w:val="24"/>
          <w:szCs w:val="24"/>
        </w:rPr>
      </w:pPr>
      <w:r>
        <w:rPr>
          <w:rFonts w:ascii="Times New Roman" w:hAnsi="Times New Roman"/>
          <w:sz w:val="24"/>
        </w:rPr>
        <w:t>Lai noteiktu, kuri no iepriekšpastāvējušiem fizisku personu kontiem ir konti, par kuriem jāsniedz ziņojums, piemēro turpmāk minētās procedūras.</w:t>
      </w:r>
    </w:p>
    <w:p w14:paraId="4C0270EC" w14:textId="77777777" w:rsidR="004E478C" w:rsidRDefault="004E478C" w:rsidP="00CB441B">
      <w:pPr>
        <w:pStyle w:val="BodyText"/>
        <w:spacing w:before="120"/>
        <w:ind w:left="284" w:hanging="284"/>
        <w:rPr>
          <w:rFonts w:ascii="Times New Roman" w:hAnsi="Times New Roman" w:cs="Times New Roman"/>
          <w:noProof/>
          <w:color w:val="231F20"/>
          <w:sz w:val="24"/>
          <w:szCs w:val="24"/>
        </w:rPr>
      </w:pPr>
      <w:r>
        <w:rPr>
          <w:rFonts w:ascii="Times New Roman" w:hAnsi="Times New Roman"/>
          <w:sz w:val="24"/>
        </w:rPr>
        <w:t xml:space="preserve">A. </w:t>
      </w:r>
      <w:r>
        <w:rPr>
          <w:rFonts w:ascii="Times New Roman" w:hAnsi="Times New Roman"/>
          <w:b/>
          <w:color w:val="231F20"/>
          <w:sz w:val="24"/>
        </w:rPr>
        <w:t xml:space="preserve">Konti, kuri nav jāpārbauda, jāidentificē vai par kuriem nav jāsniedz ziņojumi. </w:t>
      </w:r>
      <w:r>
        <w:rPr>
          <w:rFonts w:ascii="Times New Roman" w:hAnsi="Times New Roman"/>
          <w:color w:val="231F20"/>
          <w:sz w:val="24"/>
        </w:rPr>
        <w:t>Iepriekšpastāvējis fiziskas personas konts, kas ir apdrošināšanas līgums ar naudas vērtību vai anuitātes līgums, nav jāpārbauda, jāidentificē vai par to nav jāsniedz ziņojums, ja finanšu iestādei, kas sniedz ziņojumus, tiesību akti faktiski liedz pārdot šādu līgumu jurisdikcijas, par kuru jāsniedz ziņojums, rezidentiem.</w:t>
      </w:r>
    </w:p>
    <w:p w14:paraId="39237D39" w14:textId="77777777" w:rsidR="004E478C" w:rsidRDefault="004E478C" w:rsidP="00CB441B">
      <w:pPr>
        <w:pStyle w:val="BodyText"/>
        <w:spacing w:before="120"/>
        <w:ind w:left="284" w:hanging="284"/>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b/>
          <w:sz w:val="24"/>
        </w:rPr>
        <w:t xml:space="preserve">Zemākas vērtības konti. </w:t>
      </w:r>
      <w:r>
        <w:rPr>
          <w:rFonts w:ascii="Times New Roman" w:hAnsi="Times New Roman"/>
          <w:sz w:val="24"/>
        </w:rPr>
        <w:t>Attiecībā uz zemākas vērtības kontiem piemēro turpmāk aprakstītās procedūras.</w:t>
      </w:r>
    </w:p>
    <w:p w14:paraId="4688D1D1" w14:textId="77777777" w:rsidR="004E478C" w:rsidRDefault="004E478C" w:rsidP="00CB441B">
      <w:pPr>
        <w:pStyle w:val="BodyText"/>
        <w:spacing w:before="120"/>
        <w:ind w:left="567" w:hanging="284"/>
        <w:rPr>
          <w:rFonts w:ascii="Times New Roman" w:hAnsi="Times New Roman" w:cs="Times New Roman"/>
          <w:noProof/>
          <w:sz w:val="24"/>
          <w:szCs w:val="24"/>
        </w:rPr>
      </w:pPr>
      <w:r>
        <w:rPr>
          <w:rFonts w:ascii="Times New Roman" w:hAnsi="Times New Roman"/>
          <w:sz w:val="24"/>
        </w:rPr>
        <w:t xml:space="preserve">1. </w:t>
      </w:r>
      <w:r>
        <w:rPr>
          <w:rFonts w:ascii="Times New Roman" w:hAnsi="Times New Roman"/>
          <w:b/>
          <w:sz w:val="24"/>
        </w:rPr>
        <w:t xml:space="preserve">Dzīvesvietas adrese. </w:t>
      </w:r>
      <w:r>
        <w:rPr>
          <w:rFonts w:ascii="Times New Roman" w:hAnsi="Times New Roman"/>
          <w:sz w:val="24"/>
        </w:rPr>
        <w:t>Ja finanšu iestādes, kas sniedz ziņojumus, reģistrētajos datos ir individuālā konta turētāja spēkā esošā dzīvesvietas adrese, kura pamatota ar dokumentāriem pierādījumiem, tad, lai noteiktu, vai šāds individuāls konta turētājs ir persona, par kuru jāsniedz ziņojums, finanšu iestāde, kas sniedz ziņojumus, var uzskatīt, ka individuālais konta turētājs ir jurisdikcijas, kurā atrodas adrese, rezidents nodokļu aprēķina vajadzībām.</w:t>
      </w:r>
    </w:p>
    <w:p w14:paraId="7034B2DC" w14:textId="77777777" w:rsidR="004E478C" w:rsidRDefault="004E478C"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sz w:val="24"/>
        </w:rPr>
        <w:t xml:space="preserve">2. </w:t>
      </w:r>
      <w:r>
        <w:rPr>
          <w:rFonts w:ascii="Times New Roman" w:hAnsi="Times New Roman"/>
          <w:b/>
          <w:color w:val="231F20"/>
          <w:sz w:val="24"/>
        </w:rPr>
        <w:t xml:space="preserve">Elektroniska datu meklēšana. </w:t>
      </w:r>
      <w:r>
        <w:rPr>
          <w:rFonts w:ascii="Times New Roman" w:hAnsi="Times New Roman"/>
          <w:color w:val="231F20"/>
          <w:sz w:val="24"/>
        </w:rPr>
        <w:t>Ja finanšu iestāde, kas sniedz ziņojumus, nepaļaujas uz individuāla konta turētāja spēkā esošo dzīvesvietas adresi, kas pamatota ar dokumentāriem pierādījumiem, kā izklāstīts B punkta 1. apakšpunktā, tad finanšu iestādei, kas sniedz ziņojumus, jāizskata tās uzturētie elektroniski uzmeklējamie dati, meklējot turpmāk minētās pazīmes, un jāpiemēro B punkta 3.–6. apakšpunkts:</w:t>
      </w:r>
    </w:p>
    <w:p w14:paraId="3066CCA5" w14:textId="77777777" w:rsidR="004E478C" w:rsidRDefault="004E478C" w:rsidP="00CB441B">
      <w:pPr>
        <w:pStyle w:val="BodyText"/>
        <w:spacing w:before="120"/>
        <w:ind w:left="851" w:hanging="284"/>
        <w:rPr>
          <w:rFonts w:ascii="Times New Roman" w:hAnsi="Times New Roman" w:cs="Times New Roman"/>
          <w:noProof/>
          <w:sz w:val="24"/>
          <w:szCs w:val="24"/>
        </w:rPr>
      </w:pPr>
      <w:r>
        <w:rPr>
          <w:rFonts w:ascii="Times New Roman" w:hAnsi="Times New Roman"/>
          <w:color w:val="231F20"/>
          <w:sz w:val="24"/>
        </w:rPr>
        <w:t>a)</w:t>
      </w:r>
      <w:r>
        <w:rPr>
          <w:rFonts w:ascii="Times New Roman" w:hAnsi="Times New Roman"/>
          <w:sz w:val="24"/>
        </w:rPr>
        <w:t xml:space="preserve"> norāde par konta turētāju kā jurisdikcijas, par kuru jāsniedz ziņojums, rezidentu;</w:t>
      </w:r>
    </w:p>
    <w:p w14:paraId="45AD2738" w14:textId="77777777" w:rsidR="004E478C" w:rsidRDefault="004E478C" w:rsidP="00CB441B">
      <w:pPr>
        <w:pStyle w:val="BodyText"/>
        <w:spacing w:before="120"/>
        <w:ind w:left="851" w:hanging="284"/>
        <w:rPr>
          <w:rFonts w:ascii="Times New Roman" w:hAnsi="Times New Roman" w:cs="Times New Roman"/>
          <w:noProof/>
          <w:sz w:val="24"/>
          <w:szCs w:val="24"/>
        </w:rPr>
      </w:pPr>
      <w:r>
        <w:rPr>
          <w:rFonts w:ascii="Times New Roman" w:hAnsi="Times New Roman"/>
          <w:sz w:val="24"/>
        </w:rPr>
        <w:t>b) spēkā esoša pasta adrese vai dzīvesvietas adrese (tostarp pasta abonenta kastīte) jurisdikcijā, par kuru jāsniedz ziņojums;</w:t>
      </w:r>
    </w:p>
    <w:p w14:paraId="7B54B82E" w14:textId="77777777" w:rsidR="004E478C" w:rsidRDefault="004E478C" w:rsidP="00CB441B">
      <w:pPr>
        <w:pStyle w:val="BodyText"/>
        <w:spacing w:before="120"/>
        <w:ind w:left="851" w:hanging="284"/>
        <w:rPr>
          <w:rFonts w:ascii="Times New Roman" w:hAnsi="Times New Roman" w:cs="Times New Roman"/>
          <w:noProof/>
          <w:sz w:val="24"/>
          <w:szCs w:val="24"/>
        </w:rPr>
      </w:pPr>
      <w:r>
        <w:rPr>
          <w:rFonts w:ascii="Times New Roman" w:hAnsi="Times New Roman"/>
          <w:sz w:val="24"/>
        </w:rPr>
        <w:t>c) viens vai vairāki tālruņa numuri jurisdikcijā, par kuru jāsniedz ziņojums, un neviens tālruņa numurs jurisdikcijā, kurā atrodas finanšu iestāde, kas sniedz ziņojumus;</w:t>
      </w:r>
    </w:p>
    <w:p w14:paraId="655B2552" w14:textId="77777777" w:rsidR="004E478C" w:rsidRDefault="004E478C" w:rsidP="00CB441B">
      <w:pPr>
        <w:pStyle w:val="BodyText"/>
        <w:spacing w:before="120"/>
        <w:ind w:left="851" w:hanging="284"/>
        <w:rPr>
          <w:rFonts w:ascii="Times New Roman" w:hAnsi="Times New Roman" w:cs="Times New Roman"/>
          <w:noProof/>
          <w:sz w:val="24"/>
          <w:szCs w:val="24"/>
        </w:rPr>
      </w:pPr>
      <w:r>
        <w:rPr>
          <w:rFonts w:ascii="Times New Roman" w:hAnsi="Times New Roman"/>
          <w:sz w:val="24"/>
        </w:rPr>
        <w:t>d) regulāri rīkojumi (izņemot attiecībā uz noguldījumu kontu) pārskaitīt finanšu līdzekļus uz kontu, kas tiek uzturēts jurisdikcijā, par kuru jāsniedz ziņojums;</w:t>
      </w:r>
    </w:p>
    <w:p w14:paraId="60B99ABD" w14:textId="77777777" w:rsidR="004E478C" w:rsidRDefault="004E478C" w:rsidP="00CB441B">
      <w:pPr>
        <w:pStyle w:val="BodyText"/>
        <w:spacing w:before="120"/>
        <w:ind w:left="851" w:hanging="284"/>
        <w:rPr>
          <w:rFonts w:ascii="Times New Roman" w:hAnsi="Times New Roman" w:cs="Times New Roman"/>
          <w:noProof/>
          <w:sz w:val="24"/>
          <w:szCs w:val="24"/>
        </w:rPr>
      </w:pPr>
      <w:r>
        <w:rPr>
          <w:rFonts w:ascii="Times New Roman" w:hAnsi="Times New Roman"/>
          <w:sz w:val="24"/>
        </w:rPr>
        <w:t>e) spēkā esoša pilnvara vai paraksta tiesības, kas piešķirtas personai ar adresi jurisdikcijā, par kuru jāsniedz ziņojums, vai</w:t>
      </w:r>
    </w:p>
    <w:p w14:paraId="60778F3F" w14:textId="77777777" w:rsidR="004E478C" w:rsidRDefault="004E478C" w:rsidP="00971F84">
      <w:pPr>
        <w:pStyle w:val="BodyText"/>
        <w:keepNext/>
        <w:keepLines/>
        <w:spacing w:before="120"/>
        <w:ind w:left="851" w:hanging="284"/>
        <w:rPr>
          <w:rFonts w:ascii="Times New Roman" w:hAnsi="Times New Roman" w:cs="Times New Roman"/>
          <w:noProof/>
          <w:sz w:val="24"/>
          <w:szCs w:val="24"/>
        </w:rPr>
      </w:pPr>
      <w:r>
        <w:rPr>
          <w:rFonts w:ascii="Times New Roman" w:hAnsi="Times New Roman"/>
          <w:sz w:val="24"/>
        </w:rPr>
        <w:lastRenderedPageBreak/>
        <w:t>f) norādījums par “adresi, uz kuru tiek sūtīti saņēmējam adresēti pasta sūtījumi” vai “adrese, ar kuru saņēmējs ir saistīts” jurisdikcijā, par kuru jāsniedz ziņojums, ja finanšu iestādei, kas sniedz ziņojumus, nav nevienas citas adreses konta turētāja datnē.</w:t>
      </w:r>
    </w:p>
    <w:p w14:paraId="0A4C2B2F" w14:textId="77777777" w:rsidR="004E478C" w:rsidRDefault="004E478C"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sz w:val="24"/>
        </w:rPr>
        <w:t xml:space="preserve">3. </w:t>
      </w:r>
      <w:r>
        <w:rPr>
          <w:rFonts w:ascii="Times New Roman" w:hAnsi="Times New Roman"/>
          <w:color w:val="231F20"/>
          <w:sz w:val="24"/>
        </w:rPr>
        <w:t>Ja elektroniskās meklēšanas laikā netiek atrasta neviena no B punkta 2. apakšpunktā minētajām pazīmēm, nav nepieciešamas nekādas turpmākas darbības līdz apstākļu maiņai, kā rezultātā viena vai vairākas pazīmes kļūst saistāmas ar kontu vai arī konts kļūst par lielas vērtības kontu.</w:t>
      </w:r>
    </w:p>
    <w:p w14:paraId="7C9FD02E" w14:textId="77777777" w:rsidR="004E478C" w:rsidRDefault="004E478C"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color w:val="231F20"/>
          <w:sz w:val="24"/>
        </w:rPr>
        <w:t>4. Ja elektroniskās meklēšanas laikā tiek atklāta kāda no B punkta 2. apakšpunkta a)–e) daļā minētajām pazīmēm vai ja mainās apstākļi, kā rezultātā viena vai vairākas pazīmes tiek saistītas ar kontu, tad finanšu iestādei, kas sniedz ziņojumus, jāuzskata, ka konta turētājs ir rezidents nodokļu aprēķina vajadzībām katrā jurisdikcijā, par kuru jāsniedz ziņojums un attiecībā uz kuru ir identificēta pazīme, izņemot gadījumus, kad tā izvēlas piemērot B punkta 6. apakšpunktu un uz minēto kontu attiecas viens no šajā apakšpunktā noteiktajiem izņēmumiem.</w:t>
      </w:r>
    </w:p>
    <w:p w14:paraId="3564EBAE" w14:textId="77777777" w:rsidR="004E478C" w:rsidRDefault="004E478C"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color w:val="231F20"/>
          <w:sz w:val="24"/>
        </w:rPr>
        <w:t>5. Ja elektroniskās meklēšanas laikā tiek atrasts norādījums par “adresi, uz kuru tiek sūtīti saņēmējam adresēti pasta sūtījumi” vai “adrese, ar kuru saņēmējs ir saistīts” un attiecībā uz konta turētāju netiek identificēta neviena cita adrese un neviena cita B punkta 2. apakšpunkta a)–e) daļā minētā pazīme, finanšu iestādei, kas sniedz ziņojumus, apstākļiem vispiemērotākajā kārtībā jāveic datu meklēšana papīra dokumentos, kas aprakstīta C punkta 2. apakšpunktā, vai jācenšas iegūt no konta turētāja pašapliecinājums vai dokumentāri pierādījumi, lai noteiktu šāda konta turētāja rezidences vietu(-as) nodokļu aprēķina vajadzībām. Ja papīra dokumentos nav atrasta neviena pazīme un mēģinājums iegūt pašapliecinājumu vai dokumentārus pierādījumus nav veiksmīgs, finanšu iestādei, kas sniedz ziņojumus, konts jāpaziņo kā nedokumentēts konts.</w:t>
      </w:r>
    </w:p>
    <w:p w14:paraId="30A6ED0B" w14:textId="77777777" w:rsidR="004E478C" w:rsidRDefault="004E478C"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color w:val="231F20"/>
          <w:sz w:val="24"/>
        </w:rPr>
        <w:t>6. Neatkarīgi no tā, vai tiek atrasta B punkta 2. apakšpunktā norādītā pazīme, finanšu iestādei, kas sniedz ziņojumus, nav jāuzskata, ka konta turētājs ir rezidents jurisdikcijā, par kuru jāsniedz ziņojums, ja:</w:t>
      </w:r>
    </w:p>
    <w:p w14:paraId="76C93407" w14:textId="77777777" w:rsidR="004E478C" w:rsidRDefault="004E478C" w:rsidP="00CB441B">
      <w:pPr>
        <w:pStyle w:val="BodyText"/>
        <w:spacing w:before="120"/>
        <w:ind w:left="851" w:hanging="284"/>
        <w:rPr>
          <w:rFonts w:ascii="Times New Roman" w:hAnsi="Times New Roman" w:cs="Times New Roman"/>
          <w:noProof/>
          <w:color w:val="231F20"/>
          <w:sz w:val="24"/>
          <w:szCs w:val="24"/>
        </w:rPr>
      </w:pPr>
      <w:r>
        <w:rPr>
          <w:rFonts w:ascii="Times New Roman" w:hAnsi="Times New Roman"/>
          <w:color w:val="231F20"/>
          <w:sz w:val="24"/>
        </w:rPr>
        <w:t>a) informācijā par konta turētāju iekļauta spēkā esoša pasta vai dzīvesvietas adrese jurisdikcijā, par kuru jāsniedz ziņojums, viens vai vairāki tālruņa numuri šajā jurisdikcijā (un neviens tālruņa numurs jurisdikcijā, kurā atrodas finanšu iestāde, kas sniedz ziņojumus) vai regulāri rīkojumi (attiecībā uz finanšu kontiem, kas nav noguldījumu konti) par finanšu līdzekļu pārskaitīšanu uz jurisdikcijā, par kuru jāsniedz ziņojums, uzturētu kontu, un finanšu iestāde, kas sniedz ziņojumus, iegūst vai ir iepriekš izskatījusi un reģistrējusi šādu informāciju:</w:t>
      </w:r>
    </w:p>
    <w:p w14:paraId="256AA104" w14:textId="77777777" w:rsidR="004E478C" w:rsidRDefault="004E478C" w:rsidP="00CB441B">
      <w:pPr>
        <w:pStyle w:val="BodyText"/>
        <w:spacing w:before="120"/>
        <w:ind w:left="1134" w:hanging="284"/>
        <w:rPr>
          <w:rFonts w:ascii="Times New Roman" w:hAnsi="Times New Roman" w:cs="Times New Roman"/>
          <w:noProof/>
          <w:color w:val="231F20"/>
          <w:sz w:val="24"/>
          <w:szCs w:val="24"/>
        </w:rPr>
      </w:pPr>
      <w:r>
        <w:rPr>
          <w:rFonts w:ascii="Times New Roman" w:hAnsi="Times New Roman"/>
          <w:color w:val="231F20"/>
          <w:sz w:val="24"/>
        </w:rPr>
        <w:t>i) konta turētāja pašapliecinājums par konta turētāja rezidences jurisdikciju(-ām), kurā nav norādīta šāda jurisdikcija, par ko jāsniedz ziņojums, un</w:t>
      </w:r>
    </w:p>
    <w:p w14:paraId="4FA31C70" w14:textId="77777777" w:rsidR="004E478C" w:rsidRDefault="004E478C" w:rsidP="00CB441B">
      <w:pPr>
        <w:pStyle w:val="BodyText"/>
        <w:spacing w:before="120"/>
        <w:ind w:left="1134" w:hanging="284"/>
        <w:rPr>
          <w:rFonts w:ascii="Times New Roman" w:hAnsi="Times New Roman" w:cs="Times New Roman"/>
          <w:noProof/>
          <w:color w:val="231F20"/>
          <w:sz w:val="24"/>
          <w:szCs w:val="24"/>
        </w:rPr>
      </w:pPr>
      <w:r>
        <w:rPr>
          <w:rFonts w:ascii="Times New Roman" w:hAnsi="Times New Roman"/>
          <w:color w:val="231F20"/>
          <w:sz w:val="24"/>
        </w:rPr>
        <w:t>ii) dokumentāri pierādījumi, kas apliecina, ka par konta turētāju nav jāsniedz ziņojums;</w:t>
      </w:r>
    </w:p>
    <w:p w14:paraId="0F19EE1C" w14:textId="77777777" w:rsidR="004E478C" w:rsidRDefault="004E478C" w:rsidP="00CB441B">
      <w:pPr>
        <w:pStyle w:val="BodyText"/>
        <w:spacing w:before="120"/>
        <w:ind w:left="851" w:hanging="284"/>
        <w:rPr>
          <w:rFonts w:ascii="Times New Roman" w:hAnsi="Times New Roman" w:cs="Times New Roman"/>
          <w:noProof/>
          <w:color w:val="231F20"/>
          <w:sz w:val="24"/>
          <w:szCs w:val="24"/>
        </w:rPr>
      </w:pPr>
      <w:r>
        <w:rPr>
          <w:rFonts w:ascii="Times New Roman" w:hAnsi="Times New Roman"/>
          <w:color w:val="231F20"/>
          <w:sz w:val="24"/>
        </w:rPr>
        <w:t>b) informācijā par konta turētāju norādīta spēkā esoša pilnvara vai paraksta tiesības, kas piešķirtas personai ar adresi jurisdikcijā, par kuru jāsniedz ziņojums, un finanšu iestāde, kas sniedz ziņojumus, iegūst vai iepriekš ir izskatījusi un reģistrējusi šādu informāciju:</w:t>
      </w:r>
    </w:p>
    <w:p w14:paraId="03436E56" w14:textId="77777777" w:rsidR="004E478C" w:rsidRDefault="004E478C" w:rsidP="00CB441B">
      <w:pPr>
        <w:pStyle w:val="BodyText"/>
        <w:spacing w:before="120"/>
        <w:ind w:left="1134" w:hanging="284"/>
        <w:rPr>
          <w:rFonts w:ascii="Times New Roman" w:hAnsi="Times New Roman" w:cs="Times New Roman"/>
          <w:noProof/>
          <w:color w:val="231F20"/>
          <w:sz w:val="24"/>
          <w:szCs w:val="24"/>
        </w:rPr>
      </w:pPr>
      <w:r>
        <w:rPr>
          <w:rFonts w:ascii="Times New Roman" w:hAnsi="Times New Roman"/>
          <w:color w:val="231F20"/>
          <w:sz w:val="24"/>
        </w:rPr>
        <w:t>i) konta turētāja pašapliecinājums par konta turētāja rezidences jurisdikciju(-ām), kurā nav norādīta šāda jurisdikcija, par ko jāsniedz ziņojums, vai</w:t>
      </w:r>
    </w:p>
    <w:p w14:paraId="0CF34411" w14:textId="77777777" w:rsidR="004E478C" w:rsidRDefault="004E478C" w:rsidP="00CB441B">
      <w:pPr>
        <w:pStyle w:val="BodyText"/>
        <w:spacing w:before="120"/>
        <w:ind w:left="1134" w:hanging="284"/>
        <w:rPr>
          <w:rFonts w:ascii="Times New Roman" w:hAnsi="Times New Roman" w:cs="Times New Roman"/>
          <w:noProof/>
          <w:color w:val="231F20"/>
          <w:sz w:val="24"/>
          <w:szCs w:val="24"/>
        </w:rPr>
      </w:pPr>
      <w:r>
        <w:rPr>
          <w:rFonts w:ascii="Times New Roman" w:hAnsi="Times New Roman"/>
          <w:color w:val="231F20"/>
          <w:sz w:val="24"/>
        </w:rPr>
        <w:t>ii) dokumentāri pierādījumi, kas apliecina, ka par konta turētāju nav jāsniedz ziņojumi.</w:t>
      </w:r>
    </w:p>
    <w:p w14:paraId="06BB247F" w14:textId="76F9D255" w:rsidR="00F02FF0" w:rsidRPr="004E478C" w:rsidRDefault="004E478C" w:rsidP="00CB441B">
      <w:pPr>
        <w:pStyle w:val="BodyText"/>
        <w:spacing w:before="120"/>
        <w:ind w:left="284" w:hanging="284"/>
        <w:rPr>
          <w:rFonts w:ascii="Times New Roman" w:hAnsi="Times New Roman" w:cs="Times New Roman"/>
          <w:noProof/>
          <w:sz w:val="24"/>
          <w:szCs w:val="24"/>
        </w:rPr>
      </w:pPr>
      <w:r>
        <w:rPr>
          <w:rFonts w:ascii="Times New Roman" w:hAnsi="Times New Roman"/>
          <w:sz w:val="24"/>
        </w:rPr>
        <w:lastRenderedPageBreak/>
        <w:t xml:space="preserve">C. </w:t>
      </w:r>
      <w:r>
        <w:rPr>
          <w:rFonts w:ascii="Times New Roman" w:hAnsi="Times New Roman"/>
          <w:b/>
          <w:bCs/>
          <w:sz w:val="24"/>
        </w:rPr>
        <w:t>Pastiprinātas pārbaudes procedūras lielas vērtības kontiem.</w:t>
      </w:r>
      <w:r>
        <w:rPr>
          <w:rFonts w:ascii="Times New Roman" w:hAnsi="Times New Roman"/>
          <w:b/>
          <w:sz w:val="24"/>
        </w:rPr>
        <w:t xml:space="preserve"> </w:t>
      </w:r>
      <w:r>
        <w:rPr>
          <w:rFonts w:ascii="Times New Roman" w:hAnsi="Times New Roman"/>
          <w:sz w:val="24"/>
        </w:rPr>
        <w:t>Attiecībā uz lielas vērtības kontiem piemēro turpmāk minētās pastiprinātas pārbaudes procedūras.</w:t>
      </w:r>
    </w:p>
    <w:p w14:paraId="2ACB9CBB" w14:textId="77777777" w:rsidR="003C366A" w:rsidRDefault="003C366A" w:rsidP="00CB441B">
      <w:pPr>
        <w:tabs>
          <w:tab w:val="left" w:pos="1354"/>
          <w:tab w:val="left" w:pos="135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1.</w:t>
      </w:r>
      <w:r>
        <w:rPr>
          <w:rFonts w:ascii="Times New Roman" w:hAnsi="Times New Roman"/>
          <w:b/>
          <w:color w:val="231F20"/>
          <w:sz w:val="24"/>
        </w:rPr>
        <w:t xml:space="preserve"> </w:t>
      </w:r>
      <w:r>
        <w:rPr>
          <w:rFonts w:ascii="Times New Roman" w:hAnsi="Times New Roman"/>
          <w:b/>
          <w:bCs/>
          <w:color w:val="231F20"/>
          <w:sz w:val="24"/>
        </w:rPr>
        <w:t>Elektroniska datu meklēšana.</w:t>
      </w:r>
      <w:r>
        <w:rPr>
          <w:rFonts w:ascii="Times New Roman" w:hAnsi="Times New Roman"/>
          <w:color w:val="231F20"/>
          <w:sz w:val="24"/>
        </w:rPr>
        <w:t xml:space="preserve"> Attiecībā uz lielas vērtības kontiem finanšu iestādei, kas sniedz ziņojumus, jāpārbauda elektroniski uzmeklējami finanšu iestādes, kas sniedz ziņojumus, uzturētie dati, meklējot jebkuru B punkta 2. apakšpunktā minēto pazīmi.</w:t>
      </w:r>
    </w:p>
    <w:p w14:paraId="28BE2907" w14:textId="77777777" w:rsidR="003C366A" w:rsidRDefault="003C366A" w:rsidP="00CB441B">
      <w:pPr>
        <w:tabs>
          <w:tab w:val="left" w:pos="1354"/>
          <w:tab w:val="left" w:pos="135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2.</w:t>
      </w:r>
      <w:r>
        <w:rPr>
          <w:rFonts w:ascii="Times New Roman" w:hAnsi="Times New Roman"/>
          <w:b/>
          <w:color w:val="231F20"/>
          <w:sz w:val="24"/>
        </w:rPr>
        <w:t xml:space="preserve"> Datu meklēšana papīra dokumentos. </w:t>
      </w:r>
      <w:r>
        <w:rPr>
          <w:rFonts w:ascii="Times New Roman" w:hAnsi="Times New Roman"/>
          <w:color w:val="231F20"/>
          <w:sz w:val="24"/>
        </w:rPr>
        <w:t>Ja finanšu iestādes, kas sniedz ziņojumus, elektroniski pārmeklējamās datubāzes satur C punkta 3. apakšpunktā minētajai informācijai paredzētus laukus un satur visu šo informāciju, tad turpmāka datu meklēšana papīra dokumentos nav nepieciešama. Ja elektroniskās datubāzes nesatur visu šo informāciju, tad attiecībā uz lielas vērtības kontiem finanšu iestādei, kas sniedz ziņojumus, jāizskata arī pašreizējā klienta pamatdatne un, ciktāl šī informācija nav iekļauta pašreizējā klienta pamatdatnē, jāizskata turpmāk minētie dokumenti, kuri saistīti ar kontu un kurus finanšu iestāde, kas sniedz ziņojumus, ieguvusi pēdējo piecu gadu laikā, meklējot tajos jebkuru B punkta 2. apakšpunktā minēto pazīmi:</w:t>
      </w:r>
    </w:p>
    <w:p w14:paraId="5B51E3F7" w14:textId="77777777" w:rsidR="003C366A"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a) jaunākie dokumentārie pierādījumi, kas savākti attiecībā uz kontu;</w:t>
      </w:r>
    </w:p>
    <w:p w14:paraId="57FE6E76" w14:textId="77777777" w:rsidR="003C366A"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b) jaunākais konta atvēršanas līgums vai dokumentācija;</w:t>
      </w:r>
    </w:p>
    <w:p w14:paraId="744E3797" w14:textId="77777777" w:rsidR="003C366A"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 xml:space="preserve">c) jaunākā dokumentācija, ko finanšu iestāde, kura sniedz ziņojumus, ieguvusi </w:t>
      </w:r>
      <w:r>
        <w:rPr>
          <w:rFonts w:ascii="Times New Roman" w:hAnsi="Times New Roman"/>
          <w:i/>
          <w:iCs/>
          <w:sz w:val="24"/>
        </w:rPr>
        <w:t>AML/KYC</w:t>
      </w:r>
      <w:r>
        <w:rPr>
          <w:rFonts w:ascii="Times New Roman" w:hAnsi="Times New Roman"/>
          <w:sz w:val="24"/>
        </w:rPr>
        <w:t xml:space="preserve"> procedūrās vai citiem regulatīviem mērķiem;</w:t>
      </w:r>
    </w:p>
    <w:p w14:paraId="15FC8770" w14:textId="77777777" w:rsidR="003C366A"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d) jebkura spēkā esoša pilnvara vai paraksta tiesības;</w:t>
      </w:r>
    </w:p>
    <w:p w14:paraId="6EB6A45A" w14:textId="77777777" w:rsidR="003C366A"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e) jebkuri spēkā esoši regulāri rīkojumi (izņemot attiecībā uz noguldījumu kontu) pārvest līdzekļus.</w:t>
      </w:r>
    </w:p>
    <w:p w14:paraId="345CF2D5" w14:textId="77777777" w:rsidR="003C366A" w:rsidRDefault="003C366A" w:rsidP="00CB441B">
      <w:pPr>
        <w:tabs>
          <w:tab w:val="left" w:pos="1354"/>
          <w:tab w:val="left" w:pos="135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3. </w:t>
      </w:r>
      <w:r>
        <w:rPr>
          <w:rFonts w:ascii="Times New Roman" w:hAnsi="Times New Roman"/>
          <w:b/>
          <w:color w:val="231F20"/>
          <w:sz w:val="24"/>
        </w:rPr>
        <w:t xml:space="preserve">Izņēmumi, ja datubāzēs pieejamā informācija ir pietiekama. </w:t>
      </w:r>
      <w:r>
        <w:rPr>
          <w:rFonts w:ascii="Times New Roman" w:hAnsi="Times New Roman"/>
          <w:color w:val="231F20"/>
          <w:sz w:val="24"/>
        </w:rPr>
        <w:t>Finanšu iestādei, kas sniedz ziņojumus, nav jāveic C punkta 2. apakšpunktā minētā datu meklēšana papīra dokumentos, ja finanšu iestādes, kas sniedz ziņojumus, elektroniski uzmeklējamā informācija ietver šādus datus:</w:t>
      </w:r>
    </w:p>
    <w:p w14:paraId="64D31029" w14:textId="77777777" w:rsidR="003C366A"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a) konta turētāja rezidenta statuss;</w:t>
      </w:r>
    </w:p>
    <w:p w14:paraId="30C7732D" w14:textId="77777777" w:rsidR="003C366A"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b) konta turētāja dzīvesvietas adrese un pasta adrese, kura iekļauta finanšu iestādes, kas sniedz ziņojumus, datnē;</w:t>
      </w:r>
    </w:p>
    <w:p w14:paraId="73136AC1" w14:textId="77777777" w:rsidR="00457C48" w:rsidRDefault="003C366A"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c) konta turētāja tālruņa numurs, kurš iekļauts finanšu iestādes, kas sniedz ziņojumus, datnē;</w:t>
      </w:r>
    </w:p>
    <w:p w14:paraId="65B3D777" w14:textId="77777777" w:rsidR="00457C48" w:rsidRDefault="00457C48"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d) tādu finanšu kontu gadījumā, kas nav noguldījumu konti, tas, vai pastāv regulāri rīkojumi pārvest kontā esošos līdzekļus uz citu kontu (tostarp uz kontu citā finanšu iestādes, kas sniedz ziņojumus, filiālē vai citā finanšu iestādē);</w:t>
      </w:r>
    </w:p>
    <w:p w14:paraId="4EF0C169" w14:textId="77777777" w:rsidR="00457C48" w:rsidRDefault="00457C48"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e) vai konta turētājam ir “adrese, ar kuru saņēmējs ir saistīts” vai norādījums par “adresi, uz kuru tiek sūtīti saņēmējam adresēti pasta sūtījumi”;</w:t>
      </w:r>
    </w:p>
    <w:p w14:paraId="301AF4F9" w14:textId="77777777" w:rsidR="00457C48" w:rsidRDefault="00457C48" w:rsidP="00CB441B">
      <w:pPr>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f) vai pastāv jebkāda pilnvara vai paraksta tiesības attiecībā uz kontu.</w:t>
      </w:r>
    </w:p>
    <w:p w14:paraId="16E8B291" w14:textId="77777777" w:rsidR="00457C48" w:rsidRDefault="00457C48" w:rsidP="00CB441B">
      <w:pPr>
        <w:tabs>
          <w:tab w:val="left" w:pos="1354"/>
          <w:tab w:val="left" w:pos="135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4. </w:t>
      </w:r>
      <w:r>
        <w:rPr>
          <w:rFonts w:ascii="Times New Roman" w:hAnsi="Times New Roman"/>
          <w:b/>
          <w:color w:val="231F20"/>
          <w:sz w:val="24"/>
        </w:rPr>
        <w:t xml:space="preserve">Klientu apkalpošanas speciālista faktiskās informētības pieprasījums. </w:t>
      </w:r>
      <w:r>
        <w:rPr>
          <w:rFonts w:ascii="Times New Roman" w:hAnsi="Times New Roman"/>
          <w:color w:val="231F20"/>
          <w:sz w:val="24"/>
        </w:rPr>
        <w:t>Papildus iepriekš minētajai elektroniskajai datu meklēšanai un datu meklēšanai papīra dokumentos finanšu iestādei, kas sniedz ziņojumus, jebkurš lielas vērtības konts, kas uzticēts klientu apkalpošanas speciālistam (tostarp jebkuri finanšu konti, kas apkopoti ar šo lielas vērtības kontu), jāuzskata par kontu, par kuru jāsniedz ziņojums, ja klientu apkalpošanas speciālistam ir faktiski zināma informācija, ka konta turētājs ir persona, par kuru jāsniedz ziņojums.</w:t>
      </w:r>
    </w:p>
    <w:p w14:paraId="621B222A" w14:textId="77777777" w:rsidR="00457C48" w:rsidRDefault="00457C48" w:rsidP="00AC7889">
      <w:pPr>
        <w:keepNext/>
        <w:keepLines/>
        <w:tabs>
          <w:tab w:val="left" w:pos="1354"/>
          <w:tab w:val="left" w:pos="135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 xml:space="preserve">5. </w:t>
      </w:r>
      <w:r>
        <w:rPr>
          <w:rFonts w:ascii="Times New Roman" w:hAnsi="Times New Roman"/>
          <w:b/>
          <w:bCs/>
          <w:color w:val="231F20"/>
          <w:sz w:val="24"/>
        </w:rPr>
        <w:t>Rīcība pazīmju atrašanas gadījumā</w:t>
      </w:r>
    </w:p>
    <w:p w14:paraId="030D7943" w14:textId="68699E9E" w:rsidR="00457C48" w:rsidRDefault="00457C48" w:rsidP="00AC7889">
      <w:pPr>
        <w:keepNext/>
        <w:keepLines/>
        <w:tabs>
          <w:tab w:val="left" w:pos="1354"/>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sz w:val="24"/>
        </w:rPr>
        <w:t>a) Ja iepriekš minētajā lielas vērtības kontu pastiprinātas pārbaudes procedūrā netiek atrasta neviena pazīme, kas minēta B punkta 2. apakšpunktā, un konts nav norādīts C punkta 4. apakšpunktā kā tāds, ko tur persona, par kuru jāsniedz ziņojums, tad turpmākas darbības nav nepieciešamas līdz brīdim, kad mainās apstākļi, kā rezultātā viena vai vairākas pazīmes kļūst saistāmas ar kontu.</w:t>
      </w:r>
    </w:p>
    <w:p w14:paraId="1B5769D3" w14:textId="77777777" w:rsidR="00457C48" w:rsidRDefault="00457C48" w:rsidP="00CB441B">
      <w:pPr>
        <w:pStyle w:val="BodyText"/>
        <w:spacing w:before="120"/>
        <w:ind w:left="851" w:hanging="284"/>
        <w:rPr>
          <w:rFonts w:ascii="Times New Roman" w:hAnsi="Times New Roman" w:cs="Times New Roman"/>
          <w:noProof/>
          <w:color w:val="231F20"/>
          <w:sz w:val="24"/>
          <w:szCs w:val="24"/>
        </w:rPr>
      </w:pPr>
      <w:r>
        <w:rPr>
          <w:rFonts w:ascii="Times New Roman" w:hAnsi="Times New Roman"/>
          <w:color w:val="231F20"/>
          <w:sz w:val="24"/>
        </w:rPr>
        <w:t>b) Ja kāda no B punkta 2. apakšpunkta a)–e) daļā minētajām pazīmēm tiek atklāta iepriekš minētajā lielas vērtības kontu pastiprinātā pārbaudē vai ja mainās apstākļi, kā rezultātā viena vai vairākas pazīmes kļūst saistāmas ar kontu, tad finanšu iestādei, kas sniedz ziņojumus, jāuzskata, ka šis konts ir konts, par kuru jāsniedz ziņojums, attiecībā uz katru jurisdikciju, par kuru jāsniedz ziņojums un attiecībā uz kuru ir norādīta pazīme, izņemot gadījumus, kad tā izvēlas piemērot B punkta 6. apakšpunktu un viens no izņēmumiem minētajā apakšpunktā attiecas uz minēto kontu.</w:t>
      </w:r>
    </w:p>
    <w:p w14:paraId="4C8E953D" w14:textId="77777777" w:rsidR="00A3775D" w:rsidRDefault="00457C48" w:rsidP="00CB441B">
      <w:pPr>
        <w:pStyle w:val="BodyText"/>
        <w:spacing w:before="120"/>
        <w:ind w:left="851" w:hanging="284"/>
        <w:rPr>
          <w:rFonts w:ascii="Times New Roman" w:hAnsi="Times New Roman" w:cs="Times New Roman"/>
          <w:noProof/>
          <w:color w:val="231F20"/>
          <w:sz w:val="24"/>
          <w:szCs w:val="24"/>
        </w:rPr>
      </w:pPr>
      <w:r>
        <w:rPr>
          <w:rFonts w:ascii="Times New Roman" w:hAnsi="Times New Roman"/>
          <w:color w:val="231F20"/>
          <w:sz w:val="24"/>
        </w:rPr>
        <w:t>c) Ja iepriekš minētās lielas vērtības konta pastiprinātas pārbaudes laikā tiek atrasts norādījums par “adresi, uz kuru tiek sūtīti saņēmējam adresēti pasta sūtījumi” vai “adrese, ar kuru saņēmējs ir saistīts” un neviena cita adrese vai neviena cita pazīme, kas minēta B punkta 2. apakšpunkta a)–e) daļā, netiek identificēta attiecībā uz konta turētāju, tad finanšu iestādei, kas sniedz ziņojumus, jāiegūst no konta turētāja pašapliecinājums vai dokumentāri pierādījumi, lai noteiktu šāda konta turētāja rezidenta statusu(-us) nodokļu aprēķina vajadzībām. Ja finanšu iestāde, kas sniedz ziņojumus, nevar iegūt šādu pašapliecinājumu vai dokumentāru pierādījumu, tai konts jāpaziņo kā nedokumentēts konts.</w:t>
      </w:r>
    </w:p>
    <w:p w14:paraId="245ED69C" w14:textId="77777777" w:rsidR="00A3775D" w:rsidRDefault="00A3775D"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color w:val="231F20"/>
          <w:sz w:val="24"/>
        </w:rPr>
        <w:t>6. Ja iepriekšpastāvējis fiziskas personas konts nav lielas vērtības konts [xxxx]. gada 31. decembrī, bet kļūst par lielas vērtības kontu līdz nākamā kalendārā gada pēdējai dienai, finanšu iestādei, kas sniedz ziņojumus, jāveic C punktā minētās pastiprinātas pārbaudes procedūras attiecībā uz šādu kontu tā kalendārā gada laikā, kas seko gadam, kurā konts kļūst par lielas vērtības kontu. Ja, pamatojoties uz šādu pārbaudi, šāds konts ir identificēts kā konts, par kuru jāsniedz ziņojums, tad finanšu iestādei, kas sniedz ziņojumus, jāsniedz pieprasītā informācija par šādu kontu par gadu, kurā tas identificēts kā konts, par kuru jāsniedz ziņojums, un turpmākajos gados reizi gadā, ja vien konta turētājs nepārtrauc būt persona, par ko jāsniedz ziņojums.</w:t>
      </w:r>
    </w:p>
    <w:p w14:paraId="01924A87" w14:textId="77777777" w:rsidR="00A3775D" w:rsidRDefault="00A3775D"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color w:val="231F20"/>
          <w:sz w:val="24"/>
        </w:rPr>
        <w:t>7. Pēc tam, kad finanšu iestāde, kas sniedz ziņojumus, ir piemērojusi C punktā minētās pastiprinātas pārbaudes procedūras attiecībā uz lielas vērtības kontu, tai šīs procedūras, izņemot C punkta 4. apakšpunktā minēto klientu apkalpošanas speciālista rīcībā esošās informācijas izvērtēšanu, nav atkārtoti jāpiemēro attiecībā uz to pašu lielas vērtības kontu turpmākajos gados, ja vien konts nav nedokumentēts konts, jo šādā gadījumā finanšu iestādei, kas sniedz ziņojumus, minētās procedūras būtu atkārtoti jāpiemēro līdz brīdim, kad šāds konts vairs nav nedokumentēts konts.</w:t>
      </w:r>
    </w:p>
    <w:p w14:paraId="38227AC0" w14:textId="77777777" w:rsidR="00A3775D" w:rsidRDefault="00A3775D"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color w:val="231F20"/>
          <w:sz w:val="24"/>
        </w:rPr>
        <w:t>8. Ja apstākļi mainās attiecībā uz lielas vērtības kontu un tā rezultātā viena vai vairākas B punkta 2. apakšpunktā minētās pazīmes tiek saistītas ar kontu, tad finanšu iestādei, kas sniedz ziņojumus, jāuzskata, ka šis konts ir konts, par kuru jāsniedz ziņojums, attiecībā uz katru jurisdikciju, par kuru jāsniedz ziņojums un attiecībā uz kuru ir identificēta pazīme, izņemot gadījumus, kad tā izvēlas piemērot B punkta 6. apakšpunktu un viens no šajā apakšpunktā minētajiem izņēmumiem attiecas uz šo kontu.</w:t>
      </w:r>
    </w:p>
    <w:p w14:paraId="275CD420" w14:textId="77777777" w:rsidR="00A3775D" w:rsidRDefault="00A3775D" w:rsidP="00CB441B">
      <w:pPr>
        <w:pStyle w:val="BodyText"/>
        <w:spacing w:before="120"/>
        <w:ind w:left="567" w:hanging="284"/>
        <w:rPr>
          <w:rFonts w:ascii="Times New Roman" w:hAnsi="Times New Roman" w:cs="Times New Roman"/>
          <w:noProof/>
          <w:color w:val="231F20"/>
          <w:sz w:val="24"/>
          <w:szCs w:val="24"/>
        </w:rPr>
      </w:pPr>
      <w:r>
        <w:rPr>
          <w:rFonts w:ascii="Times New Roman" w:hAnsi="Times New Roman"/>
          <w:color w:val="231F20"/>
          <w:sz w:val="24"/>
        </w:rPr>
        <w:t xml:space="preserve">9. Finanšu iestādei, kas sniedz ziņojumus, jāievieš procedūras, lai nodrošinātu, ka klientu apkalpošanas speciālists identificē jebkuru ar kontu saistītu apstākļu maiņu. Piemēram, ja klientu apkalpošanas speciālistam tiek paziņots, ka konta turētājam ir jauna pasta </w:t>
      </w:r>
      <w:r>
        <w:rPr>
          <w:rFonts w:ascii="Times New Roman" w:hAnsi="Times New Roman"/>
          <w:color w:val="231F20"/>
          <w:sz w:val="24"/>
        </w:rPr>
        <w:lastRenderedPageBreak/>
        <w:t>adrese jurisdikcijā, par kuru jāsniedz ziņojums, tad finanšu iestādei, kas sniedz ziņojumus, ir pienākums uzskatīt adreses maiņu par apstākļu maiņu un, ja tā izvēlas piemērot B punkta 6. apakšpunktu, tai ir pienākums iegūt attiecīgu dokumentāciju no konta turētāja.</w:t>
      </w:r>
    </w:p>
    <w:p w14:paraId="044DFAD5" w14:textId="77777777" w:rsidR="00A3775D" w:rsidRDefault="00A3775D" w:rsidP="00CB441B">
      <w:pPr>
        <w:pStyle w:val="BodyText"/>
        <w:spacing w:before="120"/>
        <w:ind w:left="284" w:hanging="284"/>
        <w:rPr>
          <w:rFonts w:ascii="Times New Roman" w:hAnsi="Times New Roman" w:cs="Times New Roman"/>
          <w:noProof/>
          <w:color w:val="231F20"/>
          <w:sz w:val="24"/>
          <w:szCs w:val="24"/>
        </w:rPr>
      </w:pPr>
      <w:r>
        <w:rPr>
          <w:rFonts w:ascii="Times New Roman" w:hAnsi="Times New Roman"/>
          <w:color w:val="231F20"/>
          <w:sz w:val="24"/>
        </w:rPr>
        <w:t>D. Iepriekšpastāvējušu fizisku personu kontu pārbaude jāpabeidz līdz [xx.xx.xxxx.].</w:t>
      </w:r>
    </w:p>
    <w:p w14:paraId="0CFF9185" w14:textId="33BDBAC5" w:rsidR="00F02FF0" w:rsidRPr="00A3775D" w:rsidRDefault="00A3775D" w:rsidP="00CB441B">
      <w:pPr>
        <w:pStyle w:val="BodyText"/>
        <w:spacing w:before="120"/>
        <w:ind w:left="284" w:hanging="284"/>
        <w:rPr>
          <w:rFonts w:ascii="Times New Roman" w:hAnsi="Times New Roman" w:cs="Times New Roman"/>
          <w:noProof/>
          <w:color w:val="231F20"/>
          <w:sz w:val="24"/>
          <w:szCs w:val="24"/>
        </w:rPr>
      </w:pPr>
      <w:r>
        <w:rPr>
          <w:rFonts w:ascii="Times New Roman" w:hAnsi="Times New Roman"/>
          <w:color w:val="231F20"/>
          <w:sz w:val="24"/>
        </w:rPr>
        <w:t>E. Jāuzskata, ka jebkurš iepriekšpastāvējis fiziskas personas konts, kurš saskaņā ar šo pantu ir identificēts kā konts, par kuru jāsniedz ziņojums, visus turpmākos gadus ir konts, par kuru jāsniedz ziņojums, ja vien konta turētājs nepārtrauc būt persona, par kuru jāsniedz ziņojums.</w:t>
      </w:r>
    </w:p>
    <w:p w14:paraId="437E49EC" w14:textId="77777777" w:rsidR="00F02FF0" w:rsidRPr="00FD391F" w:rsidRDefault="00F02FF0" w:rsidP="00CB441B">
      <w:pPr>
        <w:pStyle w:val="BodyText"/>
        <w:spacing w:before="120"/>
        <w:jc w:val="left"/>
        <w:rPr>
          <w:rFonts w:ascii="Times New Roman" w:hAnsi="Times New Roman" w:cs="Times New Roman"/>
          <w:noProof/>
          <w:sz w:val="24"/>
          <w:szCs w:val="24"/>
        </w:rPr>
      </w:pPr>
    </w:p>
    <w:p w14:paraId="5EE6BBD3" w14:textId="77777777" w:rsidR="00F02FF0" w:rsidRPr="00FD391F" w:rsidRDefault="00F02FF0" w:rsidP="00CB441B">
      <w:pPr>
        <w:pStyle w:val="Heading5"/>
        <w:spacing w:before="120"/>
        <w:ind w:left="0"/>
        <w:jc w:val="both"/>
        <w:rPr>
          <w:rFonts w:ascii="Times New Roman" w:hAnsi="Times New Roman" w:cs="Times New Roman"/>
          <w:noProof/>
          <w:color w:val="4E81BD"/>
        </w:rPr>
      </w:pPr>
      <w:bookmarkStart w:id="23" w:name="Section_IV:_Due_Diligence_for_New_Indivi"/>
      <w:bookmarkStart w:id="24" w:name="_bookmark5"/>
      <w:bookmarkEnd w:id="23"/>
      <w:bookmarkEnd w:id="24"/>
      <w:r>
        <w:rPr>
          <w:rFonts w:ascii="Times New Roman" w:hAnsi="Times New Roman"/>
          <w:color w:val="4E81BD"/>
          <w:sz w:val="28"/>
        </w:rPr>
        <w:t>IV pants. Jaunu fizisku personu kontu pienācīga pārbaude</w:t>
      </w:r>
    </w:p>
    <w:p w14:paraId="19705BBF" w14:textId="77777777" w:rsidR="00A8311A" w:rsidRDefault="00F02FF0" w:rsidP="00CB441B">
      <w:pPr>
        <w:pStyle w:val="BodyText"/>
        <w:spacing w:before="240"/>
        <w:rPr>
          <w:rFonts w:ascii="Times New Roman" w:hAnsi="Times New Roman" w:cs="Times New Roman"/>
          <w:noProof/>
          <w:sz w:val="24"/>
          <w:szCs w:val="24"/>
        </w:rPr>
      </w:pPr>
      <w:r>
        <w:rPr>
          <w:rFonts w:ascii="Times New Roman" w:hAnsi="Times New Roman"/>
          <w:sz w:val="24"/>
        </w:rPr>
        <w:t>Lai noteiktu, kuri no jauniem fizisku personu kontiem ir konti, par kuriem jāsniedz ziņojumi, piemēro turpmāk minētās procedūras.</w:t>
      </w:r>
    </w:p>
    <w:p w14:paraId="08A70853" w14:textId="77777777" w:rsidR="00A8311A" w:rsidRDefault="00A8311A" w:rsidP="00CB441B">
      <w:pPr>
        <w:pStyle w:val="BodyText"/>
        <w:spacing w:before="120"/>
        <w:ind w:left="284" w:hanging="284"/>
        <w:rPr>
          <w:rFonts w:ascii="Times New Roman" w:hAnsi="Times New Roman" w:cs="Times New Roman"/>
          <w:noProof/>
          <w:color w:val="231F20"/>
          <w:sz w:val="24"/>
          <w:szCs w:val="24"/>
        </w:rPr>
      </w:pPr>
      <w:r>
        <w:rPr>
          <w:rFonts w:ascii="Times New Roman" w:hAnsi="Times New Roman"/>
          <w:sz w:val="24"/>
        </w:rPr>
        <w:t xml:space="preserve">A. Attiecībā uz jauniem fizisku personu kontiem finanšu iestādei, kas sniedz ziņojumus, konta atvēršanas laikā jāiegūst pašapliecinājums, kurš var būt daļa no konta atvēršanas dokumentācijas un kurš finanšu iestādei, kas sniedz ziņojumus, ļauj noteikt konta turētāja rezidenci(-es) nodokļu aprēķina vajadzībām, un jāapstiprina šāda pašapliecinājuma pamatotība, pamatojoties uz informāciju, kuru finanšu iestāde, kas sniedz ziņojumus, ieguvusi saistībā ar konta atvēršanu, tostarp jebkuru dokumentāciju, kura savākta </w:t>
      </w:r>
      <w:r>
        <w:rPr>
          <w:rFonts w:ascii="Times New Roman" w:hAnsi="Times New Roman"/>
          <w:i/>
          <w:iCs/>
          <w:sz w:val="24"/>
        </w:rPr>
        <w:t>AML/KYC</w:t>
      </w:r>
      <w:r>
        <w:rPr>
          <w:rFonts w:ascii="Times New Roman" w:hAnsi="Times New Roman"/>
          <w:sz w:val="24"/>
        </w:rPr>
        <w:t xml:space="preserve"> procedūrās.</w:t>
      </w:r>
    </w:p>
    <w:p w14:paraId="1241CE8A" w14:textId="77777777" w:rsidR="003E6C53" w:rsidRDefault="00A8311A" w:rsidP="00CB441B">
      <w:pPr>
        <w:pStyle w:val="BodyText"/>
        <w:spacing w:before="120"/>
        <w:ind w:left="284" w:hanging="284"/>
        <w:rPr>
          <w:rFonts w:ascii="Times New Roman" w:hAnsi="Times New Roman" w:cs="Times New Roman"/>
          <w:noProof/>
          <w:color w:val="231F20"/>
          <w:sz w:val="24"/>
          <w:szCs w:val="24"/>
        </w:rPr>
      </w:pPr>
      <w:r>
        <w:rPr>
          <w:rFonts w:ascii="Times New Roman" w:hAnsi="Times New Roman"/>
          <w:color w:val="231F20"/>
          <w:sz w:val="24"/>
        </w:rPr>
        <w:t xml:space="preserve">B. Ja pašapliecinājumā norādīts, ka konta turētājs nodokļu aprēķina vajadzībām ir rezidents jurisdikcijā, par kuru jāsniedz ziņojums, tad finanšu iestādei, kas sniedz ziņojumus, jāuzskata, ka konts ir konts, par kuru jāsniedz ziņojums, un pašapliecinājumā arī jāietver konta turētāja </w:t>
      </w:r>
      <w:r>
        <w:rPr>
          <w:rFonts w:ascii="Times New Roman" w:hAnsi="Times New Roman"/>
          <w:i/>
          <w:iCs/>
          <w:color w:val="231F20"/>
          <w:sz w:val="24"/>
        </w:rPr>
        <w:t>TIN</w:t>
      </w:r>
      <w:r>
        <w:rPr>
          <w:rFonts w:ascii="Times New Roman" w:hAnsi="Times New Roman"/>
          <w:color w:val="231F20"/>
          <w:sz w:val="24"/>
        </w:rPr>
        <w:t xml:space="preserve"> attiecībā uz šādu jurisdikciju, par kuru jāsniedz ziņojums (ievērojot I panta D punktu) un dzimšanas datums.</w:t>
      </w:r>
    </w:p>
    <w:p w14:paraId="56659FC5" w14:textId="3CF59B4B" w:rsidR="00F02FF0" w:rsidRPr="003E6C53" w:rsidRDefault="003E6C53" w:rsidP="00CB441B">
      <w:pPr>
        <w:pStyle w:val="BodyText"/>
        <w:spacing w:before="120"/>
        <w:ind w:left="284" w:hanging="284"/>
        <w:rPr>
          <w:rFonts w:ascii="Times New Roman" w:hAnsi="Times New Roman" w:cs="Times New Roman"/>
          <w:noProof/>
          <w:sz w:val="24"/>
          <w:szCs w:val="24"/>
        </w:rPr>
      </w:pPr>
      <w:r>
        <w:rPr>
          <w:rFonts w:ascii="Times New Roman" w:hAnsi="Times New Roman"/>
          <w:color w:val="231F20"/>
          <w:sz w:val="24"/>
        </w:rPr>
        <w:t>C. Ja mainās ar jaunu fiziskas personas kontu saistīti apstākļi, un tādēļ finanšu iestāde, kas sniedz ziņojumus, zina vai tai ir pamats zināt, ka sākotnējais pašapliecinājums ir nepareizs vai neuzticams, finanšu iestāde, kas sniedz ziņojumus, nevar paļauties uz sākotnējo pašapliecinājumu un tai jāiegūst pareizs pašapliecinājums, kurā precizēts konta turētāja rezidenta statuss(-i) nodokļu aprēķina vajadzībām.</w:t>
      </w:r>
    </w:p>
    <w:p w14:paraId="13AF34D7" w14:textId="77777777" w:rsidR="00F02FF0" w:rsidRPr="00FD391F" w:rsidRDefault="00F02FF0" w:rsidP="00CB441B">
      <w:pPr>
        <w:pStyle w:val="BodyText"/>
        <w:spacing w:before="120"/>
        <w:jc w:val="left"/>
        <w:rPr>
          <w:rFonts w:ascii="Times New Roman" w:hAnsi="Times New Roman" w:cs="Times New Roman"/>
          <w:noProof/>
          <w:sz w:val="24"/>
          <w:szCs w:val="24"/>
        </w:rPr>
      </w:pPr>
    </w:p>
    <w:p w14:paraId="438AE1A4" w14:textId="77777777" w:rsidR="00F02FF0" w:rsidRPr="003E6C53" w:rsidRDefault="00F02FF0" w:rsidP="00CB441B">
      <w:pPr>
        <w:pStyle w:val="Heading5"/>
        <w:spacing w:before="120"/>
        <w:ind w:left="0"/>
        <w:jc w:val="both"/>
        <w:rPr>
          <w:rFonts w:ascii="Times New Roman" w:hAnsi="Times New Roman" w:cs="Times New Roman"/>
          <w:noProof/>
          <w:color w:val="4E81BD"/>
          <w:sz w:val="28"/>
          <w:szCs w:val="28"/>
        </w:rPr>
      </w:pPr>
      <w:bookmarkStart w:id="25" w:name="Section_V:_Due_Diligence_for_Preexisting"/>
      <w:bookmarkStart w:id="26" w:name="_bookmark6"/>
      <w:bookmarkEnd w:id="25"/>
      <w:bookmarkEnd w:id="26"/>
      <w:r>
        <w:rPr>
          <w:rFonts w:ascii="Times New Roman" w:hAnsi="Times New Roman"/>
          <w:color w:val="4E81BD"/>
          <w:sz w:val="28"/>
        </w:rPr>
        <w:t>V pants. Iepriekšpastāvējušu vienību kontu pienācīga pārbaude</w:t>
      </w:r>
    </w:p>
    <w:p w14:paraId="198CB50D" w14:textId="77777777" w:rsidR="003E6C53" w:rsidRDefault="00F02FF0" w:rsidP="00CB441B">
      <w:pPr>
        <w:pStyle w:val="BodyText"/>
        <w:spacing w:before="240"/>
        <w:rPr>
          <w:rFonts w:ascii="Times New Roman" w:hAnsi="Times New Roman" w:cs="Times New Roman"/>
          <w:noProof/>
          <w:sz w:val="24"/>
          <w:szCs w:val="24"/>
        </w:rPr>
      </w:pPr>
      <w:r>
        <w:rPr>
          <w:rFonts w:ascii="Times New Roman" w:hAnsi="Times New Roman"/>
          <w:sz w:val="24"/>
        </w:rPr>
        <w:t>Lai noteiktu, kuri no iepriekšpastāvējušiem vienību kontiem ir konti, par kuriem jāsniedz ziņojumi, piemēro turpmāk minētās procedūras.</w:t>
      </w:r>
    </w:p>
    <w:p w14:paraId="621B6311" w14:textId="77777777" w:rsidR="003E6C53" w:rsidRDefault="003E6C53" w:rsidP="00CB441B">
      <w:pPr>
        <w:pStyle w:val="BodyText"/>
        <w:spacing w:before="120"/>
        <w:ind w:left="284" w:hanging="284"/>
        <w:rPr>
          <w:rFonts w:ascii="Times New Roman" w:hAnsi="Times New Roman" w:cs="Times New Roman"/>
          <w:noProof/>
          <w:color w:val="231F20"/>
          <w:sz w:val="24"/>
          <w:szCs w:val="24"/>
        </w:rPr>
      </w:pPr>
      <w:r>
        <w:rPr>
          <w:rFonts w:ascii="Times New Roman" w:hAnsi="Times New Roman"/>
          <w:sz w:val="24"/>
        </w:rPr>
        <w:t xml:space="preserve">A. </w:t>
      </w:r>
      <w:r>
        <w:rPr>
          <w:rFonts w:ascii="Times New Roman" w:hAnsi="Times New Roman"/>
          <w:b/>
          <w:color w:val="231F20"/>
          <w:sz w:val="24"/>
        </w:rPr>
        <w:t xml:space="preserve">Vienību konti, kuri nav jāpārbauda, jāidentificē vai par kuriem nav jāsniedz ziņojumi. </w:t>
      </w:r>
      <w:r>
        <w:rPr>
          <w:rFonts w:ascii="Times New Roman" w:hAnsi="Times New Roman"/>
          <w:color w:val="231F20"/>
          <w:sz w:val="24"/>
        </w:rPr>
        <w:t>Izņemot gadījumus, kad finanšu iestāde, kas sniedz ziņojumus, nolemj citādi attiecībā uz visiem iepriekšpastāvējušiem vienību kontiem vai attiecībā uz kādu skaidri identificētu šādu kontu grupu, iepriekšpastāvējis vienības konts ar kopējo konta bilanci vai vērtību, kura [xxxx]. gada 31. decembrī nepārsniedz 250 000 USD, nav jāpārbauda, jāidentificē vai jāpaziņo kā konts, par kuru jāsniedz ziņojums, kamēr konta kopējā bilance vai vērtība jebkura turpmākā kalendārā gada pēdējā dienā nepārsniedz 250 000 USD.</w:t>
      </w:r>
    </w:p>
    <w:p w14:paraId="32A31F6C" w14:textId="77777777" w:rsidR="003E6C53" w:rsidRDefault="003E6C53" w:rsidP="00AC7889">
      <w:pPr>
        <w:pStyle w:val="BodyText"/>
        <w:widowControl/>
        <w:spacing w:before="120"/>
        <w:ind w:left="284" w:hanging="284"/>
        <w:rPr>
          <w:rFonts w:ascii="Times New Roman" w:hAnsi="Times New Roman" w:cs="Times New Roman"/>
          <w:noProof/>
          <w:color w:val="231F20"/>
          <w:sz w:val="24"/>
          <w:szCs w:val="24"/>
        </w:rPr>
      </w:pPr>
      <w:r>
        <w:rPr>
          <w:rFonts w:ascii="Times New Roman" w:hAnsi="Times New Roman"/>
          <w:color w:val="231F20"/>
          <w:sz w:val="24"/>
        </w:rPr>
        <w:t xml:space="preserve">B. </w:t>
      </w:r>
      <w:r>
        <w:rPr>
          <w:rFonts w:ascii="Times New Roman" w:hAnsi="Times New Roman"/>
          <w:b/>
          <w:color w:val="231F20"/>
          <w:sz w:val="24"/>
        </w:rPr>
        <w:t xml:space="preserve">Vienību konti, kuri ir jāpārbauda. </w:t>
      </w:r>
      <w:r>
        <w:rPr>
          <w:rFonts w:ascii="Times New Roman" w:hAnsi="Times New Roman"/>
          <w:color w:val="231F20"/>
          <w:sz w:val="24"/>
        </w:rPr>
        <w:t xml:space="preserve">Iepriekšpastāvējis vienības konts, kura kopējā konta bilance vai vērtība [xxxx]. gada 31. decembrī pārsniedz 250 000 USD, un iepriekšpastāvējis vienības konts, kura kopējā konta bilance vai vērtība nepārsniedz </w:t>
      </w:r>
      <w:r>
        <w:rPr>
          <w:rFonts w:ascii="Times New Roman" w:hAnsi="Times New Roman"/>
          <w:color w:val="231F20"/>
          <w:sz w:val="24"/>
        </w:rPr>
        <w:lastRenderedPageBreak/>
        <w:t>250 000 USD [xxxx]. gada 31. decembrī, bet pārsniedz 250 000 USD jebkura turpmākā kalendārā gada pēdējā dienā, jāpārbauda saskaņā ar D punktā noteiktajām procedūrām.</w:t>
      </w:r>
    </w:p>
    <w:p w14:paraId="696DD86F" w14:textId="77777777" w:rsidR="003E6C53" w:rsidRDefault="003E6C53" w:rsidP="00CB441B">
      <w:pPr>
        <w:pStyle w:val="BodyText"/>
        <w:spacing w:before="120"/>
        <w:ind w:left="284" w:hanging="284"/>
        <w:rPr>
          <w:rFonts w:ascii="Times New Roman" w:hAnsi="Times New Roman" w:cs="Times New Roman"/>
          <w:noProof/>
          <w:color w:val="231F20"/>
          <w:sz w:val="24"/>
          <w:szCs w:val="24"/>
        </w:rPr>
      </w:pPr>
      <w:r>
        <w:rPr>
          <w:rFonts w:ascii="Times New Roman" w:hAnsi="Times New Roman"/>
          <w:color w:val="231F20"/>
          <w:sz w:val="24"/>
        </w:rPr>
        <w:t xml:space="preserve">C. </w:t>
      </w:r>
      <w:r>
        <w:rPr>
          <w:rFonts w:ascii="Times New Roman" w:hAnsi="Times New Roman"/>
          <w:b/>
          <w:color w:val="231F20"/>
          <w:sz w:val="24"/>
        </w:rPr>
        <w:t>Vienību konti, par kuriem ir pienākums ziņot.</w:t>
      </w:r>
      <w:r>
        <w:rPr>
          <w:rFonts w:ascii="Times New Roman" w:hAnsi="Times New Roman"/>
          <w:color w:val="231F20"/>
          <w:sz w:val="24"/>
        </w:rPr>
        <w:t xml:space="preserve"> No B punktā minētajiem iepriekšpastāvējušiem vienību kontiem par kontiem, par kuriem jāsniedz ziņojums, uzskata tikai tos kontus, kurus tur viena vai vairākas vienības, kas ir personas, par kurām jāsniedz ziņojums, vai pasīvas nefinanšu vienības, kurām ir viena vai vairākas kontrolējošās personas, kas ir personas, par kurām jāsniedz ziņojums.</w:t>
      </w:r>
    </w:p>
    <w:p w14:paraId="66A4A9A6" w14:textId="0AEBF435" w:rsidR="00F02FF0" w:rsidRPr="003E6C53" w:rsidRDefault="003E6C53" w:rsidP="00CB441B">
      <w:pPr>
        <w:pStyle w:val="BodyText"/>
        <w:spacing w:before="120"/>
        <w:ind w:left="284" w:hanging="284"/>
        <w:rPr>
          <w:rFonts w:ascii="Times New Roman" w:hAnsi="Times New Roman" w:cs="Times New Roman"/>
          <w:noProof/>
          <w:sz w:val="24"/>
          <w:szCs w:val="24"/>
        </w:rPr>
      </w:pPr>
      <w:r>
        <w:rPr>
          <w:rFonts w:ascii="Times New Roman" w:hAnsi="Times New Roman"/>
          <w:color w:val="231F20"/>
          <w:sz w:val="24"/>
        </w:rPr>
        <w:t xml:space="preserve">D. </w:t>
      </w:r>
      <w:r>
        <w:rPr>
          <w:rFonts w:ascii="Times New Roman" w:hAnsi="Times New Roman"/>
          <w:b/>
          <w:bCs/>
          <w:color w:val="231F20"/>
          <w:sz w:val="24"/>
        </w:rPr>
        <w:t>Pārbaudes procedūras, lai identificētu vienību kontus, par kuriem ir pienākums ziņot.</w:t>
      </w:r>
      <w:r>
        <w:rPr>
          <w:rFonts w:ascii="Times New Roman" w:hAnsi="Times New Roman"/>
          <w:b/>
          <w:color w:val="231F20"/>
          <w:sz w:val="24"/>
        </w:rPr>
        <w:t xml:space="preserve"> </w:t>
      </w:r>
      <w:r>
        <w:rPr>
          <w:rFonts w:ascii="Times New Roman" w:hAnsi="Times New Roman"/>
          <w:sz w:val="24"/>
        </w:rPr>
        <w:t>Attiecībā uz B punktā minētajiem iepriekšpastāvējušiem vienību kontiem finanšu iestādei, kas sniedz ziņojumus, jāpiemēro turpmāk minētās pārbaudes procedūras, lai noteiktu, vai kontu tur viena vai vairākas personas, par kurām jāsniedz ziņojums, vai pasīvas nefinanšu vienības, kurām ir viena vai vairākas kontrolējošās personas, kas ir personas, par kurām jāsniedz ziņojums.</w:t>
      </w:r>
    </w:p>
    <w:p w14:paraId="39CADFAB" w14:textId="77777777" w:rsidR="003E6C53" w:rsidRDefault="003E6C53" w:rsidP="00CB441B">
      <w:pPr>
        <w:pStyle w:val="Heading9"/>
        <w:tabs>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b w:val="0"/>
          <w:color w:val="231F20"/>
          <w:sz w:val="24"/>
        </w:rPr>
        <w:t>1.</w:t>
      </w:r>
      <w:r>
        <w:rPr>
          <w:rFonts w:ascii="Times New Roman" w:hAnsi="Times New Roman"/>
          <w:color w:val="231F20"/>
          <w:sz w:val="24"/>
        </w:rPr>
        <w:t xml:space="preserve"> Nosaka, vai vienība ir persona, par kuru jāsniedz ziņojums.</w:t>
      </w:r>
    </w:p>
    <w:p w14:paraId="570206F4" w14:textId="77777777" w:rsidR="003E6C53" w:rsidRDefault="003E6C53" w:rsidP="00CB441B">
      <w:pPr>
        <w:pStyle w:val="Heading9"/>
        <w:tabs>
          <w:tab w:val="left" w:pos="1884"/>
        </w:tabs>
        <w:spacing w:before="120"/>
        <w:ind w:left="851" w:hanging="284"/>
        <w:jc w:val="both"/>
        <w:rPr>
          <w:rFonts w:ascii="Times New Roman" w:hAnsi="Times New Roman" w:cs="Times New Roman"/>
          <w:b w:val="0"/>
          <w:bCs w:val="0"/>
          <w:noProof/>
          <w:color w:val="231F20"/>
          <w:sz w:val="24"/>
          <w:szCs w:val="24"/>
        </w:rPr>
      </w:pPr>
      <w:r>
        <w:rPr>
          <w:rFonts w:ascii="Times New Roman" w:hAnsi="Times New Roman"/>
          <w:b w:val="0"/>
          <w:color w:val="231F20"/>
          <w:sz w:val="24"/>
        </w:rPr>
        <w:t xml:space="preserve">a) Finanšu iestādei, kas sniedz ziņojumus, ir jāpārbauda informācija, kas tiek glabāta regulatīvām vai ar klientu apkalpošanu saistītām vajadzībām (tostarp informāciju, kas savākta </w:t>
      </w:r>
      <w:r>
        <w:rPr>
          <w:rFonts w:ascii="Times New Roman" w:hAnsi="Times New Roman"/>
          <w:b w:val="0"/>
          <w:i/>
          <w:iCs/>
          <w:color w:val="231F20"/>
          <w:sz w:val="24"/>
        </w:rPr>
        <w:t>AML</w:t>
      </w:r>
      <w:r>
        <w:rPr>
          <w:rFonts w:ascii="Times New Roman" w:hAnsi="Times New Roman"/>
          <w:b w:val="0"/>
          <w:color w:val="231F20"/>
          <w:sz w:val="24"/>
        </w:rPr>
        <w:t>/</w:t>
      </w:r>
      <w:r>
        <w:rPr>
          <w:rFonts w:ascii="Times New Roman" w:hAnsi="Times New Roman"/>
          <w:b w:val="0"/>
          <w:i/>
          <w:iCs/>
          <w:color w:val="231F20"/>
          <w:sz w:val="24"/>
        </w:rPr>
        <w:t>KYC</w:t>
      </w:r>
      <w:r>
        <w:rPr>
          <w:rFonts w:ascii="Times New Roman" w:hAnsi="Times New Roman"/>
          <w:b w:val="0"/>
          <w:color w:val="231F20"/>
          <w:sz w:val="24"/>
        </w:rPr>
        <w:t xml:space="preserve"> procedūrās), lai noteiktu, vai informācija liecina, ka konta turētājs ir rezidents jurisdikcijā, par kuru jāsniedz ziņojums. Šajā saistībā informācija, kas norāda, ka konta turētājs ir jurisdikcijas, par kuru jāsniedz ziņojums, rezidents, ietver reģistrācijas vai dibināšanas vietu, vai adresi jurisdikcijā, par kuru jāsniedz ziņojums.</w:t>
      </w:r>
    </w:p>
    <w:p w14:paraId="0B00A349" w14:textId="66E4ECDB" w:rsidR="00F02FF0" w:rsidRPr="003E6C53" w:rsidRDefault="003E6C53" w:rsidP="00CB441B">
      <w:pPr>
        <w:pStyle w:val="Heading9"/>
        <w:tabs>
          <w:tab w:val="left" w:pos="1884"/>
        </w:tabs>
        <w:spacing w:before="120"/>
        <w:ind w:left="851" w:hanging="284"/>
        <w:jc w:val="both"/>
        <w:rPr>
          <w:rFonts w:ascii="Times New Roman" w:hAnsi="Times New Roman" w:cs="Times New Roman"/>
          <w:b w:val="0"/>
          <w:bCs w:val="0"/>
          <w:noProof/>
          <w:color w:val="231F20"/>
          <w:sz w:val="24"/>
          <w:szCs w:val="24"/>
        </w:rPr>
      </w:pPr>
      <w:r>
        <w:rPr>
          <w:rFonts w:ascii="Times New Roman" w:hAnsi="Times New Roman"/>
          <w:b w:val="0"/>
          <w:color w:val="231F20"/>
          <w:sz w:val="24"/>
        </w:rPr>
        <w:t>b) Ja informācija liecina, ka konta turētājs ir rezidents jurisdikcijā, par kuru jāsniedz ziņojums, tad finanšu iestādei, kas sniedz ziņojumus, jāuzskata, ka konts ir konts, par kuru jāsniedz ziņojums, ja vien tā neiegūst pašapliecinājumu no konta turētāja, kurā apliecināts, ka konta turētājs nav persona, par kuru jāsniedz ziņojums, vai pamatoti to nenosaka, pamatojoties uz tās rīcībā esošo informāciju vai publiski pieejamu informāciju.</w:t>
      </w:r>
    </w:p>
    <w:p w14:paraId="3284EE67" w14:textId="4D7C9058" w:rsidR="00F02FF0" w:rsidRPr="003E6C53" w:rsidRDefault="003E6C53"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2.</w:t>
      </w:r>
      <w:r>
        <w:rPr>
          <w:rFonts w:ascii="Times New Roman" w:hAnsi="Times New Roman"/>
          <w:b/>
          <w:color w:val="231F20"/>
          <w:sz w:val="24"/>
        </w:rPr>
        <w:t xml:space="preserve"> Nosaka, vai vienība ir pasīva nefinanšu vienība ar vienu vai vairākām kontrolējošajām personām, kas ir personas, par kurām jāsniedz ziņojums.</w:t>
      </w:r>
      <w:r>
        <w:rPr>
          <w:rFonts w:ascii="Times New Roman" w:hAnsi="Times New Roman"/>
          <w:color w:val="231F20"/>
          <w:sz w:val="24"/>
        </w:rPr>
        <w:t xml:space="preserve"> Attiecībā uz iepriekšpastāvējuša vienības konta (tostarp vienības, kas ir persona, par kuru jāsniedz ziņojums) turētāju finanšu iestādei, kas sniedz ziņojumus, ir jānosaka, vai konta turētājs ir pasīva nefinanšu vienība ar vienu vai vairākām kontrolējošām personām, kas ir personas, par kurām jāsniedz ziņojums. Ja kāda no pasīvas nefinanšu vienības kontrolējošajām personām ir persona, par kuru jāsniedz ziņojums, tad jāuzskata, ka konts ir konts, par kuru jāsniedz ziņojums. Lai to noteiktu, finanšu iestādei, kas sniedz ziņojumus, jāievēro D punkta 2. apakšpunkta a)–c) daļā sniegtie norādījumi apstākļiem vispiemērotākajā kārtībā.</w:t>
      </w:r>
    </w:p>
    <w:p w14:paraId="30BAB8D0" w14:textId="76E9EBBE" w:rsidR="00F02FF0" w:rsidRPr="003E6C53" w:rsidRDefault="003E6C53"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 xml:space="preserve">a) </w:t>
      </w:r>
      <w:r>
        <w:rPr>
          <w:rFonts w:ascii="Times New Roman" w:hAnsi="Times New Roman"/>
          <w:b/>
          <w:color w:val="231F20"/>
          <w:sz w:val="24"/>
        </w:rPr>
        <w:t xml:space="preserve">Nosaka, vai konta turētājs ir pasīva nefinanšu vienība. </w:t>
      </w:r>
      <w:r>
        <w:rPr>
          <w:rFonts w:ascii="Times New Roman" w:hAnsi="Times New Roman"/>
          <w:color w:val="231F20"/>
          <w:sz w:val="24"/>
        </w:rPr>
        <w:t>Lai noteiktu, vai konta turētājs ir pasīva nefinanšu vienība, finanšu iestādei, kas sniedz ziņojumus, jāiegūst no fonta turētāja pašapliecinājums tā statusa noteikšanai, ja vien tās rīcībā nav informācija vai nav publiski pieejama informācija, ko tā var izmantot, lai pamatoti noteiktu, ka konta turētājs ir aktīva nefinanšu vienība vai finanšu iestāde, kura nav VIII panta A punkta 6. apakšpunkta b) daļā minētā ieguldījumu vienība, kas nav iesaistītās jurisdikcijas finanšu iestāde.</w:t>
      </w:r>
    </w:p>
    <w:p w14:paraId="0650E3C6" w14:textId="3E8BFC4B" w:rsidR="00F02FF0" w:rsidRPr="003E6C53" w:rsidRDefault="003E6C53"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 xml:space="preserve">b) </w:t>
      </w:r>
      <w:r>
        <w:rPr>
          <w:rFonts w:ascii="Times New Roman" w:hAnsi="Times New Roman"/>
          <w:b/>
          <w:bCs/>
          <w:color w:val="231F20"/>
          <w:sz w:val="24"/>
        </w:rPr>
        <w:t>Nosaka konta turētāja kontrolējošās personas.</w:t>
      </w:r>
      <w:r>
        <w:rPr>
          <w:rFonts w:ascii="Times New Roman" w:hAnsi="Times New Roman"/>
          <w:b/>
          <w:color w:val="231F20"/>
          <w:sz w:val="24"/>
        </w:rPr>
        <w:t xml:space="preserve"> </w:t>
      </w:r>
      <w:r>
        <w:rPr>
          <w:rFonts w:ascii="Times New Roman" w:hAnsi="Times New Roman"/>
          <w:color w:val="231F20"/>
          <w:sz w:val="24"/>
        </w:rPr>
        <w:t xml:space="preserve">Lai noteiktu konta turētāja kontrolējošās personas, finanšu iestāde, kas sniedz ziņojumus, var paļauties uz informāciju, kura savākta un saglabāta </w:t>
      </w:r>
      <w:r>
        <w:rPr>
          <w:rFonts w:ascii="Times New Roman" w:hAnsi="Times New Roman"/>
          <w:i/>
          <w:iCs/>
          <w:color w:val="231F20"/>
          <w:sz w:val="24"/>
        </w:rPr>
        <w:t>AML</w:t>
      </w:r>
      <w:r>
        <w:rPr>
          <w:rFonts w:ascii="Times New Roman" w:hAnsi="Times New Roman"/>
          <w:color w:val="231F20"/>
          <w:sz w:val="24"/>
        </w:rPr>
        <w:t>/</w:t>
      </w:r>
      <w:r>
        <w:rPr>
          <w:rFonts w:ascii="Times New Roman" w:hAnsi="Times New Roman"/>
          <w:i/>
          <w:iCs/>
          <w:color w:val="231F20"/>
          <w:sz w:val="24"/>
        </w:rPr>
        <w:t>KYC</w:t>
      </w:r>
      <w:r>
        <w:rPr>
          <w:rFonts w:ascii="Times New Roman" w:hAnsi="Times New Roman"/>
          <w:color w:val="231F20"/>
          <w:sz w:val="24"/>
        </w:rPr>
        <w:t xml:space="preserve"> procedūrās.</w:t>
      </w:r>
    </w:p>
    <w:p w14:paraId="32BF7DFE" w14:textId="77777777" w:rsidR="00CE720A" w:rsidRDefault="003E6C53" w:rsidP="00AC7889">
      <w:pPr>
        <w:keepNext/>
        <w:keepLines/>
        <w:tabs>
          <w:tab w:val="left" w:pos="2208"/>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 xml:space="preserve">c) </w:t>
      </w:r>
      <w:r>
        <w:rPr>
          <w:rFonts w:ascii="Times New Roman" w:hAnsi="Times New Roman"/>
          <w:b/>
          <w:color w:val="231F20"/>
          <w:sz w:val="24"/>
        </w:rPr>
        <w:t xml:space="preserve">Nosaka, vai pasīvas nefinanšu vienības kontrolējošā persona ir persona, par kuru jāsniedz ziņojums. </w:t>
      </w:r>
      <w:r>
        <w:rPr>
          <w:rFonts w:ascii="Times New Roman" w:hAnsi="Times New Roman"/>
          <w:color w:val="231F20"/>
          <w:sz w:val="24"/>
        </w:rPr>
        <w:t>Lai noteiktu, vai pasīvas nefinanšu vienības kontrolējošā persona ir persona, par kuru jāsniedz ziņojums, finanšu iestāde, kas sniedz ziņojumus, var izmantot:</w:t>
      </w:r>
    </w:p>
    <w:p w14:paraId="4F019673" w14:textId="3A79D16A" w:rsidR="00F02FF0" w:rsidRPr="00CE720A" w:rsidRDefault="00CE720A" w:rsidP="00CB441B">
      <w:pPr>
        <w:tabs>
          <w:tab w:val="left" w:pos="2208"/>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 xml:space="preserve">i) informāciju, kas savākta un saglabāta </w:t>
      </w:r>
      <w:r>
        <w:rPr>
          <w:rFonts w:ascii="Times New Roman" w:hAnsi="Times New Roman"/>
          <w:i/>
          <w:iCs/>
          <w:color w:val="231F20"/>
          <w:sz w:val="24"/>
        </w:rPr>
        <w:t>AML/KYC</w:t>
      </w:r>
      <w:r>
        <w:rPr>
          <w:rFonts w:ascii="Times New Roman" w:hAnsi="Times New Roman"/>
          <w:color w:val="231F20"/>
          <w:sz w:val="24"/>
        </w:rPr>
        <w:t xml:space="preserve"> procedūrās tādu iepriekšpastāvējušu vienību kontu gadījumā, ko tur viena vai vairākas nefinanšu vienības, kopējai konta bilancei vai vērtībai nepārsniedzot 1 000 000 USD, vai</w:t>
      </w:r>
    </w:p>
    <w:p w14:paraId="53F678A3" w14:textId="77777777" w:rsidR="00C15C76" w:rsidRDefault="00CE720A"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pašapliecinājumu no konta turētāja vai šādas kontrolējošās personas par jurisdikciju(-ām), kurā(-ās) kontrolējošajai personai ir rezidenta statuss nodokļu aprēķina vajadzībām.</w:t>
      </w:r>
    </w:p>
    <w:p w14:paraId="7603246E" w14:textId="1E257CB3" w:rsidR="00F02FF0" w:rsidRPr="00C15C76" w:rsidRDefault="00C15C76" w:rsidP="00CB441B">
      <w:pPr>
        <w:tabs>
          <w:tab w:val="left" w:pos="2964"/>
          <w:tab w:val="left" w:pos="2967"/>
        </w:tabs>
        <w:spacing w:before="120"/>
        <w:ind w:left="284" w:hanging="284"/>
        <w:jc w:val="both"/>
        <w:rPr>
          <w:rFonts w:ascii="Times New Roman" w:hAnsi="Times New Roman" w:cs="Times New Roman"/>
          <w:b/>
          <w:bCs/>
          <w:noProof/>
          <w:color w:val="231F20"/>
          <w:sz w:val="24"/>
          <w:szCs w:val="24"/>
        </w:rPr>
      </w:pPr>
      <w:r>
        <w:rPr>
          <w:rFonts w:ascii="Times New Roman" w:hAnsi="Times New Roman"/>
          <w:color w:val="231F20"/>
          <w:sz w:val="24"/>
        </w:rPr>
        <w:t xml:space="preserve">E. </w:t>
      </w:r>
      <w:r>
        <w:rPr>
          <w:rFonts w:ascii="Times New Roman" w:hAnsi="Times New Roman"/>
          <w:b/>
          <w:color w:val="231F20"/>
          <w:sz w:val="24"/>
        </w:rPr>
        <w:t>Pārbaudes laiks un papildu procedūras, ko piemēro attiecībā uz iepriekšpastāvējušiem vienību kontiem.</w:t>
      </w:r>
    </w:p>
    <w:p w14:paraId="71998A51" w14:textId="7B839DFB" w:rsidR="00F02FF0" w:rsidRPr="00C15C76" w:rsidRDefault="00C15C76"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1. Pārbaude attiecībā uz iepriekšpastāvējušiem vienību kontiem ar kopējo konta bilanci vai vērtību, kura [xxxx]. gada 31. decembrī pārsniedz 250 000 USD, jāpabeidz līdz [xxxx]. gada 31. decembrim.</w:t>
      </w:r>
    </w:p>
    <w:p w14:paraId="2EBA5C53" w14:textId="49117543" w:rsidR="00F02FF0" w:rsidRPr="00FD391F" w:rsidRDefault="00C15C76"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2. Pārbaude attiecībā uz iepriekšpastāvējušiem vienību kontiem ar kopējo konta bilanci vai vērtību, kura nepārsniedz 250 000 USD [xxxx]. gada 31. decembrī, bet pārsniedz 250 000 USD nākamā gada 31. decembrī, jāpabeidz tajā kalendārajā gadā, kas seko gadam, kurā kopējā konta bilance vai vērtība pārsniegusi 250 000 USD.</w:t>
      </w:r>
    </w:p>
    <w:p w14:paraId="3E74B65E" w14:textId="3D66E125" w:rsidR="00F02FF0" w:rsidRPr="00C15C76" w:rsidRDefault="00C15C76"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3. Ja mainās ar iepriekšpastāvējušu vienības kontu saistīti apstākļi un tādēļ finanšu iestāde, kas sniedz ziņojumus, zina vai tai ir pamats zināt, ka sākotnējais pašapliecinājums ir nepareizs vai neuzticams, finanšu iestādei, kas sniedz ziņojumus, no jauna jānosaka konta statuss saskaņā ar D punktā izklāstītajām procedūrām.</w:t>
      </w:r>
    </w:p>
    <w:p w14:paraId="1E85024D" w14:textId="77777777" w:rsidR="00F02FF0" w:rsidRPr="00FD391F" w:rsidRDefault="00F02FF0" w:rsidP="00CB441B">
      <w:pPr>
        <w:pStyle w:val="BodyText"/>
        <w:spacing w:before="120"/>
        <w:jc w:val="left"/>
        <w:rPr>
          <w:rFonts w:ascii="Times New Roman" w:hAnsi="Times New Roman" w:cs="Times New Roman"/>
          <w:noProof/>
          <w:sz w:val="24"/>
          <w:szCs w:val="24"/>
        </w:rPr>
      </w:pPr>
    </w:p>
    <w:p w14:paraId="6FB608C1" w14:textId="77777777" w:rsidR="00F02FF0" w:rsidRPr="00C15C76" w:rsidRDefault="00F02FF0" w:rsidP="00CB441B">
      <w:pPr>
        <w:pStyle w:val="Heading5"/>
        <w:spacing w:before="120"/>
        <w:ind w:left="0"/>
        <w:jc w:val="both"/>
        <w:rPr>
          <w:rFonts w:ascii="Times New Roman" w:hAnsi="Times New Roman" w:cs="Times New Roman"/>
          <w:noProof/>
          <w:color w:val="4E81BD"/>
          <w:sz w:val="28"/>
          <w:szCs w:val="28"/>
        </w:rPr>
      </w:pPr>
      <w:bookmarkStart w:id="27" w:name="Section_VI:_Due_Diligence_for_New_Entity"/>
      <w:bookmarkStart w:id="28" w:name="_bookmark7"/>
      <w:bookmarkEnd w:id="27"/>
      <w:bookmarkEnd w:id="28"/>
      <w:r>
        <w:rPr>
          <w:rFonts w:ascii="Times New Roman" w:hAnsi="Times New Roman"/>
          <w:color w:val="4E81BD"/>
          <w:sz w:val="28"/>
        </w:rPr>
        <w:t>VI pants. Jaunu vienību kontu pienācīga pārbaude</w:t>
      </w:r>
    </w:p>
    <w:p w14:paraId="7C5BBE47" w14:textId="77777777" w:rsidR="00C15C76" w:rsidRDefault="00F02FF0" w:rsidP="00C3467B">
      <w:pPr>
        <w:pStyle w:val="BodyText"/>
        <w:spacing w:before="240"/>
        <w:rPr>
          <w:rFonts w:ascii="Times New Roman" w:hAnsi="Times New Roman" w:cs="Times New Roman"/>
          <w:noProof/>
          <w:sz w:val="24"/>
          <w:szCs w:val="24"/>
        </w:rPr>
      </w:pPr>
      <w:r>
        <w:rPr>
          <w:rFonts w:ascii="Times New Roman" w:hAnsi="Times New Roman"/>
          <w:sz w:val="24"/>
        </w:rPr>
        <w:t>Lai noteiktu, kuri no jauniem vienību kontiem ir konti, par kuriem jāsniedz ziņojumi, piemēro turpmāk minētās procedūras.</w:t>
      </w:r>
    </w:p>
    <w:p w14:paraId="7FB5278D" w14:textId="2801140D" w:rsidR="00F02FF0" w:rsidRPr="00C15C76" w:rsidRDefault="00C15C76" w:rsidP="00CB441B">
      <w:pPr>
        <w:pStyle w:val="BodyText"/>
        <w:spacing w:before="120"/>
        <w:ind w:left="284" w:hanging="284"/>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b/>
          <w:bCs/>
          <w:sz w:val="24"/>
        </w:rPr>
        <w:t>Pārbaudes procedūras, lai identificētu vienību kontus, par kuriem ir pienākums ziņot.</w:t>
      </w:r>
      <w:r>
        <w:rPr>
          <w:rFonts w:ascii="Times New Roman" w:hAnsi="Times New Roman"/>
          <w:b/>
          <w:color w:val="231F20"/>
          <w:sz w:val="24"/>
        </w:rPr>
        <w:t xml:space="preserve"> </w:t>
      </w:r>
      <w:r>
        <w:rPr>
          <w:rFonts w:ascii="Times New Roman" w:hAnsi="Times New Roman"/>
          <w:color w:val="231F20"/>
          <w:sz w:val="24"/>
        </w:rPr>
        <w:t>Attiecībā uz jauniem vienību kontiem finanšu iestādei, kas sniedz ziņojumus, jāpiemēro turpmāk minētās pārbaudes procedūras, lai noteiktu, vai kontu tur viena vai vairākas personas, par kurām jāsniedz ziņojums, vai pasīvas nefinanšu vienības, kurām ir viena vai vairākas kontrolējošās personas, kas ir personas, par kurām jāsniedz ziņojums.</w:t>
      </w:r>
    </w:p>
    <w:p w14:paraId="63BB58B6" w14:textId="189D656F" w:rsidR="00F02FF0" w:rsidRPr="00FD391F" w:rsidRDefault="00C15C76" w:rsidP="00CB441B">
      <w:pPr>
        <w:pStyle w:val="Heading9"/>
        <w:tabs>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b w:val="0"/>
          <w:color w:val="231F20"/>
          <w:sz w:val="24"/>
        </w:rPr>
        <w:t>1.</w:t>
      </w:r>
      <w:r>
        <w:rPr>
          <w:rFonts w:ascii="Times New Roman" w:hAnsi="Times New Roman"/>
          <w:color w:val="231F20"/>
          <w:sz w:val="24"/>
        </w:rPr>
        <w:t xml:space="preserve"> Nosaka, vai vienība ir persona, par kuru jāsniedz ziņojums.</w:t>
      </w:r>
    </w:p>
    <w:p w14:paraId="25472E23" w14:textId="495757D1" w:rsidR="00F02FF0" w:rsidRPr="00C15C76" w:rsidRDefault="00C15C76" w:rsidP="00CB441B">
      <w:pPr>
        <w:tabs>
          <w:tab w:val="left" w:pos="2240"/>
          <w:tab w:val="left" w:pos="2242"/>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 xml:space="preserve">a) Jāiegūst pašapliecinājums, kurš var būt daļa no konta atvēršanas dokumentācijas un kurš finanšu iestādei, kas sniedz ziņojumus, ļauj noteikt konta turētāja rezidenci(-es) nodokļu aprēķina vajadzībām, un jāapstiprina šāda pašapliecinājuma pamatotība, pamatojoties uz informāciju, kuru finanšu iestāde, kas sniedz ziņojumus, ieguvusi saistībā ar konta atvēršanu, tostarp pamatojoties uz jebkuru </w:t>
      </w:r>
      <w:r>
        <w:rPr>
          <w:rFonts w:ascii="Times New Roman" w:hAnsi="Times New Roman"/>
          <w:i/>
          <w:iCs/>
          <w:color w:val="231F20"/>
          <w:sz w:val="24"/>
        </w:rPr>
        <w:t>AML/KYC</w:t>
      </w:r>
      <w:r>
        <w:rPr>
          <w:rFonts w:ascii="Times New Roman" w:hAnsi="Times New Roman"/>
          <w:color w:val="231F20"/>
          <w:sz w:val="24"/>
        </w:rPr>
        <w:t xml:space="preserve"> procedūrās savāktu dokumentāciju. Ja vienība apliecina, ka tai nav rezidenta statusa nodokļu aprēķina vajadzībām, finanšu iestāde, kas sniedz ziņojumus, konta turētāja rezidenci var noteikt, pamatojoties uz vienības galvenā biroja adresi.</w:t>
      </w:r>
    </w:p>
    <w:p w14:paraId="36C1BD65" w14:textId="1B625307" w:rsidR="00F02FF0" w:rsidRPr="00C15C76" w:rsidRDefault="00C15C76" w:rsidP="00AC7889">
      <w:pPr>
        <w:widowControl/>
        <w:tabs>
          <w:tab w:val="left" w:pos="2240"/>
          <w:tab w:val="left" w:pos="2242"/>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 xml:space="preserve">b) Ja pašapliecinājumā norādīts, ka konta turētājs ir rezidents jurisdikcijā, par kuru jāsniedz ziņojums, tad finanšu iestādei, kas sniedz ziņojumus, jāuzskata, ka konts ir konts, par kuru jāsniedz ziņojums, ja vien tā, pamatojoties uz tās rīcībā esošo informāciju vai publiski pieejamu informāciju, pamatoti nenosaka, ka konta turētājs </w:t>
      </w:r>
      <w:r>
        <w:rPr>
          <w:rFonts w:ascii="Times New Roman" w:hAnsi="Times New Roman"/>
          <w:color w:val="231F20"/>
          <w:sz w:val="24"/>
        </w:rPr>
        <w:lastRenderedPageBreak/>
        <w:t>nav persona, par kuru jāsniedz ziņojums, attiecībā uz šādu jurisdikciju, par kuru jāsniedz ziņojums.</w:t>
      </w:r>
    </w:p>
    <w:p w14:paraId="49886B21" w14:textId="584CF273" w:rsidR="00F02FF0" w:rsidRPr="00FD391F" w:rsidRDefault="00C15C76" w:rsidP="00CB441B">
      <w:pPr>
        <w:tabs>
          <w:tab w:val="left" w:pos="1882"/>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2.</w:t>
      </w:r>
      <w:r>
        <w:rPr>
          <w:rFonts w:ascii="Times New Roman" w:hAnsi="Times New Roman"/>
          <w:b/>
          <w:color w:val="231F20"/>
          <w:sz w:val="24"/>
        </w:rPr>
        <w:t xml:space="preserve"> Nosaka, vai vienība ir pasīva nefinanšu vienība ar vienu vai vairākām kontrolējošajām personām, kas ir personas, par kurām jāsniedz ziņojums.</w:t>
      </w:r>
      <w:r>
        <w:rPr>
          <w:rFonts w:ascii="Times New Roman" w:hAnsi="Times New Roman"/>
          <w:color w:val="231F20"/>
          <w:sz w:val="24"/>
        </w:rPr>
        <w:t xml:space="preserve"> Attiecībā uz jauna vienības konta (tostarp tādas vienības, kas ir persona, par kuru jāsniedz ziņojums) turētāju finanšu iestādei, kas sniedz ziņojumus, ir jānosaka, vai konta turētājs ir pasīva nefinanšu vienība ar vienu vai vairākām kontrolējošajām personām, kas ir personas, par kurām jāsniedz ziņojums. Ja kāda no pasīvas nefinanšu vienības kontrolējošām personām ir persona, par kuru jāsniedz ziņojums, tad jāuzskata, ka konts ir konts, par kuru jāsniedz ziņojums. Lai to noteiktu, finanšu iestādei, kas sniedz ziņojumus, jāievēro A punkta 2. apakšpunkta a)–c) daļā sniegtie norādījumi apstākļiem vispiemērotākajā kārtībā.</w:t>
      </w:r>
    </w:p>
    <w:p w14:paraId="11829CE5" w14:textId="0FC3CFD5" w:rsidR="00F02FF0" w:rsidRPr="00C15C76" w:rsidRDefault="00C15C76" w:rsidP="00CB441B">
      <w:pPr>
        <w:tabs>
          <w:tab w:val="left" w:pos="2240"/>
          <w:tab w:val="left" w:pos="2242"/>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 xml:space="preserve">a) </w:t>
      </w:r>
      <w:r>
        <w:rPr>
          <w:rFonts w:ascii="Times New Roman" w:hAnsi="Times New Roman"/>
          <w:b/>
          <w:color w:val="231F20"/>
          <w:sz w:val="24"/>
        </w:rPr>
        <w:t xml:space="preserve">Nosaka, vai konta turētājs ir pasīva nefinanšu vienība. </w:t>
      </w:r>
      <w:r>
        <w:rPr>
          <w:rFonts w:ascii="Times New Roman" w:hAnsi="Times New Roman"/>
          <w:color w:val="231F20"/>
          <w:sz w:val="24"/>
        </w:rPr>
        <w:t>Lai noteiktu, vai konta turētājs ir pasīva nefinanšu vienība, finanšu iestādei, kas sniedz ziņojumus, jāpaļaujas uz konta turētāja pašapliecinājumu tā statusa noteikšanai, ja vien tās rīcībā nav informācija vai nav publiski pieejama informācija, ko tā var izmantot, lai pamatoti noteiktu, ka konta turētājs ir aktīva nefinanšu vienība vai finanšu iestāde, kura nav VIII panta A punkta 6. apakšpunkta b) daļā minētā ieguldījumu vienība, kas nav iesaistītās jurisdikcijas finanšu iestāde.</w:t>
      </w:r>
    </w:p>
    <w:p w14:paraId="5AC9B0BE" w14:textId="366732D0" w:rsidR="00F02FF0" w:rsidRPr="003C3205" w:rsidRDefault="00C15C76" w:rsidP="00CB441B">
      <w:pPr>
        <w:tabs>
          <w:tab w:val="left" w:pos="2240"/>
          <w:tab w:val="left" w:pos="2242"/>
        </w:tabs>
        <w:spacing w:before="120"/>
        <w:ind w:left="851" w:hanging="284"/>
        <w:jc w:val="both"/>
        <w:rPr>
          <w:rFonts w:ascii="Times New Roman" w:hAnsi="Times New Roman" w:cs="Times New Roman"/>
          <w:noProof/>
          <w:sz w:val="24"/>
          <w:szCs w:val="24"/>
          <w:u w:val="single"/>
        </w:rPr>
      </w:pPr>
      <w:r>
        <w:rPr>
          <w:rFonts w:ascii="Times New Roman" w:hAnsi="Times New Roman"/>
          <w:color w:val="231F20"/>
          <w:sz w:val="24"/>
        </w:rPr>
        <w:t xml:space="preserve">b) </w:t>
      </w:r>
      <w:r>
        <w:rPr>
          <w:rFonts w:ascii="Times New Roman" w:hAnsi="Times New Roman"/>
          <w:b/>
          <w:bCs/>
          <w:color w:val="231F20"/>
          <w:sz w:val="24"/>
        </w:rPr>
        <w:t>Nosaka konta turētāja kontrolējošās personas.</w:t>
      </w:r>
      <w:r>
        <w:rPr>
          <w:rFonts w:ascii="Times New Roman" w:hAnsi="Times New Roman"/>
          <w:b/>
          <w:color w:val="231F20"/>
          <w:sz w:val="24"/>
        </w:rPr>
        <w:t xml:space="preserve"> </w:t>
      </w:r>
      <w:r>
        <w:rPr>
          <w:rFonts w:ascii="Times New Roman" w:hAnsi="Times New Roman"/>
          <w:color w:val="231F20"/>
          <w:sz w:val="24"/>
        </w:rPr>
        <w:t xml:space="preserve">Lai noteiktu konta turētāja kontrolējošās personas, finanšu iestāde, kas sniedz ziņojumus, var paļauties uz informāciju, kura savākta un saglabāta </w:t>
      </w:r>
      <w:r>
        <w:rPr>
          <w:rFonts w:ascii="Times New Roman" w:hAnsi="Times New Roman"/>
          <w:i/>
          <w:iCs/>
          <w:color w:val="231F20"/>
          <w:sz w:val="24"/>
        </w:rPr>
        <w:t>AML</w:t>
      </w:r>
      <w:r>
        <w:rPr>
          <w:rFonts w:ascii="Times New Roman" w:hAnsi="Times New Roman"/>
          <w:color w:val="231F20"/>
          <w:sz w:val="24"/>
        </w:rPr>
        <w:t>/</w:t>
      </w:r>
      <w:r>
        <w:rPr>
          <w:rFonts w:ascii="Times New Roman" w:hAnsi="Times New Roman"/>
          <w:i/>
          <w:iCs/>
          <w:color w:val="231F20"/>
          <w:sz w:val="24"/>
        </w:rPr>
        <w:t>KYC</w:t>
      </w:r>
      <w:r>
        <w:rPr>
          <w:rFonts w:ascii="Times New Roman" w:hAnsi="Times New Roman"/>
          <w:color w:val="231F20"/>
          <w:sz w:val="24"/>
        </w:rPr>
        <w:t xml:space="preserve"> procedūrās, </w:t>
      </w:r>
      <w:r>
        <w:rPr>
          <w:rFonts w:ascii="Times New Roman" w:hAnsi="Times New Roman"/>
          <w:b/>
          <w:i/>
          <w:iCs/>
          <w:color w:val="231F20"/>
          <w:sz w:val="24"/>
          <w:u w:val="single"/>
        </w:rPr>
        <w:t>ar nosacījumu, ka šīs procedūras atbilst</w:t>
      </w:r>
      <w:r>
        <w:rPr>
          <w:rFonts w:ascii="Times New Roman" w:hAnsi="Times New Roman"/>
          <w:b/>
          <w:i/>
          <w:color w:val="231F20"/>
          <w:sz w:val="24"/>
          <w:u w:val="single"/>
        </w:rPr>
        <w:t xml:space="preserve"> </w:t>
      </w:r>
      <w:r>
        <w:rPr>
          <w:rFonts w:ascii="Times New Roman" w:hAnsi="Times New Roman"/>
          <w:b/>
          <w:i/>
          <w:iCs/>
          <w:color w:val="231F20"/>
          <w:sz w:val="24"/>
          <w:u w:val="single"/>
        </w:rPr>
        <w:t>FATF</w:t>
      </w:r>
      <w:r>
        <w:rPr>
          <w:rFonts w:ascii="Times New Roman" w:hAnsi="Times New Roman"/>
          <w:b/>
          <w:i/>
          <w:color w:val="231F20"/>
          <w:sz w:val="24"/>
          <w:u w:val="single"/>
        </w:rPr>
        <w:t xml:space="preserve"> </w:t>
      </w:r>
      <w:r>
        <w:rPr>
          <w:rFonts w:ascii="Times New Roman" w:hAnsi="Times New Roman"/>
          <w:b/>
          <w:i/>
          <w:iCs/>
          <w:color w:val="231F20"/>
          <w:sz w:val="24"/>
          <w:u w:val="single"/>
        </w:rPr>
        <w:t>2012. gada ieteikumiem</w:t>
      </w:r>
      <w:r>
        <w:rPr>
          <w:rFonts w:ascii="Times New Roman" w:hAnsi="Times New Roman"/>
          <w:color w:val="231F20"/>
          <w:sz w:val="24"/>
        </w:rPr>
        <w:t>.</w:t>
      </w:r>
      <w:r>
        <w:rPr>
          <w:rFonts w:ascii="Times New Roman" w:hAnsi="Times New Roman"/>
          <w:b/>
          <w:i/>
          <w:color w:val="231F20"/>
          <w:sz w:val="24"/>
          <w:u w:val="single"/>
        </w:rPr>
        <w:t xml:space="preserve"> Ja finanšu iestādei, kas sniedz ziņojumus, nav juridiski noteikts pienākums piemērot AML/KYC procedūras, kas saskan ar FATF 2012. gada ieteikumiem, tai kontrolējošo personu noteikšanai jāpiemēro pēc būtības līdzīgas procedūras.</w:t>
      </w:r>
    </w:p>
    <w:p w14:paraId="068E41AB" w14:textId="57A98A16" w:rsidR="00F02FF0" w:rsidRPr="00C15C76" w:rsidRDefault="00C15C76" w:rsidP="00CB441B">
      <w:pPr>
        <w:tabs>
          <w:tab w:val="left" w:pos="2240"/>
          <w:tab w:val="left" w:pos="2242"/>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 xml:space="preserve">c) </w:t>
      </w:r>
      <w:r>
        <w:rPr>
          <w:rFonts w:ascii="Times New Roman" w:hAnsi="Times New Roman"/>
          <w:b/>
          <w:color w:val="231F20"/>
          <w:sz w:val="24"/>
        </w:rPr>
        <w:t xml:space="preserve">Nosaka, vai pasīvas nefinanšu vienības kontrolējošā persona ir persona, par kuru jāsniedz ziņojums. </w:t>
      </w:r>
      <w:r>
        <w:rPr>
          <w:rFonts w:ascii="Times New Roman" w:hAnsi="Times New Roman"/>
          <w:color w:val="231F20"/>
          <w:sz w:val="24"/>
        </w:rPr>
        <w:t>Lai noteiktu, vai pasīvas nefinanšu vienības kontrolējošā persona ir persona, par kuru jāsniedz ziņojums, finanšu iestāde, kas sniedz ziņojumus, var paļauties uz konta turētāja vai šādas kontrolējošas personas pašapliecinājumu.</w:t>
      </w:r>
    </w:p>
    <w:p w14:paraId="1A79EC07" w14:textId="77777777" w:rsidR="00F02FF0" w:rsidRPr="00FD391F" w:rsidRDefault="00F02FF0" w:rsidP="00CB441B">
      <w:pPr>
        <w:pStyle w:val="BodyText"/>
        <w:spacing w:before="120"/>
        <w:jc w:val="left"/>
        <w:rPr>
          <w:rFonts w:ascii="Times New Roman" w:hAnsi="Times New Roman" w:cs="Times New Roman"/>
          <w:noProof/>
          <w:color w:val="231F20"/>
          <w:sz w:val="24"/>
          <w:szCs w:val="24"/>
        </w:rPr>
      </w:pPr>
    </w:p>
    <w:p w14:paraId="52609724" w14:textId="77777777" w:rsidR="00F02FF0" w:rsidRPr="00F97C5A" w:rsidRDefault="00F02FF0" w:rsidP="00CB441B">
      <w:pPr>
        <w:pStyle w:val="Heading5"/>
        <w:spacing w:before="120"/>
        <w:ind w:left="0"/>
        <w:rPr>
          <w:rFonts w:ascii="Times New Roman" w:hAnsi="Times New Roman" w:cs="Times New Roman"/>
          <w:noProof/>
          <w:color w:val="4E81BD"/>
          <w:sz w:val="28"/>
          <w:szCs w:val="28"/>
        </w:rPr>
      </w:pPr>
      <w:bookmarkStart w:id="29" w:name="Section_VII:_Special_Due_Diligence_Rules"/>
      <w:bookmarkStart w:id="30" w:name="_bookmark8"/>
      <w:bookmarkEnd w:id="29"/>
      <w:bookmarkEnd w:id="30"/>
      <w:r>
        <w:rPr>
          <w:rFonts w:ascii="Times New Roman" w:hAnsi="Times New Roman"/>
          <w:color w:val="4E81BD"/>
          <w:sz w:val="28"/>
        </w:rPr>
        <w:t>VII pants. Īpašie pienācīgas pārbaudes noteikumi</w:t>
      </w:r>
    </w:p>
    <w:p w14:paraId="4F725A38" w14:textId="77777777" w:rsidR="00F02FF0" w:rsidRPr="00FD391F" w:rsidRDefault="00F02FF0" w:rsidP="00C3467B">
      <w:pPr>
        <w:pStyle w:val="BodyText"/>
        <w:spacing w:before="240"/>
        <w:ind w:left="284" w:hanging="284"/>
        <w:rPr>
          <w:rFonts w:ascii="Times New Roman" w:hAnsi="Times New Roman" w:cs="Times New Roman"/>
          <w:noProof/>
          <w:sz w:val="24"/>
          <w:szCs w:val="24"/>
        </w:rPr>
      </w:pPr>
      <w:r>
        <w:rPr>
          <w:rFonts w:ascii="Times New Roman" w:hAnsi="Times New Roman"/>
          <w:sz w:val="24"/>
        </w:rPr>
        <w:t>Īstenojot iepriekš izklāstītās pienācīgas pārbaudes procedūras, piemēro turpmāk minētos papildu noteikumus.</w:t>
      </w:r>
    </w:p>
    <w:p w14:paraId="70FBF919" w14:textId="21948D3B" w:rsidR="00F02FF0" w:rsidRPr="00C15C76" w:rsidRDefault="00C15C76" w:rsidP="00CB441B">
      <w:pPr>
        <w:tabs>
          <w:tab w:val="left" w:pos="941"/>
          <w:tab w:val="left" w:pos="943"/>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 xml:space="preserve">A. </w:t>
      </w:r>
      <w:r>
        <w:rPr>
          <w:rFonts w:ascii="Times New Roman" w:hAnsi="Times New Roman"/>
          <w:b/>
          <w:color w:val="231F20"/>
          <w:sz w:val="24"/>
        </w:rPr>
        <w:t xml:space="preserve">Paļaušanās uz pašapliecinājumiem un dokumentāriem pierādījumiem. </w:t>
      </w:r>
      <w:r>
        <w:rPr>
          <w:rFonts w:ascii="Times New Roman" w:hAnsi="Times New Roman"/>
          <w:color w:val="231F20"/>
          <w:sz w:val="24"/>
        </w:rPr>
        <w:t>Finanšu iestāde, kas sniedz ziņojumus, nedrīkst paļauties uz pašapliecinājumu vai dokumentāriem pierādījumiem, ja tā zina vai tai ir pamats zināt, ka pašapliecinājums vai dokumentārie pierādījumi ir nepareizi vai neuzticami.</w:t>
      </w:r>
    </w:p>
    <w:p w14:paraId="0D901D5C" w14:textId="77777777" w:rsidR="00F02FF0" w:rsidRPr="00CB441B" w:rsidRDefault="00F02FF0" w:rsidP="00CB441B">
      <w:pPr>
        <w:spacing w:before="120"/>
        <w:ind w:left="284" w:hanging="284"/>
        <w:jc w:val="both"/>
        <w:rPr>
          <w:rFonts w:ascii="Times New Roman" w:hAnsi="Times New Roman" w:cs="Times New Roman"/>
          <w:b/>
          <w:i/>
          <w:noProof/>
          <w:sz w:val="24"/>
          <w:szCs w:val="24"/>
          <w:u w:val="single"/>
        </w:rPr>
      </w:pPr>
      <w:r>
        <w:rPr>
          <w:rFonts w:ascii="Times New Roman" w:hAnsi="Times New Roman"/>
          <w:b/>
          <w:i/>
          <w:sz w:val="24"/>
          <w:u w:val="single"/>
        </w:rPr>
        <w:t>A bis. Pašapliecinājuma īslaicīga neesība. Izņēmuma gadījumos, ja finanšu iestāde, kas sniedz ziņojumus, attiecībā uz jaunu kontu nevar savlaicīgi iegūt pašapliecinājumu, lai izpildītu pienācīgas pārbaudes un ziņošanas pienākumus par pārskata periodu, kurā konts tika atvērts, finanšu iestādei, kas sniedz ziņojumus, jāpiemēro iepriekšpastāvējušiem kontiem paredzētās pienācīgas pārbaudes procedūras līdz brīdim, kad attiecīgais pašapliecinājums ir iegūts un tā derīgums ir pārbaudīts.</w:t>
      </w:r>
    </w:p>
    <w:p w14:paraId="6340EF41" w14:textId="77777777" w:rsidR="00C15C76" w:rsidRDefault="00C15C76" w:rsidP="00AC7889">
      <w:pPr>
        <w:keepNext/>
        <w:keepLines/>
        <w:tabs>
          <w:tab w:val="left" w:pos="934"/>
          <w:tab w:val="left" w:pos="936"/>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 xml:space="preserve">B. </w:t>
      </w:r>
      <w:r>
        <w:rPr>
          <w:rFonts w:ascii="Times New Roman" w:hAnsi="Times New Roman"/>
          <w:b/>
          <w:color w:val="231F20"/>
          <w:sz w:val="24"/>
        </w:rPr>
        <w:t xml:space="preserve">Alternatīvas procedūras finanšu kontiem, ko tur individuāli apdrošināšanas līguma ar naudas vērtību vai anuitātes līguma labuma guvēji. </w:t>
      </w:r>
      <w:r>
        <w:rPr>
          <w:rFonts w:ascii="Times New Roman" w:hAnsi="Times New Roman"/>
          <w:color w:val="231F20"/>
          <w:sz w:val="24"/>
        </w:rPr>
        <w:t>Finanšu iestāde, kas sniedz ziņojumus, var pieņemt, ka individuāls apdrošināšanas līguma ar naudas vērtību vai anuitātes līguma labuma guvējs (izņemot īpašnieku), kurš saņem pabalstu nāves gadījumā, nav persona, par kuru jāsniedz ziņojums, un tā šādu finanšu kontu var uzskatīt par tādu kontu, par kuru nav jāsniedz ziņojums, izņemot gadījumus, kad finanšu iestāde, kas sniedz ziņojumus, faktiski zina vai tai ir pamats zināt, ka labuma guvējs ir persona, par kuru jāsniedz ziņojums. Finanšu iestādei, kas sniedz ziņojumus, ir pamats zināt, ka apdrošināšanas līguma ar naudas vērtību vai anuitātes līguma labuma guvējs ir persona, par kuru jāsniedz ziņojums, ja informācija, kuru savākusi finanšu iestāde, kas sniedz ziņojumus, un kura ir saistīta ar labuma guvēju, satur III panta B punktā minētās pazīmes. Ja finanšu iestāde, kas sniedz ziņojumus, faktiski zina vai tai ir pamats zināt, ka labuma guvējs ir persona, par kuru jāsniedz ziņojums, finanšu iestādei, kas sniedz ziņojumus, ir jāievēro III panta B punktā noteiktās procedūras.</w:t>
      </w:r>
    </w:p>
    <w:p w14:paraId="15C04EB3" w14:textId="77777777" w:rsidR="00C15C76" w:rsidRDefault="00C15C76" w:rsidP="00CB441B">
      <w:pPr>
        <w:tabs>
          <w:tab w:val="left" w:pos="934"/>
          <w:tab w:val="left" w:pos="936"/>
        </w:tabs>
        <w:spacing w:before="120"/>
        <w:ind w:left="284" w:hanging="284"/>
        <w:jc w:val="both"/>
        <w:rPr>
          <w:rFonts w:ascii="Times New Roman" w:hAnsi="Times New Roman" w:cs="Times New Roman"/>
          <w:b/>
          <w:bCs/>
          <w:noProof/>
          <w:color w:val="231F20"/>
          <w:sz w:val="24"/>
          <w:szCs w:val="24"/>
        </w:rPr>
      </w:pPr>
      <w:r>
        <w:rPr>
          <w:rFonts w:ascii="Times New Roman" w:hAnsi="Times New Roman"/>
          <w:color w:val="231F20"/>
          <w:sz w:val="24"/>
        </w:rPr>
        <w:t xml:space="preserve">C. </w:t>
      </w:r>
      <w:r>
        <w:rPr>
          <w:rFonts w:ascii="Times New Roman" w:hAnsi="Times New Roman"/>
          <w:b/>
          <w:color w:val="231F20"/>
          <w:sz w:val="24"/>
        </w:rPr>
        <w:t>Kontu bilanču apkopošana un valūtas noteikumi</w:t>
      </w:r>
    </w:p>
    <w:p w14:paraId="1B64EAE4" w14:textId="77777777" w:rsidR="00C15C76" w:rsidRDefault="00C15C76" w:rsidP="00CB441B">
      <w:pPr>
        <w:tabs>
          <w:tab w:val="left" w:pos="934"/>
          <w:tab w:val="left" w:pos="936"/>
        </w:tabs>
        <w:spacing w:before="120"/>
        <w:ind w:left="567" w:hanging="284"/>
        <w:jc w:val="both"/>
        <w:rPr>
          <w:rFonts w:ascii="Times New Roman" w:hAnsi="Times New Roman" w:cs="Times New Roman"/>
          <w:b/>
          <w:bCs/>
          <w:noProof/>
          <w:color w:val="231F20"/>
          <w:sz w:val="24"/>
          <w:szCs w:val="24"/>
        </w:rPr>
      </w:pPr>
      <w:r>
        <w:rPr>
          <w:rFonts w:ascii="Times New Roman" w:hAnsi="Times New Roman"/>
          <w:color w:val="231F20"/>
          <w:sz w:val="24"/>
        </w:rPr>
        <w:t>1.</w:t>
      </w:r>
      <w:r>
        <w:rPr>
          <w:rFonts w:ascii="Times New Roman" w:hAnsi="Times New Roman"/>
          <w:b/>
          <w:color w:val="231F20"/>
          <w:sz w:val="24"/>
        </w:rPr>
        <w:t xml:space="preserve"> Fizisku personu kontu apkopošana. </w:t>
      </w:r>
      <w:r>
        <w:rPr>
          <w:rFonts w:ascii="Times New Roman" w:hAnsi="Times New Roman"/>
          <w:color w:val="231F20"/>
          <w:sz w:val="24"/>
        </w:rPr>
        <w:t xml:space="preserve">Lai noteiktu fiziskas personas finanšu kontu apkopoto bilanci vai vērtību, finanšu iestādei, kas sniedz ziņojumus, ir jāapkopo visi finanšu konti, kurus uztur finanšu iestāde, kas sniedz ziņojumus, vai saistīta vienība, bet tikai tiktāl, cik šādas finanšu iestādes, kas sniedz ziņojumus, datorsistēmās finanšu konti ir saistīti, pamatojoties uz tādiem datu elementiem kā klienta numurs vai </w:t>
      </w:r>
      <w:r>
        <w:rPr>
          <w:rFonts w:ascii="Times New Roman" w:hAnsi="Times New Roman"/>
          <w:i/>
          <w:iCs/>
          <w:color w:val="231F20"/>
          <w:sz w:val="24"/>
        </w:rPr>
        <w:t>TIN</w:t>
      </w:r>
      <w:r>
        <w:rPr>
          <w:rFonts w:ascii="Times New Roman" w:hAnsi="Times New Roman"/>
          <w:color w:val="231F20"/>
          <w:sz w:val="24"/>
        </w:rPr>
        <w:t>, un tās ļauj apkopot kontu bilances vai vērtības. Šajā apakšpunktā izklāstīto apkopošanas prasību piemērošanas nolūkā katram kopīgi turētā finanšu konta turētājam attiecīgi pierēķina kopīgi turētā finanšu konta kopējo bilanci vai vērtību.</w:t>
      </w:r>
    </w:p>
    <w:p w14:paraId="7490B946" w14:textId="77777777" w:rsidR="00C15C76" w:rsidRDefault="00C15C76" w:rsidP="00CB441B">
      <w:pPr>
        <w:tabs>
          <w:tab w:val="left" w:pos="934"/>
          <w:tab w:val="left" w:pos="936"/>
        </w:tabs>
        <w:spacing w:before="120"/>
        <w:ind w:left="567" w:hanging="284"/>
        <w:jc w:val="both"/>
        <w:rPr>
          <w:rFonts w:ascii="Times New Roman" w:hAnsi="Times New Roman" w:cs="Times New Roman"/>
          <w:b/>
          <w:bCs/>
          <w:noProof/>
          <w:color w:val="231F20"/>
          <w:sz w:val="24"/>
          <w:szCs w:val="24"/>
        </w:rPr>
      </w:pPr>
      <w:r>
        <w:rPr>
          <w:rFonts w:ascii="Times New Roman" w:hAnsi="Times New Roman"/>
          <w:color w:val="231F20"/>
          <w:sz w:val="24"/>
        </w:rPr>
        <w:t>2.</w:t>
      </w:r>
      <w:r>
        <w:rPr>
          <w:rFonts w:ascii="Times New Roman" w:hAnsi="Times New Roman"/>
          <w:b/>
          <w:color w:val="231F20"/>
          <w:sz w:val="24"/>
        </w:rPr>
        <w:t xml:space="preserve"> Vienību kontu apkopošana. </w:t>
      </w:r>
      <w:r>
        <w:rPr>
          <w:rFonts w:ascii="Times New Roman" w:hAnsi="Times New Roman"/>
          <w:color w:val="231F20"/>
          <w:sz w:val="24"/>
        </w:rPr>
        <w:t xml:space="preserve">Lai noteiktu vienības turētu finanšu kontu apkopoto bilanci vai vērtību, finanšu iestādei, kas sniedz ziņojumus, ir jāņem vērā visi finanšu konti, kurus uztur finanšu iestāde, kas sniedz ziņojumus, vai saistīta vienība, bet tikai tiktāl, cik šādas finanšu iestādes, kas sniedz ziņojumus, datorsistēmās finanšu konti ir saistīti, pamatojoties uz tādiem datu elementiem kā klienta numurs vai </w:t>
      </w:r>
      <w:r>
        <w:rPr>
          <w:rFonts w:ascii="Times New Roman" w:hAnsi="Times New Roman"/>
          <w:i/>
          <w:iCs/>
          <w:color w:val="231F20"/>
          <w:sz w:val="24"/>
        </w:rPr>
        <w:t>TIN</w:t>
      </w:r>
      <w:r>
        <w:rPr>
          <w:rFonts w:ascii="Times New Roman" w:hAnsi="Times New Roman"/>
          <w:color w:val="231F20"/>
          <w:sz w:val="24"/>
        </w:rPr>
        <w:t>, un tās ļauj apkopot kontu bilances vai vērtības. Šajā apakšpunktā izklāstīto apkopošanas prasību piemērošanas nolūkā katram kopīgi turētā finanšu konta turētājam attiecīgi pierēķina kopīgi turētā finanšu konta kopējo bilanci vai vērtību.</w:t>
      </w:r>
    </w:p>
    <w:p w14:paraId="53D8B7EF" w14:textId="77777777" w:rsidR="00C15C76" w:rsidRDefault="00C15C76" w:rsidP="00CB441B">
      <w:pPr>
        <w:tabs>
          <w:tab w:val="left" w:pos="934"/>
          <w:tab w:val="left" w:pos="936"/>
        </w:tabs>
        <w:spacing w:before="120"/>
        <w:ind w:left="567" w:hanging="284"/>
        <w:jc w:val="both"/>
        <w:rPr>
          <w:rFonts w:ascii="Times New Roman" w:hAnsi="Times New Roman" w:cs="Times New Roman"/>
          <w:b/>
          <w:bCs/>
          <w:noProof/>
          <w:color w:val="231F20"/>
          <w:sz w:val="24"/>
          <w:szCs w:val="24"/>
        </w:rPr>
      </w:pPr>
      <w:r>
        <w:rPr>
          <w:rFonts w:ascii="Times New Roman" w:hAnsi="Times New Roman"/>
          <w:color w:val="231F20"/>
          <w:sz w:val="24"/>
        </w:rPr>
        <w:t>3.</w:t>
      </w:r>
      <w:r>
        <w:rPr>
          <w:rFonts w:ascii="Times New Roman" w:hAnsi="Times New Roman"/>
          <w:b/>
          <w:color w:val="231F20"/>
          <w:sz w:val="24"/>
        </w:rPr>
        <w:t xml:space="preserve"> Īpašs apkopošanas noteikums attiecībā uz klientu apkalpošanas speciālistiem. </w:t>
      </w:r>
      <w:r>
        <w:rPr>
          <w:rFonts w:ascii="Times New Roman" w:hAnsi="Times New Roman"/>
          <w:color w:val="231F20"/>
          <w:sz w:val="24"/>
        </w:rPr>
        <w:t>Lai noteiktu personas finanšu kontu apkopoto bilanci vai vērtību nolūkā noteikt to, vai finanšu konts ir lielas vērtības konts, finanšu iestādei, kas sniedz ziņojumus, ir arī pienākums apkopot visus finanšu kontus, par kuriem klientu apkalpošanas speciālists zina vai viņam ir pamats zināt, ka tie tieši vai netieši pieder vienai un tai pašai personai, tie ir vienas un tās pašas personas kontrolē vai tos ir atvērusi viena un tā pati persona (izņemot uzticības personu).</w:t>
      </w:r>
    </w:p>
    <w:p w14:paraId="5F18B0A4" w14:textId="580BFD4D" w:rsidR="00F02FF0" w:rsidRPr="00C15C76" w:rsidRDefault="00C15C76" w:rsidP="00CB441B">
      <w:pPr>
        <w:tabs>
          <w:tab w:val="left" w:pos="934"/>
          <w:tab w:val="left" w:pos="936"/>
        </w:tabs>
        <w:spacing w:before="120"/>
        <w:ind w:left="567" w:hanging="284"/>
        <w:jc w:val="both"/>
        <w:rPr>
          <w:rFonts w:ascii="Times New Roman" w:hAnsi="Times New Roman" w:cs="Times New Roman"/>
          <w:b/>
          <w:bCs/>
          <w:noProof/>
          <w:color w:val="231F20"/>
          <w:sz w:val="24"/>
          <w:szCs w:val="24"/>
        </w:rPr>
      </w:pPr>
      <w:r>
        <w:rPr>
          <w:rFonts w:ascii="Times New Roman" w:hAnsi="Times New Roman"/>
          <w:color w:val="231F20"/>
          <w:sz w:val="24"/>
        </w:rPr>
        <w:t>4.</w:t>
      </w:r>
      <w:r>
        <w:rPr>
          <w:rFonts w:ascii="Times New Roman" w:hAnsi="Times New Roman"/>
          <w:b/>
          <w:color w:val="231F20"/>
          <w:sz w:val="24"/>
        </w:rPr>
        <w:t xml:space="preserve"> Summas, kas ietver ekvivalentus citās valūtās. </w:t>
      </w:r>
      <w:r>
        <w:rPr>
          <w:rFonts w:ascii="Times New Roman" w:hAnsi="Times New Roman"/>
          <w:color w:val="231F20"/>
          <w:sz w:val="24"/>
        </w:rPr>
        <w:t>Visas summas ir izteiktas ASV dolāros, un jāuzskata, ka tās ietver ekvivalentas summas citās valūtās atbilstīgi tam, kā noteikts attiecīgo valstu tiesību aktos.</w:t>
      </w:r>
    </w:p>
    <w:p w14:paraId="513D7060" w14:textId="77777777" w:rsidR="00F02FF0" w:rsidRPr="00FD391F" w:rsidRDefault="00F02FF0" w:rsidP="00CB441B">
      <w:pPr>
        <w:pStyle w:val="BodyText"/>
        <w:spacing w:before="120"/>
        <w:jc w:val="left"/>
        <w:rPr>
          <w:rFonts w:ascii="Times New Roman" w:hAnsi="Times New Roman" w:cs="Times New Roman"/>
          <w:noProof/>
          <w:color w:val="231F20"/>
          <w:sz w:val="24"/>
          <w:szCs w:val="24"/>
        </w:rPr>
      </w:pPr>
    </w:p>
    <w:p w14:paraId="3D0CE2D3" w14:textId="77777777" w:rsidR="00F02FF0" w:rsidRPr="00801745" w:rsidRDefault="00F02FF0" w:rsidP="00CB441B">
      <w:pPr>
        <w:pStyle w:val="Heading5"/>
        <w:spacing w:before="120"/>
        <w:ind w:left="0"/>
        <w:rPr>
          <w:rFonts w:ascii="Times New Roman" w:hAnsi="Times New Roman" w:cs="Times New Roman"/>
          <w:noProof/>
          <w:color w:val="4E81BD"/>
          <w:sz w:val="28"/>
          <w:szCs w:val="28"/>
        </w:rPr>
      </w:pPr>
      <w:bookmarkStart w:id="31" w:name="Section_VIII:_Defined_Terms"/>
      <w:bookmarkStart w:id="32" w:name="_bookmark9"/>
      <w:bookmarkEnd w:id="31"/>
      <w:bookmarkEnd w:id="32"/>
      <w:r>
        <w:rPr>
          <w:rFonts w:ascii="Times New Roman" w:hAnsi="Times New Roman"/>
          <w:color w:val="4E81BD"/>
          <w:sz w:val="28"/>
        </w:rPr>
        <w:t>VIII pants. Terminu definīcijas</w:t>
      </w:r>
    </w:p>
    <w:p w14:paraId="22F7E9FE" w14:textId="77777777" w:rsidR="00F02FF0" w:rsidRPr="004C20E3" w:rsidRDefault="00F02FF0" w:rsidP="00CB441B">
      <w:pPr>
        <w:pStyle w:val="BodyText"/>
        <w:spacing w:before="240"/>
        <w:rPr>
          <w:rFonts w:ascii="Times New Roman" w:hAnsi="Times New Roman" w:cs="Times New Roman"/>
          <w:noProof/>
          <w:sz w:val="24"/>
          <w:szCs w:val="24"/>
        </w:rPr>
      </w:pPr>
      <w:r>
        <w:rPr>
          <w:rFonts w:ascii="Times New Roman" w:hAnsi="Times New Roman"/>
          <w:sz w:val="24"/>
        </w:rPr>
        <w:t>Turpmāk izklāstīta izmantoto terminu nozīme.</w:t>
      </w:r>
    </w:p>
    <w:p w14:paraId="1BD87869" w14:textId="39D05363" w:rsidR="00F02FF0" w:rsidRPr="004C20E3" w:rsidRDefault="00C15C76" w:rsidP="00CB441B">
      <w:pPr>
        <w:tabs>
          <w:tab w:val="left" w:pos="941"/>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A. Finanšu iestāde, kas sniedz ziņojumus</w:t>
      </w:r>
    </w:p>
    <w:p w14:paraId="5A902464" w14:textId="73E25322" w:rsidR="00F02FF0" w:rsidRPr="004C20E3" w:rsidRDefault="009B7409"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1. </w:t>
      </w:r>
      <w:r>
        <w:rPr>
          <w:rFonts w:ascii="Times New Roman" w:hAnsi="Times New Roman"/>
          <w:b/>
          <w:bCs/>
          <w:color w:val="231F20"/>
          <w:sz w:val="24"/>
        </w:rPr>
        <w:t>“Finanšu iestāde, kas sniedz ziņojumus”</w:t>
      </w:r>
      <w:r>
        <w:rPr>
          <w:rFonts w:ascii="Times New Roman" w:hAnsi="Times New Roman"/>
          <w:color w:val="231F20"/>
          <w:sz w:val="24"/>
        </w:rPr>
        <w:t xml:space="preserve"> ir jebkura iesaistītās jurisdikcijas finanšu iestāde, kura nav finanšu iestāde, kas nesniedz ziņojumus.</w:t>
      </w:r>
    </w:p>
    <w:p w14:paraId="66D0FEC5" w14:textId="760467BE" w:rsidR="00F02FF0" w:rsidRPr="004C20E3" w:rsidRDefault="009B7409"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lastRenderedPageBreak/>
        <w:t xml:space="preserve">2. </w:t>
      </w:r>
      <w:r>
        <w:rPr>
          <w:rFonts w:ascii="Times New Roman" w:hAnsi="Times New Roman"/>
          <w:b/>
          <w:bCs/>
          <w:color w:val="231F20"/>
          <w:sz w:val="24"/>
        </w:rPr>
        <w:t>“Iesaistītās jurisdikcijas finanšu iestāde”</w:t>
      </w:r>
      <w:r>
        <w:rPr>
          <w:rFonts w:ascii="Times New Roman" w:hAnsi="Times New Roman"/>
          <w:color w:val="231F20"/>
          <w:sz w:val="24"/>
        </w:rPr>
        <w:t xml:space="preserve"> ir i) finanšu iestāde, kura ir iesaistītās jurisdikcijas rezidents, izņemot šādas finanšu iestādes filiāli, kas atrodas ārpus iesaistītās jurisdikcijas, un tādas finanšu iestādes filiāle, kas nav iesaistītās jurisdikcijas rezidents, ja šī filiāle atrodas attiecīgajā iesaistītajā jurisdikcijā.</w:t>
      </w:r>
    </w:p>
    <w:p w14:paraId="7ACAC1BA" w14:textId="6C543160" w:rsidR="00F02FF0" w:rsidRPr="004C20E3" w:rsidRDefault="009B7409"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3. </w:t>
      </w:r>
      <w:r>
        <w:rPr>
          <w:rFonts w:ascii="Times New Roman" w:hAnsi="Times New Roman"/>
          <w:b/>
          <w:bCs/>
          <w:color w:val="231F20"/>
          <w:sz w:val="24"/>
        </w:rPr>
        <w:t>“Finanšu iestāde”</w:t>
      </w:r>
      <w:r>
        <w:rPr>
          <w:rFonts w:ascii="Times New Roman" w:hAnsi="Times New Roman"/>
          <w:color w:val="231F20"/>
          <w:sz w:val="24"/>
        </w:rPr>
        <w:t xml:space="preserve"> ir turētājiestāde, noguldījumu iestāde, ieguldījumu vienība vai specializētā apdrošināšanas sabiedrība.</w:t>
      </w:r>
    </w:p>
    <w:p w14:paraId="20C22348" w14:textId="0ADFC646" w:rsidR="00F02FF0" w:rsidRPr="004C20E3" w:rsidRDefault="009B7409"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4. </w:t>
      </w:r>
      <w:r>
        <w:rPr>
          <w:rFonts w:ascii="Times New Roman" w:hAnsi="Times New Roman"/>
          <w:b/>
          <w:bCs/>
          <w:color w:val="231F20"/>
          <w:sz w:val="24"/>
        </w:rPr>
        <w:t>“Turētājiestāde”</w:t>
      </w:r>
      <w:r>
        <w:rPr>
          <w:rFonts w:ascii="Times New Roman" w:hAnsi="Times New Roman"/>
          <w:color w:val="231F20"/>
          <w:sz w:val="24"/>
        </w:rPr>
        <w:t xml:space="preserve"> ir jebkura vienība, kas tur finanšu aktīvus citu uzdevumā, šādai darbībai veidojot tās darījumdarbības būtisku daļu. Finanšu aktīvu turēšana citu uzdevumā uzskatāma par vienības darījumdarbības būtisku daļu, ja vienības bruto ienākumi no finanšu aktīvu turēšanas un saistītiem finanšu pakalpojumiem ir vismaz 20 % no vienības bruto ienākumiem vai nu i) trīs gadu laikposmā, kas beidzas 31. decembrī (vai arī tāda uzskaites perioda pēdējā dienā, kas nav kalendārais gads) pirms gada, kurā ir veikta noteikšana, vai arī ii) vienības pastāvēšanas laikposmā, piemērojot īsāko no šiem laikposmiem.</w:t>
      </w:r>
    </w:p>
    <w:p w14:paraId="52D03215" w14:textId="1F161CD6" w:rsidR="00F02FF0" w:rsidRPr="004C20E3" w:rsidRDefault="00F02FF0" w:rsidP="00CB441B">
      <w:pPr>
        <w:tabs>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noProof/>
          <w:sz w:val="24"/>
        </w:rPr>
        <mc:AlternateContent>
          <mc:Choice Requires="wps">
            <w:drawing>
              <wp:anchor distT="0" distB="0" distL="0" distR="0" simplePos="0" relativeHeight="251652096" behindDoc="0" locked="0" layoutInCell="1" allowOverlap="1" wp14:anchorId="0471F8B1" wp14:editId="75BC615D">
                <wp:simplePos x="0" y="0"/>
                <wp:positionH relativeFrom="page">
                  <wp:posOffset>5205348</wp:posOffset>
                </wp:positionH>
                <wp:positionV relativeFrom="paragraph">
                  <wp:posOffset>210108</wp:posOffset>
                </wp:positionV>
                <wp:extent cx="44450" cy="139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13970"/>
                        </a:xfrm>
                        <a:custGeom>
                          <a:avLst/>
                          <a:gdLst/>
                          <a:ahLst/>
                          <a:cxnLst/>
                          <a:rect l="l" t="t" r="r" b="b"/>
                          <a:pathLst>
                            <a:path w="44450" h="13970">
                              <a:moveTo>
                                <a:pt x="44196" y="0"/>
                              </a:moveTo>
                              <a:lnTo>
                                <a:pt x="0" y="0"/>
                              </a:lnTo>
                              <a:lnTo>
                                <a:pt x="0" y="13716"/>
                              </a:lnTo>
                              <a:lnTo>
                                <a:pt x="44196" y="13716"/>
                              </a:lnTo>
                              <a:lnTo>
                                <a:pt x="44196"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80BBDBB" id="Graphic 18" o:spid="_x0000_s1026" style="position:absolute;margin-left:409.85pt;margin-top:16.55pt;width:3.5pt;height:1.1pt;z-index:251652096;visibility:visible;mso-wrap-style:square;mso-wrap-distance-left:0;mso-wrap-distance-top:0;mso-wrap-distance-right:0;mso-wrap-distance-bottom:0;mso-position-horizontal:absolute;mso-position-horizontal-relative:page;mso-position-vertical:absolute;mso-position-vertical-relative:text;v-text-anchor:top" coordsize="4445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" path="m44196,l,,,13716r44196,l44196,xe" fillcolor="#231f20" stroked="f">
                <v:path arrowok="t"/>
                <w10:wrap anchorx="page"/>
              </v:shape>
            </w:pict>
          </mc:Fallback>
        </mc:AlternateContent>
      </w:r>
      <w:r>
        <w:rPr>
          <w:rFonts w:ascii="Times New Roman" w:hAnsi="Times New Roman"/>
          <w:color w:val="231F20"/>
          <w:sz w:val="24"/>
        </w:rPr>
        <w:t xml:space="preserve">5. </w:t>
      </w:r>
      <w:r>
        <w:rPr>
          <w:rFonts w:ascii="Times New Roman" w:hAnsi="Times New Roman"/>
          <w:b/>
          <w:bCs/>
          <w:color w:val="231F20"/>
          <w:sz w:val="24"/>
        </w:rPr>
        <w:t>“Noguldījumu iestāde”</w:t>
      </w:r>
      <w:r>
        <w:rPr>
          <w:rFonts w:ascii="Times New Roman" w:hAnsi="Times New Roman"/>
          <w:color w:val="231F20"/>
          <w:sz w:val="24"/>
        </w:rPr>
        <w:t xml:space="preserve"> ir vienība, kas:</w:t>
      </w:r>
    </w:p>
    <w:p w14:paraId="181E40EC" w14:textId="7F00354F" w:rsidR="00F02FF0" w:rsidRPr="00CB441B" w:rsidRDefault="009B7409" w:rsidP="00CB441B">
      <w:pPr>
        <w:tabs>
          <w:tab w:val="left" w:pos="2244"/>
        </w:tabs>
        <w:spacing w:before="120"/>
        <w:ind w:left="851" w:hanging="284"/>
        <w:jc w:val="both"/>
        <w:rPr>
          <w:rFonts w:ascii="Times New Roman" w:hAnsi="Times New Roman" w:cs="Times New Roman"/>
          <w:b/>
          <w:i/>
          <w:noProof/>
          <w:color w:val="231F20"/>
          <w:sz w:val="24"/>
          <w:szCs w:val="24"/>
          <w:u w:val="single"/>
        </w:rPr>
      </w:pPr>
      <w:r>
        <w:rPr>
          <w:rFonts w:ascii="Times New Roman" w:hAnsi="Times New Roman"/>
          <w:b/>
          <w:i/>
          <w:color w:val="231F20"/>
          <w:sz w:val="24"/>
        </w:rPr>
        <w:t>a)</w:t>
      </w:r>
      <w:r>
        <w:rPr>
          <w:rFonts w:ascii="Times New Roman" w:hAnsi="Times New Roman"/>
          <w:color w:val="231F20"/>
          <w:sz w:val="24"/>
        </w:rPr>
        <w:t xml:space="preserve"> pieņem noguldījumus, veicot parastu bankas darbību vai līdzīgu darījumdarbību,</w:t>
      </w:r>
      <w:r>
        <w:rPr>
          <w:rFonts w:ascii="Times New Roman" w:hAnsi="Times New Roman"/>
          <w:b/>
          <w:i/>
          <w:iCs/>
          <w:color w:val="231F20"/>
          <w:sz w:val="24"/>
          <w:u w:val="single"/>
        </w:rPr>
        <w:t xml:space="preserve"> vai</w:t>
      </w:r>
    </w:p>
    <w:p w14:paraId="5BAD69C9" w14:textId="55EFC2FE" w:rsidR="00F02FF0" w:rsidRPr="003C3205" w:rsidRDefault="009B7409" w:rsidP="00CB441B">
      <w:pPr>
        <w:tabs>
          <w:tab w:val="left" w:pos="2244"/>
          <w:tab w:val="left" w:pos="2246"/>
        </w:tabs>
        <w:spacing w:before="120"/>
        <w:ind w:left="851"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b) tur noteiktus elektroniskās naudas produktus vai centrālās bankas digitālās valūtas klientu labā.</w:t>
      </w:r>
    </w:p>
    <w:p w14:paraId="26C02BDF" w14:textId="2D42D31E" w:rsidR="00F02FF0" w:rsidRPr="004C20E3" w:rsidRDefault="009B7409" w:rsidP="00CB441B">
      <w:pPr>
        <w:tabs>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6. </w:t>
      </w:r>
      <w:r>
        <w:rPr>
          <w:rFonts w:ascii="Times New Roman" w:hAnsi="Times New Roman"/>
          <w:b/>
          <w:bCs/>
          <w:color w:val="231F20"/>
          <w:sz w:val="24"/>
        </w:rPr>
        <w:t>“Ieguldījumu vienība”</w:t>
      </w:r>
      <w:r>
        <w:rPr>
          <w:rFonts w:ascii="Times New Roman" w:hAnsi="Times New Roman"/>
          <w:color w:val="231F20"/>
          <w:sz w:val="24"/>
        </w:rPr>
        <w:t xml:space="preserve"> ir vienība:</w:t>
      </w:r>
    </w:p>
    <w:p w14:paraId="355FDA69" w14:textId="6D9F57EE" w:rsidR="00F02FF0" w:rsidRPr="004C20E3" w:rsidRDefault="009B7409"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kuras darījumdarbība galvenokārt ir veikt vienu vai vairākas šādas darbības vai operācijas klienta uzdevumā vai vārdā:</w:t>
      </w:r>
    </w:p>
    <w:p w14:paraId="394AC42A" w14:textId="3388F7AA" w:rsidR="00F02FF0" w:rsidRPr="004C20E3" w:rsidRDefault="009B7409"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tirdzniecība ar naudas tirgus instrumentiem (čekiem, vekseļiem, noguldījumu sertifikātiem, atvasinātiem instrumentiem u. c.), ārvalstu valūtu, valūtas kursa, procentu likmju un indeksu instrumentiem, pārvedamiem vērtspapīriem vai regulētā tirgū tirgotiem preču nākotnes līgumiem;</w:t>
      </w:r>
    </w:p>
    <w:p w14:paraId="045446D1" w14:textId="519BF50D" w:rsidR="00F02FF0" w:rsidRPr="004C20E3" w:rsidRDefault="009B7409" w:rsidP="00CB441B">
      <w:pPr>
        <w:tabs>
          <w:tab w:val="left" w:pos="2964"/>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individuāla un kolektīva portfeļa pārvaldība vai</w:t>
      </w:r>
    </w:p>
    <w:p w14:paraId="302D8550" w14:textId="37B1BD41" w:rsidR="00F02FF0" w:rsidRPr="004C20E3" w:rsidRDefault="00F02FF0" w:rsidP="00CB441B">
      <w:pPr>
        <w:tabs>
          <w:tab w:val="left" w:pos="2963"/>
          <w:tab w:val="left" w:pos="2967"/>
        </w:tabs>
        <w:spacing w:before="120"/>
        <w:ind w:left="1134" w:hanging="284"/>
        <w:jc w:val="both"/>
        <w:rPr>
          <w:rFonts w:ascii="Times New Roman" w:hAnsi="Times New Roman" w:cs="Times New Roman"/>
          <w:noProof/>
          <w:sz w:val="24"/>
          <w:szCs w:val="24"/>
        </w:rPr>
      </w:pPr>
      <w:r>
        <w:rPr>
          <w:rFonts w:ascii="Times New Roman" w:hAnsi="Times New Roman"/>
          <w:noProof/>
          <w:sz w:val="24"/>
        </w:rPr>
        <mc:AlternateContent>
          <mc:Choice Requires="wps">
            <w:drawing>
              <wp:anchor distT="0" distB="0" distL="0" distR="0" simplePos="0" relativeHeight="251654144" behindDoc="1" locked="0" layoutInCell="1" allowOverlap="1" wp14:anchorId="73297FD6" wp14:editId="56F0368A">
                <wp:simplePos x="0" y="0"/>
                <wp:positionH relativeFrom="page">
                  <wp:posOffset>6082029</wp:posOffset>
                </wp:positionH>
                <wp:positionV relativeFrom="paragraph">
                  <wp:posOffset>226449</wp:posOffset>
                </wp:positionV>
                <wp:extent cx="33655" cy="139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3970"/>
                        </a:xfrm>
                        <a:custGeom>
                          <a:avLst/>
                          <a:gdLst/>
                          <a:ahLst/>
                          <a:cxnLst/>
                          <a:rect l="l" t="t" r="r" b="b"/>
                          <a:pathLst>
                            <a:path w="33655" h="13970">
                              <a:moveTo>
                                <a:pt x="33527" y="0"/>
                              </a:moveTo>
                              <a:lnTo>
                                <a:pt x="0" y="0"/>
                              </a:lnTo>
                              <a:lnTo>
                                <a:pt x="0" y="13715"/>
                              </a:lnTo>
                              <a:lnTo>
                                <a:pt x="33527" y="13715"/>
                              </a:lnTo>
                              <a:lnTo>
                                <a:pt x="3352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2373BA7F" id="Graphic 19" o:spid="_x0000_s1026" style="position:absolute;margin-left:478.9pt;margin-top:17.85pt;width:2.65pt;height:1.1pt;z-index:-251662336;visibility:visible;mso-wrap-style:square;mso-wrap-distance-left:0;mso-wrap-distance-top:0;mso-wrap-distance-right:0;mso-wrap-distance-bottom:0;mso-position-horizontal:absolute;mso-position-horizontal-relative:page;mso-position-vertical:absolute;mso-position-vertical-relative:text;v-text-anchor:top" coordsize="3365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" path="m33527,l,,,13715r33527,l33527,xe" fillcolor="#231f20" stroked="f">
                <v:path arrowok="t"/>
                <w10:wrap anchorx="page"/>
              </v:shape>
            </w:pict>
          </mc:Fallback>
        </mc:AlternateContent>
      </w:r>
      <w:r>
        <w:rPr>
          <w:rFonts w:ascii="Times New Roman" w:hAnsi="Times New Roman"/>
          <w:color w:val="231F20"/>
          <w:sz w:val="24"/>
        </w:rPr>
        <w:t xml:space="preserve">iii) citāda finanšu aktīvu </w:t>
      </w:r>
      <w:r>
        <w:rPr>
          <w:rFonts w:ascii="Times New Roman" w:hAnsi="Times New Roman"/>
          <w:strike/>
          <w:color w:val="231F20"/>
          <w:sz w:val="24"/>
        </w:rPr>
        <w:t>vai</w:t>
      </w:r>
      <w:r>
        <w:rPr>
          <w:rFonts w:ascii="Times New Roman" w:hAnsi="Times New Roman"/>
          <w:color w:val="231F20"/>
          <w:sz w:val="24"/>
          <w:u w:val="single"/>
        </w:rPr>
        <w:t>,</w:t>
      </w:r>
      <w:r>
        <w:rPr>
          <w:rFonts w:ascii="Times New Roman" w:hAnsi="Times New Roman"/>
          <w:color w:val="231F20"/>
          <w:sz w:val="24"/>
        </w:rPr>
        <w:t xml:space="preserve"> naudas </w:t>
      </w:r>
      <w:r>
        <w:rPr>
          <w:rFonts w:ascii="Times New Roman" w:hAnsi="Times New Roman"/>
          <w:b/>
          <w:bCs/>
          <w:i/>
          <w:iCs/>
          <w:color w:val="231F20"/>
          <w:sz w:val="24"/>
          <w:u w:val="thick" w:color="231F20"/>
        </w:rPr>
        <w:t>vai attiecīgo kriptoaktīvu</w:t>
      </w:r>
      <w:r>
        <w:rPr>
          <w:rFonts w:ascii="Times New Roman" w:hAnsi="Times New Roman"/>
          <w:color w:val="231F20"/>
          <w:sz w:val="24"/>
        </w:rPr>
        <w:t xml:space="preserve"> ieguldīšana, administrēšana vai pārvaldība citu personu vārdā vai</w:t>
      </w:r>
    </w:p>
    <w:p w14:paraId="5D60092E" w14:textId="153B4A28" w:rsidR="00F02FF0" w:rsidRPr="004C20E3" w:rsidRDefault="009B7409" w:rsidP="00CB441B">
      <w:pPr>
        <w:tabs>
          <w:tab w:val="left" w:pos="2244"/>
          <w:tab w:val="left" w:pos="2246"/>
        </w:tabs>
        <w:spacing w:before="120"/>
        <w:ind w:left="851" w:hanging="284"/>
        <w:jc w:val="both"/>
        <w:rPr>
          <w:rFonts w:ascii="Times New Roman" w:hAnsi="Times New Roman" w:cs="Times New Roman"/>
          <w:noProof/>
          <w:sz w:val="24"/>
          <w:szCs w:val="24"/>
        </w:rPr>
      </w:pPr>
      <w:r>
        <w:rPr>
          <w:rFonts w:ascii="Times New Roman" w:hAnsi="Times New Roman"/>
          <w:sz w:val="24"/>
        </w:rPr>
        <w:t xml:space="preserve">b) kuras bruto ienākumi galvenokārt ir saistīti ar finanšu aktīvu </w:t>
      </w:r>
      <w:r>
        <w:rPr>
          <w:rFonts w:ascii="Times New Roman" w:hAnsi="Times New Roman"/>
          <w:b/>
          <w:bCs/>
          <w:i/>
          <w:iCs/>
          <w:sz w:val="24"/>
          <w:u w:val="single"/>
        </w:rPr>
        <w:t>vai attiecīgo kriptoaktīvu</w:t>
      </w:r>
      <w:r>
        <w:rPr>
          <w:rFonts w:ascii="Times New Roman" w:hAnsi="Times New Roman"/>
          <w:sz w:val="24"/>
        </w:rPr>
        <w:t xml:space="preserve"> ieguldīšanu, atkārtotu ieguldīšanu vai tirdzniecību, ja vienību pārvalda cita vienība, kas ir noguldījumu iestāde, turētājiestāde, specializētā apdrošināšanas sabiedrība vai ieguldījumu vienība, kura minēta A punkta 6. apakšpunkta a) daļā.</w:t>
      </w:r>
    </w:p>
    <w:p w14:paraId="484D0F9D" w14:textId="000D3389" w:rsidR="00F02FF0" w:rsidRPr="004C20E3" w:rsidRDefault="00F02FF0" w:rsidP="00CB441B">
      <w:pPr>
        <w:spacing w:before="120"/>
        <w:ind w:left="851"/>
        <w:jc w:val="both"/>
        <w:rPr>
          <w:rFonts w:ascii="Times New Roman" w:hAnsi="Times New Roman" w:cs="Times New Roman"/>
          <w:noProof/>
          <w:sz w:val="24"/>
          <w:szCs w:val="24"/>
        </w:rPr>
      </w:pPr>
      <w:r>
        <w:rPr>
          <w:rFonts w:ascii="Times New Roman" w:hAnsi="Times New Roman"/>
          <w:sz w:val="24"/>
        </w:rPr>
        <w:t xml:space="preserve">Uzskata, ka vienības darījumdarbība galvenokārt ir viena vai vairākas A punkta 6. apakšpunkta a) daļā aprakstītās darbības vai ka vienības bruto ienākumi galvenokārt ir saistīti ar finanšu aktīvu </w:t>
      </w:r>
      <w:r>
        <w:rPr>
          <w:rFonts w:ascii="Times New Roman" w:hAnsi="Times New Roman"/>
          <w:b/>
          <w:bCs/>
          <w:i/>
          <w:iCs/>
          <w:sz w:val="24"/>
          <w:u w:val="single"/>
        </w:rPr>
        <w:t>vai attiecīgo kriptoaktīvu</w:t>
      </w:r>
      <w:r>
        <w:rPr>
          <w:rFonts w:ascii="Times New Roman" w:hAnsi="Times New Roman"/>
          <w:sz w:val="24"/>
        </w:rPr>
        <w:t xml:space="preserve"> ieguldīšanu, atkārtotu ieguldīšanu vai tirdzniecību A punkta 6. apakšpunkta b) daļas vajadzībām, ja vienības bruto ienākumi, kas saistīti ar attiecīgajām darbībām, ir vismaz 50 % no vienības bruto ienākumiem vai nu: i) trīs gadu laika posmā, kurš beidzas tā gada 31. decembrī, kas seko gadam, kad ir veikta noteikšana, vai arī ii) vienības pastāvēšanas laika posmā, piemērojot īsāko no šiem laika posmiem. </w:t>
      </w:r>
      <w:r>
        <w:rPr>
          <w:rFonts w:ascii="Times New Roman" w:hAnsi="Times New Roman"/>
          <w:b/>
          <w:i/>
          <w:color w:val="231F20"/>
          <w:sz w:val="24"/>
          <w:u w:val="single"/>
        </w:rPr>
        <w:t xml:space="preserve">Šī panta A punkta 6. apakšpunkta a) daļas iii) punkta vajadzībām termins “citāda finanšu aktīvu, naudas vai attiecīgo kriptoaktīvu ieguldīšana, administrēšana vai pārvaldība citu personu vārdā” neietver pakalpojumu, ar ko izpilda maiņas darījumus klientiem vai to vārdā. </w:t>
      </w:r>
      <w:r>
        <w:rPr>
          <w:rFonts w:ascii="Times New Roman" w:hAnsi="Times New Roman"/>
          <w:sz w:val="24"/>
        </w:rPr>
        <w:t>Termins “ieguldījumu vienība” neietver vienību, kas ir aktīva nefinanšu vienība, jo minētā vienība atbilst visiem D punkta 9. apakšpunkta d)–g) daļas kritērijiem.</w:t>
      </w:r>
    </w:p>
    <w:p w14:paraId="4F5CD513" w14:textId="77777777" w:rsidR="00F02FF0" w:rsidRPr="004C20E3" w:rsidRDefault="00F02FF0" w:rsidP="00CB441B">
      <w:pPr>
        <w:pStyle w:val="BodyText"/>
        <w:spacing w:before="120"/>
        <w:ind w:left="851"/>
        <w:rPr>
          <w:rFonts w:ascii="Times New Roman" w:hAnsi="Times New Roman" w:cs="Times New Roman"/>
          <w:noProof/>
          <w:color w:val="231F20"/>
          <w:sz w:val="24"/>
          <w:szCs w:val="24"/>
        </w:rPr>
      </w:pPr>
      <w:r>
        <w:rPr>
          <w:rFonts w:ascii="Times New Roman" w:hAnsi="Times New Roman"/>
          <w:color w:val="231F20"/>
          <w:sz w:val="24"/>
        </w:rPr>
        <w:lastRenderedPageBreak/>
        <w:t>Šo apakšpunktu interpretē atbilstīgi tam, kā ir formulēta termina “finanšu iestāde” definīcija Finanšu darījumu darba grupas (</w:t>
      </w:r>
      <w:r>
        <w:rPr>
          <w:rFonts w:ascii="Times New Roman" w:hAnsi="Times New Roman"/>
          <w:i/>
          <w:iCs/>
          <w:color w:val="231F20"/>
          <w:sz w:val="24"/>
        </w:rPr>
        <w:t>Financial Action Task Force</w:t>
      </w:r>
      <w:r>
        <w:rPr>
          <w:rFonts w:ascii="Times New Roman" w:hAnsi="Times New Roman"/>
          <w:color w:val="231F20"/>
          <w:sz w:val="24"/>
        </w:rPr>
        <w:t>) ieteikumos.</w:t>
      </w:r>
    </w:p>
    <w:p w14:paraId="1A69DE7B" w14:textId="730D8255" w:rsidR="00F02FF0" w:rsidRPr="004C20E3" w:rsidRDefault="00BF1EEF"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7. </w:t>
      </w:r>
      <w:r>
        <w:rPr>
          <w:rFonts w:ascii="Times New Roman" w:hAnsi="Times New Roman"/>
          <w:b/>
          <w:bCs/>
          <w:color w:val="231F20"/>
          <w:sz w:val="24"/>
        </w:rPr>
        <w:t>“Finanšu aktīvs”</w:t>
      </w:r>
      <w:r>
        <w:rPr>
          <w:rFonts w:ascii="Times New Roman" w:hAnsi="Times New Roman"/>
          <w:color w:val="231F20"/>
          <w:sz w:val="24"/>
        </w:rPr>
        <w:t xml:space="preserve"> ir vērtspapīri (piemēram, kapitāla daļas kapitālsabiedrībā, uzņēmējsabiedrības daļas vai faktisko īpašumtiesību daļas plaši turētā vai publiskā akciju sabiedrībā vai trastā, vekseļi, obligācijas, parādzīmes vai cita veida parādsaistību apliecinājumi), daļas uzņēmējsabiedrībā, preces, mijmaiņas līgumi (piemēram, procentu likmju mijmaiņas līgumi, valūtas mijmaiņas līgumi, bāzes mijmaiņas līgumi, procentu likmes maksimālo robežvērtības līgumi, procentu likmju minimālo robežvērtību līgumi, ar precēm saistīti mijmaiņas līgumi, akciju mijmaiņas līgumi, akciju indeksu mijmaiņas līgumi un līdzīgas vienošanās), apdrošināšanas līgumi vai anuitātes līgumi, vai jebkāda līdzdalība (tostarp regulētā tirgū tirgoti un regulētā tirgū netirgoti nākotnes līgumi vai iespējas līgumi) vērtspapīros, </w:t>
      </w:r>
      <w:r>
        <w:rPr>
          <w:rFonts w:ascii="Times New Roman" w:hAnsi="Times New Roman"/>
          <w:b/>
          <w:bCs/>
          <w:i/>
          <w:iCs/>
          <w:color w:val="231F20"/>
          <w:sz w:val="24"/>
          <w:u w:val="single"/>
        </w:rPr>
        <w:t>attiecīgajos kriptoaktīvos</w:t>
      </w:r>
      <w:r>
        <w:rPr>
          <w:rFonts w:ascii="Times New Roman" w:hAnsi="Times New Roman"/>
          <w:color w:val="231F20"/>
          <w:sz w:val="24"/>
        </w:rPr>
        <w:t>, uzņēmējsabiedrības daļās, preču līgumos, mijmaiņas līgumos, apdrošināšanas līgumos vai anuitātes līgumos. Termins “finanšu aktīvs” neietver ar parāda finansējumu nesaistītu tiešu līdzdalību nekustamā īpašumā.</w:t>
      </w:r>
    </w:p>
    <w:p w14:paraId="6A88C9E1" w14:textId="787507E1" w:rsidR="00F02FF0" w:rsidRPr="004C20E3" w:rsidRDefault="00BF1EEF"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8. </w:t>
      </w:r>
      <w:r>
        <w:rPr>
          <w:rFonts w:ascii="Times New Roman" w:hAnsi="Times New Roman"/>
          <w:b/>
          <w:bCs/>
          <w:color w:val="231F20"/>
          <w:sz w:val="24"/>
        </w:rPr>
        <w:t>“Specializētā apdrošināšanas sabiedrība”</w:t>
      </w:r>
      <w:r>
        <w:rPr>
          <w:rFonts w:ascii="Times New Roman" w:hAnsi="Times New Roman"/>
          <w:color w:val="231F20"/>
          <w:sz w:val="24"/>
        </w:rPr>
        <w:t xml:space="preserve"> ir vienība, kas ir apdrošināšanas sabiedrība (vai apdrošināšanas sabiedrības pārvaldītājsabiedrība) un izdod apdrošināšanas līgumu ar naudas vērtību vai anuitātes līgumu vai kam ir pienākums veikt maksājumus saistībā ar šādiem līgumiem.</w:t>
      </w:r>
    </w:p>
    <w:p w14:paraId="1CB5BB98" w14:textId="44E9CBCB" w:rsidR="00F02FF0" w:rsidRPr="00CB441B" w:rsidRDefault="00BF1EEF" w:rsidP="00CB441B">
      <w:pPr>
        <w:tabs>
          <w:tab w:val="left" w:pos="1691"/>
        </w:tabs>
        <w:spacing w:before="120"/>
        <w:ind w:left="567" w:hanging="284"/>
        <w:jc w:val="both"/>
        <w:rPr>
          <w:rFonts w:ascii="Times New Roman" w:hAnsi="Times New Roman" w:cs="Times New Roman"/>
          <w:b/>
          <w:i/>
          <w:noProof/>
          <w:sz w:val="24"/>
          <w:szCs w:val="24"/>
          <w:u w:val="single"/>
        </w:rPr>
      </w:pPr>
      <w:r>
        <w:rPr>
          <w:rFonts w:ascii="Times New Roman" w:hAnsi="Times New Roman"/>
          <w:b/>
          <w:i/>
          <w:sz w:val="24"/>
          <w:u w:val="single"/>
        </w:rPr>
        <w:t xml:space="preserve">9. </w:t>
      </w:r>
      <w:r>
        <w:rPr>
          <w:rFonts w:ascii="Times New Roman" w:hAnsi="Times New Roman"/>
          <w:b/>
          <w:bCs/>
          <w:i/>
          <w:sz w:val="24"/>
          <w:u w:val="single"/>
        </w:rPr>
        <w:t>“Noteikts elektroniskās naudas produkts”</w:t>
      </w:r>
      <w:r>
        <w:rPr>
          <w:rFonts w:ascii="Times New Roman" w:hAnsi="Times New Roman"/>
          <w:b/>
          <w:i/>
          <w:sz w:val="24"/>
          <w:u w:val="single"/>
        </w:rPr>
        <w:t xml:space="preserve"> ir jebkurš produkts, kas ir:</w:t>
      </w:r>
    </w:p>
    <w:p w14:paraId="02EA7D8E" w14:textId="3A1835A9" w:rsidR="00F02FF0" w:rsidRPr="00CB441B" w:rsidRDefault="00BF1EEF" w:rsidP="00CB441B">
      <w:pPr>
        <w:tabs>
          <w:tab w:val="left" w:pos="2244"/>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a) vienotas bezseguma valūtas digitāls atveidojums;</w:t>
      </w:r>
    </w:p>
    <w:p w14:paraId="78DF6110" w14:textId="7AB5C4EC" w:rsidR="00F02FF0" w:rsidRPr="00CB441B" w:rsidRDefault="00BF1EEF" w:rsidP="00CB441B">
      <w:pPr>
        <w:tabs>
          <w:tab w:val="left" w:pos="2244"/>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b) izdots, saņemot līdzekļus maksājumu darījumu veikšanai;</w:t>
      </w:r>
    </w:p>
    <w:p w14:paraId="2C9B90A9" w14:textId="32AE6343" w:rsidR="00F02FF0" w:rsidRPr="00CB441B" w:rsidRDefault="00BF1EEF" w:rsidP="00CB441B">
      <w:pPr>
        <w:tabs>
          <w:tab w:val="left" w:pos="2244"/>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c) pārstāvēts ar tajā pašā bezseguma valūtā denominētu prasījumu pret emitentu;</w:t>
      </w:r>
    </w:p>
    <w:p w14:paraId="670978E3" w14:textId="582CE21F" w:rsidR="00F02FF0" w:rsidRPr="00CB441B" w:rsidRDefault="00BF1EEF" w:rsidP="00CB441B">
      <w:pPr>
        <w:tabs>
          <w:tab w:val="left" w:pos="2244"/>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d) saņemts kā maksājums, un to ir saņēmusi fiziska vai juridiska persona, kas nav emitents, un</w:t>
      </w:r>
    </w:p>
    <w:p w14:paraId="716F7FF8" w14:textId="74C65355" w:rsidR="00F02FF0" w:rsidRPr="00CB441B" w:rsidRDefault="00BF1EEF" w:rsidP="00CB441B">
      <w:pPr>
        <w:tabs>
          <w:tab w:val="left" w:pos="2244"/>
          <w:tab w:val="left" w:pos="2246"/>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e) dzēšams pēc produkta turētāja pieprasījuma jebkurā laikā saskaņā ar emitentam izvirzītajām regulatīvajām prasībām un par tādu pašu bezseguma valūtas nominālvērtību.</w:t>
      </w:r>
    </w:p>
    <w:p w14:paraId="5D8D2F53" w14:textId="77777777" w:rsidR="00F02FF0" w:rsidRPr="00CB441B" w:rsidRDefault="00F02FF0" w:rsidP="003C3205">
      <w:pPr>
        <w:spacing w:before="120"/>
        <w:ind w:left="851"/>
        <w:jc w:val="both"/>
        <w:rPr>
          <w:rFonts w:ascii="Times New Roman" w:hAnsi="Times New Roman" w:cs="Times New Roman"/>
          <w:b/>
          <w:i/>
          <w:noProof/>
          <w:sz w:val="24"/>
          <w:szCs w:val="24"/>
          <w:u w:val="single"/>
        </w:rPr>
      </w:pPr>
      <w:r>
        <w:rPr>
          <w:rFonts w:ascii="Times New Roman" w:hAnsi="Times New Roman"/>
          <w:b/>
          <w:i/>
          <w:sz w:val="24"/>
          <w:u w:val="single"/>
        </w:rPr>
        <w:t>Termins “noteikts elektroniskās naudas produkts” neietver produktu, kas radīts vienīgi nolūkā atvieglot naudas līdzekļu pārvešanu no klienta citai personai saskaņā ar klienta norādījumiem. Produkts nav radīts vienīgi nolūkā atvieglot naudas līdzekļu pārvešanu, ja vienība, kas veic pārvedumu, parastajā 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7588C526" w14:textId="634AC7D5" w:rsidR="00F02FF0" w:rsidRPr="00CB441B" w:rsidRDefault="008D0153" w:rsidP="00CB441B">
      <w:pPr>
        <w:tabs>
          <w:tab w:val="left" w:pos="1800"/>
        </w:tabs>
        <w:spacing w:before="120"/>
        <w:ind w:left="567" w:hanging="284"/>
        <w:jc w:val="both"/>
        <w:rPr>
          <w:rFonts w:ascii="Times New Roman" w:hAnsi="Times New Roman" w:cs="Times New Roman"/>
          <w:b/>
          <w:i/>
          <w:noProof/>
          <w:sz w:val="24"/>
          <w:szCs w:val="24"/>
          <w:u w:val="single"/>
        </w:rPr>
      </w:pPr>
      <w:r>
        <w:rPr>
          <w:rFonts w:ascii="Times New Roman" w:hAnsi="Times New Roman"/>
          <w:b/>
          <w:i/>
          <w:sz w:val="24"/>
          <w:u w:val="single"/>
        </w:rPr>
        <w:t>10. “Centrālās bankas digitālā valūta” ir jebkura digitāla bezseguma valūta, ko emitējusi centrālā banka.</w:t>
      </w:r>
    </w:p>
    <w:p w14:paraId="1B0036DF" w14:textId="0DBCB280" w:rsidR="00F02FF0" w:rsidRPr="00CB441B" w:rsidRDefault="008D0153" w:rsidP="00CB441B">
      <w:pPr>
        <w:tabs>
          <w:tab w:val="left" w:pos="1800"/>
          <w:tab w:val="left" w:pos="1925"/>
        </w:tabs>
        <w:spacing w:before="120"/>
        <w:ind w:left="567" w:hanging="284"/>
        <w:jc w:val="both"/>
        <w:rPr>
          <w:rFonts w:ascii="Times New Roman" w:hAnsi="Times New Roman" w:cs="Times New Roman"/>
          <w:b/>
          <w:i/>
          <w:noProof/>
          <w:sz w:val="24"/>
          <w:szCs w:val="24"/>
          <w:u w:val="single"/>
        </w:rPr>
      </w:pPr>
      <w:r>
        <w:rPr>
          <w:rFonts w:ascii="Times New Roman" w:hAnsi="Times New Roman"/>
          <w:b/>
          <w:i/>
          <w:sz w:val="24"/>
          <w:u w:val="single"/>
        </w:rPr>
        <w:t xml:space="preserve">11. </w:t>
      </w:r>
      <w:r>
        <w:rPr>
          <w:rFonts w:ascii="Times New Roman" w:hAnsi="Times New Roman"/>
          <w:b/>
          <w:bCs/>
          <w:i/>
          <w:sz w:val="24"/>
          <w:u w:val="single"/>
        </w:rPr>
        <w:t>“Bezseguma valūta”</w:t>
      </w:r>
      <w:r>
        <w:rPr>
          <w:rFonts w:ascii="Times New Roman" w:hAnsi="Times New Roman"/>
          <w:b/>
          <w:i/>
          <w:sz w:val="24"/>
          <w:u w:val="single"/>
        </w:rPr>
        <w:t xml:space="preserve"> ir jurisdikcijas oficiālā valūta, ko emitē jurisdikcija vai jurisdikcijas norīkota centrālā banka vai monetārā iestāde un kas pieejama kā fiziskas banknotes vai monētas, vai nauda dažādās digitālās formās, kā arī banku rezerves un centrālās bankas digitālās valūtas. Šis termins ietver arī komercbanku naudu un elektroniskās naudas produktus (tostarp noteiktos elektroniskās naudas produktus).</w:t>
      </w:r>
    </w:p>
    <w:p w14:paraId="7245CA6C" w14:textId="56837F6F" w:rsidR="00F02FF0" w:rsidRPr="00CB441B" w:rsidRDefault="008D0153" w:rsidP="00CB441B">
      <w:pPr>
        <w:tabs>
          <w:tab w:val="left" w:pos="1800"/>
          <w:tab w:val="left" w:pos="1925"/>
        </w:tabs>
        <w:spacing w:before="120"/>
        <w:ind w:left="567" w:hanging="284"/>
        <w:jc w:val="both"/>
        <w:rPr>
          <w:rFonts w:ascii="Times New Roman" w:hAnsi="Times New Roman" w:cs="Times New Roman"/>
          <w:b/>
          <w:i/>
          <w:noProof/>
          <w:sz w:val="24"/>
          <w:szCs w:val="24"/>
          <w:u w:val="single"/>
        </w:rPr>
      </w:pPr>
      <w:r>
        <w:rPr>
          <w:rFonts w:ascii="Times New Roman" w:hAnsi="Times New Roman"/>
          <w:b/>
          <w:i/>
          <w:sz w:val="24"/>
          <w:u w:val="single"/>
        </w:rPr>
        <w:t xml:space="preserve">12. </w:t>
      </w:r>
      <w:r>
        <w:rPr>
          <w:rFonts w:ascii="Times New Roman" w:hAnsi="Times New Roman"/>
          <w:b/>
          <w:bCs/>
          <w:i/>
          <w:sz w:val="24"/>
          <w:u w:val="single"/>
        </w:rPr>
        <w:t>“Kriptoaktīvs”</w:t>
      </w:r>
      <w:r>
        <w:rPr>
          <w:rFonts w:ascii="Times New Roman" w:hAnsi="Times New Roman"/>
          <w:b/>
          <w:i/>
          <w:sz w:val="24"/>
          <w:u w:val="single"/>
        </w:rPr>
        <w:t xml:space="preserve"> ir vērtības digitāls atveidojums, kā pamatā ir kriptogrāfiski aizsargāta sadalītā virsgrāmata vai līdzīga tehnoloģija, ko izmanto, lai validētu un aizsargātu darījumus.</w:t>
      </w:r>
    </w:p>
    <w:p w14:paraId="7A738106" w14:textId="77F20C3F" w:rsidR="00F02FF0" w:rsidRPr="00CB441B" w:rsidRDefault="008D0153" w:rsidP="00CB441B">
      <w:pPr>
        <w:tabs>
          <w:tab w:val="left" w:pos="1800"/>
          <w:tab w:val="left" w:pos="1925"/>
        </w:tabs>
        <w:spacing w:before="120"/>
        <w:ind w:left="567" w:hanging="284"/>
        <w:jc w:val="both"/>
        <w:rPr>
          <w:rFonts w:ascii="Times New Roman" w:hAnsi="Times New Roman" w:cs="Times New Roman"/>
          <w:b/>
          <w:i/>
          <w:noProof/>
          <w:sz w:val="24"/>
          <w:szCs w:val="24"/>
          <w:u w:val="single"/>
        </w:rPr>
      </w:pPr>
      <w:r>
        <w:rPr>
          <w:rFonts w:ascii="Times New Roman" w:hAnsi="Times New Roman"/>
          <w:b/>
          <w:i/>
          <w:sz w:val="24"/>
          <w:u w:val="single"/>
        </w:rPr>
        <w:lastRenderedPageBreak/>
        <w:t xml:space="preserve">13. </w:t>
      </w:r>
      <w:r>
        <w:rPr>
          <w:rFonts w:ascii="Times New Roman" w:hAnsi="Times New Roman"/>
          <w:b/>
          <w:bCs/>
          <w:i/>
          <w:sz w:val="24"/>
          <w:u w:val="single"/>
        </w:rPr>
        <w:t>“Attiecīgais kriptoaktīvs”</w:t>
      </w:r>
      <w:r>
        <w:rPr>
          <w:rFonts w:ascii="Times New Roman" w:hAnsi="Times New Roman"/>
          <w:b/>
          <w:i/>
          <w:sz w:val="24"/>
          <w:u w:val="single"/>
        </w:rPr>
        <w:t xml:space="preserve"> ir jebkurš kriptoaktīvs, kas nav centrālās bankas digitālā valūta, noteikts elektroniskās naudas produkts vai jebkurš kriptoaktīvs, attiecībā uz kuru kriptoaktīvu pakalpojumu sniedzējs, kas sniedz ziņojumus, ir noteicis, ka to nevar izmantot maksājumu vai ieguldījumu nolūkos.</w:t>
      </w:r>
    </w:p>
    <w:p w14:paraId="3C29C3AF" w14:textId="44D0E9B6" w:rsidR="00F02FF0" w:rsidRPr="00CB441B" w:rsidRDefault="008D0153" w:rsidP="00CB441B">
      <w:pPr>
        <w:tabs>
          <w:tab w:val="left" w:pos="1800"/>
        </w:tabs>
        <w:spacing w:before="120"/>
        <w:ind w:left="567" w:hanging="284"/>
        <w:jc w:val="both"/>
        <w:rPr>
          <w:rFonts w:ascii="Times New Roman" w:hAnsi="Times New Roman" w:cs="Times New Roman"/>
          <w:b/>
          <w:i/>
          <w:noProof/>
          <w:sz w:val="24"/>
          <w:szCs w:val="24"/>
          <w:u w:val="single"/>
        </w:rPr>
      </w:pPr>
      <w:r>
        <w:rPr>
          <w:rFonts w:ascii="Times New Roman" w:hAnsi="Times New Roman"/>
          <w:b/>
          <w:i/>
          <w:sz w:val="24"/>
          <w:u w:val="single"/>
        </w:rPr>
        <w:t xml:space="preserve">14. </w:t>
      </w:r>
      <w:r>
        <w:rPr>
          <w:rFonts w:ascii="Times New Roman" w:hAnsi="Times New Roman"/>
          <w:b/>
          <w:bCs/>
          <w:i/>
          <w:sz w:val="24"/>
          <w:u w:val="single"/>
        </w:rPr>
        <w:t>“Maiņas darījums”</w:t>
      </w:r>
      <w:r>
        <w:rPr>
          <w:rFonts w:ascii="Times New Roman" w:hAnsi="Times New Roman"/>
          <w:b/>
          <w:i/>
          <w:sz w:val="24"/>
          <w:u w:val="single"/>
        </w:rPr>
        <w:t xml:space="preserve"> ir:</w:t>
      </w:r>
    </w:p>
    <w:p w14:paraId="2944D7D5" w14:textId="04BC2BFB" w:rsidR="00F02FF0" w:rsidRPr="00CB441B" w:rsidRDefault="008D0153" w:rsidP="00CB441B">
      <w:pPr>
        <w:tabs>
          <w:tab w:val="left" w:pos="2244"/>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a) attiecīgo kriptoaktīvu un bezseguma valūtu maiņa un</w:t>
      </w:r>
    </w:p>
    <w:p w14:paraId="5118D640" w14:textId="5718EB3E" w:rsidR="00F02FF0" w:rsidRPr="00CB441B" w:rsidRDefault="008D0153" w:rsidP="00CB441B">
      <w:pPr>
        <w:tabs>
          <w:tab w:val="left" w:pos="2244"/>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b) viena vai vairāku virtuālo valūtu veidu maiņa.</w:t>
      </w:r>
    </w:p>
    <w:p w14:paraId="1257B1BB" w14:textId="6B862CC5" w:rsidR="00F02FF0" w:rsidRPr="004C20E3" w:rsidRDefault="008D0153" w:rsidP="00CB441B">
      <w:pPr>
        <w:pStyle w:val="Heading9"/>
        <w:tabs>
          <w:tab w:val="left" w:pos="941"/>
        </w:tabs>
        <w:spacing w:before="120"/>
        <w:ind w:left="284" w:hanging="284"/>
        <w:jc w:val="both"/>
        <w:rPr>
          <w:rFonts w:ascii="Times New Roman" w:hAnsi="Times New Roman" w:cs="Times New Roman"/>
          <w:noProof/>
          <w:color w:val="231F20"/>
          <w:sz w:val="24"/>
          <w:szCs w:val="24"/>
        </w:rPr>
      </w:pPr>
      <w:r>
        <w:rPr>
          <w:rFonts w:ascii="Times New Roman" w:hAnsi="Times New Roman"/>
          <w:b w:val="0"/>
          <w:color w:val="231F20"/>
          <w:sz w:val="24"/>
        </w:rPr>
        <w:t>B.</w:t>
      </w:r>
      <w:r>
        <w:rPr>
          <w:rFonts w:ascii="Times New Roman" w:hAnsi="Times New Roman"/>
          <w:color w:val="231F20"/>
          <w:sz w:val="24"/>
        </w:rPr>
        <w:t xml:space="preserve"> Finanšu iestāde, kas nesniedz ziņojumus</w:t>
      </w:r>
    </w:p>
    <w:p w14:paraId="494A006A" w14:textId="6BF73F7F" w:rsidR="00F02FF0" w:rsidRPr="004C20E3" w:rsidRDefault="008D0153"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1. </w:t>
      </w:r>
      <w:r>
        <w:rPr>
          <w:rFonts w:ascii="Times New Roman" w:hAnsi="Times New Roman"/>
          <w:b/>
          <w:bCs/>
          <w:color w:val="231F20"/>
          <w:sz w:val="24"/>
        </w:rPr>
        <w:t>“Finanšu iestāde, kas nesniedz ziņojumus</w:t>
      </w:r>
      <w:r>
        <w:rPr>
          <w:rFonts w:ascii="Times New Roman" w:hAnsi="Times New Roman"/>
          <w:color w:val="231F20"/>
          <w:sz w:val="24"/>
        </w:rPr>
        <w:t>” ir jebkura finanšu iestāde, kas ir:</w:t>
      </w:r>
    </w:p>
    <w:p w14:paraId="36FEC62A" w14:textId="349CEC96" w:rsidR="00F02FF0" w:rsidRPr="004C20E3" w:rsidRDefault="008D0153"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valdības iestāde, starptautiska organizācija vai centrālā banka, izņemot</w:t>
      </w:r>
      <w:r>
        <w:rPr>
          <w:rFonts w:ascii="Times New Roman" w:hAnsi="Times New Roman"/>
          <w:b/>
          <w:i/>
          <w:color w:val="231F20"/>
          <w:sz w:val="24"/>
          <w:u w:val="single"/>
        </w:rPr>
        <w:t>:</w:t>
      </w:r>
    </w:p>
    <w:p w14:paraId="6705030F" w14:textId="7740EE34" w:rsidR="00F02FF0" w:rsidRPr="004C20E3" w:rsidRDefault="008D0153" w:rsidP="00CB441B">
      <w:pPr>
        <w:tabs>
          <w:tab w:val="left" w:pos="2604"/>
          <w:tab w:val="left" w:pos="2606"/>
        </w:tabs>
        <w:spacing w:before="120"/>
        <w:ind w:left="1134" w:hanging="284"/>
        <w:jc w:val="both"/>
        <w:rPr>
          <w:rFonts w:ascii="Times New Roman" w:hAnsi="Times New Roman" w:cs="Times New Roman"/>
          <w:b/>
          <w:i/>
          <w:noProof/>
          <w:color w:val="231F20"/>
          <w:sz w:val="24"/>
          <w:szCs w:val="24"/>
        </w:rPr>
      </w:pPr>
      <w:r>
        <w:rPr>
          <w:rFonts w:ascii="Times New Roman" w:hAnsi="Times New Roman"/>
          <w:b/>
          <w:i/>
          <w:color w:val="231F20"/>
          <w:sz w:val="24"/>
        </w:rPr>
        <w:t>i)</w:t>
      </w:r>
      <w:r>
        <w:rPr>
          <w:rFonts w:ascii="Times New Roman" w:hAnsi="Times New Roman"/>
          <w:color w:val="231F20"/>
          <w:sz w:val="24"/>
        </w:rPr>
        <w:t xml:space="preserve"> attiecībā uz maksājumu, kas rodas tādu saistību rezultātā, kuras izriet no tādas komerciālas finanšu darbības, kas atbilst specializētās apdrošināšanas sabiedrības, turētājiestādes vai noguldījumu iestādes veiktām darbībām, </w:t>
      </w:r>
      <w:r>
        <w:rPr>
          <w:rFonts w:ascii="Times New Roman" w:hAnsi="Times New Roman"/>
          <w:b/>
          <w:i/>
          <w:color w:val="231F20"/>
          <w:sz w:val="24"/>
          <w:u w:val="single"/>
        </w:rPr>
        <w:t>vai</w:t>
      </w:r>
    </w:p>
    <w:p w14:paraId="4653536E" w14:textId="3D5C40EE" w:rsidR="00F02FF0" w:rsidRPr="003C3205" w:rsidRDefault="008D0153" w:rsidP="00CB441B">
      <w:pPr>
        <w:tabs>
          <w:tab w:val="left" w:pos="2603"/>
          <w:tab w:val="left" w:pos="2606"/>
        </w:tabs>
        <w:spacing w:before="120"/>
        <w:ind w:left="1134"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ii) attiecībā uz centrālās bankas digitālo valūtu uzturēšanu tādiem konta turētājiem, kuri nav finanšu iestādes, valdības iestādes, starptautiskas organizācijas vai centrālās bankas;</w:t>
      </w:r>
    </w:p>
    <w:p w14:paraId="05B47BE8" w14:textId="79210151" w:rsidR="00F02FF0" w:rsidRPr="004C20E3" w:rsidRDefault="008D0153"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plašas līdzdalības pensiju fonds, ierobežotas līdzdalības pensiju fonds, valdības iestādes pensiju fonds, starptautiska organizācija vai centrālā banka, vai kvalificēts kredītkaršu izdevējs;</w:t>
      </w:r>
    </w:p>
    <w:p w14:paraId="780217B1" w14:textId="572926A0" w:rsidR="00F02FF0" w:rsidRPr="004C20E3" w:rsidRDefault="008D0153"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jebkura cita vienība, attiecībā uz kuru pastāv zems risks, ka to varētu izmantot, lai izvairītos no nodokļu maksāšanas, un kurai būtībā ir līdzīgas iezīmes kā jebkurai B punkta 1. apakšpunkta a) un b) daļā minētajai vienībai un kura ir noteikta valsts tiesību aktos kā finanšu iestāde, kas nesniedz ziņojumus, ar nosacījumu, ka statusa “finanšu iestāde, kas nesniedz ziņojumus” piešķiršana šādai vienībai nav pretrunā Kopējā ziņošanas standarta mērķiem;</w:t>
      </w:r>
    </w:p>
    <w:p w14:paraId="0353EC26" w14:textId="33848167" w:rsidR="00F02FF0" w:rsidRPr="004C20E3" w:rsidRDefault="008D0153"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d) atbrīvots kolektīvo ieguldījumu instruments;</w:t>
      </w:r>
    </w:p>
    <w:p w14:paraId="4597113F" w14:textId="681E7FE4" w:rsidR="00F02FF0" w:rsidRPr="004C20E3" w:rsidRDefault="008D0153"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e) trasts, ciktāl trasta pilnvarotā persona ir finanšu iestāde, kas sniedz ziņojumus, un sniedz visu informāciju, kas jāsniedz saskaņā ar I pantu, attiecībā uz visiem trasta kontiem, par kuriem jāsniedz ziņojums.</w:t>
      </w:r>
    </w:p>
    <w:p w14:paraId="4F7D7481" w14:textId="185C580E" w:rsidR="00F02FF0" w:rsidRPr="004C20E3" w:rsidRDefault="00FF2F0D"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2. </w:t>
      </w:r>
      <w:r>
        <w:rPr>
          <w:rFonts w:ascii="Times New Roman" w:hAnsi="Times New Roman"/>
          <w:b/>
          <w:bCs/>
          <w:color w:val="231F20"/>
          <w:sz w:val="24"/>
        </w:rPr>
        <w:t>“Valdības iestāde</w:t>
      </w:r>
      <w:r>
        <w:rPr>
          <w:rFonts w:ascii="Times New Roman" w:hAnsi="Times New Roman"/>
          <w:color w:val="231F20"/>
          <w:sz w:val="24"/>
        </w:rPr>
        <w:t>” ir jurisdikcijas vai jebkuras jurisdikcijas administratīvi teritoriāla veidojuma (kas skaidrības labad ietver pavalsti, provinci, novadu vai municipalitāti) valdība, vai jurisdikcijai vai vienam vai vairākiem iepriekš minētajiem administratīvi teritoriālajiem veidojumiem pilnībā piederoša pārstāvniecība vai iestāde (katru no tām ir uzskata par “valdības iestādi”). Šajā kategorijā ietilpst no jurisdikcijas neatņemamas daļas, kontrolētas vienības un administratīvi teritoriālie veidojumi.</w:t>
      </w:r>
    </w:p>
    <w:p w14:paraId="1AEB68CF" w14:textId="26F9ABB2" w:rsidR="00F02FF0" w:rsidRPr="004C20E3" w:rsidRDefault="00852ADA"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Jurisdikcijas “neatņemama daļa” ir jebkura persona, organizācija, aģentūra, birojs, fonds, iestāde vai cita veida struktūra, kas ir jurisdikcijas pārvaldes iestāde. Pārvaldes iestādes neto ienākumi ir jāieskaita tās kontā vai citos jurisdikcijas kontos, lai neviena fiziska persona negūtu labumu no šiem ienākumiem. Par neatņemamu daļu neuzskata nevienu fizisku personu, kas ir vadītājs, amatpersona vai administrators un kas rīkojas privātpersonas statusā.</w:t>
      </w:r>
    </w:p>
    <w:p w14:paraId="54208EE9" w14:textId="1394BBD2" w:rsidR="00F02FF0" w:rsidRPr="004C20E3" w:rsidRDefault="00852ADA"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Kontrolēta vienība ir vienība, kas pēc savas formas ir atdalīta no jurisdikcijas vai kas citādi veido atsevišķu juridisku vienību, ar nosacījumu, ka:</w:t>
      </w:r>
    </w:p>
    <w:p w14:paraId="001765F4" w14:textId="3E22800C" w:rsidR="00F02FF0" w:rsidRPr="004C20E3" w:rsidRDefault="00852ADA" w:rsidP="00AC7889">
      <w:pPr>
        <w:keepNext/>
        <w:keepLines/>
        <w:tabs>
          <w:tab w:val="left" w:pos="2965"/>
          <w:tab w:val="left" w:pos="2967"/>
        </w:tabs>
        <w:spacing w:before="120"/>
        <w:ind w:left="1135"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i) vienība tieši vai ar vienas vai vairāku kontrolētu vienību starpniecību pilnībā pieder vienai vai vairākām valdības iestādēm un to kontrolē viena vai vairākas valdības iestādes;</w:t>
      </w:r>
    </w:p>
    <w:p w14:paraId="1CAEE4EF" w14:textId="4E31DEC2" w:rsidR="00F02FF0" w:rsidRPr="004C20E3" w:rsidRDefault="00852ADA"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vienības neto ienākumus ieskaita tās kontā vai vienas vai vairāku valdības iestāžu kontos, lai neviena privātpersona negūtu labumu no šā ienākuma, un</w:t>
      </w:r>
    </w:p>
    <w:p w14:paraId="3E78F1ED" w14:textId="5D15A7ED" w:rsidR="00F02FF0" w:rsidRPr="004C20E3" w:rsidRDefault="00852ADA" w:rsidP="00CB441B">
      <w:pPr>
        <w:tabs>
          <w:tab w:val="left" w:pos="2963"/>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iii) pēc likvidēšanas vienības aktīvi pāriet vienas vai vairāku valdības iestāžu rīcībā.</w:t>
      </w:r>
    </w:p>
    <w:p w14:paraId="40E5EE89" w14:textId="18C1E8C9" w:rsidR="00F02FF0" w:rsidRPr="004C20E3" w:rsidRDefault="00FF2F0D"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Uzskata, ka privātpersonas negūst labumu no šiem ienākumiem tad, ja šādas personas ir valdības programmās paredzētie labuma guvēji un programmas darbības tiek veiktas nolūkā nodrošināt plašas sabiedrības vispārējo labklājību vai ir saistītas ar valdības atsevišķas sfēras pārvaldīšanu. Neatkarīgi no iepriekš minētā uzskatāms, ka privātpersona gūst labumu no ienākumiem, ja šie ienākumi tiek gūti, izmantojot valdības iestādi komercdarbības veikšanai, piemēram, komercbanku darījumdarbībā, ar kuru tiek sniegti finanšu pakalpojumi privātpersonām.</w:t>
      </w:r>
    </w:p>
    <w:p w14:paraId="4FFCC4A7" w14:textId="757D95AA" w:rsidR="00F02FF0" w:rsidRPr="004C20E3" w:rsidRDefault="00852ADA"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3. </w:t>
      </w:r>
      <w:r>
        <w:rPr>
          <w:rFonts w:ascii="Times New Roman" w:hAnsi="Times New Roman"/>
          <w:b/>
          <w:bCs/>
          <w:color w:val="231F20"/>
          <w:sz w:val="24"/>
        </w:rPr>
        <w:t>“Starptautiska organizācija”</w:t>
      </w:r>
      <w:r>
        <w:rPr>
          <w:rFonts w:ascii="Times New Roman" w:hAnsi="Times New Roman"/>
          <w:color w:val="231F20"/>
          <w:sz w:val="24"/>
        </w:rPr>
        <w:t xml:space="preserve"> ir jebkura starptautiska organizācija vai tai pilnībā piederoša aģentūra vai iestāde. Šajā kategorijā ietilpst jebkura starpvaldību organizācija (tostarp pārvalstiska organizācija), 1) kura galvenokārt sastāv no valdībām, 2) kura ar jurisdikciju ir noslēgusi nolīgumu par galveno mītni vai pēc būtības līdzīgu nolīgumu un 3) no kuras ienākumiem labumu negūst privātpersonas.</w:t>
      </w:r>
    </w:p>
    <w:p w14:paraId="2F110E11" w14:textId="189A37C9" w:rsidR="00F02FF0" w:rsidRPr="004C20E3" w:rsidRDefault="00852ADA"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4. </w:t>
      </w:r>
      <w:r>
        <w:rPr>
          <w:rFonts w:ascii="Times New Roman" w:hAnsi="Times New Roman"/>
          <w:b/>
          <w:bCs/>
          <w:color w:val="231F20"/>
          <w:sz w:val="24"/>
        </w:rPr>
        <w:t>“Centrālā banka”</w:t>
      </w:r>
      <w:r>
        <w:rPr>
          <w:rFonts w:ascii="Times New Roman" w:hAnsi="Times New Roman"/>
          <w:color w:val="231F20"/>
          <w:sz w:val="24"/>
        </w:rPr>
        <w:t xml:space="preserve"> ir iestāde, kas ar likumu vai valdības atļauju līdztekus pašai jurisdikcijas valdībai ir noteikta kā galvenā iestāde, kura emitē instrumentus, ko paredzēts izmantot kā valūtu. Šāda iestāde var būt no jurisdikcijas valdības nodalīta iestāde, kas pilnībā vai daļēji pieder vai nepieder jurisdikcijai.</w:t>
      </w:r>
    </w:p>
    <w:p w14:paraId="3C555C05" w14:textId="59881AC0" w:rsidR="00F02FF0" w:rsidRPr="004C20E3" w:rsidRDefault="00852ADA"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5. </w:t>
      </w:r>
      <w:r>
        <w:rPr>
          <w:rFonts w:ascii="Times New Roman" w:hAnsi="Times New Roman"/>
          <w:b/>
          <w:bCs/>
          <w:color w:val="231F20"/>
          <w:sz w:val="24"/>
        </w:rPr>
        <w:t>“Plašas līdzdalības pensiju fonds”</w:t>
      </w:r>
      <w:r>
        <w:rPr>
          <w:rFonts w:ascii="Times New Roman" w:hAnsi="Times New Roman"/>
          <w:color w:val="231F20"/>
          <w:sz w:val="24"/>
        </w:rPr>
        <w:t xml:space="preserve"> ir fonds, kas nodibināts, lai sniegtu pensiju un invaliditātes pabalstus, kā arī pabalstus nāves gadījumā vai jebkādu to kombināciju labuma guvējiem, kas ir vai ir bijuši viena vai vairāku darba devēju darba ņēmēji (vai ir šādu darba ņēmēju norādītās personas), kā atlīdzinājumu par sniegtajiem pakalpojumiem, ar nosacījumu, ka:</w:t>
      </w:r>
    </w:p>
    <w:p w14:paraId="7D0B40B3" w14:textId="6A46B20D" w:rsidR="00F02FF0" w:rsidRPr="004C20E3" w:rsidRDefault="00852ADA"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nevienam fonda labuma guvējam nav tiesību uz vairāk nekā 5 % no fonda aktīviem;</w:t>
      </w:r>
    </w:p>
    <w:p w14:paraId="33BE0119" w14:textId="7FCE987E" w:rsidR="00F02FF0" w:rsidRPr="004C20E3" w:rsidRDefault="00852ADA"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fonds ir pakļauts valsts regulējumam un sniedz informāciju nodokļu iestādēm un</w:t>
      </w:r>
    </w:p>
    <w:p w14:paraId="1B3CEF7B" w14:textId="5EBE9603" w:rsidR="00F02FF0" w:rsidRPr="004C20E3" w:rsidRDefault="00852ADA" w:rsidP="00CB441B">
      <w:pPr>
        <w:tabs>
          <w:tab w:val="left" w:pos="2245"/>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fonds atbilst vismaz vienai no šādām prasībām:</w:t>
      </w:r>
    </w:p>
    <w:p w14:paraId="0BBBFB88" w14:textId="5428768C" w:rsidR="00F02FF0" w:rsidRPr="004C20E3" w:rsidRDefault="00852ADA"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attiecībā uz fondu tā pensiju plāna statusa dēļ parasti nepiemēro ieguldījumu ienākuma nodokli, vai arī tam piemēro atliktā nodokļa uzlikšanu vai samazinātu nodokļu likmi;</w:t>
      </w:r>
    </w:p>
    <w:p w14:paraId="45AD4C93" w14:textId="4D158258" w:rsidR="00F02FF0" w:rsidRPr="004C20E3" w:rsidRDefault="00852ADA"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vismaz 50 % no tā kopējām iemaksām (izņemot aktīvu pārvedumus no citiem B punkta 5.–7. apakšpunktā minētajiem plāniem vai no C punkta 17. apakšpunkta a) daļā minētajiem pensiju kontiem) fonds saņem no finansējošajiem darba devējiem;</w:t>
      </w:r>
    </w:p>
    <w:p w14:paraId="245F77C6" w14:textId="4900B4A9" w:rsidR="00F02FF0" w:rsidRPr="004C20E3" w:rsidRDefault="00852ADA" w:rsidP="00CB441B">
      <w:pPr>
        <w:tabs>
          <w:tab w:val="left" w:pos="2963"/>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iii) finanšu līdzekļu izmaksāšana vai izņemšana no fonda ir pieļaujama tikai konkrētos gadījumos, kas saistīti ar aiziešanu pensijā, invaliditāti vai nāvi (izņemot pārceltās izmaksas uz citiem B punkta 5.–7. apakšpunktā minētajiem pensiju fondiem vai C punkta 17. apakšpunkta a) daļā minētajiem pensiju kontiem) vai arī tiek piemēroti sodi par līdzekļu izmaksāšanu vai izņemšanu pirms šādu konkrētu gadījumu iestāšanās, vai</w:t>
      </w:r>
    </w:p>
    <w:p w14:paraId="573A3F02" w14:textId="2DD05146" w:rsidR="00F02FF0" w:rsidRPr="004C20E3" w:rsidRDefault="005D1125" w:rsidP="00AC7889">
      <w:pPr>
        <w:widowControl/>
        <w:tabs>
          <w:tab w:val="left" w:pos="2964"/>
          <w:tab w:val="left" w:pos="2967"/>
        </w:tabs>
        <w:spacing w:before="120"/>
        <w:ind w:left="1135" w:hanging="284"/>
        <w:jc w:val="both"/>
        <w:rPr>
          <w:rFonts w:ascii="Times New Roman" w:hAnsi="Times New Roman" w:cs="Times New Roman"/>
          <w:noProof/>
          <w:color w:val="231F20"/>
          <w:sz w:val="24"/>
          <w:szCs w:val="24"/>
        </w:rPr>
      </w:pPr>
      <w:r>
        <w:rPr>
          <w:rFonts w:ascii="Times New Roman" w:hAnsi="Times New Roman"/>
          <w:color w:val="231F20"/>
          <w:sz w:val="24"/>
        </w:rPr>
        <w:t xml:space="preserve">iv) darba ņēmēju iemaksas (izņemot konkrētas atļautas kompensējošas iemaksas) fondā ir ierobežotas, pamatojoties uz darba ņēmēja atalgojumu, vai, piemērojot </w:t>
      </w:r>
      <w:r>
        <w:rPr>
          <w:rFonts w:ascii="Times New Roman" w:hAnsi="Times New Roman"/>
          <w:color w:val="231F20"/>
          <w:sz w:val="24"/>
        </w:rPr>
        <w:lastRenderedPageBreak/>
        <w:t>VII panta C punktā izklāstītos noteikumus par kontu apkopošanu un valūtas pārrēķināšanu, tās nedrīkst pārsniegt 50 000 USD gadā.</w:t>
      </w:r>
    </w:p>
    <w:p w14:paraId="70901660" w14:textId="1E6AA192"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6. </w:t>
      </w:r>
      <w:r>
        <w:rPr>
          <w:rFonts w:ascii="Times New Roman" w:hAnsi="Times New Roman"/>
          <w:b/>
          <w:bCs/>
          <w:color w:val="231F20"/>
          <w:sz w:val="24"/>
        </w:rPr>
        <w:t>“Ierobežotas līdzdalības pensiju fonds”</w:t>
      </w:r>
      <w:r>
        <w:rPr>
          <w:rFonts w:ascii="Times New Roman" w:hAnsi="Times New Roman"/>
          <w:color w:val="231F20"/>
          <w:sz w:val="24"/>
        </w:rPr>
        <w:t xml:space="preserve"> ir fonds, kas nodibināts, lai sniegtu pensiju un invaliditātes pabalstus, kā arī pabalstus nāves gadījumā labuma guvējiem, kas ir vai ir bijuši viena vai vairāku darba devēju darba ņēmēji (vai ir šādu darba ņēmēju norādītās personas), kā atlīdzību par sniegtajiem pakalpojumiem, ar nosacījumu, ka:</w:t>
      </w:r>
    </w:p>
    <w:p w14:paraId="62B75B3B" w14:textId="58A1F2C6" w:rsidR="00F02FF0" w:rsidRPr="004C20E3" w:rsidRDefault="005D1125"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fondam ir mazāk nekā 50 dalībnieki;</w:t>
      </w:r>
    </w:p>
    <w:p w14:paraId="2F33D81A" w14:textId="255731DF" w:rsidR="00F02FF0" w:rsidRPr="004C20E3" w:rsidRDefault="005D112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fondu finansē viens vai vairāki darba devēji, kas nav ieguldījumu vienības vai pasīvas nefinanšu vienības;</w:t>
      </w:r>
    </w:p>
    <w:p w14:paraId="72F625F9" w14:textId="2588081C" w:rsidR="00F02FF0" w:rsidRPr="004C20E3" w:rsidRDefault="005D1125"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darba ņēmēja un darba devēja iemaksas fondā (izņemot aktīvu pārvedumus no C punkta 17. apakšpunkta a) daļā minētajiem pensiju kontiem) ir ierobežotas, pamatojoties uz darba ņēmēja darba ienākumiem un atalgojumu;</w:t>
      </w:r>
    </w:p>
    <w:p w14:paraId="681BBB10" w14:textId="36A5E6E2" w:rsidR="00F02FF0" w:rsidRPr="004C20E3" w:rsidRDefault="005D112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d) dalībnieki, kas nav tās jurisdikcijas rezidenti, kurā fonds ir nodibināts, nav tiesīgi turēt vairāk par 20 % fonda aktīvu, un</w:t>
      </w:r>
    </w:p>
    <w:p w14:paraId="0AE44D87" w14:textId="7C85D232" w:rsidR="00F02FF0" w:rsidRPr="004C20E3" w:rsidRDefault="005D112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e) fonds ir pakļauts valsts regulējumam un sniedz informāciju nodokļu iestādēm.</w:t>
      </w:r>
    </w:p>
    <w:p w14:paraId="737ED90E" w14:textId="32A1C1E0"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7. </w:t>
      </w:r>
      <w:r>
        <w:rPr>
          <w:rFonts w:ascii="Times New Roman" w:hAnsi="Times New Roman"/>
          <w:b/>
          <w:bCs/>
          <w:color w:val="231F20"/>
          <w:sz w:val="24"/>
        </w:rPr>
        <w:t>“Valdības iestādes, starptautiskas organizācijas vai centrālās bankas pensiju fonds”</w:t>
      </w:r>
      <w:r>
        <w:rPr>
          <w:rFonts w:ascii="Times New Roman" w:hAnsi="Times New Roman"/>
          <w:color w:val="231F20"/>
          <w:sz w:val="24"/>
        </w:rPr>
        <w:t xml:space="preserve"> ir fonds, ko nodibinājusi valdības iestāde, starptautiska organizācija vai centrālā banka, lai sniegtu pensiju un invaliditātes pabalstus, kā arī pabalstus nāves gadījumā, labuma guvējiem vai dalībniekiem, kas ir vai ir bijuši darba ņēmēji (vai ir šādu darba ņēmēju norādītās personas) vai kas nav vai nav bijuši darba ņēmēji, ja pabalsti šādiem labuma guvējiem vai dalībniekiem tiek sniegti kā atlīdzinājums par individuālajiem pakalpojumiem, kuri sniegti valdības iestādei, starptautiskai organizācijai vai centrālajai bankai.</w:t>
      </w:r>
    </w:p>
    <w:p w14:paraId="6459E3F2" w14:textId="25CA2CCB" w:rsidR="00F02FF0" w:rsidRPr="004C20E3" w:rsidRDefault="005D1125" w:rsidP="00CB441B">
      <w:pPr>
        <w:tabs>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8. </w:t>
      </w:r>
      <w:r>
        <w:rPr>
          <w:rFonts w:ascii="Times New Roman" w:hAnsi="Times New Roman"/>
          <w:b/>
          <w:bCs/>
          <w:color w:val="231F20"/>
          <w:sz w:val="24"/>
        </w:rPr>
        <w:t>“Kvalificēts kredītkaršu izdevējs”</w:t>
      </w:r>
      <w:r>
        <w:rPr>
          <w:rFonts w:ascii="Times New Roman" w:hAnsi="Times New Roman"/>
          <w:color w:val="231F20"/>
          <w:sz w:val="24"/>
        </w:rPr>
        <w:t xml:space="preserve"> ir finanšu iestāde, kas atbilst šādām prasībām:</w:t>
      </w:r>
    </w:p>
    <w:p w14:paraId="678AB079" w14:textId="20797451" w:rsidR="00F02FF0" w:rsidRPr="004C20E3" w:rsidRDefault="005D1125" w:rsidP="00CB441B">
      <w:pPr>
        <w:tabs>
          <w:tab w:val="left" w:pos="2240"/>
          <w:tab w:val="left" w:pos="2242"/>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finanšu iestādei ir finanšu iestādes statuss vienīgi tādēļ, ka tā izsniedz kredītkartes un pieņem noguldījumus tikai tad, ja klients veic maksājumu, kas pārsniedz atlikušo summu, kura jāapmaksā attiecībā uz karti, un pārmaksa uzreiz netiek atmaksāta klientam, un</w:t>
      </w:r>
    </w:p>
    <w:p w14:paraId="4EA111EF" w14:textId="6AADAF03" w:rsidR="00F02FF0" w:rsidRPr="004C20E3" w:rsidRDefault="005D112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no [xx.xx.xxxx.] vai pirms tam finanšu iestāde īsteno noteikumus un procedūras, lai novērstu to, ka klients veic pārmaksu, kas pārsniedz 50 000 USD, vai lai nodrošinātu, ka jebkura klienta pārmaksa, kas pārsniedz 50 000 USD, klientam tiek atmaksāta 60 dienu laikā; abos gadījumos piemēro VII panta C punkta noteikumus par kontu apkopošanu un valūtas pārrēķināšanu. Šajā saistībā klienta pārmaksa neattiecas uz kredīta atlikumiem apstrīdēto maksājumu apmērā, bet tā ietver kredīta atlikumus, kas radušies preču atgriešanas rezultātā.</w:t>
      </w:r>
    </w:p>
    <w:p w14:paraId="3DE01B10" w14:textId="3CCDD4F4"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9. </w:t>
      </w:r>
      <w:r>
        <w:rPr>
          <w:rFonts w:ascii="Times New Roman" w:hAnsi="Times New Roman"/>
          <w:b/>
          <w:bCs/>
          <w:color w:val="231F20"/>
          <w:sz w:val="24"/>
        </w:rPr>
        <w:t>“Atbrīvots kolektīvo ieguldījumu instruments</w:t>
      </w:r>
      <w:r>
        <w:rPr>
          <w:rFonts w:ascii="Times New Roman" w:hAnsi="Times New Roman"/>
          <w:color w:val="231F20"/>
          <w:sz w:val="24"/>
        </w:rPr>
        <w:t>” ir ieguldījumu vienība, kas tiek regulēta kā kolektīvo ieguldījumu instruments, ar nosacījumu, ka visas kolektīvo ieguldījumu instrumenta daļas tur tādas fiziskas personas vai vienības vai tās tiek turētas ar tādu fizisku personu vai vienību starpniecību, kas nav personas, par kurām jāsniedz ziņojums, izņemot pasīvu nefinanšu vienību ar kontrolējošām personām, kuras ir personas, par kurām jāsniedz ziņojums.</w:t>
      </w:r>
    </w:p>
    <w:p w14:paraId="597B183E" w14:textId="77777777" w:rsidR="00F02FF0" w:rsidRPr="004C20E3" w:rsidRDefault="00F02FF0" w:rsidP="00CB441B">
      <w:pPr>
        <w:pStyle w:val="BodyText"/>
        <w:spacing w:before="120"/>
        <w:ind w:left="567"/>
        <w:rPr>
          <w:rFonts w:ascii="Times New Roman" w:hAnsi="Times New Roman" w:cs="Times New Roman"/>
          <w:noProof/>
          <w:sz w:val="24"/>
          <w:szCs w:val="24"/>
        </w:rPr>
      </w:pPr>
      <w:r>
        <w:rPr>
          <w:rFonts w:ascii="Times New Roman" w:hAnsi="Times New Roman"/>
          <w:sz w:val="24"/>
        </w:rPr>
        <w:t>Tas, ka kolektīvo ieguldījumu instruments ir izdevis fiziskas uzrādītāja akcijas, nav pietiekams iemesls, lai ieguldījumu instrumentu, kas tiek regulēts kā kolektīvo ieguldījumu instruments, nevarētu saskaņā ar B punkta 9. apakšpunktu kvalificēt kā atbrīvotu kolektīvo ieguldījumu instrumentu, ar nosacījumu, ka:</w:t>
      </w:r>
    </w:p>
    <w:p w14:paraId="625DDDC9" w14:textId="0C3BAF56" w:rsidR="00F02FF0" w:rsidRPr="004C20E3" w:rsidRDefault="005D1125" w:rsidP="00AC7889">
      <w:pPr>
        <w:keepNext/>
        <w:keepLines/>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a) kolektīvo ieguldījumu instruments nav izdevis un neizdod fiziskas uzrādītāja akcijas pēc [xx.xx.xxxx.];</w:t>
      </w:r>
    </w:p>
    <w:p w14:paraId="46124B00" w14:textId="0E77F467" w:rsidR="00F02FF0" w:rsidRPr="004C20E3" w:rsidRDefault="005D1125"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atpirkuma gadījumā kolektīvo ieguldījumu instruments visas šādas akcijas noraksta;</w:t>
      </w:r>
    </w:p>
    <w:p w14:paraId="46D416D1" w14:textId="2CFC7DCC" w:rsidR="00F02FF0" w:rsidRPr="004C20E3" w:rsidRDefault="005D1125"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kolektīvo ieguldījumu instruments veic II–VII pantā izklāstītās pienācīgas pārbaudes procedūras un sniedz jebkādu informāciju, kas tiek pieprasīta saistībā ar šādām akcijām, ja šādas akcijas tiek sniegtas dzēšanai vai cita veida maksājumam, un</w:t>
      </w:r>
    </w:p>
    <w:p w14:paraId="517C2545" w14:textId="02558713" w:rsidR="00F02FF0" w:rsidRPr="004C20E3" w:rsidRDefault="005D112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d) kolektīvo ieguldījumu instruments īsteno atbilstošu politiku un procedūras, lai nodrošinātu, ka šādas akcijas pēc iespējas drīz un jebkurā gadījumā pirms [xx.xx.xxxx.] tiek atpirktas vai izņemtas no apgrozības.</w:t>
      </w:r>
    </w:p>
    <w:p w14:paraId="22AE9DA3" w14:textId="4B565191" w:rsidR="00F02FF0" w:rsidRPr="004C20E3" w:rsidRDefault="005D1125" w:rsidP="00CB441B">
      <w:pPr>
        <w:pStyle w:val="Heading9"/>
        <w:tabs>
          <w:tab w:val="left" w:pos="941"/>
        </w:tabs>
        <w:spacing w:before="120"/>
        <w:ind w:left="284" w:hanging="284"/>
        <w:jc w:val="both"/>
        <w:rPr>
          <w:rFonts w:ascii="Times New Roman" w:hAnsi="Times New Roman" w:cs="Times New Roman"/>
          <w:noProof/>
          <w:color w:val="231F20"/>
          <w:sz w:val="24"/>
          <w:szCs w:val="24"/>
        </w:rPr>
      </w:pPr>
      <w:r>
        <w:rPr>
          <w:rFonts w:ascii="Times New Roman" w:hAnsi="Times New Roman"/>
          <w:b w:val="0"/>
          <w:color w:val="231F20"/>
          <w:sz w:val="24"/>
        </w:rPr>
        <w:t>C.</w:t>
      </w:r>
      <w:r>
        <w:rPr>
          <w:rFonts w:ascii="Times New Roman" w:hAnsi="Times New Roman"/>
          <w:color w:val="231F20"/>
          <w:sz w:val="24"/>
        </w:rPr>
        <w:t xml:space="preserve"> Finanšu konts</w:t>
      </w:r>
    </w:p>
    <w:p w14:paraId="1FE23A54" w14:textId="56E80BB1"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1. </w:t>
      </w:r>
      <w:r>
        <w:rPr>
          <w:rFonts w:ascii="Times New Roman" w:hAnsi="Times New Roman"/>
          <w:b/>
          <w:bCs/>
          <w:color w:val="231F20"/>
          <w:sz w:val="24"/>
        </w:rPr>
        <w:t>“Finanšu konts”</w:t>
      </w:r>
      <w:r>
        <w:rPr>
          <w:rFonts w:ascii="Times New Roman" w:hAnsi="Times New Roman"/>
          <w:color w:val="231F20"/>
          <w:sz w:val="24"/>
        </w:rPr>
        <w:t xml:space="preserve"> ir finanšu iestādes uzturēts konts, tostarp noguldījumu konts un turētāja konts, un:</w:t>
      </w:r>
    </w:p>
    <w:p w14:paraId="44E46043" w14:textId="55C5A856" w:rsidR="00F02FF0" w:rsidRPr="004C20E3" w:rsidRDefault="005D1125" w:rsidP="00CB441B">
      <w:pPr>
        <w:tabs>
          <w:tab w:val="left" w:pos="2244"/>
          <w:tab w:val="left" w:pos="2246"/>
        </w:tabs>
        <w:spacing w:before="120"/>
        <w:ind w:left="851" w:hanging="284"/>
        <w:jc w:val="both"/>
        <w:rPr>
          <w:rFonts w:ascii="Times New Roman" w:hAnsi="Times New Roman" w:cs="Times New Roman"/>
          <w:noProof/>
          <w:sz w:val="24"/>
          <w:szCs w:val="24"/>
        </w:rPr>
      </w:pPr>
      <w:r>
        <w:rPr>
          <w:rFonts w:ascii="Times New Roman" w:hAnsi="Times New Roman"/>
          <w:color w:val="231F20"/>
          <w:sz w:val="24"/>
        </w:rPr>
        <w:t>a) ieguldījumu vienības gadījumā – jebkādas līdzdalības daļas finanšu iestādes kapitālā vai parādkapitālā. Neatkarīgi no iepriekš minētā termins “finanšu konts” neietver nekādas līdzdalības daļas tādas vienības kapitālā vai parādkapitālā, kas ir ieguldījumu vienība, tikai tādēļ, ka tā i) sniedz ieguldījumu konsultācijas klientam un rīkojas klienta vārdā vai ii) veic portfeļa pārvaldību klientam vai rīkojas klienta vārdā nolūkā ieguldīt, pārvaldīt un administrēt finanšu aktīvus, kas klienta vārdā noguldīti tādā finanšu iestādē, kas nav šāda vienība;</w:t>
      </w:r>
    </w:p>
    <w:p w14:paraId="084DC994" w14:textId="5367FE18" w:rsidR="00F02FF0" w:rsidRPr="004C20E3" w:rsidRDefault="005D112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tādas finanšu iestādes gadījumā, kas nav minēta C punkta 1. apakšpunkta a) daļā – jebkādas līdzdalības daļas finanšu iestādes kapitālā vai parādkapitālā, ja vērtspapīru kategorija ieviesta, lai izvairītos no ziņojumu sniegšanas atbilstīgi I pantam, un</w:t>
      </w:r>
    </w:p>
    <w:p w14:paraId="2B3AE113" w14:textId="2DDDE8F0" w:rsidR="00F02FF0" w:rsidRPr="004C20E3" w:rsidRDefault="005D1125"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jebkāds apdrošināšanas līgums ar naudas vērtību un anuitātes līgums, ko izdevusi vai ko uztur finanšu iestāde, izņemot ar ieguldījumiem nesaistītu, nenododamu tūlītēju anuitāti, kura ir izsniegta fiziskai personai un kura paredz pensijas vai invaliditātes pabalsta izmaksu saskaņā ar kontu, kas ir izslēgtais konts.</w:t>
      </w:r>
    </w:p>
    <w:p w14:paraId="0CD9531F" w14:textId="77777777" w:rsidR="00F02FF0" w:rsidRPr="004C20E3" w:rsidRDefault="00F02FF0" w:rsidP="00CB441B">
      <w:pPr>
        <w:pStyle w:val="BodyText"/>
        <w:spacing w:before="120"/>
        <w:ind w:left="567"/>
        <w:rPr>
          <w:rFonts w:ascii="Times New Roman" w:hAnsi="Times New Roman" w:cs="Times New Roman"/>
          <w:noProof/>
          <w:color w:val="231F20"/>
          <w:sz w:val="24"/>
          <w:szCs w:val="24"/>
        </w:rPr>
      </w:pPr>
      <w:r>
        <w:rPr>
          <w:rFonts w:ascii="Times New Roman" w:hAnsi="Times New Roman"/>
          <w:color w:val="231F20"/>
          <w:sz w:val="24"/>
        </w:rPr>
        <w:t>Termins “finanšu konts” neietver kontus, kas ir izslēgtie konti.</w:t>
      </w:r>
    </w:p>
    <w:p w14:paraId="08568F1A" w14:textId="34A5E887"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2. </w:t>
      </w:r>
      <w:r>
        <w:rPr>
          <w:rFonts w:ascii="Times New Roman" w:hAnsi="Times New Roman"/>
          <w:b/>
          <w:bCs/>
          <w:color w:val="231F20"/>
          <w:sz w:val="24"/>
        </w:rPr>
        <w:t>“Noguldījumu konts”</w:t>
      </w:r>
      <w:r>
        <w:rPr>
          <w:rFonts w:ascii="Times New Roman" w:hAnsi="Times New Roman"/>
          <w:color w:val="231F20"/>
          <w:sz w:val="24"/>
        </w:rPr>
        <w:t xml:space="preserve"> ir jebkurš komerckonts, norēķinu konts, krājkonts, termiņa konts vai krājaizdevuma konts, vai konts, kuru apliecina noguldījuma sertifikāts, krājaizdevuma sertifikāts, ieguldījuma sertifikāts, parāda sertifikāts vai cits līdzīgs instruments, ko uztur </w:t>
      </w:r>
      <w:r>
        <w:rPr>
          <w:rFonts w:ascii="Times New Roman" w:hAnsi="Times New Roman"/>
          <w:b/>
          <w:bCs/>
          <w:i/>
          <w:iCs/>
          <w:color w:val="231F20"/>
          <w:sz w:val="24"/>
          <w:u w:val="single"/>
        </w:rPr>
        <w:t>noguldījumu iestāde</w:t>
      </w:r>
      <w:r>
        <w:rPr>
          <w:rFonts w:ascii="Times New Roman" w:hAnsi="Times New Roman"/>
          <w:strike/>
          <w:color w:val="231F20"/>
          <w:sz w:val="24"/>
        </w:rPr>
        <w:t>finanšu iestāde, veicot parastu bankas darbību vai līdzīgu darījumdarbību</w:t>
      </w:r>
      <w:r>
        <w:rPr>
          <w:rFonts w:ascii="Times New Roman" w:hAnsi="Times New Roman"/>
          <w:color w:val="231F20"/>
          <w:sz w:val="24"/>
        </w:rPr>
        <w:t>. Noguldījumu konts ir arī</w:t>
      </w:r>
      <w:r>
        <w:rPr>
          <w:rFonts w:ascii="Times New Roman" w:hAnsi="Times New Roman"/>
          <w:b/>
          <w:i/>
          <w:color w:val="231F20"/>
          <w:sz w:val="24"/>
          <w:u w:val="single"/>
        </w:rPr>
        <w:t>:</w:t>
      </w:r>
    </w:p>
    <w:p w14:paraId="7BBC8CD1" w14:textId="42CC5A02" w:rsidR="00F02FF0" w:rsidRPr="004C20E3" w:rsidRDefault="005D1125" w:rsidP="00CB441B">
      <w:pPr>
        <w:tabs>
          <w:tab w:val="left" w:pos="2206"/>
          <w:tab w:val="left" w:pos="2208"/>
        </w:tabs>
        <w:spacing w:before="120"/>
        <w:ind w:left="851" w:hanging="284"/>
        <w:jc w:val="both"/>
        <w:rPr>
          <w:rFonts w:ascii="Times New Roman" w:hAnsi="Times New Roman" w:cs="Times New Roman"/>
          <w:b/>
          <w:i/>
          <w:noProof/>
          <w:sz w:val="24"/>
          <w:szCs w:val="24"/>
        </w:rPr>
      </w:pPr>
      <w:r>
        <w:rPr>
          <w:rFonts w:ascii="Times New Roman" w:hAnsi="Times New Roman"/>
          <w:color w:val="231F20"/>
          <w:sz w:val="24"/>
        </w:rPr>
        <w:t>a) summa, kuru tur apdrošināšanas sabiedrība saskaņā ar garantētu ieguldījumu līgumu vai līdzīgu līgumu, lai iemaksātu vai ieskaitītu tajā par šo summu pienākošos procentus</w:t>
      </w:r>
      <w:r>
        <w:rPr>
          <w:rFonts w:ascii="Times New Roman" w:hAnsi="Times New Roman"/>
          <w:b/>
          <w:i/>
          <w:color w:val="231F20"/>
          <w:sz w:val="24"/>
          <w:u w:val="single"/>
        </w:rPr>
        <w:t>;</w:t>
      </w:r>
    </w:p>
    <w:p w14:paraId="0B732CDC" w14:textId="7566035B" w:rsidR="00F02FF0" w:rsidRPr="003C3205" w:rsidRDefault="005D1125" w:rsidP="00CB441B">
      <w:pPr>
        <w:tabs>
          <w:tab w:val="left" w:pos="2206"/>
          <w:tab w:val="left" w:pos="2208"/>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b) konts vai nosacīts konts, kas pārstāv visus noteiktos elektroniskās naudas produktus, kuri tiek turēti klienta labā, un</w:t>
      </w:r>
    </w:p>
    <w:p w14:paraId="41256A94" w14:textId="02870500" w:rsidR="00F02FF0" w:rsidRPr="003C3205" w:rsidRDefault="005D1125" w:rsidP="00CB441B">
      <w:pPr>
        <w:tabs>
          <w:tab w:val="left" w:pos="2206"/>
          <w:tab w:val="left" w:pos="2208"/>
        </w:tabs>
        <w:spacing w:before="120"/>
        <w:ind w:left="851" w:hanging="284"/>
        <w:jc w:val="both"/>
        <w:rPr>
          <w:rFonts w:ascii="Times New Roman" w:hAnsi="Times New Roman" w:cs="Times New Roman"/>
          <w:b/>
          <w:i/>
          <w:noProof/>
          <w:sz w:val="24"/>
          <w:szCs w:val="24"/>
          <w:u w:val="single"/>
        </w:rPr>
      </w:pPr>
      <w:r>
        <w:rPr>
          <w:rFonts w:ascii="Times New Roman" w:hAnsi="Times New Roman"/>
          <w:b/>
          <w:i/>
          <w:sz w:val="24"/>
          <w:u w:val="single"/>
        </w:rPr>
        <w:t>c) konts, kurā tur vienu vai vairākas centrālās bankas digitālās valūtas klientu labā.</w:t>
      </w:r>
    </w:p>
    <w:p w14:paraId="537691C5" w14:textId="5435CD20"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3. </w:t>
      </w:r>
      <w:r>
        <w:rPr>
          <w:rFonts w:ascii="Times New Roman" w:hAnsi="Times New Roman"/>
          <w:b/>
          <w:bCs/>
          <w:color w:val="231F20"/>
          <w:sz w:val="24"/>
        </w:rPr>
        <w:t>“Turētāja konts”</w:t>
      </w:r>
      <w:r>
        <w:rPr>
          <w:rFonts w:ascii="Times New Roman" w:hAnsi="Times New Roman"/>
          <w:color w:val="231F20"/>
          <w:sz w:val="24"/>
        </w:rPr>
        <w:t xml:space="preserve"> ir konts (kas nav apdrošināšanas līgums vai anuitātes līgums), kurā par labu citai personai tiek turēts viens vai vairāki finanšu aktīvi.</w:t>
      </w:r>
    </w:p>
    <w:p w14:paraId="06C322E3" w14:textId="29CE8685" w:rsidR="00F02FF0" w:rsidRPr="004C20E3" w:rsidRDefault="005D1125"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4. </w:t>
      </w:r>
      <w:r>
        <w:rPr>
          <w:rFonts w:ascii="Times New Roman" w:hAnsi="Times New Roman"/>
          <w:b/>
          <w:bCs/>
          <w:color w:val="231F20"/>
          <w:sz w:val="24"/>
        </w:rPr>
        <w:t>“Līdzdalības daļa kapitālā”</w:t>
      </w:r>
      <w:r>
        <w:rPr>
          <w:rFonts w:ascii="Times New Roman" w:hAnsi="Times New Roman"/>
          <w:color w:val="231F20"/>
          <w:sz w:val="24"/>
        </w:rPr>
        <w:t xml:space="preserve"> tādas personālsabiedrības gadījumā, kas ir finanšu iestāde, ir līdzdalības daļa personālsabiedrības kapitālā vai peļņā. Tāda trasta gadījumā, kas ir finanšu iestāde, uzskata, ka līdzdalības daļu kapitālā tur jebkura persona, kuru uzskata par dibinātāju vai labuma guvēju saistībā ar visu trastu vai tā daļu, vai cita fiziska persona, kura īsteno galīgo faktisko kontroli pār trastu. Personu, par kuru jāsniedz </w:t>
      </w:r>
      <w:r>
        <w:rPr>
          <w:rFonts w:ascii="Times New Roman" w:hAnsi="Times New Roman"/>
          <w:color w:val="231F20"/>
          <w:sz w:val="24"/>
        </w:rPr>
        <w:lastRenderedPageBreak/>
        <w:t>ziņojums, uzskata par trasta labuma guvēju, ja šādai personai ir tiesības tieši vai netieši (piemēram, ar nominālā finanšu aktīvu turētāja starpniecību) saņemt obligāto peļņas sadali vai kura tieši vai netieši var saņemt diskrecionāru peļņas sadali no trasta.</w:t>
      </w:r>
    </w:p>
    <w:p w14:paraId="071E1CA9" w14:textId="4F2D8147"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5. </w:t>
      </w:r>
      <w:r>
        <w:rPr>
          <w:rFonts w:ascii="Times New Roman" w:hAnsi="Times New Roman"/>
          <w:b/>
          <w:bCs/>
          <w:color w:val="231F20"/>
          <w:sz w:val="24"/>
        </w:rPr>
        <w:t>“Apdrošināšanas līgums”</w:t>
      </w:r>
      <w:r>
        <w:rPr>
          <w:rFonts w:ascii="Times New Roman" w:hAnsi="Times New Roman"/>
          <w:color w:val="231F20"/>
          <w:sz w:val="24"/>
        </w:rPr>
        <w:t xml:space="preserve"> ir līgums (kas nav anuitātes līgums), saskaņā ar kuru līguma devējs piekrīt maksāt noteiktu summu, ja iestājas konkrēti apstākļi, kas ir saistīti ar mirstības, saslimstības, nelaimes gadījuma, atbildības vai īpašuma risku.</w:t>
      </w:r>
    </w:p>
    <w:p w14:paraId="293E29BB" w14:textId="26F14B25" w:rsidR="00F02FF0" w:rsidRPr="004C20E3" w:rsidRDefault="005D1125"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6. </w:t>
      </w:r>
      <w:r>
        <w:rPr>
          <w:rFonts w:ascii="Times New Roman" w:hAnsi="Times New Roman"/>
          <w:b/>
          <w:bCs/>
          <w:color w:val="231F20"/>
          <w:sz w:val="24"/>
        </w:rPr>
        <w:t>“Anuitātes līgums”</w:t>
      </w:r>
      <w:r>
        <w:rPr>
          <w:rFonts w:ascii="Times New Roman" w:hAnsi="Times New Roman"/>
          <w:color w:val="231F20"/>
          <w:sz w:val="24"/>
        </w:rPr>
        <w:t xml:space="preserve"> ir līgums, saskaņā ar kuru līguma devējs piekrīt veikt maksājumus tādā laikposmā, kuru pilnībā vai daļēji nosaka, ņemot vērā vienas vai vairāku fizisku personu paredzamo dzīves ilgumu. Termins ietver arī līgumu, ko uzskata par anuitātes līgumu atbilstīgi tās jurisdikcijas normatīvajiem aktiem vai praksei, kurā līgums izdots, un saskaņā ar ko devējs piekrīt veikt maksājumus noteiktā vairāku gadu laikposmā.</w:t>
      </w:r>
    </w:p>
    <w:p w14:paraId="50D3B676" w14:textId="7CC70F89" w:rsidR="00F02FF0" w:rsidRPr="004C20E3" w:rsidRDefault="005D112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7. </w:t>
      </w:r>
      <w:r>
        <w:rPr>
          <w:rFonts w:ascii="Times New Roman" w:hAnsi="Times New Roman"/>
          <w:b/>
          <w:bCs/>
          <w:color w:val="231F20"/>
          <w:sz w:val="24"/>
        </w:rPr>
        <w:t>“Apdrošināšanas līgums ar naudas vērību”</w:t>
      </w:r>
      <w:r>
        <w:rPr>
          <w:rFonts w:ascii="Times New Roman" w:hAnsi="Times New Roman"/>
          <w:color w:val="231F20"/>
          <w:sz w:val="24"/>
        </w:rPr>
        <w:t xml:space="preserve"> ir apdrošināšanas līgums (izņemot divu apdrošināšanas sabiedrību atlīdzības pārapdrošināšanas līgumu), kuram ir naudas vērtība.</w:t>
      </w:r>
    </w:p>
    <w:p w14:paraId="650BAA4D" w14:textId="3D2AB617" w:rsidR="00F02FF0" w:rsidRPr="004C20E3" w:rsidRDefault="005D1125"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8. </w:t>
      </w:r>
      <w:r>
        <w:rPr>
          <w:rFonts w:ascii="Times New Roman" w:hAnsi="Times New Roman"/>
          <w:b/>
          <w:bCs/>
          <w:color w:val="231F20"/>
          <w:sz w:val="24"/>
        </w:rPr>
        <w:t>“Naudas vērtība”</w:t>
      </w:r>
      <w:r>
        <w:rPr>
          <w:rFonts w:ascii="Times New Roman" w:hAnsi="Times New Roman"/>
          <w:color w:val="231F20"/>
          <w:sz w:val="24"/>
        </w:rPr>
        <w:t xml:space="preserve"> ir i) summa, ko polises turētājs ir tiesīgs saņemt līguma atpirkuma vai izbeigšanas gadījumā (to nosaka bez samazinājuma par jebkādu atpirkuma nodevu vai aizdevumu saistībā ar polisi), vai ii) summa, ko polises turētājs var aizņemties saskaņā ar līgumu vai saistībā ar to, piemērojot lielāko no šīm summām. Neatkarīgi no iepriekš minētā termins “naudas vērtība” neietver summu, kas jāmaksā saskaņā ar apdrošināšanas līgumu:</w:t>
      </w:r>
    </w:p>
    <w:p w14:paraId="0B913939" w14:textId="396C048A" w:rsidR="00F02FF0" w:rsidRPr="004C20E3" w:rsidRDefault="00680845"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vienīgi pamatojoties uz saskaņā ar dzīvības apdrošināšanas līgumu apdrošinātās privātpersonas nāvi;</w:t>
      </w:r>
    </w:p>
    <w:p w14:paraId="5D4CECBD" w14:textId="62A722D2" w:rsidR="00F02FF0" w:rsidRPr="004C20E3" w:rsidRDefault="0068084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kā pabalsts personai savainojuma vai slimības gadījumā vai cits pabalsts, ar kuru tiek kompensēts ekonomisks zaudējums, kas rodas, iestājoties apdrošināšanas gadījumam;</w:t>
      </w:r>
    </w:p>
    <w:p w14:paraId="6B22EEDE" w14:textId="7DC17898" w:rsidR="00F02FF0" w:rsidRPr="004C20E3" w:rsidRDefault="00680845"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kā iepriekš samaksātas prēmijas atmaksa (atskaitot apdrošināšanas nodevas neatkarīgi no tā, vai tās ir faktiski piemērotas) saskaņā ar apdrošināšanas līgumu (izņemot ar ieguldījumiem saistītu dzīvības apdrošināšanas līgumu vai anuitātes līgumu) saistībā ar līguma anulēšanu vai izbeigšanu, riska pozīcijas samazināšanos apdrošināšanas līguma darbības laikā vai tad, kad līguma prēmijas tiek labotas ieraksta kļūdas vai citas līdzīgas kļūdas dēļ;</w:t>
      </w:r>
    </w:p>
    <w:p w14:paraId="36329D2E" w14:textId="3377A92F" w:rsidR="00F02FF0" w:rsidRPr="004C20E3" w:rsidRDefault="0068084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d) kā dividendes polises turētājam (izņemot līguma izbeigšanas dividendes) ar nosacījumu, ka dividendes ir saistītas ar apdrošināšanas līgumu, saskaņā ar kuru vienīgie maksājamie pabalsti ir tie, kas minēti C punkta 8. apakšpunkta b) daļā, vai</w:t>
      </w:r>
    </w:p>
    <w:p w14:paraId="150D8B75" w14:textId="1FFDD5B3" w:rsidR="00F02FF0" w:rsidRPr="004C20E3" w:rsidRDefault="00680845"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e) kā iepriekš iemaksātu prēmiju vai prēmiju depozīta atmaksu attiecībā uz tādu apdrošināšanas līgumu, par kuru prēmijas ir jāmaksā vismaz reizi gadā, ja iepriekš iemaksātu prēmiju vai prēmiju depozīta summa nepārsniedz nākamā gada prēmiju, kas būs jāmaksā saskaņā ar līgumu.</w:t>
      </w:r>
    </w:p>
    <w:p w14:paraId="43ABBAD4" w14:textId="6D1D7E7D" w:rsidR="00F02FF0" w:rsidRPr="004C20E3" w:rsidRDefault="0068084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9. </w:t>
      </w:r>
      <w:r>
        <w:rPr>
          <w:rFonts w:ascii="Times New Roman" w:hAnsi="Times New Roman"/>
          <w:b/>
          <w:bCs/>
          <w:color w:val="231F20"/>
          <w:sz w:val="24"/>
        </w:rPr>
        <w:t>“Iepriekšpastāvējis konts”</w:t>
      </w:r>
      <w:r>
        <w:rPr>
          <w:rFonts w:ascii="Times New Roman" w:hAnsi="Times New Roman"/>
          <w:color w:val="231F20"/>
          <w:sz w:val="24"/>
        </w:rPr>
        <w:t xml:space="preserve"> ir finanšu konts, ko finanšu iestāde, kura sniedz ziņojumus, uzturējusi [xx.xx.xxxx], </w:t>
      </w:r>
      <w:r>
        <w:rPr>
          <w:rFonts w:ascii="Times New Roman" w:hAnsi="Times New Roman"/>
          <w:b/>
          <w:i/>
          <w:iCs/>
          <w:color w:val="231F20"/>
          <w:sz w:val="24"/>
          <w:u w:val="single"/>
        </w:rPr>
        <w:t xml:space="preserve">vai, ja kontu uzskata par finanšu kontu, tikai pamatojoties uz Kopējā ziņošanas standarta grozījumiem, konts, ko tā uzturējusi [pārskatītā </w:t>
      </w:r>
      <w:r>
        <w:rPr>
          <w:rFonts w:ascii="Times New Roman" w:hAnsi="Times New Roman"/>
          <w:b/>
          <w:i/>
          <w:color w:val="231F20"/>
          <w:sz w:val="24"/>
          <w:u w:val="single"/>
        </w:rPr>
        <w:t>CRS</w:t>
      </w:r>
      <w:r>
        <w:rPr>
          <w:rFonts w:ascii="Times New Roman" w:hAnsi="Times New Roman"/>
          <w:b/>
          <w:i/>
          <w:iCs/>
          <w:color w:val="231F20"/>
          <w:sz w:val="24"/>
          <w:u w:val="single"/>
        </w:rPr>
        <w:t xml:space="preserve"> spēkā stāšanās datums mīnus viena diena].</w:t>
      </w:r>
    </w:p>
    <w:p w14:paraId="2E2B411E" w14:textId="7C1E1B51" w:rsidR="00F02FF0" w:rsidRPr="004C20E3" w:rsidRDefault="0068084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10. </w:t>
      </w:r>
      <w:r>
        <w:rPr>
          <w:rFonts w:ascii="Times New Roman" w:hAnsi="Times New Roman"/>
          <w:b/>
          <w:bCs/>
          <w:color w:val="231F20"/>
          <w:sz w:val="24"/>
        </w:rPr>
        <w:t>“Jauns konts”</w:t>
      </w:r>
      <w:r>
        <w:rPr>
          <w:rFonts w:ascii="Times New Roman" w:hAnsi="Times New Roman"/>
          <w:color w:val="231F20"/>
          <w:sz w:val="24"/>
        </w:rPr>
        <w:t xml:space="preserve"> ir finanšu konts, ko uztur finanšu iestāde, kura sniedz ziņojumus, un kas atvērts, sākot no [xx.xx.xxxx], </w:t>
      </w:r>
      <w:r>
        <w:rPr>
          <w:rFonts w:ascii="Times New Roman" w:hAnsi="Times New Roman"/>
          <w:b/>
          <w:i/>
          <w:iCs/>
          <w:color w:val="231F20"/>
          <w:sz w:val="24"/>
          <w:u w:val="single"/>
        </w:rPr>
        <w:t xml:space="preserve">vai, ja kontu uzskata par finanšu kontu, tikai pamatojoties uz Kopējā ziņošanas standarta grozījumiem, konts, kas atvērts, sākot no [pārskatītā </w:t>
      </w:r>
      <w:r>
        <w:rPr>
          <w:rFonts w:ascii="Times New Roman" w:hAnsi="Times New Roman"/>
          <w:b/>
          <w:i/>
          <w:color w:val="231F20"/>
          <w:sz w:val="24"/>
          <w:u w:val="single"/>
        </w:rPr>
        <w:t>CRS</w:t>
      </w:r>
      <w:r>
        <w:rPr>
          <w:rFonts w:ascii="Times New Roman" w:hAnsi="Times New Roman"/>
          <w:b/>
          <w:i/>
          <w:iCs/>
          <w:color w:val="231F20"/>
          <w:sz w:val="24"/>
          <w:u w:val="single"/>
        </w:rPr>
        <w:t xml:space="preserve"> spēkā stāšanās datums].</w:t>
      </w:r>
    </w:p>
    <w:p w14:paraId="4C6DD72B" w14:textId="2082D0FD" w:rsidR="00F02FF0" w:rsidRPr="004C20E3" w:rsidRDefault="00680845" w:rsidP="005A5740">
      <w:pPr>
        <w:keepNext/>
        <w:keepLines/>
        <w:tabs>
          <w:tab w:val="left" w:pos="1884"/>
          <w:tab w:val="left" w:pos="1886"/>
        </w:tabs>
        <w:spacing w:before="120"/>
        <w:ind w:left="568"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 xml:space="preserve">11. </w:t>
      </w:r>
      <w:r>
        <w:rPr>
          <w:rFonts w:ascii="Times New Roman" w:hAnsi="Times New Roman"/>
          <w:b/>
          <w:bCs/>
          <w:color w:val="231F20"/>
          <w:sz w:val="24"/>
        </w:rPr>
        <w:t>“Iepriekšpastāvējis fiziskas personas konts”</w:t>
      </w:r>
      <w:r>
        <w:rPr>
          <w:rFonts w:ascii="Times New Roman" w:hAnsi="Times New Roman"/>
          <w:color w:val="231F20"/>
          <w:sz w:val="24"/>
        </w:rPr>
        <w:t xml:space="preserve"> ir iepriekšpastāvējis konts, ko tur viena vai vairākas fiziskas personas.</w:t>
      </w:r>
    </w:p>
    <w:p w14:paraId="2CE45A19" w14:textId="12D5D753" w:rsidR="00F02FF0" w:rsidRPr="004C20E3" w:rsidRDefault="00680845"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12. </w:t>
      </w:r>
      <w:r>
        <w:rPr>
          <w:rFonts w:ascii="Times New Roman" w:hAnsi="Times New Roman"/>
          <w:b/>
          <w:bCs/>
          <w:color w:val="231F20"/>
          <w:sz w:val="24"/>
        </w:rPr>
        <w:t>“Jauns fiziskas personas konts”</w:t>
      </w:r>
      <w:r>
        <w:rPr>
          <w:rFonts w:ascii="Times New Roman" w:hAnsi="Times New Roman"/>
          <w:color w:val="231F20"/>
          <w:sz w:val="24"/>
        </w:rPr>
        <w:t xml:space="preserve"> ir jauns konts, ko tur viena vai vairākas fiziskas personas.</w:t>
      </w:r>
    </w:p>
    <w:p w14:paraId="4F6143E1" w14:textId="6E0A26A1" w:rsidR="00F02FF0" w:rsidRPr="004C20E3" w:rsidRDefault="00680845"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13. </w:t>
      </w:r>
      <w:r>
        <w:rPr>
          <w:rFonts w:ascii="Times New Roman" w:hAnsi="Times New Roman"/>
          <w:b/>
          <w:bCs/>
          <w:color w:val="231F20"/>
          <w:sz w:val="24"/>
        </w:rPr>
        <w:t>“Iepriekšpastāvējis vienības konts”</w:t>
      </w:r>
      <w:r>
        <w:rPr>
          <w:rFonts w:ascii="Times New Roman" w:hAnsi="Times New Roman"/>
          <w:color w:val="231F20"/>
          <w:sz w:val="24"/>
        </w:rPr>
        <w:t xml:space="preserve"> ir iepriekšpastāvējis konts, ko tur viena vai vairākas vienības.</w:t>
      </w:r>
    </w:p>
    <w:p w14:paraId="6175DD90" w14:textId="6E9279F2" w:rsidR="00F02FF0" w:rsidRPr="004C20E3" w:rsidRDefault="0068084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14. </w:t>
      </w:r>
      <w:r>
        <w:rPr>
          <w:rFonts w:ascii="Times New Roman" w:hAnsi="Times New Roman"/>
          <w:b/>
          <w:bCs/>
          <w:color w:val="231F20"/>
          <w:sz w:val="24"/>
        </w:rPr>
        <w:t>“Zemākas vērtības konts”</w:t>
      </w:r>
      <w:r>
        <w:rPr>
          <w:rFonts w:ascii="Times New Roman" w:hAnsi="Times New Roman"/>
          <w:color w:val="231F20"/>
          <w:sz w:val="24"/>
        </w:rPr>
        <w:t xml:space="preserve"> ir iepriekšpastāvējis fiziskas personas konts, kura kopējā bilance vai vērtība [xxxx]. gada 31. decembrī nepārsniedz 1 000 000 USD.</w:t>
      </w:r>
    </w:p>
    <w:p w14:paraId="01C1BA74" w14:textId="04F5AE2D" w:rsidR="00F02FF0" w:rsidRPr="004C20E3" w:rsidRDefault="00680845"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15. </w:t>
      </w:r>
      <w:r>
        <w:rPr>
          <w:rFonts w:ascii="Times New Roman" w:hAnsi="Times New Roman"/>
          <w:b/>
          <w:bCs/>
          <w:color w:val="231F20"/>
          <w:sz w:val="24"/>
        </w:rPr>
        <w:t>“Lielas vērtības konts”</w:t>
      </w:r>
      <w:r>
        <w:rPr>
          <w:rFonts w:ascii="Times New Roman" w:hAnsi="Times New Roman"/>
          <w:color w:val="231F20"/>
          <w:sz w:val="24"/>
        </w:rPr>
        <w:t xml:space="preserve"> ir iepriekšpastāvējis fiziskas personas konts, kura kopējā bilance vai vērtība [xxxx]. gada 31. decembrī vai jebkura turpmākā gada 31. decembrī pārsniedz 1 000 000 USD.</w:t>
      </w:r>
    </w:p>
    <w:p w14:paraId="001A9F27" w14:textId="0829D4EE" w:rsidR="00F02FF0" w:rsidRPr="004C20E3" w:rsidRDefault="00680845" w:rsidP="00CB441B">
      <w:pPr>
        <w:tabs>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16. </w:t>
      </w:r>
      <w:r>
        <w:rPr>
          <w:rFonts w:ascii="Times New Roman" w:hAnsi="Times New Roman"/>
          <w:b/>
          <w:bCs/>
          <w:color w:val="231F20"/>
          <w:sz w:val="24"/>
        </w:rPr>
        <w:t>“Jauns vienības konts</w:t>
      </w:r>
      <w:r>
        <w:rPr>
          <w:rFonts w:ascii="Times New Roman" w:hAnsi="Times New Roman"/>
          <w:color w:val="231F20"/>
          <w:sz w:val="24"/>
        </w:rPr>
        <w:t>” ir jauns konts, ko tur viena vai vairākas vienības.</w:t>
      </w:r>
    </w:p>
    <w:p w14:paraId="185858B0" w14:textId="00C76B2D" w:rsidR="00F02FF0" w:rsidRPr="004C20E3" w:rsidRDefault="00680845" w:rsidP="00CB441B">
      <w:pPr>
        <w:tabs>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17. </w:t>
      </w:r>
      <w:r>
        <w:rPr>
          <w:rFonts w:ascii="Times New Roman" w:hAnsi="Times New Roman"/>
          <w:b/>
          <w:bCs/>
          <w:color w:val="231F20"/>
          <w:sz w:val="24"/>
        </w:rPr>
        <w:t>“Izslēgtais konts”</w:t>
      </w:r>
      <w:r>
        <w:rPr>
          <w:rFonts w:ascii="Times New Roman" w:hAnsi="Times New Roman"/>
          <w:color w:val="231F20"/>
          <w:sz w:val="24"/>
        </w:rPr>
        <w:t xml:space="preserve"> ir jebkurš no šādiem kontiem:</w:t>
      </w:r>
    </w:p>
    <w:p w14:paraId="104F2749" w14:textId="6F4700AE" w:rsidR="00F02FF0" w:rsidRPr="004C20E3" w:rsidRDefault="00680845" w:rsidP="00CB441B">
      <w:pPr>
        <w:tabs>
          <w:tab w:val="left" w:pos="1134"/>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pensiju konts, kas atbilst šādām prasībām:</w:t>
      </w:r>
    </w:p>
    <w:p w14:paraId="47A2CC73" w14:textId="583D35DF" w:rsidR="00F02FF0" w:rsidRPr="004C20E3" w:rsidRDefault="00680845"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konts ir pakļauts regulējumam kā personīgais pensijas konts vai ir daļa no reģistrētā vai regulētā pensiju plāna pensiju pabalstu (tostarp invaliditātes pabalstu vai pabalstu nāves gadījumā) sniegšanai;</w:t>
      </w:r>
    </w:p>
    <w:p w14:paraId="4B8A22B5" w14:textId="4E1E8AA0" w:rsidR="00F02FF0" w:rsidRPr="004C20E3" w:rsidRDefault="00680845"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kontam ir piemērojami nodokļu atvieglojumi (proti, iemaksas kontā, kas citādi būtu apliekamas ar nodokli, ir atskaitāmas vai izslēgtas no konta turētāja bruto ienākuma, vai tās apliek ar samazinātas likmes nodokli, vai arī attiecībā uz ieguldījumu ienākumiem, kas gūti no konta, piemēro atlikto nodokļa uzlikšanu vai samazinātu nodokļu likmi);</w:t>
      </w:r>
    </w:p>
    <w:p w14:paraId="0D6245CF" w14:textId="412D6695" w:rsidR="00F02FF0" w:rsidRPr="004C20E3" w:rsidRDefault="00680845" w:rsidP="00CB441B">
      <w:pPr>
        <w:tabs>
          <w:tab w:val="left" w:pos="2962"/>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iii) par kontu jāsniedz informācija nodokļu iestādēm;</w:t>
      </w:r>
    </w:p>
    <w:p w14:paraId="0E1CD7B1" w14:textId="4BCB9BB8" w:rsidR="00F02FF0" w:rsidRPr="004C20E3" w:rsidRDefault="00680845"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iv) līdzekļus var izņemt, ja sasniegts noteikts pensionēšanās vecums, vai invaliditātes vai nāves gadījumā, savukārt, ja līdzekļi tiek izņemti pirms šādu gadījumu iestāšanās, tiek piemēroti sodi, un</w:t>
      </w:r>
    </w:p>
    <w:p w14:paraId="11D5F843" w14:textId="10C40DAE" w:rsidR="00F02FF0" w:rsidRPr="004C20E3" w:rsidRDefault="00680845"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v) vai nu i) ikgadējo iemaksu maksimālais apjoms nepārsniedz 50 000 USD, vai arī ii) maksimālā iemaksa kontā visa mūža garumā nepārsniedz 1 000 000 USD, abos gadījumos piemērojot VII panta C punkta noteikumus par kontu apkopošanu un valūtas pārrēķināšanu.</w:t>
      </w:r>
    </w:p>
    <w:p w14:paraId="756695AB" w14:textId="77777777" w:rsidR="00F02FF0" w:rsidRPr="004C20E3" w:rsidRDefault="00F02FF0" w:rsidP="0094454A">
      <w:pPr>
        <w:pStyle w:val="BodyText"/>
        <w:spacing w:before="120"/>
        <w:ind w:left="1134"/>
        <w:rPr>
          <w:rFonts w:ascii="Times New Roman" w:hAnsi="Times New Roman" w:cs="Times New Roman"/>
          <w:noProof/>
          <w:sz w:val="24"/>
          <w:szCs w:val="24"/>
        </w:rPr>
      </w:pPr>
      <w:r>
        <w:rPr>
          <w:rFonts w:ascii="Times New Roman" w:hAnsi="Times New Roman"/>
          <w:sz w:val="24"/>
        </w:rPr>
        <w:t>Finanšu konts, kas citādi atbilst C punkta 17. apakšpunkta a) daļas v) punkta prasībai, atbildīs tai arī tad, ja uz šādu finanšu kontu varētu tikt pārnesti aktīvi vai naudas summas no viena vai vairākiem finanšu kontiem, kas atbilst C punkta 17. apakšpunkta a) vai b) daļas prasībām, vai no viena vai vairākiem pensiju fondiem, kas atbilst B punkta 5.–7. apakšpunkta prasībām;</w:t>
      </w:r>
    </w:p>
    <w:p w14:paraId="7B88A705" w14:textId="65D196CD" w:rsidR="00F02FF0" w:rsidRPr="004C20E3" w:rsidRDefault="00906122"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konts, kas atbilst šādām prasībām:</w:t>
      </w:r>
    </w:p>
    <w:p w14:paraId="447C6C38" w14:textId="484B5292" w:rsidR="00F02FF0" w:rsidRPr="004C20E3" w:rsidRDefault="00906122"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konts ir pakļauts regulējumam kā ieguldījumu instruments, kura mērķis nav pensiju uzkrājumi, un to regulāri tirgo vispāratzītā vērtspapīru tirgū, vai konts ir pakļauts regulējumam kā uzkrājumu instruments, kura mērķis nav pensiju uzkrājumi;</w:t>
      </w:r>
    </w:p>
    <w:p w14:paraId="74506E7E" w14:textId="5C525358" w:rsidR="00F02FF0" w:rsidRPr="004C20E3" w:rsidRDefault="00906122"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kontam ir piemērojami nodokļu atvieglojumi (proti, iemaksas kontā, kas citādi būtu apliekamas ar nodokli, ir atskaitāmas vai izslēgtas no konta turētāja bruto ienākuma, vai tās apliek ar samazinātas likmes nodokli, vai arī attiecībā uz ieguldījumu ienākumiem, kas gūti no konta, piemēro atlikto nodokļa uzlikšanu vai samazinātu nodokļu likmi);</w:t>
      </w:r>
    </w:p>
    <w:p w14:paraId="4CABC2EC" w14:textId="2A955C6B" w:rsidR="00F02FF0" w:rsidRPr="004C20E3" w:rsidRDefault="00906122" w:rsidP="00CB441B">
      <w:pPr>
        <w:tabs>
          <w:tab w:val="left" w:pos="2963"/>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iii) attiecībā uz finanšu līdzekļu izņemšanu tiek piemēroti īpaši kritēriji, kas saistīti ar ieguldījumu konta vai krājkonta mērķi (piemēram, izglītības vai medicīnas pabalstu sniegšana), vai arī tiek piemērotas sankcijas par finanšu līdzekļu izņemšanu pirms šādu kritēriju izpildes, un</w:t>
      </w:r>
    </w:p>
    <w:p w14:paraId="7461A7FB" w14:textId="0117D2BB" w:rsidR="00F02FF0" w:rsidRPr="004C20E3" w:rsidRDefault="00906122"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iv) ikgadējo iemaksu maksimālais apjoms nepārsniedz 50 000 USD, piemērojot VII panta C punkta noteikumus par kontu apkopošanu un valūtas pārrēķināšanu.</w:t>
      </w:r>
    </w:p>
    <w:p w14:paraId="617636A0" w14:textId="77777777" w:rsidR="00F02FF0" w:rsidRPr="004C20E3" w:rsidRDefault="00F02FF0" w:rsidP="0094454A">
      <w:pPr>
        <w:pStyle w:val="BodyText"/>
        <w:tabs>
          <w:tab w:val="left" w:pos="1134"/>
        </w:tabs>
        <w:spacing w:before="120"/>
        <w:ind w:left="1134"/>
        <w:rPr>
          <w:rFonts w:ascii="Times New Roman" w:hAnsi="Times New Roman" w:cs="Times New Roman"/>
          <w:noProof/>
          <w:sz w:val="24"/>
          <w:szCs w:val="24"/>
        </w:rPr>
      </w:pPr>
      <w:r>
        <w:rPr>
          <w:rFonts w:ascii="Times New Roman" w:hAnsi="Times New Roman"/>
          <w:sz w:val="24"/>
        </w:rPr>
        <w:t>Finanšu konts, kas citādi atbilst C punkta 17. apakšpunkta b) daļas v) punkta prasībai, atbildīs tai arī tad, ja uz šādu finanšu kontu varētu tikt pārnesti aktīvi vai naudas summas no viena vai vairākiem finanšu kontiem, kas atbilst C punkta 17. apakšpunkta a) vai b) daļas prasībām, vai no viena vai vairākiem pensiju fondiem, kas atbilst B punkta 5.–7. apakšpunkta prasībām;</w:t>
      </w:r>
    </w:p>
    <w:p w14:paraId="0F1A8E71" w14:textId="7A07F575" w:rsidR="00F02FF0" w:rsidRPr="004C20E3" w:rsidRDefault="00906122"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dzīvības apdrošināšanas līgums ar seguma periodu, kas beidzas pirms apdrošinātā persona sasniedz 90 gadu vecumu, ja līgums atbilst šādām prasībām:</w:t>
      </w:r>
    </w:p>
    <w:p w14:paraId="08D73143" w14:textId="2431F9D8" w:rsidR="00F02FF0" w:rsidRPr="004C20E3" w:rsidRDefault="00906122"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periodiskās prēmijas, kas laika gaitā nesamazinās, ir maksājamas vismaz ik gadu, kamēr līgums ir spēkā vai līdz apdrošinātā persona sasniedz 90 gadu vecumu, atkarībā no tā, kurš periods ir īsāks;</w:t>
      </w:r>
    </w:p>
    <w:p w14:paraId="42899142" w14:textId="03353457" w:rsidR="00F02FF0" w:rsidRPr="004C20E3" w:rsidRDefault="00906122"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līgumam nav līguma summas, kurai jebkura persona var piekļūt (līdzekļu izņemšana, aizdevums vai kā citādi), neizbeidzot līgumu;</w:t>
      </w:r>
    </w:p>
    <w:p w14:paraId="32967A7A" w14:textId="75C79604" w:rsidR="00F02FF0" w:rsidRPr="004C20E3" w:rsidRDefault="00906122" w:rsidP="00CB441B">
      <w:pPr>
        <w:tabs>
          <w:tab w:val="left" w:pos="2963"/>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iii) summa (izņemot pabalstu nāves gadījumā), kas maksājama, anulējot vai izbeidzot līgumu, nevar pārsniegt kopējās prēmijas, kas iemaksātas attiecībā uz līgumu, atskaitot mirstības, saslimstības vai izdevumu maksu (neatkarīgi no tā, vai tā ir piemērota vai ne) līguma darbības laika posmā vai posmos, un jebkādas citas summas, kas izmaksātas pirms līguma anulēšanas vai izbeigšanas, un</w:t>
      </w:r>
    </w:p>
    <w:p w14:paraId="51E56A91" w14:textId="3BACB3ED" w:rsidR="00F02FF0" w:rsidRPr="004C20E3" w:rsidRDefault="00906122" w:rsidP="00CB441B">
      <w:pPr>
        <w:tabs>
          <w:tab w:val="left" w:pos="2964"/>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iv) līgums netiek nodots tiesību pārņēmējam peļņas gūšanas nolūkos.</w:t>
      </w:r>
    </w:p>
    <w:p w14:paraId="360B6E73" w14:textId="11EFF31F" w:rsidR="00F02FF0" w:rsidRPr="004C20E3" w:rsidRDefault="00824CC7"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d) konts, kurā tur vienīgi mantojumu, ja šā konta dokumentācijā ir atrodama mirušās personas testamenta vai miršanas apliecības kopija;</w:t>
      </w:r>
    </w:p>
    <w:p w14:paraId="6F98F3F0" w14:textId="66083713" w:rsidR="00F02FF0" w:rsidRPr="004C20E3" w:rsidRDefault="00824CC7"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e) konts, kas ir izveidots saistībā ar jebkuru no šādiem gadījumiem:</w:t>
      </w:r>
    </w:p>
    <w:p w14:paraId="59D326F0" w14:textId="5C6EBD60" w:rsidR="00F02FF0" w:rsidRPr="004C20E3" w:rsidRDefault="00824CC7" w:rsidP="00CB441B">
      <w:pPr>
        <w:tabs>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tiesas lēmumu vai spriedumu;</w:t>
      </w:r>
    </w:p>
    <w:p w14:paraId="14899CA2" w14:textId="698AE19D" w:rsidR="00F02FF0" w:rsidRPr="004C20E3" w:rsidRDefault="00824CC7"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nekustamā īpašuma vai personīgās mantas pārdošanu, maiņu vai nomu, ja konts atbilst šādām prasībām:</w:t>
      </w:r>
    </w:p>
    <w:p w14:paraId="7E4AA55A" w14:textId="2B989AC5" w:rsidR="00F02FF0" w:rsidRPr="004C20E3" w:rsidRDefault="00824CC7" w:rsidP="00CB441B">
      <w:pPr>
        <w:tabs>
          <w:tab w:val="left" w:pos="3485"/>
        </w:tabs>
        <w:spacing w:before="120"/>
        <w:ind w:left="1418" w:hanging="284"/>
        <w:jc w:val="both"/>
        <w:rPr>
          <w:rFonts w:ascii="Times New Roman" w:hAnsi="Times New Roman" w:cs="Times New Roman"/>
          <w:noProof/>
          <w:color w:val="231F20"/>
          <w:sz w:val="24"/>
          <w:szCs w:val="24"/>
        </w:rPr>
      </w:pPr>
      <w:r>
        <w:rPr>
          <w:rFonts w:ascii="Times New Roman" w:hAnsi="Times New Roman"/>
          <w:color w:val="231F20"/>
          <w:sz w:val="24"/>
        </w:rPr>
        <w:t>i) kontā tiek ieskaitīts vienīgi avansa maksājums, rokasnauda, noguldījums tādā apmērā, lai garantētu tādas saistības izpildi, kas ir tieši saistīta ar darījumu, vai līdzīgs maksājums, vai kontā tiek ieskaitīts tāds finanšu aktīvs, kas noguldīts kontā saistībā ar īpašuma pārdošanu, maiņu vai nomu;</w:t>
      </w:r>
    </w:p>
    <w:p w14:paraId="10B657DF" w14:textId="46DD07A5" w:rsidR="00F02FF0" w:rsidRPr="004C20E3" w:rsidRDefault="00824CC7" w:rsidP="00CB441B">
      <w:pPr>
        <w:tabs>
          <w:tab w:val="left" w:pos="3483"/>
          <w:tab w:val="left" w:pos="3485"/>
        </w:tabs>
        <w:spacing w:before="120"/>
        <w:ind w:left="1418" w:hanging="284"/>
        <w:jc w:val="both"/>
        <w:rPr>
          <w:rFonts w:ascii="Times New Roman" w:hAnsi="Times New Roman" w:cs="Times New Roman"/>
          <w:noProof/>
          <w:color w:val="231F20"/>
          <w:sz w:val="24"/>
          <w:szCs w:val="24"/>
        </w:rPr>
      </w:pPr>
      <w:r>
        <w:rPr>
          <w:rFonts w:ascii="Times New Roman" w:hAnsi="Times New Roman"/>
          <w:color w:val="231F20"/>
          <w:sz w:val="24"/>
        </w:rPr>
        <w:t>ii) konts ir izveidots un tiek izmantots vienīgi tāpēc, lai nodrošinātu pircēja pienākumu maksāt pirkuma cenu par īpašumu, lai pārdevējs apmaksātu jebkuras neparedzēto izdevumu saistības, kā arī lai iznomātājs vai nomnieks samaksātu par jebkādiem iznomātā īpašuma bojājumiem, kā tas noteikts nomas līgumā;</w:t>
      </w:r>
    </w:p>
    <w:p w14:paraId="3E55C853" w14:textId="222B302D" w:rsidR="00F02FF0" w:rsidRPr="004C20E3" w:rsidRDefault="00824CC7" w:rsidP="00CB441B">
      <w:pPr>
        <w:tabs>
          <w:tab w:val="left" w:pos="3481"/>
          <w:tab w:val="left" w:pos="3485"/>
        </w:tabs>
        <w:spacing w:before="120"/>
        <w:ind w:left="1418" w:hanging="284"/>
        <w:jc w:val="both"/>
        <w:rPr>
          <w:rFonts w:ascii="Times New Roman" w:hAnsi="Times New Roman" w:cs="Times New Roman"/>
          <w:noProof/>
          <w:color w:val="231F20"/>
          <w:sz w:val="24"/>
          <w:szCs w:val="24"/>
        </w:rPr>
      </w:pPr>
      <w:r>
        <w:rPr>
          <w:rFonts w:ascii="Times New Roman" w:hAnsi="Times New Roman"/>
          <w:color w:val="231F20"/>
          <w:sz w:val="24"/>
        </w:rPr>
        <w:t>iii) konta aktīvi, tostarp no tiem gūtie ienākumi, tiks izmaksāti vai citādi sadalīti pircēja, pārdevēja, iznomātāja vai nomnieka interesēs (tostarp, lai izpildītu šādas personas saistības), īpašumu pārdodot, apmainot vai nododot, vai arī tad, ja ir beidzies nomas līguma termiņš;</w:t>
      </w:r>
    </w:p>
    <w:p w14:paraId="7BF2E879" w14:textId="767BB49C" w:rsidR="00F02FF0" w:rsidRPr="004C20E3" w:rsidRDefault="00824CC7" w:rsidP="00CB441B">
      <w:pPr>
        <w:tabs>
          <w:tab w:val="left" w:pos="3482"/>
          <w:tab w:val="left" w:pos="3485"/>
        </w:tabs>
        <w:spacing w:before="120"/>
        <w:ind w:left="1418" w:hanging="284"/>
        <w:jc w:val="both"/>
        <w:rPr>
          <w:rFonts w:ascii="Times New Roman" w:hAnsi="Times New Roman" w:cs="Times New Roman"/>
          <w:noProof/>
          <w:color w:val="231F20"/>
          <w:sz w:val="24"/>
          <w:szCs w:val="24"/>
        </w:rPr>
      </w:pPr>
      <w:r>
        <w:rPr>
          <w:rFonts w:ascii="Times New Roman" w:hAnsi="Times New Roman"/>
          <w:color w:val="231F20"/>
          <w:sz w:val="24"/>
        </w:rPr>
        <w:t>iv) konts nav rezerves konts vai līdzīgs konts, kas izveidots saistībā ar finanšu aktīva pārdošanu vai apmaiņu, un</w:t>
      </w:r>
    </w:p>
    <w:p w14:paraId="30CD5F5F" w14:textId="08C8E600" w:rsidR="00F02FF0" w:rsidRPr="004C20E3" w:rsidRDefault="00824CC7" w:rsidP="00CB441B">
      <w:pPr>
        <w:tabs>
          <w:tab w:val="left" w:pos="3485"/>
        </w:tabs>
        <w:spacing w:before="120"/>
        <w:ind w:left="1418"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v) konts nav saistīts ar C punkta 17. apakšpunkta f) daļā aprakstīto kontu;</w:t>
      </w:r>
    </w:p>
    <w:p w14:paraId="51D08B43" w14:textId="746B1DCC" w:rsidR="00F02FF0" w:rsidRPr="004C20E3" w:rsidRDefault="00824CC7" w:rsidP="00CB441B">
      <w:pPr>
        <w:tabs>
          <w:tab w:val="left" w:pos="2963"/>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iii) finanšu iestādes, kas sniedz ziņojumus un apkalpo ar nekustamo īpašumu nodrošinātu aizdevumu, pienākumu atlikt maksājuma daļu, tikai lai veicinātu vēlāku ar nekustamo īpašumu saistīto nodokļu vai apdrošināšanas nomaksu;</w:t>
      </w:r>
    </w:p>
    <w:p w14:paraId="487B7BAE" w14:textId="45BC8055" w:rsidR="00F02FF0" w:rsidRPr="004C20E3" w:rsidRDefault="00824CC7"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iv) finanšu iestādes, kas sniedz ziņojumus, pienākumu veicināt vēlāku nodokļu nomaksu;</w:t>
      </w:r>
    </w:p>
    <w:p w14:paraId="4444A318" w14:textId="39FF9B85" w:rsidR="00F02FF0" w:rsidRPr="00CB441B" w:rsidRDefault="00824CC7" w:rsidP="00CB441B">
      <w:pPr>
        <w:tabs>
          <w:tab w:val="left" w:pos="2783"/>
          <w:tab w:val="left" w:pos="2917"/>
        </w:tabs>
        <w:spacing w:before="120"/>
        <w:ind w:left="1134" w:hanging="284"/>
        <w:jc w:val="both"/>
        <w:rPr>
          <w:rFonts w:ascii="Times New Roman" w:hAnsi="Times New Roman" w:cs="Times New Roman"/>
          <w:b/>
          <w:i/>
          <w:noProof/>
          <w:sz w:val="24"/>
          <w:szCs w:val="24"/>
          <w:u w:val="single"/>
        </w:rPr>
      </w:pPr>
      <w:r>
        <w:rPr>
          <w:rFonts w:ascii="Times New Roman" w:hAnsi="Times New Roman"/>
          <w:b/>
          <w:i/>
          <w:sz w:val="24"/>
          <w:u w:val="single"/>
        </w:rPr>
        <w:t>v) uzņēmuma nodibināšanu vai tā kapitāla palielināšanu ar nosacījumu, ka konts atbilst šādām prasībām:</w:t>
      </w:r>
    </w:p>
    <w:p w14:paraId="1831A43E" w14:textId="293C4F87" w:rsidR="00F02FF0" w:rsidRPr="00CB441B" w:rsidRDefault="00824CC7" w:rsidP="00CB441B">
      <w:pPr>
        <w:tabs>
          <w:tab w:val="left" w:pos="3483"/>
          <w:tab w:val="left" w:pos="3485"/>
        </w:tabs>
        <w:spacing w:before="120"/>
        <w:ind w:left="1418"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i) kontu izmanto tikai tamdēļ, lai noguldītu kapitālu, kas jāizmanto uzņēmuma nodibināšanai vai tā kapitāla palielināšanai, kā noteikts tiesību aktos;</w:t>
      </w:r>
    </w:p>
    <w:p w14:paraId="43768DCE" w14:textId="04641944" w:rsidR="00F02FF0" w:rsidRPr="00CB441B" w:rsidRDefault="00824CC7" w:rsidP="00CB441B">
      <w:pPr>
        <w:tabs>
          <w:tab w:val="left" w:pos="3482"/>
          <w:tab w:val="left" w:pos="3485"/>
        </w:tabs>
        <w:spacing w:before="120"/>
        <w:ind w:left="1418"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ii) visa kontā turētā summa tiek bloķēta, līdz finanšu iestāde, kas sniedz ziņojumus, iegūst neatkarīgu apstiprinājumu par uzņēmuma nodibināšanu vai kapitāla palielināšanu;</w:t>
      </w:r>
    </w:p>
    <w:p w14:paraId="362AE2EA" w14:textId="077B3504" w:rsidR="00F02FF0" w:rsidRPr="00CB441B" w:rsidRDefault="00824CC7" w:rsidP="00CB441B">
      <w:pPr>
        <w:tabs>
          <w:tab w:val="left" w:pos="3482"/>
          <w:tab w:val="left" w:pos="3485"/>
        </w:tabs>
        <w:spacing w:before="120"/>
        <w:ind w:left="1418"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iii) pēc uzņēmuma nodibināšanas vai kapitāla palielināšanas kontu slēdz vai pārveido par uzņēmuma vārdā izveidotu kontu;</w:t>
      </w:r>
    </w:p>
    <w:p w14:paraId="26500500" w14:textId="18667C90" w:rsidR="00F02FF0" w:rsidRPr="00CB441B" w:rsidRDefault="00824CC7" w:rsidP="00CB441B">
      <w:pPr>
        <w:tabs>
          <w:tab w:val="left" w:pos="3482"/>
          <w:tab w:val="left" w:pos="3485"/>
        </w:tabs>
        <w:spacing w:before="120"/>
        <w:ind w:left="1418"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iv) ja uzņēmums netiek nodibināts vai kapitāls netiek palielināts, summas, no kurām atskaitītas pakalpojuma sniedzēja un līdzīgas maksas, atmaksā tikai personām, kuras tās ir iemaksājušas, un</w:t>
      </w:r>
    </w:p>
    <w:p w14:paraId="66DC8A3E" w14:textId="6230796E" w:rsidR="00F02FF0" w:rsidRPr="00CB441B" w:rsidRDefault="00824CC7" w:rsidP="00CB441B">
      <w:pPr>
        <w:tabs>
          <w:tab w:val="left" w:pos="3484"/>
        </w:tabs>
        <w:spacing w:before="120"/>
        <w:ind w:left="1418"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v) konts ir izveidots ne vēlāk kā pirms 12 mēnešiem;</w:t>
      </w:r>
    </w:p>
    <w:p w14:paraId="067D419A" w14:textId="77777777" w:rsidR="00F02FF0" w:rsidRPr="00CB441B" w:rsidRDefault="00F02FF0" w:rsidP="00CB441B">
      <w:pPr>
        <w:spacing w:before="120"/>
        <w:ind w:left="851"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e.bis) noguldījumu konts, kas pārstāv visus noteiktos elektroniskās naudas produktus, kuri tiek turēti klienta labā, ja apkopotās konta bilances vai vērtības slīdošais vidējais rādītājs jebkurā 90 secīgu dienu periodā nepārsniedz 10 000 USD jebkurā dienā kalendārajā gadā vai citā attiecīgā ziņošanas periodā;</w:t>
      </w:r>
    </w:p>
    <w:p w14:paraId="0E4A53B7" w14:textId="1958179C" w:rsidR="00F02FF0" w:rsidRPr="004C20E3" w:rsidRDefault="005974B8" w:rsidP="00CB441B">
      <w:pPr>
        <w:tabs>
          <w:tab w:val="left" w:pos="224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f) noguldījumu konts, kas atbilst šādām prasībām:</w:t>
      </w:r>
    </w:p>
    <w:p w14:paraId="547A51BF" w14:textId="366AB4F3" w:rsidR="00F02FF0" w:rsidRPr="004C20E3" w:rsidRDefault="005974B8"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konts pastāv vienīgi tādēļ, ka klients veic maksājumu, kurš pārsniedz summu, kas jāmaksā saistībā ar kredītkarti vai citu atjaunojamu kredīta pakalpojumu, un pārmaksa uzreiz netiek atmaksāta klientam, un</w:t>
      </w:r>
    </w:p>
    <w:p w14:paraId="319FB47E" w14:textId="5C95C9BF" w:rsidR="00F02FF0" w:rsidRPr="004C20E3" w:rsidRDefault="005974B8" w:rsidP="00CB441B">
      <w:pPr>
        <w:tabs>
          <w:tab w:val="left" w:pos="2964"/>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no [xx.xx.xxxx.] vai pirms tam finanšu iestāde īsteno noteikumus un procedūras, lai novērstu to, ka klients veic pārmaksu, kas pārsniedz 50 000 USD, vai lai nodrošinātu, ka jebkura klienta pārmaksa, kas pārsniedz minēto summu, klientam tiek atmaksāta 60 dienu laikā; abos gadījumos piemēro VII panta C punkta noteikumus par valūtas pārrēķināšanu. Šajā saistībā klienta pārmaksa neattiecas uz kredīta atlikumiem apstrīdēto maksājumu apmērā, bet tā ietver kredīta atlikumus, kas radušies preču atgriešanas rezultātā.</w:t>
      </w:r>
    </w:p>
    <w:p w14:paraId="56DC23A8" w14:textId="0DAE48BE" w:rsidR="00F02FF0" w:rsidRPr="004C20E3" w:rsidRDefault="005974B8"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g) jebkurš cits konts, attiecībā uz kuru pastāv zems risks, ka to varētu izmantot, lai izvairītos no nodokļu maksāšanas, kuram būtībā ir līdzīgas iezīmes kā jebkuram C punkta 17. apakšpunkta a)–f) daļā minētajam kontam un kurš valsts tiesību aktos ir noteikts kā izslēgts konts, ar nosacījumu, ka šāds konta statuss nav pretrunā Kopējā ziņošanas standarta mērķiem.</w:t>
      </w:r>
    </w:p>
    <w:p w14:paraId="5650D4B9" w14:textId="0604ED44" w:rsidR="00F02FF0" w:rsidRPr="004C20E3" w:rsidRDefault="005974B8" w:rsidP="00CB441B">
      <w:pPr>
        <w:pStyle w:val="Heading9"/>
        <w:tabs>
          <w:tab w:val="left" w:pos="941"/>
        </w:tabs>
        <w:spacing w:before="120"/>
        <w:ind w:left="284" w:hanging="284"/>
        <w:jc w:val="both"/>
        <w:rPr>
          <w:rFonts w:ascii="Times New Roman" w:hAnsi="Times New Roman" w:cs="Times New Roman"/>
          <w:noProof/>
          <w:color w:val="231F20"/>
          <w:sz w:val="24"/>
          <w:szCs w:val="24"/>
        </w:rPr>
      </w:pPr>
      <w:r>
        <w:rPr>
          <w:rFonts w:ascii="Times New Roman" w:hAnsi="Times New Roman"/>
          <w:b w:val="0"/>
          <w:color w:val="231F20"/>
          <w:sz w:val="24"/>
        </w:rPr>
        <w:t>D.</w:t>
      </w:r>
      <w:r>
        <w:rPr>
          <w:rFonts w:ascii="Times New Roman" w:hAnsi="Times New Roman"/>
          <w:color w:val="231F20"/>
          <w:sz w:val="24"/>
        </w:rPr>
        <w:t xml:space="preserve"> Konts, par kuru jāsniedz ziņojums</w:t>
      </w:r>
    </w:p>
    <w:p w14:paraId="75FD9E3C" w14:textId="7F36E67F" w:rsidR="00F02FF0" w:rsidRPr="004C20E3" w:rsidRDefault="005974B8"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1. “</w:t>
      </w:r>
      <w:r>
        <w:rPr>
          <w:rFonts w:ascii="Times New Roman" w:hAnsi="Times New Roman"/>
          <w:b/>
          <w:bCs/>
          <w:color w:val="231F20"/>
          <w:sz w:val="24"/>
        </w:rPr>
        <w:t>Konts, par kuru jāsniedz ziņojums</w:t>
      </w:r>
      <w:r>
        <w:rPr>
          <w:rFonts w:ascii="Times New Roman" w:hAnsi="Times New Roman"/>
          <w:color w:val="231F20"/>
          <w:sz w:val="24"/>
        </w:rPr>
        <w:t>” ir konts, kuru tur viena vai vairākas personas, par kurām jāsniedz ziņojums, vai pasīva nefinanšu vienība ar vienu vai vairākām kontrolējošām personām, kas ir personas, par kurām jāsniedz ziņojums, ar nosacījumu, ka tās ir šādi identificētas saskaņā ar II–VII pantā aprakstītajām pienācīgas pārbaudes procedūrām.</w:t>
      </w:r>
    </w:p>
    <w:p w14:paraId="1DAC6C9E" w14:textId="2F3D975B" w:rsidR="00F02FF0" w:rsidRPr="004C20E3" w:rsidRDefault="005974B8"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lastRenderedPageBreak/>
        <w:t xml:space="preserve">2. </w:t>
      </w:r>
      <w:r>
        <w:rPr>
          <w:rFonts w:ascii="Times New Roman" w:hAnsi="Times New Roman"/>
          <w:b/>
          <w:bCs/>
          <w:color w:val="231F20"/>
          <w:sz w:val="24"/>
        </w:rPr>
        <w:t>“Persona, par kuru jāsniedz ziņojums</w:t>
      </w:r>
      <w:r>
        <w:rPr>
          <w:rFonts w:ascii="Times New Roman" w:hAnsi="Times New Roman"/>
          <w:color w:val="231F20"/>
          <w:sz w:val="24"/>
        </w:rPr>
        <w:t xml:space="preserve">” ir persona jurisdikcijā, par kuru jāsniedz ziņojums, kas nav: i) </w:t>
      </w:r>
      <w:r>
        <w:rPr>
          <w:rFonts w:ascii="Times New Roman" w:hAnsi="Times New Roman"/>
          <w:strike/>
          <w:color w:val="231F20"/>
          <w:sz w:val="24"/>
        </w:rPr>
        <w:t>sabiedrība</w:t>
      </w:r>
      <w:r>
        <w:rPr>
          <w:rFonts w:ascii="Times New Roman" w:hAnsi="Times New Roman"/>
          <w:b/>
          <w:i/>
          <w:color w:val="231F20"/>
          <w:sz w:val="24"/>
          <w:u w:val="single"/>
        </w:rPr>
        <w:t>vienība</w:t>
      </w:r>
      <w:r>
        <w:rPr>
          <w:rFonts w:ascii="Times New Roman" w:hAnsi="Times New Roman"/>
          <w:color w:val="231F20"/>
          <w:sz w:val="24"/>
        </w:rPr>
        <w:t xml:space="preserve">, kuras kapitāla daļas tiek regulāri tirgotas vienā vai vairākos vispāratzītos vērtspapīru tirgos; ii) jebkura </w:t>
      </w:r>
      <w:r>
        <w:rPr>
          <w:rFonts w:ascii="Times New Roman" w:hAnsi="Times New Roman"/>
          <w:b/>
          <w:i/>
          <w:color w:val="231F20"/>
          <w:sz w:val="24"/>
          <w:u w:val="single"/>
        </w:rPr>
        <w:t>vienība</w:t>
      </w:r>
      <w:r>
        <w:rPr>
          <w:rFonts w:ascii="Times New Roman" w:hAnsi="Times New Roman"/>
          <w:strike/>
          <w:color w:val="231F20"/>
          <w:sz w:val="24"/>
        </w:rPr>
        <w:t>sabiedrība</w:t>
      </w:r>
      <w:r>
        <w:rPr>
          <w:rFonts w:ascii="Times New Roman" w:hAnsi="Times New Roman"/>
          <w:color w:val="231F20"/>
          <w:sz w:val="24"/>
        </w:rPr>
        <w:t xml:space="preserve">, kas ir i) daļā minētās </w:t>
      </w:r>
      <w:r>
        <w:rPr>
          <w:rFonts w:ascii="Times New Roman" w:hAnsi="Times New Roman"/>
          <w:b/>
          <w:i/>
          <w:color w:val="231F20"/>
          <w:sz w:val="24"/>
          <w:u w:val="single"/>
        </w:rPr>
        <w:t>vienības</w:t>
      </w:r>
      <w:r>
        <w:rPr>
          <w:rFonts w:ascii="Times New Roman" w:hAnsi="Times New Roman"/>
          <w:strike/>
          <w:color w:val="231F20"/>
          <w:sz w:val="24"/>
        </w:rPr>
        <w:t>sabiedrības</w:t>
      </w:r>
      <w:r>
        <w:rPr>
          <w:rFonts w:ascii="Times New Roman" w:hAnsi="Times New Roman"/>
          <w:color w:val="231F20"/>
          <w:sz w:val="24"/>
        </w:rPr>
        <w:t xml:space="preserve"> saistītā vienība; iii) valdības iestāde; iv) starptautiska organizācija; v) centrālā banka vai vi) finanšu iestāde.</w:t>
      </w:r>
    </w:p>
    <w:p w14:paraId="7ACFB6F2" w14:textId="6C94ADA7" w:rsidR="00F02FF0" w:rsidRPr="004C20E3" w:rsidRDefault="005974B8"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3. </w:t>
      </w:r>
      <w:r>
        <w:rPr>
          <w:rFonts w:ascii="Times New Roman" w:hAnsi="Times New Roman"/>
          <w:b/>
          <w:bCs/>
          <w:color w:val="231F20"/>
          <w:sz w:val="24"/>
        </w:rPr>
        <w:t>“Persona jurisdikcijā, par kuru jāsniedz ziņojums</w:t>
      </w:r>
      <w:r>
        <w:rPr>
          <w:rFonts w:ascii="Times New Roman" w:hAnsi="Times New Roman"/>
          <w:color w:val="231F20"/>
          <w:sz w:val="24"/>
        </w:rPr>
        <w:t>” ir fiziska persona vai vienība, kam ir rezidenta statuss jurisdikcijā, par kuru jāsniedz ziņojums, saskaņā ar šīs jurisdikcijas nodokļu tiesību aktiem, vai tādas mirušas personas īpašums, kurai ir bijis rezidenta statuss jurisdikcijā, par kuru jāsniedz ziņojums. Šajā saistībā vienību, piemēram, personālsabiedrību, personālsabiedrību ar ierobežotu atbildību vai līdzīgu juridisku veidojumu, kam nodokļu aprēķina vajadzībām nav rezidenta statusa, uzskata par tās jurisdikcijas rezidentu, kurā atrodas tās faktiskā vadība.</w:t>
      </w:r>
    </w:p>
    <w:p w14:paraId="0DAA620B" w14:textId="10CD7C33" w:rsidR="00F02FF0" w:rsidRPr="004C20E3" w:rsidRDefault="005974B8" w:rsidP="00CB441B">
      <w:pPr>
        <w:tabs>
          <w:tab w:val="left" w:pos="1865"/>
          <w:tab w:val="left" w:pos="1867"/>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4. </w:t>
      </w:r>
      <w:r>
        <w:rPr>
          <w:rFonts w:ascii="Times New Roman" w:hAnsi="Times New Roman"/>
          <w:b/>
          <w:bCs/>
          <w:color w:val="231F20"/>
          <w:sz w:val="24"/>
        </w:rPr>
        <w:t>“Jurisdikcija, par kuru jāsniedz ziņojums</w:t>
      </w:r>
      <w:r>
        <w:rPr>
          <w:rFonts w:ascii="Times New Roman" w:hAnsi="Times New Roman"/>
          <w:color w:val="231F20"/>
          <w:sz w:val="24"/>
        </w:rPr>
        <w:t>” ir jurisdikcija, i) ar ko ir noslēgts nolīgums, kurš nosaka pienākumu sniegt I pantā noteikto informāciju, un ii) kas ir norādīta publicētajā sarakstā.</w:t>
      </w:r>
    </w:p>
    <w:p w14:paraId="5C800AD9" w14:textId="760EB250" w:rsidR="00F02FF0" w:rsidRPr="004C20E3" w:rsidRDefault="005974B8" w:rsidP="00CB441B">
      <w:pPr>
        <w:tabs>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5. </w:t>
      </w:r>
      <w:r>
        <w:rPr>
          <w:rFonts w:ascii="Times New Roman" w:hAnsi="Times New Roman"/>
          <w:b/>
          <w:color w:val="231F20"/>
          <w:sz w:val="24"/>
        </w:rPr>
        <w:t>“Iesaistītā jurisdikcija”</w:t>
      </w:r>
      <w:r>
        <w:rPr>
          <w:rFonts w:ascii="Times New Roman" w:hAnsi="Times New Roman"/>
          <w:color w:val="231F20"/>
          <w:sz w:val="24"/>
        </w:rPr>
        <w:t xml:space="preserve"> ir jurisdikcija, i) ar ko ir noslēgts nolīgums, saskaņā ar kuru minētā jurisdikcija sniegs I pantā minēto informāciju, un ii) kas ir norādīta publicētajā sarakstā.</w:t>
      </w:r>
    </w:p>
    <w:p w14:paraId="78A04439" w14:textId="192BA110" w:rsidR="00F02FF0" w:rsidRPr="004C20E3" w:rsidRDefault="005974B8"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6. </w:t>
      </w:r>
      <w:r>
        <w:rPr>
          <w:rFonts w:ascii="Times New Roman" w:hAnsi="Times New Roman"/>
          <w:b/>
          <w:bCs/>
          <w:color w:val="231F20"/>
          <w:sz w:val="24"/>
        </w:rPr>
        <w:t>“Kontrolējošās personas”</w:t>
      </w:r>
      <w:r>
        <w:rPr>
          <w:rFonts w:ascii="Times New Roman" w:hAnsi="Times New Roman"/>
          <w:color w:val="231F20"/>
          <w:sz w:val="24"/>
        </w:rPr>
        <w:t xml:space="preserve"> ir fiziskas personas, kas kontrolē vienību. Trasta gadījumā minētais termins nozīmē dibinātāju(-us), pilnvaroto(-os), aizstāvi(-jus) (ja tāds/tādi ir), labuma guvēju(-us) vai labuma guvēju klasi(-es) un jebkādu(-as) citu(-as) fizisku(-as) personu(-as), kas īsteno galīgu faktisko kontroli pār trastu; saistībā ar tādu juridisku veidojumu, kas nav trasts, šis termins nozīmē personas līdzvērtīgos vai līdzīgos amatos. Terminu “kontrolējošās personas” interpretē atbilstīgi Finanšu darījumu darba grupas ieteikumiem.</w:t>
      </w:r>
    </w:p>
    <w:p w14:paraId="37663E9C" w14:textId="2404D175" w:rsidR="00F02FF0" w:rsidRPr="004C20E3" w:rsidRDefault="005974B8" w:rsidP="00CB441B">
      <w:pPr>
        <w:tabs>
          <w:tab w:val="left" w:pos="1884"/>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7. </w:t>
      </w:r>
      <w:r>
        <w:rPr>
          <w:rFonts w:ascii="Times New Roman" w:hAnsi="Times New Roman"/>
          <w:b/>
          <w:bCs/>
          <w:color w:val="231F20"/>
          <w:sz w:val="24"/>
        </w:rPr>
        <w:t>“Nefinanšu vienība”</w:t>
      </w:r>
      <w:r>
        <w:rPr>
          <w:rFonts w:ascii="Times New Roman" w:hAnsi="Times New Roman"/>
          <w:color w:val="231F20"/>
          <w:sz w:val="24"/>
        </w:rPr>
        <w:t xml:space="preserve"> ir jebkura vienība, kas nav finanšu iestāde.</w:t>
      </w:r>
    </w:p>
    <w:p w14:paraId="687CC2E8" w14:textId="78D29F10" w:rsidR="00F02FF0" w:rsidRPr="004C20E3" w:rsidRDefault="005974B8"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8. </w:t>
      </w:r>
      <w:r>
        <w:rPr>
          <w:rFonts w:ascii="Times New Roman" w:hAnsi="Times New Roman"/>
          <w:b/>
          <w:bCs/>
          <w:color w:val="231F20"/>
          <w:sz w:val="24"/>
        </w:rPr>
        <w:t>“Pasīva nefinanšu vienība”</w:t>
      </w:r>
      <w:r>
        <w:rPr>
          <w:rFonts w:ascii="Times New Roman" w:hAnsi="Times New Roman"/>
          <w:color w:val="231F20"/>
          <w:sz w:val="24"/>
        </w:rPr>
        <w:t xml:space="preserve"> ir i) nefinanšu vienība, kas nav aktīva nefinanšu vienība, vai ii) A punkta 6. apakšpunkta b) punktā minētā ieguldījumu vienība, kas nav iesaistītās jurisdikcijas finanšu iestāde.</w:t>
      </w:r>
    </w:p>
    <w:p w14:paraId="154E2F20" w14:textId="5DA89B1D" w:rsidR="00F02FF0" w:rsidRPr="004C20E3" w:rsidRDefault="005974B8" w:rsidP="00CB441B">
      <w:pPr>
        <w:tabs>
          <w:tab w:val="left" w:pos="1884"/>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9. </w:t>
      </w:r>
      <w:r>
        <w:rPr>
          <w:rFonts w:ascii="Times New Roman" w:hAnsi="Times New Roman"/>
          <w:b/>
          <w:bCs/>
          <w:color w:val="231F20"/>
          <w:sz w:val="24"/>
        </w:rPr>
        <w:t>“Aktīva nefinanšu vienība”</w:t>
      </w:r>
      <w:r>
        <w:rPr>
          <w:rFonts w:ascii="Times New Roman" w:hAnsi="Times New Roman"/>
          <w:color w:val="231F20"/>
          <w:sz w:val="24"/>
        </w:rPr>
        <w:t xml:space="preserve"> ir jebkura nefinanšu vienība, kas atbilst kādam no šādiem kritērijiem:</w:t>
      </w:r>
    </w:p>
    <w:p w14:paraId="7372A73A" w14:textId="6C7FD8A2" w:rsidR="00F02FF0" w:rsidRPr="004C20E3" w:rsidRDefault="005974B8"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mazāk nekā 50 % no nefinanšu vienības bruto ienākumiem iepriekšējā kalendārajā gadā vai citā attiecīgā pārskata periodā ir pasīvi ienākumi, un mazāk nekā 50 % no nefinanšu vienības turētiem aktīviem iepriekšējā kalendārajā gadā vai citā attiecīgā pārskata periodā ir aktīvi, kuri tiek turēti pasīvu ienākumu gūšanai;</w:t>
      </w:r>
    </w:p>
    <w:p w14:paraId="10865CA7" w14:textId="41C58AA1" w:rsidR="00F02FF0" w:rsidRPr="004C20E3" w:rsidRDefault="005974B8"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nefinanšu vienības akcijas tiek regulāri tirgotas vispāratzītā vērtspapīru tirgū vai nefinanšu vienība ir tādas vienības saistītā vienība, kuras akcijas tiek tirgotas vispāratzītā vērtspapīru tirgū;</w:t>
      </w:r>
    </w:p>
    <w:p w14:paraId="0D9D1A75" w14:textId="59667A6A" w:rsidR="00F02FF0" w:rsidRPr="004C20E3" w:rsidRDefault="005974B8"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nefinanšu vienība ir valdības iestāde, starptautiska organizācija, centrālā banka vai vienība, kas pieder vienai no iepriekš minētajām struktūrām;</w:t>
      </w:r>
    </w:p>
    <w:p w14:paraId="5F0CBF49" w14:textId="3DBCBDF7" w:rsidR="00F02FF0" w:rsidRPr="004C20E3" w:rsidRDefault="005974B8"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 xml:space="preserve">d) būtībā visa nefinanšu vienības darbība ir turēt (pilnībā vai daļēji) akcijas, ko emitējis viens vai vairāki meitasuzņēmumi, kuri veic tirdzniecību vai darījumdarbību, kas nav finanšu iestādes darījumdarbība, un sniegt finansējumu un pakalpojumus šādiem meitasuzņēmumiem, bet vienība neatbilst šāda statusa kritērijiem, ja tā darbojas (vai pasniedz sevi) kā ieguldījumu fonds, piemēram, privāts kapitāla fonds, riska kapitāla fonds, fonds, kas veic pirkšanas darījumus, izmantojot aizņemtus līdzekļus, vai ieguldījumu instruments, kura nolūks ir iegādāties vai finansēt sabiedrības un tad būt </w:t>
      </w:r>
      <w:r>
        <w:rPr>
          <w:rFonts w:ascii="Times New Roman" w:hAnsi="Times New Roman"/>
          <w:color w:val="231F20"/>
          <w:sz w:val="24"/>
        </w:rPr>
        <w:lastRenderedPageBreak/>
        <w:t>līdzdalības daļu turētājai šādās sabiedrībās, turot kapitāla aktīvus ieguldīšanas nolūkā;</w:t>
      </w:r>
    </w:p>
    <w:p w14:paraId="071349FC" w14:textId="123528F4" w:rsidR="00F02FF0" w:rsidRPr="004C20E3" w:rsidRDefault="005974B8"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e) nefinanšu vienība vēl neveic darījumdarbību, un tā arī iepriekš nav veikusi darījumdarbību, bet tā veic kapitāla ieguldījumus aktīvos ar nolūku veikt darījumdarbību, kas nav finanšu iestādes darījumdarbība, ar nosacījumu, ka nefinanšu vienība neatbilst šādam izņēmuma statusam, ja kopš nefinanšu vienības sākotnējās izveides datuma ir pagājuši 24 mēneši;</w:t>
      </w:r>
    </w:p>
    <w:p w14:paraId="0A0A02B2" w14:textId="15BC4478" w:rsidR="00F02FF0" w:rsidRPr="004C20E3" w:rsidRDefault="005974B8"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f) nefinanšu vienība nav bijusi finanšu iestāde iepriekšējo piecu gadu laikā un atrodas tās aktīvu likvidācijas vai reorganizācijas procesā ar nolūku turpināt vai atsākt tādu darījumdarbību, kas nav finanšu iestādes darījumdarbība;</w:t>
      </w:r>
    </w:p>
    <w:p w14:paraId="3D161858" w14:textId="465992C4" w:rsidR="00F02FF0" w:rsidRPr="004C20E3" w:rsidRDefault="005974B8"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g) nefinanšu vienība galvenokārt iesaistās finansēšanas un riska ierobežošanas darījumos ar saistītām vienībām, kas nav finanšu iestādes, vai šādu vienību uzdevumā un nesniedz finansēšanas vai riska ierobežošanas pakalpojumus nevienai vienībai, kas nav saistītā vienība, ar nosacījumu, ka šādu saistītu vienību grupa galvenokārt ir iesaistīta darījumdarbībā, kas nav finanšu iestādes darījumdarbība, vai</w:t>
      </w:r>
    </w:p>
    <w:p w14:paraId="13B0ABDB" w14:textId="4839964D" w:rsidR="00F02FF0" w:rsidRPr="004C20E3" w:rsidRDefault="006256F7" w:rsidP="00CB441B">
      <w:pPr>
        <w:tabs>
          <w:tab w:val="left" w:pos="220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h) nefinanšu vienība atbilst visām šādām prasībām:</w:t>
      </w:r>
    </w:p>
    <w:p w14:paraId="10BD14EF" w14:textId="70DA76E4" w:rsidR="00F02FF0" w:rsidRPr="004C20E3" w:rsidRDefault="006256F7" w:rsidP="00CB441B">
      <w:pPr>
        <w:tabs>
          <w:tab w:val="left" w:pos="2965"/>
          <w:tab w:val="left" w:pos="2967"/>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 tā ir izveidota un darbojas savā rezidences jurisdikcijā vienīgi ar reliģiju, labdarību, zinātni, mākslu, kultūru, sportu vai izglītību saistītiem mērķiem vai tā ir izveidota un darbojas savā rezidences jurisdikcijā un ir profesionāla organizācija, biznesa savienība, tirdzniecības kamera, arodorganizācija, lauksaimniecības vai dārzkopības organizācija, pilsoniska savienība vai organizācija, kas darbojas vienīgi sociālās labklājības veicināšanai;</w:t>
      </w:r>
    </w:p>
    <w:p w14:paraId="40D8D989" w14:textId="71CF9A0F" w:rsidR="00F02FF0" w:rsidRPr="004C20E3" w:rsidRDefault="00C21151" w:rsidP="00CB441B">
      <w:pPr>
        <w:tabs>
          <w:tab w:val="left" w:pos="615"/>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 tā ir atbrīvota no ienākuma nodokļa savā rezidences jurisdikcijā;</w:t>
      </w:r>
    </w:p>
    <w:p w14:paraId="5A1E25E6" w14:textId="67D85F5E" w:rsidR="00F02FF0" w:rsidRPr="004C20E3" w:rsidRDefault="00C21151" w:rsidP="00CB441B">
      <w:pPr>
        <w:tabs>
          <w:tab w:val="left" w:pos="614"/>
          <w:tab w:val="left" w:pos="618"/>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iii) tai nav akcionāru vai dalībnieku, kam būtu īpašumtiesības vai labuma gūšanas intereses attiecībā uz tās ienākumiem vai aktīviem;</w:t>
      </w:r>
    </w:p>
    <w:p w14:paraId="51A0CD2F" w14:textId="541F2591" w:rsidR="00F02FF0" w:rsidRPr="004C20E3" w:rsidRDefault="00C21151" w:rsidP="00CB441B">
      <w:pPr>
        <w:tabs>
          <w:tab w:val="left" w:pos="615"/>
          <w:tab w:val="left" w:pos="618"/>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iv) saskaņā ar nefinanšu vienības rezidences jurisdikcijas piemērojamajiem tiesību aktiem vai nefinanšu vienības dibināšanas dokumentiem nefinanšu vienības ienākumus vai aktīvus nedrīkst sadalīt vai izmantot par labu privātpersonai vai vienībai, kas nav labdarības organizācija, ja šāda sadalīšana vai izmantošana nav saistīta ar nefinanšu vienības veiktajām labdarības darbībām, vai izmantot, lai veiktu pamatotas kompensācijas maksājumu par saņemtajiem pakalpojumiem vai maksājumu, kas atbilst nefinanšu vienības iegādāta īpašuma patiesajai tirgus vērtībai, un</w:t>
      </w:r>
    </w:p>
    <w:p w14:paraId="59A99FBA" w14:textId="77777777" w:rsidR="004C20E3" w:rsidRPr="004C20E3" w:rsidRDefault="00C21151" w:rsidP="00CB441B">
      <w:pPr>
        <w:tabs>
          <w:tab w:val="left" w:pos="616"/>
          <w:tab w:val="left" w:pos="618"/>
        </w:tabs>
        <w:spacing w:before="120"/>
        <w:ind w:left="1134" w:hanging="284"/>
        <w:jc w:val="both"/>
        <w:rPr>
          <w:rFonts w:ascii="Times New Roman" w:hAnsi="Times New Roman" w:cs="Times New Roman"/>
          <w:noProof/>
          <w:color w:val="231F20"/>
          <w:sz w:val="24"/>
          <w:szCs w:val="24"/>
        </w:rPr>
      </w:pPr>
      <w:r>
        <w:rPr>
          <w:rFonts w:ascii="Times New Roman" w:hAnsi="Times New Roman"/>
          <w:color w:val="231F20"/>
          <w:sz w:val="24"/>
        </w:rPr>
        <w:t>v) saskaņā ar nefinanšu vienības rezidences jurisdikcijas piemērojamajiem tiesību aktiem vai nefinanšu vienības dibināšanas dokumentiem gadījumā, ja nefinanšu vienība tiek likvidēta vai beidz pastāvēt, visi tās aktīvi tiek sadalīti valdības iestādei vai citai bezpeļņas organizācijai vai pāriet nefinanšu vienības rezidences jurisdikcijas vai kāda tās administratīvi teritoriālā veidojuma valdības īpašumā.</w:t>
      </w:r>
    </w:p>
    <w:p w14:paraId="60D7EF55" w14:textId="6A019478" w:rsidR="00F54EB1" w:rsidRPr="004C20E3" w:rsidRDefault="004C20E3" w:rsidP="00CB441B">
      <w:pPr>
        <w:tabs>
          <w:tab w:val="left" w:pos="616"/>
          <w:tab w:val="left" w:pos="618"/>
        </w:tabs>
        <w:spacing w:before="120"/>
        <w:ind w:left="284" w:hanging="284"/>
        <w:jc w:val="both"/>
        <w:rPr>
          <w:rFonts w:ascii="Times New Roman" w:hAnsi="Times New Roman" w:cs="Times New Roman"/>
          <w:noProof/>
          <w:color w:val="231F20"/>
          <w:sz w:val="24"/>
          <w:szCs w:val="24"/>
        </w:rPr>
      </w:pPr>
      <w:r>
        <w:rPr>
          <w:rFonts w:ascii="Times New Roman" w:hAnsi="Times New Roman"/>
          <w:sz w:val="24"/>
        </w:rPr>
        <w:t xml:space="preserve">E. </w:t>
      </w:r>
      <w:r>
        <w:rPr>
          <w:rFonts w:ascii="Times New Roman" w:hAnsi="Times New Roman"/>
          <w:b/>
          <w:sz w:val="24"/>
        </w:rPr>
        <w:t>Dažādi</w:t>
      </w:r>
    </w:p>
    <w:p w14:paraId="565C0CC5" w14:textId="07F117D4" w:rsidR="00F02FF0" w:rsidRPr="004C20E3" w:rsidRDefault="004C20E3"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1. </w:t>
      </w:r>
      <w:r>
        <w:rPr>
          <w:rFonts w:ascii="Times New Roman" w:hAnsi="Times New Roman"/>
          <w:b/>
          <w:bCs/>
          <w:color w:val="231F20"/>
          <w:sz w:val="24"/>
        </w:rPr>
        <w:t>“Konta turētājs”</w:t>
      </w:r>
      <w:r>
        <w:rPr>
          <w:rFonts w:ascii="Times New Roman" w:hAnsi="Times New Roman"/>
          <w:color w:val="231F20"/>
          <w:sz w:val="24"/>
        </w:rPr>
        <w:t xml:space="preserve"> ir persona, ko finanšu iestāde, kura uztur kontu, iekļāvusi sarakstā vai norādījusi kā finanšu konta turētāju. Persona, kas nav finanšu iestāde un kas tur finanšu kontu citas personas labā kā aģents, turētājs, nominālais finanšu aktīvu turētājs, parakstītājs, ieguldījumu konsultants vai starpnieks, Kopējā ziņošanas standarta vajadzībām netiek uzskatīta par konta turētāju, un par konta turētāju tiek uzskatīta šāda otra persona. Apdrošināšanas līguma ar naudas vērtību vai anuitātes līguma gadījumā konta turētājs ir jebkura persona, kurai ir tiesības piekļūt naudas vērtībai vai mainīt līguma labuma guvēju. Ja neviena persona nevar piekļūt naudas vērtībai vai mainīt </w:t>
      </w:r>
      <w:r>
        <w:rPr>
          <w:rFonts w:ascii="Times New Roman" w:hAnsi="Times New Roman"/>
          <w:color w:val="231F20"/>
          <w:sz w:val="24"/>
        </w:rPr>
        <w:lastRenderedPageBreak/>
        <w:t>labuma guvēju, tad konta turētājs ir jebkura persona, kura norādīta līgumā kā īpašnieks, un jebkura persona, kurai ir tiesības saņemt maksājumu saskaņā ar līguma noteikumiem. Pēc apdrošināšanas līguma ar naudas vērtību vai anuitātes līguma termiņa beigām par konta turētāju tiek uzskatīta katra persona, kura ir tiesīga saņemt maksājumu saskaņā ar līgumu.</w:t>
      </w:r>
    </w:p>
    <w:p w14:paraId="2462CB4B" w14:textId="228E7969" w:rsidR="00F02FF0" w:rsidRPr="004C20E3" w:rsidRDefault="004C20E3"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2. </w:t>
      </w:r>
      <w:r>
        <w:rPr>
          <w:rFonts w:ascii="Times New Roman" w:hAnsi="Times New Roman"/>
          <w:b/>
          <w:bCs/>
          <w:color w:val="231F20"/>
          <w:sz w:val="24"/>
        </w:rPr>
        <w:t>“</w:t>
      </w:r>
      <w:r>
        <w:rPr>
          <w:rFonts w:ascii="Times New Roman" w:hAnsi="Times New Roman"/>
          <w:b/>
          <w:bCs/>
          <w:i/>
          <w:iCs/>
          <w:color w:val="231F20"/>
          <w:sz w:val="24"/>
        </w:rPr>
        <w:t>AML</w:t>
      </w:r>
      <w:r>
        <w:rPr>
          <w:rFonts w:ascii="Times New Roman" w:hAnsi="Times New Roman"/>
          <w:b/>
          <w:bCs/>
          <w:color w:val="231F20"/>
          <w:sz w:val="24"/>
        </w:rPr>
        <w:t>/</w:t>
      </w:r>
      <w:r>
        <w:rPr>
          <w:rFonts w:ascii="Times New Roman" w:hAnsi="Times New Roman"/>
          <w:b/>
          <w:bCs/>
          <w:i/>
          <w:iCs/>
          <w:color w:val="231F20"/>
          <w:sz w:val="24"/>
        </w:rPr>
        <w:t>KYC</w:t>
      </w:r>
      <w:r>
        <w:rPr>
          <w:rFonts w:ascii="Times New Roman" w:hAnsi="Times New Roman"/>
          <w:color w:val="231F20"/>
          <w:sz w:val="24"/>
        </w:rPr>
        <w:t xml:space="preserve"> </w:t>
      </w:r>
      <w:r>
        <w:rPr>
          <w:rFonts w:ascii="Times New Roman" w:hAnsi="Times New Roman"/>
          <w:b/>
          <w:bCs/>
          <w:color w:val="231F20"/>
          <w:sz w:val="24"/>
        </w:rPr>
        <w:t>procedūras”</w:t>
      </w:r>
      <w:r>
        <w:rPr>
          <w:rFonts w:ascii="Times New Roman" w:hAnsi="Times New Roman"/>
          <w:color w:val="231F20"/>
          <w:sz w:val="24"/>
        </w:rPr>
        <w:t xml:space="preserve"> ir klientu pienācīgas pārbaudes procedūras, kuras finanšu iestāde, kas sniedz ziņojumus, veic saskaņā ar prasībām par noziedzīgi iegūtu līdzekļu legalizācijas novēršanu vai līdzīgām prasībām, kuras jāievēro finanšu iestādei, kas sniedz ziņojumus.</w:t>
      </w:r>
    </w:p>
    <w:p w14:paraId="7D1DBB08" w14:textId="770126FC" w:rsidR="00F02FF0" w:rsidRPr="004C20E3" w:rsidRDefault="004C20E3"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3. </w:t>
      </w:r>
      <w:r>
        <w:rPr>
          <w:rFonts w:ascii="Times New Roman" w:hAnsi="Times New Roman"/>
          <w:b/>
          <w:bCs/>
          <w:color w:val="231F20"/>
          <w:sz w:val="24"/>
        </w:rPr>
        <w:t>“Vienība”</w:t>
      </w:r>
      <w:r>
        <w:rPr>
          <w:rFonts w:ascii="Times New Roman" w:hAnsi="Times New Roman"/>
          <w:color w:val="231F20"/>
          <w:sz w:val="24"/>
        </w:rPr>
        <w:t xml:space="preserve"> ir juridiska persona vai juridisks veidojums, piemēram, sabiedrība, personālsabiedrība, trasts vai fonds.</w:t>
      </w:r>
    </w:p>
    <w:p w14:paraId="789D2A59" w14:textId="249F8706" w:rsidR="00F02FF0" w:rsidRPr="004C20E3" w:rsidRDefault="004C20E3"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4. Vienība ir citas vienības </w:t>
      </w:r>
      <w:r>
        <w:rPr>
          <w:rFonts w:ascii="Times New Roman" w:hAnsi="Times New Roman"/>
          <w:b/>
          <w:bCs/>
          <w:color w:val="231F20"/>
          <w:sz w:val="24"/>
        </w:rPr>
        <w:t>“saistītā vienība”</w:t>
      </w:r>
      <w:r>
        <w:rPr>
          <w:rFonts w:ascii="Times New Roman" w:hAnsi="Times New Roman"/>
          <w:color w:val="231F20"/>
          <w:sz w:val="24"/>
        </w:rPr>
        <w:t>, ja viena vienība kontrolē otru vienību vai ja abas vienības tiek kontrolētas kopīgi. Šajā nolūkā kontrole nozīmē tiešas vai netiešas īpašumtiesības uz vairāk nekā 50 % no vienības balsstiesībām vai vērtības.</w:t>
      </w:r>
    </w:p>
    <w:p w14:paraId="406E8FB1" w14:textId="7AC37DC9" w:rsidR="00F02FF0" w:rsidRPr="004C20E3" w:rsidRDefault="004C20E3" w:rsidP="00CB441B">
      <w:pPr>
        <w:tabs>
          <w:tab w:val="left" w:pos="1884"/>
          <w:tab w:val="left" w:pos="1886"/>
        </w:tabs>
        <w:spacing w:before="120"/>
        <w:ind w:left="567" w:hanging="284"/>
        <w:jc w:val="both"/>
        <w:rPr>
          <w:rFonts w:ascii="Times New Roman" w:hAnsi="Times New Roman" w:cs="Times New Roman"/>
          <w:noProof/>
          <w:sz w:val="24"/>
          <w:szCs w:val="24"/>
        </w:rPr>
      </w:pPr>
      <w:r>
        <w:rPr>
          <w:rFonts w:ascii="Times New Roman" w:hAnsi="Times New Roman"/>
          <w:color w:val="231F20"/>
          <w:sz w:val="24"/>
        </w:rPr>
        <w:t xml:space="preserve">5. </w:t>
      </w:r>
      <w:r>
        <w:rPr>
          <w:rFonts w:ascii="Times New Roman" w:hAnsi="Times New Roman"/>
          <w:b/>
          <w:bCs/>
          <w:color w:val="231F20"/>
          <w:sz w:val="24"/>
        </w:rPr>
        <w:t>“</w:t>
      </w:r>
      <w:r>
        <w:rPr>
          <w:rFonts w:ascii="Times New Roman" w:hAnsi="Times New Roman"/>
          <w:b/>
          <w:bCs/>
          <w:i/>
          <w:iCs/>
          <w:color w:val="231F20"/>
          <w:sz w:val="24"/>
        </w:rPr>
        <w:t>TIN</w:t>
      </w:r>
      <w:r>
        <w:rPr>
          <w:rFonts w:ascii="Times New Roman" w:hAnsi="Times New Roman"/>
          <w:b/>
          <w:bCs/>
          <w:color w:val="231F20"/>
          <w:sz w:val="24"/>
        </w:rPr>
        <w:t>”</w:t>
      </w:r>
      <w:r>
        <w:rPr>
          <w:rFonts w:ascii="Times New Roman" w:hAnsi="Times New Roman"/>
          <w:color w:val="231F20"/>
          <w:sz w:val="24"/>
        </w:rPr>
        <w:t xml:space="preserve"> ir nodokļu maksātāja identifikācijas numurs (vai tā funkcionāls ekvivalents tad, ja nav nodokļu maksātāja identifikācijas numura).</w:t>
      </w:r>
    </w:p>
    <w:p w14:paraId="6C8B60C6" w14:textId="5B8784D2" w:rsidR="00F02FF0" w:rsidRPr="004C20E3" w:rsidRDefault="004C20E3" w:rsidP="00CB441B">
      <w:pPr>
        <w:tabs>
          <w:tab w:val="left" w:pos="1884"/>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6. </w:t>
      </w:r>
      <w:r>
        <w:rPr>
          <w:rFonts w:ascii="Times New Roman" w:hAnsi="Times New Roman"/>
          <w:b/>
          <w:bCs/>
          <w:color w:val="231F20"/>
          <w:sz w:val="24"/>
        </w:rPr>
        <w:t>“Dokumentāri pierādījumi”</w:t>
      </w:r>
      <w:r>
        <w:rPr>
          <w:rFonts w:ascii="Times New Roman" w:hAnsi="Times New Roman"/>
          <w:color w:val="231F20"/>
          <w:sz w:val="24"/>
        </w:rPr>
        <w:t xml:space="preserve"> ir kāds no šiem dokumentiem:</w:t>
      </w:r>
    </w:p>
    <w:p w14:paraId="5CC70035" w14:textId="4532A8FB" w:rsidR="00F02FF0" w:rsidRPr="004C20E3" w:rsidRDefault="004C20E3"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a) apliecība par rezidenta statusu, ko izdevusi tās jurisdikcijas pilnvarota pārvaldes struktūra (piemēram, valdība vai tās iestāde, vai pašvaldība), kurā pēc maksājumu saņēmēja apgalvojuma tas ir rezidents;</w:t>
      </w:r>
    </w:p>
    <w:p w14:paraId="595FC83F" w14:textId="1C1213AA" w:rsidR="00F02FF0" w:rsidRPr="004C20E3" w:rsidRDefault="004C20E3"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b) privātpersonas gadījumā – derīga identifikācijas apliecība, ko izdevusi pilnvarota pārvaldes struktūra (piemēram, valdība vai tās iestāde, vai pašvaldība), kurā norādīts personas vārds un uzvārds un kuru parasti izmanto personas identificēšanai;</w:t>
      </w:r>
    </w:p>
    <w:p w14:paraId="4A91EE4E" w14:textId="29AD9ADF" w:rsidR="00F02FF0" w:rsidRPr="004C20E3" w:rsidRDefault="004C20E3" w:rsidP="00CB441B">
      <w:pPr>
        <w:tabs>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c) vienības gadījumā – jebkurš oficiāls dokuments, ko izdevusi pilnvarota pārvaldes struktūra (piemēram, valdība vai tās iestāde, vai pašvaldība), kurā norādīts vienības nosaukums un vai nu tās galvenā biroja adrese jurisdikcijā, kurā pēc vienības apgalvojuma tā ir rezidents, vai jurisdikcija, kurā vienība ir reģistrēta vai izveidota;</w:t>
      </w:r>
    </w:p>
    <w:p w14:paraId="5B7002DF" w14:textId="113CB139" w:rsidR="00F02FF0" w:rsidRPr="004C20E3" w:rsidRDefault="004C20E3" w:rsidP="00CB441B">
      <w:pPr>
        <w:tabs>
          <w:tab w:val="left" w:pos="2244"/>
          <w:tab w:val="left" w:pos="224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d) jebkāds revidēts finanšu pārskats, trešo personu sniegts kredītziņojums, bankrota pieteikums vai vērtspapīru regulatora ziņojums.</w:t>
      </w:r>
    </w:p>
    <w:p w14:paraId="732B0B5C" w14:textId="38DE437F" w:rsidR="00F02FF0" w:rsidRPr="0058783E" w:rsidRDefault="004C20E3" w:rsidP="00CB441B">
      <w:pPr>
        <w:tabs>
          <w:tab w:val="left" w:pos="1665"/>
          <w:tab w:val="left" w:pos="1925"/>
        </w:tabs>
        <w:spacing w:before="120"/>
        <w:ind w:left="567" w:hanging="284"/>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 xml:space="preserve">7. </w:t>
      </w:r>
      <w:r>
        <w:rPr>
          <w:rFonts w:ascii="Times New Roman" w:hAnsi="Times New Roman"/>
          <w:b/>
          <w:bCs/>
          <w:i/>
          <w:color w:val="231F20"/>
          <w:sz w:val="24"/>
          <w:u w:val="single"/>
        </w:rPr>
        <w:t>“Valdības verifikācijas pakalpojums”</w:t>
      </w:r>
      <w:r>
        <w:rPr>
          <w:rFonts w:ascii="Times New Roman" w:hAnsi="Times New Roman"/>
          <w:b/>
          <w:i/>
          <w:color w:val="231F20"/>
          <w:sz w:val="24"/>
          <w:u w:val="single"/>
        </w:rPr>
        <w:t xml:space="preserve"> ir elektronisks process, ko jurisdikcija, par kuru jāsniedz ziņojums, dara pieejamu finanšu iestādei, kas sniedz ziņojumus, lai pārliecinātos par konta turētāja vai kontrolējošās personas identitāti un rezidenci nodokļu vajadzībām.</w:t>
      </w:r>
    </w:p>
    <w:p w14:paraId="555FCD45" w14:textId="77777777" w:rsidR="00F02FF0" w:rsidRPr="004C20E3" w:rsidRDefault="00F02FF0" w:rsidP="00CB441B">
      <w:pPr>
        <w:pStyle w:val="BodyText"/>
        <w:spacing w:before="120"/>
        <w:rPr>
          <w:rFonts w:ascii="Times New Roman" w:hAnsi="Times New Roman" w:cs="Times New Roman"/>
          <w:b/>
          <w:i/>
          <w:noProof/>
          <w:sz w:val="24"/>
          <w:szCs w:val="24"/>
        </w:rPr>
      </w:pPr>
    </w:p>
    <w:p w14:paraId="5752ABDA" w14:textId="085C9E38" w:rsidR="00F02FF0" w:rsidRPr="0036353A" w:rsidRDefault="00F02FF0" w:rsidP="00CB441B">
      <w:pPr>
        <w:pStyle w:val="Heading5"/>
        <w:spacing w:before="120"/>
        <w:ind w:left="0"/>
        <w:jc w:val="both"/>
        <w:rPr>
          <w:rFonts w:ascii="Times New Roman" w:hAnsi="Times New Roman" w:cs="Times New Roman"/>
          <w:noProof/>
          <w:color w:val="4E81BD"/>
          <w:sz w:val="28"/>
          <w:szCs w:val="28"/>
        </w:rPr>
      </w:pPr>
      <w:bookmarkStart w:id="33" w:name="Section_IX:_Effective_Implementation"/>
      <w:bookmarkStart w:id="34" w:name="_bookmark10"/>
      <w:bookmarkEnd w:id="33"/>
      <w:bookmarkEnd w:id="34"/>
      <w:r>
        <w:rPr>
          <w:rFonts w:ascii="Times New Roman" w:hAnsi="Times New Roman"/>
          <w:color w:val="4E81BD"/>
          <w:sz w:val="28"/>
        </w:rPr>
        <w:t>IX pants. Efektīva īstenošana</w:t>
      </w:r>
    </w:p>
    <w:p w14:paraId="6C6AFD2F" w14:textId="5E3E746A" w:rsidR="00F02FF0" w:rsidRPr="004C20E3" w:rsidRDefault="004C20E3" w:rsidP="00CB441B">
      <w:pPr>
        <w:tabs>
          <w:tab w:val="left" w:pos="941"/>
          <w:tab w:val="left" w:pos="943"/>
        </w:tabs>
        <w:spacing w:before="240"/>
        <w:ind w:left="284" w:hanging="284"/>
        <w:jc w:val="both"/>
        <w:rPr>
          <w:rFonts w:ascii="Times New Roman" w:hAnsi="Times New Roman" w:cs="Times New Roman"/>
          <w:noProof/>
          <w:color w:val="231F20"/>
          <w:sz w:val="24"/>
          <w:szCs w:val="24"/>
        </w:rPr>
      </w:pPr>
      <w:r>
        <w:rPr>
          <w:rFonts w:ascii="Times New Roman" w:hAnsi="Times New Roman"/>
          <w:color w:val="231F20"/>
          <w:sz w:val="24"/>
        </w:rPr>
        <w:t>A. Jurisdikcijā jābūt spēkā noteikumiem un administratīvām procedūrām, lai nodrošinātu iepriekš izklāstīto ziņojumu sniegšanas un pienācīgas pārbaudes procedūru efektīvu īstenošanu un atbilstību tām, tostarp:</w:t>
      </w:r>
    </w:p>
    <w:p w14:paraId="5F7FF267" w14:textId="2C65F9DE" w:rsidR="00F02FF0" w:rsidRPr="004C20E3" w:rsidRDefault="004C20E3" w:rsidP="00CB441B">
      <w:pPr>
        <w:tabs>
          <w:tab w:val="left" w:pos="1883"/>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1) noteikumiem, lai novērstu, ka finanšu iestādes, personas vai starpnieki īsteno praksi, ar kuru tiek apietas ziņojumu sniegšanas un pienācīgas pārbaudes procedūras;</w:t>
      </w:r>
    </w:p>
    <w:p w14:paraId="4A833CD9" w14:textId="7A57CBBC" w:rsidR="00F02FF0" w:rsidRPr="004C20E3" w:rsidRDefault="004C20E3"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2) noteikumiem, saskaņā ar kuriem finanšu iestādēm, kas sniedz ziņojumus, ir jāreģistrē informācija par iepriekš minēto procedūru īstenošanas pasākumiem un jebkādiem procedūrās izmantotajiem pierādījumiem, kā arī jābūt atbilstīgiem līdzekļiem šādas informācijas iegūšanai;</w:t>
      </w:r>
    </w:p>
    <w:p w14:paraId="27C22C19" w14:textId="7ADE55D6" w:rsidR="00F02FF0" w:rsidRPr="004C20E3" w:rsidRDefault="004C20E3"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3) administratīvām procedūrām, lai pārbaudītu finanšu iestādes, kas sniedz ziņojumus, atbilstību ziņojumu sniegšanas un pienācīgas pārbaudes procedūrām; administratīvām procedūrāms turpmāku pasākumu veikšanai ar finanšu iestādi, kas sniedz ziņojumus, gadījumā, ja tiek sniegti ziņojumi par nedokumentētiem kontiem;</w:t>
      </w:r>
    </w:p>
    <w:p w14:paraId="5F2277B3" w14:textId="035C7739" w:rsidR="00F02FF0" w:rsidRPr="004C20E3" w:rsidRDefault="004C20E3" w:rsidP="00CB441B">
      <w:pPr>
        <w:tabs>
          <w:tab w:val="left" w:pos="1884"/>
          <w:tab w:val="left" w:pos="1886"/>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4) administratīvām procedūrām, lai nodrošinātu, ka vienības un konti, kas valsts tiesību aktos noteikti kā finanšu iestādes, kas nesniedz ziņojumus, un izslēgtie konti arī turpmāk saglabātu zemu risku, ka tos varētu izmantot, lai izvairītos no nodokļu maksāšanas, un</w:t>
      </w:r>
    </w:p>
    <w:p w14:paraId="4856E5D8" w14:textId="07B25500" w:rsidR="00F02FF0" w:rsidRPr="004C20E3" w:rsidRDefault="004C20E3" w:rsidP="00CB441B">
      <w:pPr>
        <w:tabs>
          <w:tab w:val="left" w:pos="1885"/>
        </w:tabs>
        <w:spacing w:before="120"/>
        <w:ind w:left="567" w:hanging="284"/>
        <w:jc w:val="both"/>
        <w:rPr>
          <w:rFonts w:ascii="Times New Roman" w:hAnsi="Times New Roman" w:cs="Times New Roman"/>
          <w:noProof/>
          <w:color w:val="231F20"/>
          <w:sz w:val="24"/>
          <w:szCs w:val="24"/>
        </w:rPr>
      </w:pPr>
      <w:r>
        <w:rPr>
          <w:rFonts w:ascii="Times New Roman" w:hAnsi="Times New Roman"/>
          <w:b/>
          <w:i/>
          <w:color w:val="231F20"/>
          <w:sz w:val="24"/>
        </w:rPr>
        <w:t>5)</w:t>
      </w:r>
      <w:r>
        <w:rPr>
          <w:rFonts w:ascii="Times New Roman" w:hAnsi="Times New Roman"/>
          <w:color w:val="231F20"/>
          <w:sz w:val="24"/>
        </w:rPr>
        <w:t xml:space="preserve"> efektīviem izpildes noteikumiem noteikumu neievērošanas gadījumā.</w:t>
      </w:r>
    </w:p>
    <w:p w14:paraId="48BC64D0" w14:textId="77777777" w:rsidR="00F02FF0" w:rsidRPr="004C20E3" w:rsidRDefault="00F02FF0" w:rsidP="00CB441B">
      <w:pPr>
        <w:pStyle w:val="BodyText"/>
        <w:spacing w:before="120"/>
        <w:rPr>
          <w:rFonts w:ascii="Times New Roman" w:hAnsi="Times New Roman" w:cs="Times New Roman"/>
          <w:noProof/>
          <w:sz w:val="24"/>
          <w:szCs w:val="24"/>
        </w:rPr>
      </w:pPr>
    </w:p>
    <w:p w14:paraId="4FF2BD76" w14:textId="77777777" w:rsidR="00F02FF0" w:rsidRPr="0036353A" w:rsidRDefault="00F02FF0" w:rsidP="00CB441B">
      <w:pPr>
        <w:pStyle w:val="Heading6"/>
        <w:spacing w:before="120"/>
        <w:ind w:left="0"/>
        <w:jc w:val="both"/>
        <w:rPr>
          <w:rFonts w:ascii="Times New Roman" w:hAnsi="Times New Roman" w:cs="Times New Roman"/>
          <w:noProof/>
          <w:color w:val="4E81BD"/>
          <w:sz w:val="28"/>
          <w:szCs w:val="28"/>
          <w:u w:val="thick" w:color="4E81BD"/>
        </w:rPr>
      </w:pPr>
      <w:bookmarkStart w:id="35" w:name="Section_X:_Transitional_Measures"/>
      <w:bookmarkStart w:id="36" w:name="_bookmark11"/>
      <w:bookmarkEnd w:id="35"/>
      <w:bookmarkEnd w:id="36"/>
      <w:r>
        <w:rPr>
          <w:rFonts w:ascii="Times New Roman" w:hAnsi="Times New Roman"/>
          <w:color w:val="4E81BD"/>
          <w:sz w:val="28"/>
          <w:u w:val="thick" w:color="4E81BD"/>
        </w:rPr>
        <w:t>X pants. Pārejas pasākumi</w:t>
      </w:r>
    </w:p>
    <w:p w14:paraId="7C3576EC" w14:textId="0703CFCA" w:rsidR="00F02FF0" w:rsidRPr="004C20E3" w:rsidRDefault="004C20E3" w:rsidP="00CB441B">
      <w:pPr>
        <w:tabs>
          <w:tab w:val="left" w:pos="931"/>
        </w:tabs>
        <w:spacing w:before="240"/>
        <w:ind w:left="284" w:hanging="284"/>
        <w:jc w:val="both"/>
        <w:rPr>
          <w:rFonts w:ascii="Times New Roman" w:hAnsi="Times New Roman" w:cs="Times New Roman"/>
          <w:b/>
          <w:i/>
          <w:noProof/>
          <w:color w:val="231F20"/>
          <w:sz w:val="24"/>
          <w:szCs w:val="24"/>
          <w:u w:val="thick" w:color="231F20"/>
        </w:rPr>
      </w:pPr>
      <w:r>
        <w:rPr>
          <w:rFonts w:ascii="Times New Roman" w:hAnsi="Times New Roman"/>
          <w:b/>
          <w:i/>
          <w:color w:val="231F20"/>
          <w:sz w:val="24"/>
        </w:rPr>
        <w:t xml:space="preserve">A. </w:t>
      </w:r>
      <w:r>
        <w:rPr>
          <w:rFonts w:ascii="Times New Roman" w:hAnsi="Times New Roman"/>
          <w:b/>
          <w:i/>
          <w:color w:val="231F20"/>
          <w:sz w:val="24"/>
          <w:u w:val="single"/>
        </w:rPr>
        <w:t>Kopējā ziņošanas standarta grozījumi stājas spēkā [pārskatītā CRS spēkā stāšanās datums].</w:t>
      </w:r>
    </w:p>
    <w:p w14:paraId="53C17809" w14:textId="3D184D73" w:rsidR="00F02FF0" w:rsidRPr="004C20E3" w:rsidRDefault="004C20E3" w:rsidP="00CB441B">
      <w:pPr>
        <w:tabs>
          <w:tab w:val="left" w:pos="931"/>
        </w:tabs>
        <w:spacing w:before="120"/>
        <w:ind w:left="284" w:hanging="284"/>
        <w:jc w:val="both"/>
        <w:rPr>
          <w:rFonts w:ascii="Times New Roman" w:hAnsi="Times New Roman" w:cs="Times New Roman"/>
          <w:b/>
          <w:i/>
          <w:noProof/>
          <w:color w:val="231F20"/>
          <w:sz w:val="24"/>
          <w:szCs w:val="24"/>
          <w:u w:val="thick" w:color="231F20"/>
        </w:rPr>
      </w:pPr>
      <w:r>
        <w:rPr>
          <w:rFonts w:ascii="Times New Roman" w:hAnsi="Times New Roman"/>
          <w:b/>
          <w:i/>
          <w:color w:val="231F20"/>
          <w:sz w:val="24"/>
        </w:rPr>
        <w:t xml:space="preserve">B. </w:t>
      </w:r>
      <w:r>
        <w:rPr>
          <w:rFonts w:ascii="Times New Roman" w:hAnsi="Times New Roman"/>
          <w:b/>
          <w:i/>
          <w:iCs/>
          <w:color w:val="231F20"/>
          <w:sz w:val="24"/>
          <w:u w:val="single"/>
        </w:rPr>
        <w:t>Neatkarīgi no A punkta saskaņā ar I panta A punkta 1. apakšpunkta b) daļu un 6.bis) apakšpunktu attiecībā uz kontu, par kuru jāsniedz ziņojums un kuru finanšu iestāde, kas sniedz ziņojumus, uzturējusi [pārskatītā CRS spēkā stāšanās datums mīnus viena diena], un attiecībā uz pārskata periodiem, kas beidzas līdz tā otra kalendārā gada beigām, kas ir pēc šīs spēkā stāšanās dienas, informācija par lomu(-ām), uz kuras(-u) pamata persona, par ko jāsniedz ziņojums, ir vienību kontrolējošā persona vai vienība, kura ir vienības līdzdalības daļu turētāja, ir jāsniedz tikai tad, ja šī informācija ir pieejama elektroniski uzmeklējamos datos, kurus uztur finanšu iestāde, kas sniedz ziņojumus.</w:t>
      </w:r>
    </w:p>
    <w:p w14:paraId="472AF3AE" w14:textId="77777777" w:rsidR="004C20E3" w:rsidRPr="004C20E3" w:rsidRDefault="004C20E3" w:rsidP="00CB441B">
      <w:pPr>
        <w:spacing w:before="120"/>
        <w:jc w:val="both"/>
        <w:rPr>
          <w:rFonts w:ascii="Times New Roman" w:hAnsi="Times New Roman" w:cs="Times New Roman"/>
          <w:b/>
          <w:bCs/>
          <w:noProof/>
          <w:color w:val="4E81BD"/>
          <w:sz w:val="24"/>
          <w:szCs w:val="24"/>
        </w:rPr>
      </w:pPr>
      <w:bookmarkStart w:id="37" w:name="Commentaries_on_the_Common_Reporting_Sta"/>
      <w:bookmarkStart w:id="38" w:name="_bookmark12"/>
      <w:bookmarkEnd w:id="37"/>
      <w:bookmarkEnd w:id="38"/>
      <w:r>
        <w:br w:type="page"/>
      </w:r>
    </w:p>
    <w:p w14:paraId="07B51271" w14:textId="0EE6CBF3" w:rsidR="00F02FF0" w:rsidRPr="00FD391F" w:rsidRDefault="00F02FF0" w:rsidP="00CB441B">
      <w:pPr>
        <w:pStyle w:val="Heading2"/>
        <w:spacing w:before="120"/>
        <w:ind w:left="0"/>
        <w:rPr>
          <w:rFonts w:ascii="Times New Roman" w:hAnsi="Times New Roman" w:cs="Times New Roman"/>
          <w:noProof/>
          <w:color w:val="4E81BD"/>
        </w:rPr>
      </w:pPr>
      <w:bookmarkStart w:id="39" w:name="_Toc241827493"/>
      <w:r>
        <w:rPr>
          <w:rFonts w:ascii="Times New Roman" w:hAnsi="Times New Roman"/>
          <w:color w:val="4E81BD"/>
        </w:rPr>
        <w:lastRenderedPageBreak/>
        <w:t>Komentāri par Kopējo ziņošanas standartu</w:t>
      </w:r>
      <w:bookmarkEnd w:id="39"/>
    </w:p>
    <w:p w14:paraId="489125C8" w14:textId="77777777" w:rsidR="00F02FF0" w:rsidRPr="0094454A" w:rsidRDefault="00F02FF0" w:rsidP="00CB441B">
      <w:pPr>
        <w:pStyle w:val="BodyText"/>
        <w:spacing w:before="120"/>
        <w:jc w:val="left"/>
        <w:rPr>
          <w:rFonts w:ascii="Times New Roman" w:hAnsi="Times New Roman" w:cs="Times New Roman"/>
          <w:b/>
          <w:noProof/>
          <w:sz w:val="56"/>
          <w:szCs w:val="56"/>
        </w:rPr>
      </w:pPr>
    </w:p>
    <w:p w14:paraId="0A3D5FFE" w14:textId="77777777" w:rsidR="00F02FF0" w:rsidRPr="0094454A" w:rsidRDefault="00F02FF0" w:rsidP="00CB441B">
      <w:pPr>
        <w:pStyle w:val="BodyText"/>
        <w:spacing w:before="120"/>
        <w:jc w:val="left"/>
        <w:rPr>
          <w:rFonts w:ascii="Times New Roman" w:hAnsi="Times New Roman" w:cs="Times New Roman"/>
          <w:b/>
          <w:noProof/>
          <w:sz w:val="56"/>
          <w:szCs w:val="56"/>
        </w:rPr>
      </w:pPr>
    </w:p>
    <w:p w14:paraId="6F9842B3" w14:textId="77777777" w:rsidR="00F02FF0" w:rsidRPr="0094454A" w:rsidRDefault="00F02FF0" w:rsidP="0094454A">
      <w:pPr>
        <w:pStyle w:val="Heading5"/>
        <w:spacing w:before="120"/>
        <w:ind w:left="0"/>
        <w:rPr>
          <w:rFonts w:ascii="Times New Roman" w:hAnsi="Times New Roman" w:cs="Times New Roman"/>
          <w:noProof/>
          <w:color w:val="4E81BD"/>
          <w:sz w:val="28"/>
          <w:szCs w:val="28"/>
        </w:rPr>
      </w:pPr>
      <w:bookmarkStart w:id="40" w:name="Introduction"/>
      <w:bookmarkEnd w:id="40"/>
      <w:r>
        <w:rPr>
          <w:rFonts w:ascii="Times New Roman" w:hAnsi="Times New Roman"/>
          <w:color w:val="4E81BD"/>
          <w:sz w:val="28"/>
        </w:rPr>
        <w:t>Ievads</w:t>
      </w:r>
    </w:p>
    <w:p w14:paraId="27058388" w14:textId="77777777" w:rsidR="00F02FF0" w:rsidRPr="0094454A" w:rsidRDefault="00F02FF0" w:rsidP="0094454A">
      <w:pPr>
        <w:pStyle w:val="BodyText"/>
        <w:spacing w:before="240"/>
        <w:rPr>
          <w:rFonts w:ascii="Times New Roman" w:hAnsi="Times New Roman" w:cs="Times New Roman"/>
          <w:noProof/>
          <w:color w:val="231F20"/>
          <w:sz w:val="24"/>
          <w:szCs w:val="24"/>
        </w:rPr>
      </w:pPr>
      <w:r>
        <w:rPr>
          <w:rFonts w:ascii="Times New Roman" w:hAnsi="Times New Roman"/>
          <w:i/>
          <w:iCs/>
          <w:color w:val="231F20"/>
          <w:sz w:val="24"/>
        </w:rPr>
        <w:t>CRS</w:t>
      </w:r>
      <w:r>
        <w:rPr>
          <w:rFonts w:ascii="Times New Roman" w:hAnsi="Times New Roman"/>
          <w:color w:val="231F20"/>
          <w:sz w:val="24"/>
        </w:rPr>
        <w:t xml:space="preserve"> ietverti finanšu konta informācijas automātiskas apmaiņas pamatā esošie ziņošanas un pienācīgas pārbaudes standarti. Jurisdikcijā, kura īsteno </w:t>
      </w:r>
      <w:r>
        <w:rPr>
          <w:rFonts w:ascii="Times New Roman" w:hAnsi="Times New Roman"/>
          <w:i/>
          <w:iCs/>
          <w:color w:val="231F20"/>
          <w:sz w:val="24"/>
        </w:rPr>
        <w:t>CRS</w:t>
      </w:r>
      <w:r>
        <w:rPr>
          <w:rFonts w:ascii="Times New Roman" w:hAnsi="Times New Roman"/>
          <w:color w:val="231F20"/>
          <w:sz w:val="24"/>
        </w:rPr>
        <w:t xml:space="preserve">, jābūt spēkā noteikumiem, kas nosaka, ka finanšu iestādēm jāsniedz informācija, kura atbilst I pantā noteiktajam ziņošanas tvērumam, un pienācīgas pārbaudes procedūrām, kas atbilst </w:t>
      </w:r>
      <w:r>
        <w:rPr>
          <w:rFonts w:ascii="Times New Roman" w:hAnsi="Times New Roman"/>
          <w:i/>
          <w:iCs/>
          <w:color w:val="231F20"/>
          <w:sz w:val="24"/>
        </w:rPr>
        <w:t>CRS</w:t>
      </w:r>
      <w:r>
        <w:rPr>
          <w:rFonts w:ascii="Times New Roman" w:hAnsi="Times New Roman"/>
          <w:color w:val="231F20"/>
          <w:sz w:val="24"/>
        </w:rPr>
        <w:t xml:space="preserve"> II–VII pantā noteiktajām procedūrām.</w:t>
      </w:r>
    </w:p>
    <w:p w14:paraId="1993B267" w14:textId="77777777" w:rsidR="00F02FF0" w:rsidRPr="0094454A" w:rsidRDefault="00F02FF0" w:rsidP="0094454A">
      <w:pPr>
        <w:pStyle w:val="BodyText"/>
        <w:spacing w:before="120"/>
        <w:rPr>
          <w:rFonts w:ascii="Times New Roman" w:hAnsi="Times New Roman" w:cs="Times New Roman"/>
          <w:noProof/>
          <w:color w:val="231F20"/>
          <w:sz w:val="24"/>
          <w:szCs w:val="24"/>
        </w:rPr>
      </w:pPr>
      <w:r>
        <w:rPr>
          <w:rFonts w:ascii="Times New Roman" w:hAnsi="Times New Roman"/>
          <w:i/>
          <w:iCs/>
          <w:color w:val="231F20"/>
          <w:sz w:val="24"/>
        </w:rPr>
        <w:t>CRS</w:t>
      </w:r>
      <w:r>
        <w:rPr>
          <w:rFonts w:ascii="Times New Roman" w:hAnsi="Times New Roman"/>
          <w:color w:val="231F20"/>
          <w:sz w:val="24"/>
        </w:rPr>
        <w:t xml:space="preserve"> izmantotie termini ir definēti VIII pantā. </w:t>
      </w:r>
      <w:r>
        <w:rPr>
          <w:rFonts w:ascii="Times New Roman" w:hAnsi="Times New Roman"/>
          <w:i/>
          <w:iCs/>
          <w:color w:val="231F20"/>
          <w:sz w:val="24"/>
        </w:rPr>
        <w:t>CRS</w:t>
      </w:r>
      <w:r>
        <w:rPr>
          <w:rFonts w:ascii="Times New Roman" w:hAnsi="Times New Roman"/>
          <w:color w:val="231F20"/>
          <w:sz w:val="24"/>
        </w:rPr>
        <w:t xml:space="preserve"> īstenojošā jurisdikcija var noteikt, ka to maksājumu summa un raksturojums, kas tiek veikti attiecībā uz kontu, par kuru jāsniedz ziņojums, jānosaka saskaņā ar šīs jurisdikcijas nodokļu tiesību aktu principiem.</w:t>
      </w:r>
    </w:p>
    <w:p w14:paraId="522FE385" w14:textId="77777777" w:rsidR="00F02FF0" w:rsidRPr="0094454A" w:rsidRDefault="00F02FF0" w:rsidP="0094454A">
      <w:pPr>
        <w:pStyle w:val="BodyText"/>
        <w:spacing w:before="120"/>
        <w:rPr>
          <w:rFonts w:ascii="Times New Roman" w:hAnsi="Times New Roman" w:cs="Times New Roman"/>
          <w:noProof/>
          <w:color w:val="231F20"/>
          <w:sz w:val="24"/>
          <w:szCs w:val="24"/>
        </w:rPr>
      </w:pPr>
      <w:r>
        <w:rPr>
          <w:rFonts w:ascii="Times New Roman" w:hAnsi="Times New Roman"/>
          <w:i/>
          <w:iCs/>
          <w:color w:val="231F20"/>
          <w:sz w:val="24"/>
        </w:rPr>
        <w:t>CRS</w:t>
      </w:r>
      <w:r>
        <w:rPr>
          <w:rFonts w:ascii="Times New Roman" w:hAnsi="Times New Roman"/>
          <w:color w:val="231F20"/>
          <w:sz w:val="24"/>
        </w:rPr>
        <w:t xml:space="preserve"> IX pantā izklāstīti noteikumi un administratīvās procedūras, kam ir jābūt spēkā jurisdikcijā, lai nodrošinātu </w:t>
      </w:r>
      <w:r>
        <w:rPr>
          <w:rFonts w:ascii="Times New Roman" w:hAnsi="Times New Roman"/>
          <w:i/>
          <w:iCs/>
          <w:color w:val="231F20"/>
          <w:sz w:val="24"/>
        </w:rPr>
        <w:t>CRS</w:t>
      </w:r>
      <w:r>
        <w:rPr>
          <w:rFonts w:ascii="Times New Roman" w:hAnsi="Times New Roman"/>
          <w:color w:val="231F20"/>
          <w:sz w:val="24"/>
        </w:rPr>
        <w:t xml:space="preserve"> efektīvu īstenošanu un atbilstību tam.</w:t>
      </w:r>
    </w:p>
    <w:p w14:paraId="10B6B985" w14:textId="77777777" w:rsidR="00F54EB1" w:rsidRPr="00FD391F" w:rsidRDefault="00F54EB1" w:rsidP="00CB441B">
      <w:pPr>
        <w:pStyle w:val="BodyText"/>
        <w:spacing w:before="120"/>
        <w:rPr>
          <w:rFonts w:ascii="Times New Roman" w:hAnsi="Times New Roman" w:cs="Times New Roman"/>
          <w:noProof/>
        </w:rPr>
      </w:pPr>
    </w:p>
    <w:p w14:paraId="415F292D" w14:textId="77777777" w:rsidR="0094454A" w:rsidRDefault="0094454A">
      <w:pPr>
        <w:rPr>
          <w:rFonts w:ascii="Times New Roman" w:hAnsi="Times New Roman" w:cs="Times New Roman"/>
          <w:b/>
          <w:bCs/>
          <w:noProof/>
          <w:color w:val="4E81BD"/>
          <w:sz w:val="56"/>
          <w:szCs w:val="56"/>
        </w:rPr>
      </w:pPr>
      <w:bookmarkStart w:id="41" w:name="Commentary_on_Section_I_concerning_Gener"/>
      <w:bookmarkStart w:id="42" w:name="_bookmark13"/>
      <w:bookmarkEnd w:id="41"/>
      <w:bookmarkEnd w:id="42"/>
      <w:r>
        <w:br w:type="page"/>
      </w:r>
    </w:p>
    <w:p w14:paraId="49F4C14F" w14:textId="04AECF9B" w:rsidR="00F02FF0" w:rsidRPr="00FD391F" w:rsidRDefault="00F02FF0" w:rsidP="0094454A">
      <w:pPr>
        <w:pStyle w:val="Heading2"/>
        <w:spacing w:before="120"/>
        <w:ind w:left="0"/>
        <w:rPr>
          <w:rFonts w:ascii="Times New Roman" w:hAnsi="Times New Roman" w:cs="Times New Roman"/>
          <w:noProof/>
          <w:color w:val="4E81BD"/>
        </w:rPr>
      </w:pPr>
      <w:bookmarkStart w:id="43" w:name="_Toc241827494"/>
      <w:r>
        <w:rPr>
          <w:rFonts w:ascii="Times New Roman" w:hAnsi="Times New Roman"/>
          <w:color w:val="4E81BD"/>
        </w:rPr>
        <w:lastRenderedPageBreak/>
        <w:t>Komentāri par I pantu – par ziņojumu sniegšanas vispārīgajām prasībām</w:t>
      </w:r>
      <w:bookmarkEnd w:id="43"/>
    </w:p>
    <w:p w14:paraId="4DA8CA17" w14:textId="77777777" w:rsidR="00F02FF0" w:rsidRPr="0094454A" w:rsidRDefault="00F02FF0" w:rsidP="00CB441B">
      <w:pPr>
        <w:pStyle w:val="BodyText"/>
        <w:spacing w:before="120"/>
        <w:jc w:val="left"/>
        <w:rPr>
          <w:rFonts w:ascii="Times New Roman" w:hAnsi="Times New Roman" w:cs="Times New Roman"/>
          <w:b/>
          <w:noProof/>
          <w:sz w:val="56"/>
          <w:szCs w:val="56"/>
        </w:rPr>
      </w:pPr>
    </w:p>
    <w:p w14:paraId="5F5DBEC1" w14:textId="77777777" w:rsidR="00F02FF0" w:rsidRPr="0094454A" w:rsidRDefault="00F02FF0" w:rsidP="00CB441B">
      <w:pPr>
        <w:pStyle w:val="BodyText"/>
        <w:spacing w:before="120"/>
        <w:jc w:val="left"/>
        <w:rPr>
          <w:rFonts w:ascii="Times New Roman" w:hAnsi="Times New Roman" w:cs="Times New Roman"/>
          <w:b/>
          <w:noProof/>
          <w:sz w:val="56"/>
          <w:szCs w:val="56"/>
        </w:rPr>
      </w:pPr>
    </w:p>
    <w:p w14:paraId="0414A5F9" w14:textId="3F8A318E" w:rsidR="00F02FF0" w:rsidRPr="00774B72" w:rsidRDefault="0094454A" w:rsidP="00EC4A2A">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1. Šajā pantā iekļautas ziņojumu sniegšanas vispārīgās prasības, kuras piemērojamas finanšu iestādēm, kas sniedz ziņojumus. A un B punktos noteikta informācija, kas parasti jāsniedz, savukārt C–F punktā noteikta virkne izņēmumu saistībā ar </w:t>
      </w:r>
      <w:r>
        <w:rPr>
          <w:rFonts w:ascii="Times New Roman" w:hAnsi="Times New Roman"/>
          <w:i/>
          <w:iCs/>
          <w:sz w:val="24"/>
        </w:rPr>
        <w:t>TIN</w:t>
      </w:r>
      <w:r>
        <w:rPr>
          <w:rFonts w:ascii="Times New Roman" w:hAnsi="Times New Roman"/>
          <w:sz w:val="24"/>
        </w:rPr>
        <w:t>, dzimšanas datumu, dzimšanas vietu un bruto ieņēmumiem. Kompetento iestāžu nolīguma parauga 2. panta 1. punktā noteikts, ka informācijas apmaiņā sniedzama informācija, kas ir jāpaziņo saskaņā ar Kopējā ziņošanas standarta ziņošanas un pienācīgas pārbaudes procedūrām, ievērojot I panta C–F punktā noteiktos izņēmumus.</w:t>
      </w:r>
    </w:p>
    <w:p w14:paraId="272FEF64" w14:textId="4F8C46C6" w:rsidR="00F02FF0" w:rsidRPr="00774B72" w:rsidRDefault="0094454A" w:rsidP="00EC4A2A">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 Finanšu iestādes, kas sniedz ziņojumus, parasti informē konta turētājus (piemēram, veicot izmaiņas noteikumos) par to, ka informācija par to kontiem tiks paziņota un var tikt sniegta informācijas apmaiņā citām jurisdikcijām, ja šie konti ir konti, par kuriem jāsniedz ziņojums. Dažās jurisdikcijās finanšu iestādēm, kas sniedz ziņojumus, to var nākties darīt saskaņā ar to jurisdikcijas privātuma un informācijas atklāšanas noteikumiem. Finanšu iestādēm, kas sniedz ziņojumus, būtu jāievēro šādi noteikumi šajā saistībā (piemēram, pēc pieprasījuma sniedzot konta turētājiem sniegtās informācijas kopiju).</w:t>
      </w:r>
    </w:p>
    <w:p w14:paraId="0B46B39F" w14:textId="77777777" w:rsidR="00F02FF0" w:rsidRPr="00774B72" w:rsidRDefault="00F02FF0" w:rsidP="00F85495">
      <w:pPr>
        <w:pStyle w:val="Heading7"/>
        <w:spacing w:before="120"/>
        <w:ind w:left="709" w:hanging="284"/>
        <w:jc w:val="both"/>
        <w:rPr>
          <w:rFonts w:ascii="Times New Roman" w:hAnsi="Times New Roman" w:cs="Times New Roman"/>
          <w:noProof/>
          <w:sz w:val="24"/>
          <w:szCs w:val="24"/>
          <w:u w:val="single"/>
        </w:rPr>
      </w:pPr>
      <w:bookmarkStart w:id="44" w:name="Paragraph_A_–_Information_to_be_reported"/>
      <w:bookmarkEnd w:id="44"/>
      <w:r>
        <w:rPr>
          <w:rFonts w:ascii="Times New Roman" w:hAnsi="Times New Roman"/>
          <w:sz w:val="24"/>
          <w:u w:val="single"/>
        </w:rPr>
        <w:t>A punkts. Sniedzamā informācija</w:t>
      </w:r>
    </w:p>
    <w:p w14:paraId="32658D57" w14:textId="3D110256" w:rsidR="00F02FF0" w:rsidRPr="00774B72" w:rsidRDefault="0094454A" w:rsidP="0058783E">
      <w:pPr>
        <w:tabs>
          <w:tab w:val="left" w:pos="941"/>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3. Saskaņā ar A punktu katrai finanšu iestādei, kas sniedz ziņojumus, ir jāsniedz turpmāk minētā informācija attiecībā uz katru šādas finanšu iestādes kontu, par kuru jāsniedz ziņojums:</w:t>
      </w:r>
    </w:p>
    <w:p w14:paraId="7CEC0D61" w14:textId="5754B6E5" w:rsidR="00F02FF0" w:rsidRPr="00774B72" w:rsidRDefault="0094454A" w:rsidP="00F85495">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 xml:space="preserve">a) ja fiziska persona ir konta turētājs un persona, par kuru jāsniedz ziņojums, – vārds, uzvārds, adrese, rezidences jurisdikcija(-as), </w:t>
      </w:r>
      <w:r>
        <w:rPr>
          <w:rFonts w:ascii="Times New Roman" w:hAnsi="Times New Roman"/>
          <w:i/>
          <w:iCs/>
          <w:sz w:val="24"/>
        </w:rPr>
        <w:t>TIN</w:t>
      </w:r>
      <w:r>
        <w:rPr>
          <w:rFonts w:ascii="Times New Roman" w:hAnsi="Times New Roman"/>
          <w:sz w:val="24"/>
        </w:rPr>
        <w:t xml:space="preserve">, dzimšanas datums un vieta, kā arī jānorāda, </w:t>
      </w:r>
      <w:r>
        <w:rPr>
          <w:rFonts w:ascii="Times New Roman" w:hAnsi="Times New Roman"/>
          <w:b/>
          <w:i/>
          <w:sz w:val="24"/>
          <w:u w:val="single"/>
        </w:rPr>
        <w:t>vai konta turētājs ir iesniedzis derīgu pašapliecinājumu un vai konts ir kopīgs konts, kā arī kopīgā konta turētāju skaits</w:t>
      </w:r>
      <w:r>
        <w:rPr>
          <w:rFonts w:ascii="Times New Roman" w:hAnsi="Times New Roman"/>
          <w:sz w:val="24"/>
        </w:rPr>
        <w:t>;</w:t>
      </w:r>
    </w:p>
    <w:p w14:paraId="06CA4D16" w14:textId="07D27ED0" w:rsidR="00F02FF0" w:rsidRPr="00774B72" w:rsidRDefault="0094454A" w:rsidP="00F85495">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 xml:space="preserve">b) ja vienība ir konta turētājs un persona, par kuru jāsniedz ziņojums, – nosaukums, adrese, rezidences jurisdikcija(-as), </w:t>
      </w:r>
      <w:r>
        <w:rPr>
          <w:rFonts w:ascii="Times New Roman" w:hAnsi="Times New Roman"/>
          <w:i/>
          <w:iCs/>
          <w:sz w:val="24"/>
        </w:rPr>
        <w:t>TIN</w:t>
      </w:r>
      <w:r>
        <w:rPr>
          <w:rFonts w:ascii="Times New Roman" w:hAnsi="Times New Roman"/>
          <w:sz w:val="24"/>
        </w:rPr>
        <w:t xml:space="preserve">, kā arī jānorāda, </w:t>
      </w:r>
      <w:r>
        <w:rPr>
          <w:rFonts w:ascii="Times New Roman" w:hAnsi="Times New Roman"/>
          <w:b/>
          <w:i/>
          <w:sz w:val="24"/>
          <w:u w:val="single"/>
        </w:rPr>
        <w:t>vai konta turētājs ir iesniedzis derīgu pašapliecinājumu un vai konts ir kopīgs konts, kā arī kopīgā konta turētāju skaits</w:t>
      </w:r>
      <w:r>
        <w:rPr>
          <w:rFonts w:ascii="Times New Roman" w:hAnsi="Times New Roman"/>
          <w:sz w:val="24"/>
        </w:rPr>
        <w:t>;</w:t>
      </w:r>
    </w:p>
    <w:p w14:paraId="19FBE870" w14:textId="2E7BC600" w:rsidR="00F02FF0" w:rsidRPr="00774B72" w:rsidRDefault="0094454A" w:rsidP="00F85495">
      <w:pPr>
        <w:tabs>
          <w:tab w:val="left" w:pos="94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c) ja vienība ir konta turētājs un ir norādīts, ka tai ir viena vai vairākas kontrolējošās personas, kas ir personas, par kurām jāsniedz ziņojums:</w:t>
      </w:r>
    </w:p>
    <w:p w14:paraId="7010C0F0" w14:textId="42AD097E" w:rsidR="00F02FF0" w:rsidRPr="00774B72" w:rsidRDefault="0094454A" w:rsidP="00F85495">
      <w:pPr>
        <w:tabs>
          <w:tab w:val="left" w:pos="1301"/>
        </w:tabs>
        <w:spacing w:before="120"/>
        <w:ind w:left="851" w:hanging="284"/>
        <w:jc w:val="both"/>
        <w:rPr>
          <w:rFonts w:ascii="Times New Roman" w:hAnsi="Times New Roman" w:cs="Times New Roman"/>
          <w:noProof/>
          <w:sz w:val="24"/>
          <w:szCs w:val="24"/>
        </w:rPr>
      </w:pPr>
      <w:r>
        <w:rPr>
          <w:rFonts w:ascii="Times New Roman" w:hAnsi="Times New Roman"/>
          <w:sz w:val="24"/>
        </w:rPr>
        <w:t xml:space="preserve">1) vienības nosaukums, adrese, rezidences jurisdikcija(-as) un </w:t>
      </w:r>
      <w:r>
        <w:rPr>
          <w:rFonts w:ascii="Times New Roman" w:hAnsi="Times New Roman"/>
          <w:i/>
          <w:iCs/>
          <w:sz w:val="24"/>
        </w:rPr>
        <w:t>TIN</w:t>
      </w:r>
      <w:r>
        <w:rPr>
          <w:rFonts w:ascii="Times New Roman" w:hAnsi="Times New Roman"/>
          <w:sz w:val="24"/>
        </w:rPr>
        <w:t xml:space="preserve"> un</w:t>
      </w:r>
    </w:p>
    <w:p w14:paraId="4DC6B67D" w14:textId="0BB64443" w:rsidR="00F02FF0" w:rsidRPr="00774B72" w:rsidRDefault="0094454A" w:rsidP="00F85495">
      <w:pPr>
        <w:tabs>
          <w:tab w:val="left" w:pos="1301"/>
          <w:tab w:val="left" w:pos="1303"/>
        </w:tabs>
        <w:spacing w:before="120"/>
        <w:ind w:left="851" w:hanging="284"/>
        <w:jc w:val="both"/>
        <w:rPr>
          <w:rFonts w:ascii="Times New Roman" w:hAnsi="Times New Roman" w:cs="Times New Roman"/>
          <w:noProof/>
          <w:sz w:val="24"/>
          <w:szCs w:val="24"/>
        </w:rPr>
      </w:pPr>
      <w:r>
        <w:rPr>
          <w:rFonts w:ascii="Times New Roman" w:hAnsi="Times New Roman"/>
          <w:sz w:val="24"/>
        </w:rPr>
        <w:t xml:space="preserve">2) par katru kontrolējošo personu, par kuru jāsniedz ziņojums, – vārds, uzvārds, adrese, rezidences jurisdikcija(-as), </w:t>
      </w:r>
      <w:r>
        <w:rPr>
          <w:rFonts w:ascii="Times New Roman" w:hAnsi="Times New Roman"/>
          <w:i/>
          <w:iCs/>
          <w:sz w:val="24"/>
        </w:rPr>
        <w:t>TIN</w:t>
      </w:r>
      <w:r>
        <w:rPr>
          <w:rFonts w:ascii="Times New Roman" w:hAnsi="Times New Roman"/>
          <w:sz w:val="24"/>
        </w:rPr>
        <w:t xml:space="preserve">, dzimšanas datums un vieta, </w:t>
      </w:r>
      <w:r>
        <w:rPr>
          <w:rFonts w:ascii="Times New Roman" w:hAnsi="Times New Roman"/>
          <w:b/>
          <w:i/>
          <w:sz w:val="24"/>
          <w:u w:val="single"/>
        </w:rPr>
        <w:t>kā arī loma(-as), saskaņā ar kuru(-ām) katra persona, par kuru jāsniedz ziņojums, ir vienību kontrolējošā persona, un vai par katru šādu personu ir iesniegts derīgs pašapliecinājums</w:t>
      </w:r>
      <w:r>
        <w:rPr>
          <w:rFonts w:ascii="Times New Roman" w:hAnsi="Times New Roman"/>
          <w:sz w:val="24"/>
        </w:rPr>
        <w:t>;</w:t>
      </w:r>
    </w:p>
    <w:p w14:paraId="5B53CAA0" w14:textId="1A403E33" w:rsidR="00F02FF0" w:rsidRPr="00774B72" w:rsidRDefault="0094454A" w:rsidP="00F85495">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 xml:space="preserve">d) konta numurs (vai funkcionāls ekvivalents, ja nav konta numura), </w:t>
      </w:r>
      <w:r>
        <w:rPr>
          <w:rFonts w:ascii="Times New Roman" w:hAnsi="Times New Roman"/>
          <w:b/>
          <w:i/>
          <w:iCs/>
          <w:sz w:val="24"/>
          <w:u w:val="single"/>
        </w:rPr>
        <w:t>konta veids un vai konts ir iepriekšpastāvējis konts vai jauns konts</w:t>
      </w:r>
      <w:r>
        <w:rPr>
          <w:rFonts w:ascii="Times New Roman" w:hAnsi="Times New Roman"/>
          <w:sz w:val="24"/>
        </w:rPr>
        <w:t>;</w:t>
      </w:r>
    </w:p>
    <w:p w14:paraId="38914793" w14:textId="213E9F2F" w:rsidR="00F02FF0" w:rsidRPr="00774B72" w:rsidRDefault="0094454A" w:rsidP="00F85495">
      <w:pPr>
        <w:tabs>
          <w:tab w:val="left" w:pos="94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e) finanšu iestādes, kas sniedz ziņojumus, nosaukums un identifikācijas numurs (ja tāds ir) un</w:t>
      </w:r>
    </w:p>
    <w:p w14:paraId="78CEE112" w14:textId="50C8CA79" w:rsidR="00F02FF0" w:rsidRPr="00774B72" w:rsidRDefault="0094454A" w:rsidP="00F85495">
      <w:pPr>
        <w:tabs>
          <w:tab w:val="left" w:pos="941"/>
          <w:tab w:val="left" w:pos="94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f) konta bilance vai vērtība (tostarp apdrošināšanas līguma ar naudas vērtību vai anuitātes līguma gadījumā – naudas vērtība vai līguma laušanas gadījumā – izmaksājamā summa) attiecīgā kalendārā gada vai cita attiecīga ziņošanas perioda beigās vai informācija par konta slēgšanu, ja konts ticis slēgts minētā gada vai perioda laikā.</w:t>
      </w:r>
    </w:p>
    <w:p w14:paraId="339D7211" w14:textId="5391C23B" w:rsidR="00F02FF0" w:rsidRPr="00774B72" w:rsidRDefault="0094454A" w:rsidP="0058783E">
      <w:pPr>
        <w:tabs>
          <w:tab w:val="left" w:pos="941"/>
        </w:tabs>
        <w:spacing w:before="120"/>
        <w:ind w:left="284" w:hanging="284"/>
        <w:jc w:val="both"/>
        <w:rPr>
          <w:rFonts w:ascii="Times New Roman" w:hAnsi="Times New Roman" w:cs="Times New Roman"/>
          <w:noProof/>
          <w:color w:val="231F20"/>
          <w:sz w:val="24"/>
          <w:szCs w:val="24"/>
        </w:rPr>
      </w:pPr>
      <w:r>
        <w:rPr>
          <w:rFonts w:ascii="Times New Roman" w:hAnsi="Times New Roman"/>
          <w:color w:val="231F20"/>
          <w:sz w:val="24"/>
        </w:rPr>
        <w:t>4. Turklāt jāsniedz arī šāda informācija:</w:t>
      </w:r>
    </w:p>
    <w:p w14:paraId="3A2DB9D6" w14:textId="3EE632FF" w:rsidR="00F02FF0" w:rsidRPr="00774B72" w:rsidRDefault="0094454A" w:rsidP="00F04231">
      <w:pPr>
        <w:tabs>
          <w:tab w:val="left" w:pos="94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a) turētāja konta gadījumā:</w:t>
      </w:r>
    </w:p>
    <w:p w14:paraId="073F2169" w14:textId="0A5730B6" w:rsidR="00F02FF0" w:rsidRPr="00774B72" w:rsidRDefault="0094454A" w:rsidP="00F04231">
      <w:pPr>
        <w:tabs>
          <w:tab w:val="left" w:pos="1301"/>
          <w:tab w:val="left" w:pos="1303"/>
        </w:tabs>
        <w:spacing w:before="120"/>
        <w:ind w:left="851" w:hanging="284"/>
        <w:jc w:val="both"/>
        <w:rPr>
          <w:rFonts w:ascii="Times New Roman" w:hAnsi="Times New Roman" w:cs="Times New Roman"/>
          <w:noProof/>
          <w:sz w:val="24"/>
          <w:szCs w:val="24"/>
        </w:rPr>
      </w:pPr>
      <w:r>
        <w:rPr>
          <w:rFonts w:ascii="Times New Roman" w:hAnsi="Times New Roman"/>
          <w:sz w:val="24"/>
        </w:rPr>
        <w:t>1) kopējā procentu bruto summa, kas iemaksāta kontā vai kreditēta uz kontu (vai saistībā ar kontu) kalendārajā gadā vai citā attiecīgā ziņošanas periodā;</w:t>
      </w:r>
    </w:p>
    <w:p w14:paraId="1BF16461" w14:textId="17CF9EA0" w:rsidR="00F02FF0" w:rsidRPr="00774B72" w:rsidRDefault="0094454A" w:rsidP="00F04231">
      <w:pPr>
        <w:tabs>
          <w:tab w:val="left" w:pos="1301"/>
          <w:tab w:val="left" w:pos="1303"/>
        </w:tabs>
        <w:spacing w:before="120"/>
        <w:ind w:left="851" w:hanging="284"/>
        <w:jc w:val="both"/>
        <w:rPr>
          <w:rFonts w:ascii="Times New Roman" w:hAnsi="Times New Roman" w:cs="Times New Roman"/>
          <w:noProof/>
          <w:sz w:val="24"/>
          <w:szCs w:val="24"/>
        </w:rPr>
      </w:pPr>
      <w:r>
        <w:rPr>
          <w:rFonts w:ascii="Times New Roman" w:hAnsi="Times New Roman"/>
          <w:sz w:val="24"/>
        </w:rPr>
        <w:t>2) kopējā dividenžu bruto summa, kas iemaksāta kontā vai kreditēta uz kontu (vai saistībā ar kontu) kalendārajā gadā vai citā attiecīgā ziņošanas periodā;</w:t>
      </w:r>
    </w:p>
    <w:p w14:paraId="16A4AFAA" w14:textId="76FD6AE8" w:rsidR="00F02FF0" w:rsidRPr="00774B72" w:rsidRDefault="0094454A" w:rsidP="00F04231">
      <w:pPr>
        <w:tabs>
          <w:tab w:val="left" w:pos="1301"/>
          <w:tab w:val="left" w:pos="1303"/>
        </w:tabs>
        <w:spacing w:before="120"/>
        <w:ind w:left="851" w:hanging="284"/>
        <w:jc w:val="both"/>
        <w:rPr>
          <w:rFonts w:ascii="Times New Roman" w:hAnsi="Times New Roman" w:cs="Times New Roman"/>
          <w:noProof/>
          <w:sz w:val="24"/>
          <w:szCs w:val="24"/>
        </w:rPr>
      </w:pPr>
      <w:r>
        <w:rPr>
          <w:rFonts w:ascii="Times New Roman" w:hAnsi="Times New Roman"/>
          <w:sz w:val="24"/>
        </w:rPr>
        <w:t>3) citu ienākumu, kuri gūti saistībā ar kontā turētajiem aktīviem, kopējā bruto summa, kas iemaksāta kontā vai kreditēta uz kontu (vai saistībā ar kontu) kalendārajā gadā vai citā attiecīgā ziņošanas periodā, un</w:t>
      </w:r>
    </w:p>
    <w:p w14:paraId="46F3B8BE" w14:textId="3832F74A" w:rsidR="00F02FF0" w:rsidRPr="00774B72" w:rsidRDefault="0094454A" w:rsidP="00F04231">
      <w:pPr>
        <w:tabs>
          <w:tab w:val="left" w:pos="1301"/>
          <w:tab w:val="left" w:pos="1303"/>
        </w:tabs>
        <w:spacing w:before="120"/>
        <w:ind w:left="851" w:hanging="284"/>
        <w:jc w:val="both"/>
        <w:rPr>
          <w:rFonts w:ascii="Times New Roman" w:hAnsi="Times New Roman" w:cs="Times New Roman"/>
          <w:noProof/>
          <w:sz w:val="24"/>
          <w:szCs w:val="24"/>
        </w:rPr>
      </w:pPr>
      <w:r>
        <w:rPr>
          <w:rFonts w:ascii="Times New Roman" w:hAnsi="Times New Roman"/>
          <w:sz w:val="24"/>
        </w:rPr>
        <w:t>4) kopējie bruto ieņēmumi no finanšu aktīvu pārdošanas vai dzēšanas, kas iemaksāti kontā vai kreditēti uz kontu kalendārajā gadā vai citā attiecīgā ziņošanas periodā, attiecībā uz kuru finanšu iestāde, kas sniedz ziņojumus, darbojusies kā turētājiestāde, ieguldījumu iestāde, nominālais finanšu aktīvu turētājs vai kā konta turētāja aģents;</w:t>
      </w:r>
    </w:p>
    <w:p w14:paraId="0F031C68" w14:textId="36D50106" w:rsidR="00F02FF0" w:rsidRPr="00774B72" w:rsidRDefault="0094454A" w:rsidP="00F04231">
      <w:pPr>
        <w:tabs>
          <w:tab w:val="left" w:pos="941"/>
          <w:tab w:val="left" w:pos="94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b) jebkāda noguldījumu konta gadījumā – kopējā procentu bruto summa, kas iemaksāta kontā vai kreditēta uz kontu kalendārajā gadā vai citā attiecīgā ziņošanas periodā;</w:t>
      </w:r>
    </w:p>
    <w:p w14:paraId="05656AEC" w14:textId="77777777" w:rsidR="00F02FF0" w:rsidRPr="00774B72" w:rsidRDefault="00F02FF0" w:rsidP="00F04231">
      <w:pPr>
        <w:spacing w:before="120"/>
        <w:ind w:left="567" w:hanging="284"/>
        <w:jc w:val="both"/>
        <w:rPr>
          <w:rFonts w:ascii="Times New Roman" w:hAnsi="Times New Roman" w:cs="Times New Roman"/>
          <w:b/>
          <w:i/>
          <w:noProof/>
          <w:sz w:val="24"/>
          <w:szCs w:val="24"/>
          <w:u w:val="single"/>
        </w:rPr>
      </w:pPr>
      <w:r>
        <w:rPr>
          <w:rFonts w:ascii="Times New Roman" w:hAnsi="Times New Roman"/>
          <w:b/>
          <w:i/>
          <w:sz w:val="24"/>
          <w:u w:val="single"/>
        </w:rPr>
        <w:t>b bis) attiecībā uz vienību, kurai līdzdalības daļas tiek turētas ieguldījumu vienībā, kas ir juridisks veidojums, loma(-as), saskaņā ar kuru(-ām) persona, par kuru jāsniedz ziņojums, ir vienības līdzdalības daļu turētāja;</w:t>
      </w:r>
    </w:p>
    <w:p w14:paraId="1EC3887F" w14:textId="08F8561D" w:rsidR="00F02FF0" w:rsidRPr="00774B72" w:rsidRDefault="0094454A" w:rsidP="00F04231">
      <w:pPr>
        <w:tabs>
          <w:tab w:val="left" w:pos="94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c) jebkura tāda konta gadījumā, kas nav turētāja konts vai noguldījumu konts – kopējā bruto summa, kas samaksāta vai kreditēta konta turētājam saistībā ar kontu kalendārajā gadā vai citā attiecīgā ziņošanas periodā, attiecībā uz kuru finanšu iestāde, kas sniedz ziņojumus, ir maksājuma saistībām pakļauta persona vai parādnieks, tostarp jebkādu tādu dzēšanai paredzētu maksājumu kopsumma, kas veikti konta turētājam kalendārajā gadā vai citā attiecīgā ziņošanas periodā.</w:t>
      </w:r>
    </w:p>
    <w:p w14:paraId="4E5842C8" w14:textId="77777777" w:rsidR="00F02FF0" w:rsidRPr="00774B72" w:rsidRDefault="00F02FF0" w:rsidP="00595198">
      <w:pPr>
        <w:pStyle w:val="Heading8"/>
        <w:spacing w:before="120"/>
        <w:ind w:left="567" w:hanging="284"/>
        <w:jc w:val="both"/>
        <w:rPr>
          <w:rFonts w:ascii="Times New Roman" w:hAnsi="Times New Roman" w:cs="Times New Roman"/>
          <w:noProof/>
          <w:color w:val="616161"/>
          <w:sz w:val="24"/>
          <w:szCs w:val="24"/>
        </w:rPr>
      </w:pPr>
      <w:bookmarkStart w:id="45" w:name="Subparagraph_A(1)_–_Address"/>
      <w:bookmarkEnd w:id="45"/>
      <w:r>
        <w:rPr>
          <w:rFonts w:ascii="Times New Roman" w:hAnsi="Times New Roman"/>
          <w:color w:val="616161"/>
          <w:sz w:val="24"/>
        </w:rPr>
        <w:t>A punkta 1. apakšpunkts. Adrese</w:t>
      </w:r>
    </w:p>
    <w:p w14:paraId="2B06D9E9" w14:textId="05276E4B" w:rsidR="00F02FF0" w:rsidRPr="00774B72" w:rsidRDefault="00080348" w:rsidP="00EC4A2A">
      <w:pPr>
        <w:tabs>
          <w:tab w:val="left" w:pos="941"/>
        </w:tabs>
        <w:spacing w:before="120"/>
        <w:jc w:val="both"/>
        <w:rPr>
          <w:rFonts w:ascii="Times New Roman" w:hAnsi="Times New Roman" w:cs="Times New Roman"/>
          <w:noProof/>
          <w:sz w:val="24"/>
          <w:szCs w:val="24"/>
        </w:rPr>
      </w:pPr>
      <w:r>
        <w:rPr>
          <w:rFonts w:ascii="Times New Roman" w:hAnsi="Times New Roman"/>
          <w:sz w:val="24"/>
        </w:rPr>
        <w:t>5. Adrese, kas jāpaziņo attiecībā uz kontu, ir adrese, ko finanšu iestāde, kas sniedz ziņojumus, reģistrē attiecībā uz konta turētāju atbilstīgi pienācīgas pārbaudes procedūrām, kas noteiktas II–VII pantā. Ja konta turētājs ir fiziska persona, kas ir persona, par kuru jāsniedz ziņojums, jāpaziņo šīs personas tā brīža dzīvesvietas adrese (skat. komentāru par III pantu 8. un 22. punktu), ja vien finanšu iestādes, kas sniedz informāciju, reģistrētajos datos nav iekļauta šāda adrese, jo pretējā gadījumā tā paziņos tai zināmo pasta adresi. Ja kontu tur vienība, kas norādīta kā tāda, kurai ir viena vai vairākas kontrolējošās personas, kas ir personas, par kurām jāsniedz ziņojums, tad jāpaziņo vienības adrese un katras tādas šīs vienības kontrolējošās personas adrese, kas ir persona, par kuru ir jāsniedz ziņojums.</w:t>
      </w:r>
    </w:p>
    <w:p w14:paraId="4C21EA04" w14:textId="77777777" w:rsidR="00F02FF0" w:rsidRPr="00774B72" w:rsidRDefault="00F02FF0" w:rsidP="006E0CB8">
      <w:pPr>
        <w:pStyle w:val="Heading8"/>
        <w:spacing w:before="120"/>
        <w:ind w:left="567" w:hanging="284"/>
        <w:jc w:val="both"/>
        <w:rPr>
          <w:rFonts w:ascii="Times New Roman" w:hAnsi="Times New Roman" w:cs="Times New Roman"/>
          <w:noProof/>
          <w:color w:val="616161"/>
          <w:sz w:val="24"/>
          <w:szCs w:val="24"/>
        </w:rPr>
      </w:pPr>
      <w:bookmarkStart w:id="46" w:name="Subparagraph_A(1)_–_Jurisdiction(s)_of_r"/>
      <w:bookmarkEnd w:id="46"/>
      <w:r>
        <w:rPr>
          <w:rFonts w:ascii="Times New Roman" w:hAnsi="Times New Roman"/>
          <w:color w:val="616161"/>
          <w:sz w:val="24"/>
        </w:rPr>
        <w:t>A punkta 1. apakšpunkts. Rezidences jurisdikcija(-as)</w:t>
      </w:r>
    </w:p>
    <w:p w14:paraId="67218C4B" w14:textId="24CC52F9"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6. Rezidences jurisdikcija, kas jāpaziņo attiecībā uz kontu, ir tā rezidences jurisdikcija, kuru finanšu iestāde, kas sniedz ziņojumus, ir identificējusi attiecībā uz personu, par kuru jāsniedz ziņojums, attiecībā uz konkrēto kalendāro gadu vai citu attiecīgu ziņošanas periodu saskaņā ar II–VII pantā noteiktajām pienācīgas pārbaudes procedūrām. Ja persona, par kuru jāsniedz ziņojums, ir identificēta kā persona, kurai ir vairākas rezidences jurisdikcijas, tad paziņo visas </w:t>
      </w:r>
      <w:r>
        <w:rPr>
          <w:rFonts w:ascii="Times New Roman" w:hAnsi="Times New Roman"/>
          <w:sz w:val="24"/>
        </w:rPr>
        <w:lastRenderedPageBreak/>
        <w:t>tās rezidences jurisdikcijas, ko finanšu iestāde, kas sniedz ziņojumus, ir norādījusi attiecībā uz personu, par kuru jāsniedz ziņojums, attiecīgajā kalendārajā gadā vai citā attiecīgā ziņošanas periodā. Rezidences jurisdikcija(-as), kas ir identificēta(-as), piemērojot II–VII pantā noteiktās pienācīgas pārbaudes procedūras, neierobežo rezidenta statusa noteikšanu, ko finanšu iestāde, kas sniedz ziņojumus, veic citām nodokļa aprēķina vajadzībām.</w:t>
      </w:r>
    </w:p>
    <w:p w14:paraId="0D100E10" w14:textId="77777777" w:rsidR="00F02FF0" w:rsidRPr="00774B72" w:rsidRDefault="00F02FF0" w:rsidP="006E0CB8">
      <w:pPr>
        <w:pStyle w:val="Heading8"/>
        <w:spacing w:before="120"/>
        <w:ind w:left="567" w:hanging="284"/>
        <w:jc w:val="both"/>
        <w:rPr>
          <w:rFonts w:ascii="Times New Roman" w:hAnsi="Times New Roman" w:cs="Times New Roman"/>
          <w:noProof/>
          <w:color w:val="616161"/>
          <w:sz w:val="24"/>
          <w:szCs w:val="24"/>
        </w:rPr>
      </w:pPr>
      <w:bookmarkStart w:id="47" w:name="Subparagraph_A(1)_–_TIN"/>
      <w:bookmarkEnd w:id="47"/>
      <w:r>
        <w:rPr>
          <w:rFonts w:ascii="Times New Roman" w:hAnsi="Times New Roman"/>
          <w:color w:val="616161"/>
          <w:sz w:val="24"/>
        </w:rPr>
        <w:t>A punkta 1. apakšpunkts. TIN</w:t>
      </w:r>
    </w:p>
    <w:p w14:paraId="3BF8361B" w14:textId="7EC6D8BE"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7. </w:t>
      </w:r>
      <w:r>
        <w:rPr>
          <w:rFonts w:ascii="Times New Roman" w:hAnsi="Times New Roman"/>
          <w:i/>
          <w:iCs/>
          <w:sz w:val="24"/>
        </w:rPr>
        <w:t>TIN</w:t>
      </w:r>
      <w:r>
        <w:rPr>
          <w:rFonts w:ascii="Times New Roman" w:hAnsi="Times New Roman"/>
          <w:sz w:val="24"/>
        </w:rPr>
        <w:t xml:space="preserve">, kas jāpaziņo attiecībā uz kontu, ir </w:t>
      </w:r>
      <w:r>
        <w:rPr>
          <w:rFonts w:ascii="Times New Roman" w:hAnsi="Times New Roman"/>
          <w:i/>
          <w:iCs/>
          <w:sz w:val="24"/>
        </w:rPr>
        <w:t>TIN</w:t>
      </w:r>
      <w:r>
        <w:rPr>
          <w:rFonts w:ascii="Times New Roman" w:hAnsi="Times New Roman"/>
          <w:sz w:val="24"/>
        </w:rPr>
        <w:t xml:space="preserve">, ko konta turētājam piešķīrusi tā rezidences jurisdikcija (t. i., nevis avota jurisdikcija). Ja persona, par kuru jāsniedz ziņojums, ir identificēta kā persona, kurai ir vairākas rezidences jurisdikcijas, paziņo konta turētāja </w:t>
      </w:r>
      <w:r>
        <w:rPr>
          <w:rFonts w:ascii="Times New Roman" w:hAnsi="Times New Roman"/>
          <w:i/>
          <w:iCs/>
          <w:sz w:val="24"/>
        </w:rPr>
        <w:t>TIN</w:t>
      </w:r>
      <w:r>
        <w:rPr>
          <w:rFonts w:ascii="Times New Roman" w:hAnsi="Times New Roman"/>
          <w:sz w:val="24"/>
        </w:rPr>
        <w:t xml:space="preserve"> attiecībā uz katru jurisdikciju, par kuru jāsniedz ziņojums (ievērojot to, kas paredzēts C un D punktā). Atbilstīgi tam, kā noteikts VIII panta E punkta 5. apakšpunktā, “</w:t>
      </w:r>
      <w:r>
        <w:rPr>
          <w:rFonts w:ascii="Times New Roman" w:hAnsi="Times New Roman"/>
          <w:i/>
          <w:iCs/>
          <w:sz w:val="24"/>
        </w:rPr>
        <w:t>TIN</w:t>
      </w:r>
      <w:r>
        <w:rPr>
          <w:rFonts w:ascii="Times New Roman" w:hAnsi="Times New Roman"/>
          <w:sz w:val="24"/>
        </w:rPr>
        <w:t>” nozīmē funkcionālo ekvivalentu gadījumā, ja nav nodokļu maksātāja identifikācijas numura (skat. komentāru par VIII pantu 148. punktu).</w:t>
      </w:r>
    </w:p>
    <w:p w14:paraId="13D8F407" w14:textId="77777777" w:rsidR="00F02FF0" w:rsidRPr="00774B72" w:rsidRDefault="00F02FF0" w:rsidP="00595198">
      <w:pPr>
        <w:pStyle w:val="Heading7"/>
        <w:spacing w:before="120"/>
        <w:ind w:left="567" w:hanging="284"/>
        <w:jc w:val="both"/>
        <w:rPr>
          <w:rFonts w:ascii="Times New Roman" w:hAnsi="Times New Roman" w:cs="Times New Roman"/>
          <w:noProof/>
          <w:color w:val="616161"/>
          <w:sz w:val="24"/>
          <w:szCs w:val="24"/>
          <w:u w:val="thick" w:color="616161"/>
        </w:rPr>
      </w:pPr>
      <w:bookmarkStart w:id="48" w:name="Subparagraph_A(1)_–_Role(s)_of_the_Contr"/>
      <w:bookmarkEnd w:id="48"/>
      <w:r>
        <w:rPr>
          <w:rFonts w:ascii="Times New Roman" w:hAnsi="Times New Roman"/>
          <w:color w:val="616161"/>
          <w:sz w:val="24"/>
          <w:u w:val="thick" w:color="616161"/>
        </w:rPr>
        <w:t>A punkta 1. apakšpunkts. Kontrolējošās personas loma(-as)</w:t>
      </w:r>
    </w:p>
    <w:p w14:paraId="05167A80" w14:textId="02B87544" w:rsidR="00F02FF0" w:rsidRPr="00774B72" w:rsidRDefault="00F02FF0" w:rsidP="00876107">
      <w:pPr>
        <w:spacing w:before="120"/>
        <w:jc w:val="both"/>
        <w:rPr>
          <w:rFonts w:ascii="Times New Roman" w:hAnsi="Times New Roman" w:cs="Times New Roman"/>
          <w:b/>
          <w:i/>
          <w:noProof/>
          <w:sz w:val="24"/>
          <w:szCs w:val="24"/>
          <w:u w:val="single"/>
        </w:rPr>
      </w:pPr>
      <w:r>
        <w:rPr>
          <w:rFonts w:ascii="Times New Roman" w:hAnsi="Times New Roman"/>
          <w:b/>
          <w:i/>
          <w:sz w:val="24"/>
          <w:u w:val="single"/>
        </w:rPr>
        <w:t>7.bis Ziņojumā jānorāda, kādu(-as) lomu(-as) ieņem persona, par kuru jāsniedz ziņojums un kura ir kontrolējošā persona attiecībā uz vienību. Prasības identificēt kontrolējošās personas, kā arī to lomu attiecībā uz vienību reglamentē AML/KYC procedūras, kā noteikts komentāru par VIII pantu 132. punktā un turpmākajos punktos. Ja persona, par kuru jāsniedz ziņojums, ir kontrolējošā persona, pamatojoties uz to, ka tai ir vairākas lomas attiecībā uz vienību, kas nav trasts vai līdzīgs juridisks veidojums, finanšu iestādei, kas sniedz ziņojumus, ir uzdots ziņot saskaņā ar lomu hierarhiju, kas norādīta komentāru par VIII pantu 133. punktā (t. i., līdzdalības daļas, kontrole, ko īsteno ar citiem līdzekļiem, augstākā vadība), ar nosacījumu, ka AML/KYC procedūrās ir prasīts identificēt šo lomu. To parāda turpmāk minētais piemērs.</w:t>
      </w:r>
    </w:p>
    <w:p w14:paraId="4A663EB1" w14:textId="77777777" w:rsidR="00F02FF0" w:rsidRPr="00774B72" w:rsidRDefault="00F02FF0" w:rsidP="00E60F2A">
      <w:pPr>
        <w:pStyle w:val="ListParagraph"/>
        <w:numPr>
          <w:ilvl w:val="0"/>
          <w:numId w:val="52"/>
        </w:numPr>
        <w:tabs>
          <w:tab w:val="left" w:pos="943"/>
        </w:tabs>
        <w:ind w:left="567" w:hanging="284"/>
        <w:rPr>
          <w:rFonts w:ascii="Times New Roman" w:hAnsi="Times New Roman" w:cs="Times New Roman"/>
          <w:b/>
          <w:i/>
          <w:noProof/>
          <w:sz w:val="24"/>
          <w:szCs w:val="24"/>
          <w:u w:val="single"/>
        </w:rPr>
      </w:pPr>
      <w:r>
        <w:rPr>
          <w:rFonts w:ascii="Times New Roman" w:hAnsi="Times New Roman"/>
          <w:b/>
          <w:i/>
          <w:sz w:val="24"/>
          <w:u w:val="single"/>
        </w:rPr>
        <w:t>Piemērs. Finanšu iestāde, kas sniedz ziņojumus, uztur finanšu kontu vienības vārdā, kas ir konta turētājs un ir sabiedrība. Finanšu iestāde, kas sniedz ziņojumus, konstatē, ka persona, par kuru jāsniedz ziņojums, ir persona, kura kontrolē šādu vienību, kas ir konta turētājs, jo tai pieder 51 % līdzdalības daļu un balsstiesību šajā vienībā, kā arī persona ir augstākās vadības amatpersona šajā vienībā. Finanšu iestādei, kas sniedz ziņojumus, ir tikai jānorāda, ka persona, par kuru jāsniedz ziņojums, ir kontrolējošā persona, jo tai ir līdzdalības daļas, tā kā šī loma ir pirmā komentāru par I pantu 7.bis punktā norādītajā hierarhijā.</w:t>
      </w:r>
    </w:p>
    <w:p w14:paraId="4F7FDCFF" w14:textId="733AF559" w:rsidR="00F02FF0" w:rsidRPr="00774B72" w:rsidRDefault="00F02FF0" w:rsidP="00876107">
      <w:pPr>
        <w:spacing w:before="120"/>
        <w:jc w:val="both"/>
        <w:rPr>
          <w:rFonts w:ascii="Times New Roman" w:hAnsi="Times New Roman" w:cs="Times New Roman"/>
          <w:b/>
          <w:i/>
          <w:noProof/>
          <w:sz w:val="24"/>
          <w:szCs w:val="24"/>
          <w:u w:val="single"/>
        </w:rPr>
      </w:pPr>
      <w:r>
        <w:rPr>
          <w:rFonts w:ascii="Times New Roman" w:hAnsi="Times New Roman"/>
          <w:b/>
          <w:i/>
          <w:sz w:val="24"/>
          <w:u w:val="single"/>
        </w:rPr>
        <w:t>7.ter Ja persona, par kuru jāsniedz ziņojums, ir persona, kura kontrolē trastu vai līdzīgu juridisku veidojumu, jo tai ir vairākas lomas, finanšu iestādei, kas sniedz ziņojumus, ir jānorāda visas lomas, bet ar nosacījumu, ka AML/KYC procedūrās ir prasīts norādīt šīs lomas. Šī prasība norādīt lomas ir piemērojama arī attiecībā uz lomām, ko ieņem trasta vai līdzīga juridiska veidojuma līdzdalības daļu turētāji, kā norādīts A punkta 6.bis) apakšpunktā.</w:t>
      </w:r>
    </w:p>
    <w:p w14:paraId="774E1486" w14:textId="77777777" w:rsidR="00F02FF0" w:rsidRPr="00774B72" w:rsidRDefault="00F02FF0" w:rsidP="00876107">
      <w:pPr>
        <w:pStyle w:val="Heading8"/>
        <w:spacing w:before="120"/>
        <w:ind w:left="0"/>
        <w:jc w:val="both"/>
        <w:rPr>
          <w:rFonts w:ascii="Times New Roman" w:hAnsi="Times New Roman" w:cs="Times New Roman"/>
          <w:noProof/>
          <w:color w:val="616161"/>
          <w:sz w:val="24"/>
          <w:szCs w:val="24"/>
        </w:rPr>
      </w:pPr>
      <w:bookmarkStart w:id="49" w:name="Subparagraph_A(2)_–_Account_number"/>
      <w:bookmarkEnd w:id="49"/>
      <w:r>
        <w:rPr>
          <w:rFonts w:ascii="Times New Roman" w:hAnsi="Times New Roman"/>
          <w:color w:val="616161"/>
          <w:sz w:val="24"/>
        </w:rPr>
        <w:t>A punkta 2. apakšpunkts. Konta numurs</w:t>
      </w:r>
    </w:p>
    <w:p w14:paraId="09765C7B" w14:textId="48A71044"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t>8. Konta numurs, kas jāpaziņo attiecībā uz kontu, ir identifikācijas numurs, kuru finanšu iestāde, kas sniedz ziņojumus, piešķīrusi citām vajadzībām, nevis tāpēc, lai izpildītu A punkta 1. apakšpunkta ziņošanas prasības, bet, ja šāds numurs nav piešķirts kontam, tad izmanto funkcionālu ekvivalentu (t. i., unikālu sērijas numuru vai citu numuru, kuru finanšu iestāde, kas sniedz ziņojumus, piešķir finanšu kontam, lai atšķirtu kontu no citiem šīs iestādes uzturētiem kontiem). Par konta numura funkcionālo ekvivalentu parasti uzskata līguma vai polises numuru.</w:t>
      </w:r>
    </w:p>
    <w:p w14:paraId="61C8FBA3" w14:textId="77777777" w:rsidR="00F02FF0" w:rsidRPr="00774B72" w:rsidRDefault="00F02FF0" w:rsidP="001834C5">
      <w:pPr>
        <w:pStyle w:val="Heading7"/>
        <w:keepNext/>
        <w:keepLines/>
        <w:spacing w:before="120"/>
        <w:ind w:left="567" w:hanging="284"/>
        <w:jc w:val="both"/>
        <w:rPr>
          <w:rFonts w:ascii="Times New Roman" w:hAnsi="Times New Roman" w:cs="Times New Roman"/>
          <w:noProof/>
          <w:color w:val="616161"/>
          <w:sz w:val="24"/>
          <w:szCs w:val="24"/>
          <w:u w:val="thick" w:color="616161"/>
        </w:rPr>
      </w:pPr>
      <w:bookmarkStart w:id="50" w:name="Subparagraph_A(2)_–_Account_number,_type"/>
      <w:bookmarkEnd w:id="50"/>
      <w:r>
        <w:rPr>
          <w:rFonts w:ascii="Times New Roman" w:hAnsi="Times New Roman"/>
          <w:color w:val="616161"/>
          <w:sz w:val="24"/>
          <w:u w:val="thick" w:color="616161"/>
        </w:rPr>
        <w:lastRenderedPageBreak/>
        <w:t>A punkta 2. apakšpunkts. Konta numurs, konta veids, iepriekšpastāvējis konts vai jauns konts</w:t>
      </w:r>
    </w:p>
    <w:p w14:paraId="766A7F1E" w14:textId="77777777" w:rsidR="00F02FF0" w:rsidRPr="00774B72" w:rsidRDefault="00F02FF0" w:rsidP="001834C5">
      <w:pPr>
        <w:keepNext/>
        <w:keepLines/>
        <w:spacing w:before="120"/>
        <w:jc w:val="both"/>
        <w:rPr>
          <w:rFonts w:ascii="Times New Roman" w:hAnsi="Times New Roman" w:cs="Times New Roman"/>
          <w:b/>
          <w:i/>
          <w:noProof/>
          <w:sz w:val="24"/>
          <w:szCs w:val="24"/>
          <w:u w:val="single"/>
        </w:rPr>
      </w:pPr>
      <w:r>
        <w:rPr>
          <w:rFonts w:ascii="Times New Roman" w:hAnsi="Times New Roman"/>
          <w:b/>
          <w:i/>
          <w:sz w:val="24"/>
          <w:u w:val="single"/>
        </w:rPr>
        <w:t>8.bis Finanšu iestādei, kas sniedz ziņojumus, ir jāziņo arī par to, vai konts ir iepriekšpastāvējis konts vai jauns konts, kā noteikts VIII panta C punkta attiecīgi 9. un 10. apakšpunktā.</w:t>
      </w:r>
    </w:p>
    <w:p w14:paraId="6E9B991B" w14:textId="28BBA7D8" w:rsidR="00F02FF0" w:rsidRPr="00774B72" w:rsidRDefault="00F02FF0" w:rsidP="00876107">
      <w:pPr>
        <w:spacing w:before="120"/>
        <w:jc w:val="both"/>
        <w:rPr>
          <w:rFonts w:ascii="Times New Roman" w:hAnsi="Times New Roman" w:cs="Times New Roman"/>
          <w:b/>
          <w:i/>
          <w:noProof/>
          <w:sz w:val="24"/>
          <w:szCs w:val="24"/>
          <w:u w:val="single"/>
        </w:rPr>
      </w:pPr>
      <w:r>
        <w:rPr>
          <w:rFonts w:ascii="Times New Roman" w:hAnsi="Times New Roman"/>
          <w:b/>
          <w:i/>
          <w:sz w:val="24"/>
          <w:u w:val="single"/>
        </w:rPr>
        <w:t>8.ter Konta veids, kas jāpaziņo attiecībā uz kontu, ir finanšu konta veids, kuru finanšu iestāde, kas sniedz ziņojumus, uztur konta turētājam, kā aprakstīts VIII panta C punkta 1. apakšpunktā.</w:t>
      </w:r>
    </w:p>
    <w:p w14:paraId="624DA0B6" w14:textId="77777777" w:rsidR="00F02FF0" w:rsidRPr="00774B72" w:rsidRDefault="00F02FF0" w:rsidP="00E60F2A">
      <w:pPr>
        <w:pStyle w:val="Heading8"/>
        <w:spacing w:before="120"/>
        <w:ind w:left="567" w:hanging="284"/>
        <w:jc w:val="both"/>
        <w:rPr>
          <w:rFonts w:ascii="Times New Roman" w:hAnsi="Times New Roman" w:cs="Times New Roman"/>
          <w:noProof/>
          <w:color w:val="616161"/>
          <w:sz w:val="24"/>
          <w:szCs w:val="24"/>
        </w:rPr>
      </w:pPr>
      <w:bookmarkStart w:id="51" w:name="Subparagraph_A(3)_–_Identifying_number"/>
      <w:bookmarkEnd w:id="51"/>
      <w:r>
        <w:rPr>
          <w:rFonts w:ascii="Times New Roman" w:hAnsi="Times New Roman"/>
          <w:color w:val="616161"/>
          <w:sz w:val="24"/>
        </w:rPr>
        <w:t>A punkta 3. apakšpunkts. Identifikācijas numurs</w:t>
      </w:r>
    </w:p>
    <w:p w14:paraId="571B425A" w14:textId="03E6F300"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9. Finanšu iestādei, kas sniedz ziņojumus, ir jāpaziņo tās nosaukums un identifikācijas numurs (ja tāds ir). Finanšu iestādes, kas sniedz ziņojumus, identifikācijas informācija ir paredzēta tam, lai ļautu iesaistītajām jurisdikcijām viegli identificēt paziņotās un pēc tam informācijas apmaiņā sniegtās informācijas avotu, lai, piemēram, pārbaudītu kļūdu, kas varētu būt bijusi par iemeslu nepareizas vai nepilnīgas informācijas paziņošanai. Finanšu iestādes, kas sniedz ziņojumus, “identifikācijas numurs” ir numurs, kurš piešķirts finanšu iestādei, kas sniedz ziņojumus, identifikācijas nolūkā. Parasti šo numuru finanšu iestādei, kas sniedz ziņojumus, piešķir tās rezidences jurisdikcija vai vieta, taču tas var būt arī piešķirts starptautiskā līmenī. Identifikācijas numurs var būt </w:t>
      </w:r>
      <w:r>
        <w:rPr>
          <w:rFonts w:ascii="Times New Roman" w:hAnsi="Times New Roman"/>
          <w:i/>
          <w:iCs/>
          <w:sz w:val="24"/>
        </w:rPr>
        <w:t>TIN</w:t>
      </w:r>
      <w:r>
        <w:rPr>
          <w:rFonts w:ascii="Times New Roman" w:hAnsi="Times New Roman"/>
          <w:sz w:val="24"/>
        </w:rPr>
        <w:t>, uzņēmuma/sabiedrības reģistrācijas kods/numurs, starptautiskais juridiskās personas identifikators (</w:t>
      </w:r>
      <w:r>
        <w:rPr>
          <w:rFonts w:ascii="Times New Roman" w:hAnsi="Times New Roman"/>
          <w:i/>
          <w:iCs/>
          <w:sz w:val="24"/>
        </w:rPr>
        <w:t>LEI</w:t>
      </w:r>
      <w:r>
        <w:rPr>
          <w:rFonts w:ascii="Times New Roman" w:hAnsi="Times New Roman"/>
          <w:sz w:val="24"/>
        </w:rPr>
        <w:t>)</w:t>
      </w:r>
      <w:r>
        <w:rPr>
          <w:rStyle w:val="FootnoteReference"/>
          <w:rFonts w:ascii="Times New Roman" w:hAnsi="Times New Roman" w:cs="Times New Roman"/>
          <w:noProof/>
          <w:sz w:val="24"/>
          <w:szCs w:val="24"/>
        </w:rPr>
        <w:footnoteReference w:customMarkFollows="1" w:id="1"/>
        <w:t>1</w:t>
      </w:r>
      <w:r>
        <w:rPr>
          <w:rFonts w:ascii="Times New Roman" w:hAnsi="Times New Roman"/>
          <w:sz w:val="24"/>
        </w:rPr>
        <w:t xml:space="preserve"> vai starptautiskais pagaidu identifikācijas numurs (</w:t>
      </w:r>
      <w:r>
        <w:rPr>
          <w:rFonts w:ascii="Times New Roman" w:hAnsi="Times New Roman"/>
          <w:i/>
          <w:iCs/>
          <w:sz w:val="24"/>
        </w:rPr>
        <w:t>GIIN</w:t>
      </w:r>
      <w:r>
        <w:rPr>
          <w:rFonts w:ascii="Times New Roman" w:hAnsi="Times New Roman"/>
          <w:sz w:val="24"/>
        </w:rPr>
        <w:t>)</w:t>
      </w:r>
      <w:r>
        <w:rPr>
          <w:rStyle w:val="FootnoteReference"/>
          <w:rFonts w:ascii="Times New Roman" w:hAnsi="Times New Roman" w:cs="Times New Roman"/>
          <w:noProof/>
          <w:sz w:val="24"/>
          <w:szCs w:val="24"/>
        </w:rPr>
        <w:footnoteReference w:customMarkFollows="1" w:id="2"/>
        <w:t>2</w:t>
      </w:r>
      <w:r>
        <w:rPr>
          <w:rFonts w:ascii="Times New Roman" w:hAnsi="Times New Roman"/>
          <w:sz w:val="24"/>
        </w:rPr>
        <w:t>.</w:t>
      </w:r>
      <w:r>
        <w:rPr>
          <w:rFonts w:ascii="Times New Roman" w:hAnsi="Times New Roman"/>
          <w:sz w:val="24"/>
          <w:vertAlign w:val="superscript"/>
        </w:rPr>
        <w:t xml:space="preserve"> </w:t>
      </w:r>
      <w:r>
        <w:rPr>
          <w:rFonts w:ascii="Times New Roman" w:hAnsi="Times New Roman"/>
          <w:sz w:val="24"/>
        </w:rPr>
        <w:t>Iesaistītajām jurisdikcijām ir jāsniedz savām finanšu iestādēm, kas sniedz ziņojumus, norādījumi par visiem paziņojamajiem identifikācijas numuriem. Ja finanšu iestādei, kas sniedz ziņojumus, šāds numurs nav piešķirts, tad jāpaziņo vienīgi šīs finanšu iestādes nosaukums un adrese.</w:t>
      </w:r>
    </w:p>
    <w:p w14:paraId="2209E1BE" w14:textId="77777777" w:rsidR="00F02FF0" w:rsidRPr="00774B72" w:rsidRDefault="00F02FF0" w:rsidP="00E60F2A">
      <w:pPr>
        <w:pStyle w:val="Heading8"/>
        <w:spacing w:before="120"/>
        <w:ind w:left="567" w:hanging="284"/>
        <w:jc w:val="both"/>
        <w:rPr>
          <w:rFonts w:ascii="Times New Roman" w:hAnsi="Times New Roman" w:cs="Times New Roman"/>
          <w:noProof/>
          <w:color w:val="616161"/>
          <w:sz w:val="24"/>
          <w:szCs w:val="24"/>
        </w:rPr>
      </w:pPr>
      <w:bookmarkStart w:id="52" w:name="Subparagraph_A(4)_–_Account_balance_or_v"/>
      <w:bookmarkEnd w:id="52"/>
      <w:r>
        <w:rPr>
          <w:rFonts w:ascii="Times New Roman" w:hAnsi="Times New Roman"/>
          <w:color w:val="616161"/>
          <w:sz w:val="24"/>
        </w:rPr>
        <w:t>A punkta 4. apakšpunkts. Konta bilance vai vērtība</w:t>
      </w:r>
    </w:p>
    <w:p w14:paraId="7025E9DF" w14:textId="52E8F629"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t>10. Finanšu iestādei, kas sniedz ziņojumus, ir jāsniedz informācija par konta bilanci vai vērtību kalendārā gada beigās vai citā attiecīgā ziņošanas periodā, vai par konta slēgšanu, ja konts ticis slēgts šāda gada vai cita perioda laikā (skat. turpmāk 14. punktu). Attiecībā uz kontu, kura bilance vai vērtība ir negatīva, jāpaziņo, ka konta bilance vai vērtība vienāda ar nulli. Tāda konta gadījumā, kas ir apdrošināšanas līgums ar naudas vērtību vai anuitātes līgums, finanšu iestādei, kas sniedz ziņojumus, ir jāsniedz informācija par konta naudas vērtību vai līguma laušanas gadījumā izmaksājamo summu.</w:t>
      </w:r>
    </w:p>
    <w:p w14:paraId="798A0486" w14:textId="33759734"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t>11. Tomēr dažas jurisdikcijas jau pieprasa finanšu iestādēm sniegt informāciju par konta vidējo bilanci vai vērtību kalendārajā gadā vai citā attiecīgā ziņošanas periodā. Šīm jurisdikcijām ir tiesības saglabāt šādas informācijas sniegšanu tā vietā, lai pieprasītu informācijas sniegšanu par konta bilanci vai vērtību kalendārā gada beigās vai citā attiecīgā ziņošanas periodā, ko iespējams nodrošināt, aizstājot A punkta 4. apakšpunktu ar šādu noteikumu:</w:t>
      </w:r>
    </w:p>
    <w:p w14:paraId="3EDC73E7" w14:textId="2437FA5A" w:rsidR="00F02FF0" w:rsidRPr="00774B72" w:rsidRDefault="00080348" w:rsidP="006A2501">
      <w:pPr>
        <w:tabs>
          <w:tab w:val="left" w:pos="1185"/>
        </w:tabs>
        <w:spacing w:before="120"/>
        <w:ind w:left="284" w:firstLine="283"/>
        <w:jc w:val="both"/>
        <w:rPr>
          <w:rFonts w:ascii="Times New Roman" w:hAnsi="Times New Roman" w:cs="Times New Roman"/>
          <w:i/>
          <w:noProof/>
          <w:sz w:val="24"/>
          <w:szCs w:val="24"/>
        </w:rPr>
      </w:pPr>
      <w:r>
        <w:rPr>
          <w:rFonts w:ascii="Times New Roman" w:hAnsi="Times New Roman"/>
          <w:i/>
          <w:sz w:val="24"/>
        </w:rPr>
        <w:t>4. [augstākā] vidējā [mēneša] konta bilance vai vērtība (tostarp apdrošināšanas līguma ar naudas vērtību vai anuitātes līguma gadījumā – naudas vērtība vai līguma laušanas gadījumā – izmaksājamā summa) konkrētajā kalendārajā gadā vai citā attiecīgā ziņošanas periodā vai konta slēgšana, ja konts ticis slēgts šajā gadā vai periodā;</w:t>
      </w:r>
    </w:p>
    <w:p w14:paraId="188113D6" w14:textId="77777777" w:rsidR="00F02FF0" w:rsidRPr="00774B72" w:rsidRDefault="00F02FF0" w:rsidP="007A163A">
      <w:pPr>
        <w:pStyle w:val="BodyText"/>
        <w:spacing w:before="120"/>
        <w:ind w:firstLine="283"/>
        <w:rPr>
          <w:rFonts w:ascii="Times New Roman" w:hAnsi="Times New Roman" w:cs="Times New Roman"/>
          <w:noProof/>
          <w:sz w:val="24"/>
          <w:szCs w:val="24"/>
        </w:rPr>
      </w:pPr>
      <w:r>
        <w:rPr>
          <w:rFonts w:ascii="Times New Roman" w:hAnsi="Times New Roman"/>
          <w:sz w:val="24"/>
        </w:rPr>
        <w:t>šādā gadījumā ir atbilstīgi jāgroza Kompetento iestāžu nolīguma parauga 2. panta 2. punkta d) apakšpunkts (skat. 4. punktu komentāros par kompetento iestāžu nolīguma 2. pantu).</w:t>
      </w:r>
    </w:p>
    <w:p w14:paraId="2AE2B775" w14:textId="000FCCFF"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lastRenderedPageBreak/>
        <w:t>12. Parasti finanšu konta bilance vai vērtība ir bilance vai vērtība, ko finanšu iestāde aprēķinājusi ar mērķi paziņot to konta turētājam. Attiecībā uz līdzdalības daļu finanšu iestādes kapitālā vai parādkapitālā, līdzdalības daļas kapitālā bilance vai vērtība ir vērtība, ko finanšu iestāde aprēķinājusi tādam mērķim, kam nepieciešama visbiežākā vērtības noteikšana, un līdzdalības daļas parādkapitālā bilance vai vērtība ir tās pamatsumma. Apdrošināšanas vai anuitātes līguma bilance vai vērtība ir bilance vai vērtība kalendārā gada beigās vai citā attiecīgā ziņošanas periodā (skat. turpmāk 15. punktu). Konta bilanci vai vērtību nesamazina, atskaitot no tās pasīvus vai saistības, ko konta turētājs uzņēmies attiecībā pret kontu vai jebkuriem šādā kontā turētiem aktīviem.</w:t>
      </w:r>
    </w:p>
    <w:p w14:paraId="56A4DE9E" w14:textId="4CBD13AE" w:rsidR="00F02FF0" w:rsidRPr="00774B72" w:rsidRDefault="00080348" w:rsidP="00876107">
      <w:pPr>
        <w:tabs>
          <w:tab w:val="left" w:pos="941"/>
        </w:tabs>
        <w:spacing w:before="120"/>
        <w:jc w:val="both"/>
        <w:rPr>
          <w:rFonts w:ascii="Times New Roman" w:hAnsi="Times New Roman" w:cs="Times New Roman"/>
          <w:noProof/>
          <w:sz w:val="24"/>
          <w:szCs w:val="24"/>
        </w:rPr>
      </w:pPr>
      <w:r>
        <w:rPr>
          <w:rFonts w:ascii="Times New Roman" w:hAnsi="Times New Roman"/>
          <w:sz w:val="24"/>
        </w:rPr>
        <w:t>13. Katram kopīgi turēta konta turētājam tiek piedēvēta pilna kopīgā konta bilance vai vērtība, kā arī pilnas summas, kas iemaksātas kopīgajā kontā vai kreditētas uz kontu (vai saistībā ar kopīgo kontu). Tas pats attiecas uz:</w:t>
      </w:r>
    </w:p>
    <w:p w14:paraId="0DFD2872" w14:textId="77777777" w:rsidR="00F02FF0" w:rsidRPr="00774B72" w:rsidRDefault="00F02FF0" w:rsidP="007A163A">
      <w:pPr>
        <w:pStyle w:val="ListParagraph"/>
        <w:numPr>
          <w:ilvl w:val="0"/>
          <w:numId w:val="51"/>
        </w:numPr>
        <w:tabs>
          <w:tab w:val="left" w:pos="1620"/>
          <w:tab w:val="left" w:pos="1622"/>
        </w:tabs>
        <w:ind w:left="567" w:hanging="284"/>
        <w:rPr>
          <w:rFonts w:ascii="Times New Roman" w:hAnsi="Times New Roman" w:cs="Times New Roman"/>
          <w:noProof/>
          <w:sz w:val="24"/>
          <w:szCs w:val="24"/>
        </w:rPr>
      </w:pPr>
      <w:r>
        <w:rPr>
          <w:rFonts w:ascii="Times New Roman" w:hAnsi="Times New Roman"/>
          <w:sz w:val="24"/>
        </w:rPr>
        <w:t>kontu, kuru tur pasīva nefinanšu vienība ar vairākām kontrolējošajām personām, kuras ir personas, par kurām jāsniedz ziņojums, ja katrai kontrolējošajai personai ir piedēvēta pilna pasīvās nefinanšu vienības turēta konta bilance vai vērtība, kā arī pilnas summas, kas iemaksātas kontā vai kreditētas uz kontu;</w:t>
      </w:r>
    </w:p>
    <w:p w14:paraId="4405571C" w14:textId="77777777" w:rsidR="00F02FF0" w:rsidRPr="00774B72" w:rsidRDefault="00F02FF0" w:rsidP="007A163A">
      <w:pPr>
        <w:pStyle w:val="ListParagraph"/>
        <w:numPr>
          <w:ilvl w:val="0"/>
          <w:numId w:val="51"/>
        </w:numPr>
        <w:tabs>
          <w:tab w:val="left" w:pos="1620"/>
          <w:tab w:val="left" w:pos="1622"/>
        </w:tabs>
        <w:ind w:left="567" w:hanging="284"/>
        <w:rPr>
          <w:rFonts w:ascii="Times New Roman" w:hAnsi="Times New Roman" w:cs="Times New Roman"/>
          <w:noProof/>
          <w:color w:val="231F20"/>
          <w:sz w:val="24"/>
          <w:szCs w:val="24"/>
        </w:rPr>
      </w:pPr>
      <w:r>
        <w:rPr>
          <w:rFonts w:ascii="Times New Roman" w:hAnsi="Times New Roman"/>
          <w:color w:val="231F20"/>
          <w:sz w:val="24"/>
        </w:rPr>
        <w:t>kontu, kuru tur konta turētājs, kas ir persona, par kuru jāsniedz ziņojums, un attiecībā uz ko ir norādīts, ka tam ir vairākas rezidences jurisdikcijas, ja attiecībā uz katru konta turētāja rezidences jurisdikciju jāsniedz informācija par pilnu kontā iemaksāto vai uz kontu kreditēto summu;</w:t>
      </w:r>
    </w:p>
    <w:p w14:paraId="1BEBA1C5" w14:textId="77777777" w:rsidR="00F02FF0" w:rsidRPr="00774B72" w:rsidRDefault="00F02FF0" w:rsidP="007A163A">
      <w:pPr>
        <w:pStyle w:val="ListParagraph"/>
        <w:numPr>
          <w:ilvl w:val="0"/>
          <w:numId w:val="51"/>
        </w:numPr>
        <w:tabs>
          <w:tab w:val="left" w:pos="1620"/>
          <w:tab w:val="left" w:pos="1622"/>
        </w:tabs>
        <w:ind w:left="567" w:hanging="284"/>
        <w:rPr>
          <w:rFonts w:ascii="Times New Roman" w:hAnsi="Times New Roman" w:cs="Times New Roman"/>
          <w:noProof/>
          <w:color w:val="231F20"/>
          <w:sz w:val="24"/>
          <w:szCs w:val="24"/>
        </w:rPr>
      </w:pPr>
      <w:r>
        <w:rPr>
          <w:rFonts w:ascii="Times New Roman" w:hAnsi="Times New Roman"/>
          <w:color w:val="231F20"/>
          <w:sz w:val="24"/>
        </w:rPr>
        <w:t>kontu, kuru tur pasīva nefinanšu vienība ar kontrolējošo personu, kas ir persona, par kuru jāsniedz ziņojums, un attiecībā uz ko ir norādīts, ka tai ir vairākas rezidences jurisdikcijas, ja attiecībā uz katru kontrolējošās personas rezidences jurisdikciju jāsniedz informācija par pasīvās nefinanšu vienības turētā konta bilanci vai vērtību, kā arī par pilnu kontā iemaksāto vai uz kontu kreditēto summu, vai</w:t>
      </w:r>
    </w:p>
    <w:p w14:paraId="39A9B8D1" w14:textId="77777777" w:rsidR="00F02FF0" w:rsidRPr="00774B72" w:rsidRDefault="00F02FF0" w:rsidP="007A163A">
      <w:pPr>
        <w:pStyle w:val="ListParagraph"/>
        <w:numPr>
          <w:ilvl w:val="0"/>
          <w:numId w:val="51"/>
        </w:numPr>
        <w:tabs>
          <w:tab w:val="left" w:pos="1620"/>
          <w:tab w:val="left" w:pos="1622"/>
        </w:tabs>
        <w:ind w:left="567" w:hanging="284"/>
        <w:rPr>
          <w:rFonts w:ascii="Times New Roman" w:hAnsi="Times New Roman" w:cs="Times New Roman"/>
          <w:noProof/>
          <w:color w:val="231F20"/>
          <w:sz w:val="24"/>
          <w:szCs w:val="24"/>
        </w:rPr>
      </w:pPr>
      <w:r>
        <w:rPr>
          <w:rFonts w:ascii="Times New Roman" w:hAnsi="Times New Roman"/>
          <w:color w:val="231F20"/>
          <w:sz w:val="24"/>
        </w:rPr>
        <w:t>kontu, kuru tur pasīva nefinanšu vienība, kas ir persona, par kuru jāsniedz ziņojums, ar kontrolējošo personu, kas ir persona, par kuru jāsniedz ziņojums, ja attiecībā uz pasīvo nefinanšu vienību un kontrolējošo personu jāsniedz informācija par pilnu pasīvās vienības turētā konta bilanci vai vērtību, kā arī par pilnu kontā iemaksāto vai uz kontu kreditēto summu.</w:t>
      </w:r>
    </w:p>
    <w:p w14:paraId="3F23F0E2" w14:textId="4A70DA1C" w:rsidR="00F02FF0" w:rsidRPr="00774B72" w:rsidRDefault="00080348" w:rsidP="007A163A">
      <w:pPr>
        <w:tabs>
          <w:tab w:val="left" w:pos="941"/>
        </w:tabs>
        <w:spacing w:before="120"/>
        <w:jc w:val="both"/>
        <w:rPr>
          <w:rFonts w:ascii="Times New Roman" w:hAnsi="Times New Roman" w:cs="Times New Roman"/>
          <w:b/>
          <w:i/>
          <w:noProof/>
          <w:sz w:val="24"/>
          <w:szCs w:val="24"/>
          <w:u w:val="thick"/>
        </w:rPr>
      </w:pPr>
      <w:r>
        <w:rPr>
          <w:rFonts w:ascii="Times New Roman" w:hAnsi="Times New Roman"/>
          <w:sz w:val="24"/>
        </w:rPr>
        <w:t xml:space="preserve">14. Konta slēgšanas gadījumā finanšu iestādei, kas sniedz ziņojumus, nav pienākuma sniegt informāciju par konta bilanci vai vērtību pirms konta slēgšanas vai konta slēgšanas brīdī, taču tai ir jāpaziņo, ka konts ir slēgts. To, kad konts tiek “slēgts”, nosaka saskaņā ar attiecīgās jurisdikcijas piemērojamajiem tiesību aktiem. Ja piemērojamos tiesību aktos nav noteikts kontu slēgšanas jautājums, konts tiks uzskatīts par slēgtu saskaņā ar parastajām darbības procedūrām, ko finanšu iestādes, kas sniedz ziņojumus, konsekventi piemēro attiecībā uz visiem šādas iestādes uzturētajiem kontiem. Piemēram, līdzdalības daļas finanšu iestādes kapitālā vai parādkapitālā parasti tiks uzskatītas par slēgtām izbeigšanas, pārveduma, atpirkuma, dzēšanas, atcelšanas vai likvidācijas dēļ. Tas, ka konta bilance vai vērtība ir vienāda ar nulli vai ir negatīva, nav pietiekams iemesls, lai uzskatītu, ka konts ir slēgts. </w:t>
      </w:r>
      <w:r>
        <w:rPr>
          <w:rFonts w:ascii="Times New Roman" w:hAnsi="Times New Roman"/>
          <w:b/>
          <w:i/>
          <w:sz w:val="24"/>
          <w:u w:val="single"/>
        </w:rPr>
        <w:t>Līdzīgi, ja diskrecionārais labuma guvējs trastā, kas ir finanšu iestāde, saņem sadali no trasta konkrētajā gadā, bet ne nākamajā gadā, tas, ka sadale nav veikta, nenozīmē konta slēgšanu, kamēr vien labuma guvējs netiek pastāvīgi izslēgts no to personu loka, kas saņem nākamās sadales no trasta.</w:t>
      </w:r>
    </w:p>
    <w:p w14:paraId="403F7B55" w14:textId="77777777" w:rsidR="00F02FF0" w:rsidRPr="00774B72" w:rsidRDefault="00F02FF0" w:rsidP="00774B72">
      <w:pPr>
        <w:pStyle w:val="Heading8"/>
        <w:spacing w:before="120"/>
        <w:ind w:left="567" w:hanging="284"/>
        <w:jc w:val="both"/>
        <w:rPr>
          <w:rFonts w:ascii="Times New Roman" w:hAnsi="Times New Roman" w:cs="Times New Roman"/>
          <w:noProof/>
          <w:color w:val="616161"/>
          <w:sz w:val="24"/>
          <w:szCs w:val="24"/>
        </w:rPr>
      </w:pPr>
      <w:bookmarkStart w:id="53" w:name="Subparagraphs_A(4)_through_(7)_–_Appropr"/>
      <w:bookmarkEnd w:id="53"/>
      <w:r>
        <w:rPr>
          <w:rFonts w:ascii="Times New Roman" w:hAnsi="Times New Roman"/>
          <w:color w:val="616161"/>
          <w:sz w:val="24"/>
        </w:rPr>
        <w:t>A punkta 4.–7. apakšpunkts. Attiecīgi ziņošanas periodi</w:t>
      </w:r>
    </w:p>
    <w:p w14:paraId="5E6B3CBA" w14:textId="4AE399B1" w:rsidR="00F02FF0" w:rsidRPr="00774B72" w:rsidRDefault="00080348" w:rsidP="001834C5">
      <w:pPr>
        <w:widowControl/>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15. Jāsniedz informācija par stāvokli attiecīgā kalendārā gada vai cita attiecīga ziņošanas perioda beigās. Termina “attiecīgs ziņošanas periods” nozīmi nosaka, pamatojoties uz nozīmi, </w:t>
      </w:r>
      <w:r>
        <w:rPr>
          <w:rFonts w:ascii="Times New Roman" w:hAnsi="Times New Roman"/>
          <w:color w:val="231F20"/>
          <w:sz w:val="24"/>
        </w:rPr>
        <w:lastRenderedPageBreak/>
        <w:t>kas šim terminam piešķirta konkrētajā laikā katras jurisdikcijas ziņošanas noteikumos, kas ir konsekventi jāpiemēro pienācīgā laika posmā (vairākus gadus).</w:t>
      </w:r>
    </w:p>
    <w:p w14:paraId="53058509" w14:textId="77777777" w:rsidR="00F02FF0" w:rsidRPr="00774B72" w:rsidRDefault="00F02FF0" w:rsidP="007A163A">
      <w:pPr>
        <w:pStyle w:val="BodyText"/>
        <w:spacing w:before="120"/>
        <w:rPr>
          <w:rFonts w:ascii="Times New Roman" w:hAnsi="Times New Roman" w:cs="Times New Roman"/>
          <w:noProof/>
          <w:sz w:val="24"/>
          <w:szCs w:val="24"/>
        </w:rPr>
      </w:pPr>
      <w:r>
        <w:rPr>
          <w:rFonts w:ascii="Times New Roman" w:hAnsi="Times New Roman"/>
          <w:sz w:val="24"/>
        </w:rPr>
        <w:t>Par attiecīgiem ziņošanas periodiem parasti tiktu uzskatīts laika posms starp jaunāko līguma gadadienu un iepriekšējo līguma gadadienu (piemēram, apdrošināšanas līguma ar naudas vērtību gadījumā) un fiskālais gads, kas neatbilst kalendārajam gadam.</w:t>
      </w:r>
    </w:p>
    <w:p w14:paraId="079FBFDE" w14:textId="77777777" w:rsidR="00F02FF0" w:rsidRPr="00774B72" w:rsidRDefault="00F02FF0" w:rsidP="007A163A">
      <w:pPr>
        <w:pStyle w:val="Heading8"/>
        <w:spacing w:before="120"/>
        <w:ind w:left="567" w:hanging="284"/>
        <w:jc w:val="both"/>
        <w:rPr>
          <w:rFonts w:ascii="Times New Roman" w:hAnsi="Times New Roman" w:cs="Times New Roman"/>
          <w:noProof/>
          <w:color w:val="616161"/>
          <w:sz w:val="24"/>
          <w:szCs w:val="24"/>
        </w:rPr>
      </w:pPr>
      <w:bookmarkStart w:id="54" w:name="Subparagraph_A(5)(a)_–_Other_income"/>
      <w:bookmarkEnd w:id="54"/>
      <w:r>
        <w:rPr>
          <w:rFonts w:ascii="Times New Roman" w:hAnsi="Times New Roman"/>
          <w:color w:val="616161"/>
          <w:sz w:val="24"/>
        </w:rPr>
        <w:t>A punkta 5. apakšpunkta a) daļa. Citi ienākumi</w:t>
      </w:r>
    </w:p>
    <w:p w14:paraId="16904DA4" w14:textId="39320396" w:rsidR="00F02FF0" w:rsidRPr="00774B72" w:rsidRDefault="00080348" w:rsidP="007A163A">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16. Turētāja konta gadījumā sniedzamajā informācijā ietilpst citu ienākumu, kuri gūti saistībā ar kontā turētajiem aktīviem, kopējā bruto summa, kas iemaksāta kontā vai kreditēta uz kontu (vai saistībā ar kontu) kalendārajā gadā vai citā attiecīgā ziņošanas periodā. Termins “citi ienākumi” nozīmē jebkuru summu, kas tiek uzskatīta par ienākumiem saskaņā ar tās jurisdikcijas tiesību aktiem, kurā tiek uzturēts konts, izņemot summas, kas uzskatāmas par procentiem, dividendēm vai bruto ieņēmumiem vai kapitāla pieaugumu no finanšu aktīvu pārdošanas vai dzēšanas.</w:t>
      </w:r>
    </w:p>
    <w:p w14:paraId="33D044AE" w14:textId="77777777" w:rsidR="00F02FF0" w:rsidRPr="00774B72" w:rsidRDefault="00F02FF0" w:rsidP="007A163A">
      <w:pPr>
        <w:pStyle w:val="Heading8"/>
        <w:spacing w:before="120"/>
        <w:ind w:left="567" w:hanging="284"/>
        <w:jc w:val="both"/>
        <w:rPr>
          <w:rFonts w:ascii="Times New Roman" w:hAnsi="Times New Roman" w:cs="Times New Roman"/>
          <w:noProof/>
          <w:color w:val="616161"/>
          <w:sz w:val="24"/>
          <w:szCs w:val="24"/>
        </w:rPr>
      </w:pPr>
      <w:bookmarkStart w:id="55" w:name="Subparagraph_A(5)(b)_–_Gross_proceeds"/>
      <w:bookmarkEnd w:id="55"/>
      <w:r>
        <w:rPr>
          <w:rFonts w:ascii="Times New Roman" w:hAnsi="Times New Roman"/>
          <w:color w:val="616161"/>
          <w:sz w:val="24"/>
        </w:rPr>
        <w:t>A punkta 5. apakšpunkta b) daļa. Bruto ieņēmumi</w:t>
      </w:r>
    </w:p>
    <w:p w14:paraId="57E79EBA" w14:textId="51E3BE68" w:rsidR="00F02FF0" w:rsidRPr="00774B72" w:rsidRDefault="00080348" w:rsidP="007A163A">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17. Turētāja konta gadījumā sniedzamajā informācijā ietilpst kopējie bruto ieņēmumi no to finanšu aktīvu pārdošanas vai dzēšanas, kas iemaksāti kontā vai kreditēti uz </w:t>
      </w:r>
      <w:r>
        <w:rPr>
          <w:rFonts w:ascii="Times New Roman" w:hAnsi="Times New Roman"/>
          <w:b/>
          <w:i/>
          <w:iCs/>
          <w:color w:val="231F20"/>
          <w:sz w:val="24"/>
          <w:u w:val="single"/>
        </w:rPr>
        <w:t>vai attiecībā uz</w:t>
      </w:r>
      <w:r>
        <w:rPr>
          <w:rFonts w:ascii="Times New Roman" w:hAnsi="Times New Roman"/>
          <w:color w:val="231F20"/>
          <w:sz w:val="24"/>
        </w:rPr>
        <w:t xml:space="preserve"> kontu kalendārajā gadā vai citā attiecīgajā ziņošanas periodā, kurā finanšu iestāde, kas sniedz ziņojumus, rīkojās kā turētājiestāde, ieguldījumu iestāde, nominālais finanšu aktīvu turētājs vai citādi kā konta turētāja aģents. Termins “pārdošana vai dzēšana” nozīmē jebkuru finanšu aktīvu pārdošanu vai dzēšanu, kas noteikta, neņemot vērā to, vai šādu finanšu aktīvu īpašnieks tiek aplikts ar nodokli saistībā ar šādu pārdošanu vai dzēšanu.</w:t>
      </w:r>
    </w:p>
    <w:p w14:paraId="6BC12567" w14:textId="5EDAFCFE" w:rsidR="00F02FF0" w:rsidRPr="00774B72" w:rsidRDefault="00080348" w:rsidP="007A163A">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18. Mijieskaita vai norēķinu iestādei, kas uztur kontus, par kuriem jāsniedz ziņojums, un nokārto vērtspapīru pārdošanu un pirkšanu starp šādu iestāžu dalībniekiem pēc neto principa, var nebūt zināmi bruto ieņēmumi no pārdošanas vai izpirkšanas. Ja mijieskaita vai norēķinu iestādei nav zināmi bruto ieņēmumi, tad bruto ieņēmumus ierobežo līdz neto summai, kas iemaksāta tajā dalībnieka kontā vai kreditēta uz to kontu, kurš ir saistīts ar šī dalībnieka īstenoto finanšu aktīvu pārdošanu vai izvietošanu, laikā, kad šāds darījums tiek veikts saskaņā ar šādas iestādes norēķinu procedūrām. Termins “mijieskaita vai norēķinu iestāde” nozīmē vienību, kas nodarbojas ar vērtspapīru tirdzniecības mijieskaita norēķiniem tās dalībnieku labā un veic vērtspapīru pārvedumu vai uzdod veikt šādu pārvedumu kredītā vai debetā dalībnieka kontā bez nepieciešamības fiziski piegādāt šādus vērtspapīrus.</w:t>
      </w:r>
    </w:p>
    <w:p w14:paraId="6BC4C678" w14:textId="361F9E82" w:rsidR="00F02FF0" w:rsidRPr="00774B72" w:rsidRDefault="00080348" w:rsidP="007A163A">
      <w:pPr>
        <w:tabs>
          <w:tab w:val="left" w:pos="941"/>
        </w:tabs>
        <w:spacing w:before="120"/>
        <w:jc w:val="both"/>
        <w:rPr>
          <w:rFonts w:ascii="Times New Roman" w:hAnsi="Times New Roman" w:cs="Times New Roman"/>
          <w:noProof/>
          <w:sz w:val="24"/>
          <w:szCs w:val="24"/>
        </w:rPr>
      </w:pPr>
      <w:r>
        <w:rPr>
          <w:rFonts w:ascii="Times New Roman" w:hAnsi="Times New Roman"/>
          <w:color w:val="231F20"/>
          <w:sz w:val="24"/>
        </w:rPr>
        <w:t xml:space="preserve">19. Ja mākleris veicis pārdošanu, kuras rezultātā tiek veikts bruto ieņēmumu maksājums, bruto ieņēmumi tiek uzskatīti par samaksātiem dienā, kad ieņēmumi no šādas pārdošanas tiek kreditēti uz kontu </w:t>
      </w:r>
      <w:r>
        <w:rPr>
          <w:rFonts w:ascii="Times New Roman" w:hAnsi="Times New Roman"/>
          <w:b/>
          <w:i/>
          <w:color w:val="231F20"/>
          <w:sz w:val="24"/>
          <w:u w:val="single"/>
        </w:rPr>
        <w:t>vai attiecībā uz kontu</w:t>
      </w:r>
      <w:r>
        <w:rPr>
          <w:rFonts w:ascii="Times New Roman" w:hAnsi="Times New Roman"/>
          <w:color w:val="231F20"/>
          <w:sz w:val="24"/>
        </w:rPr>
        <w:t xml:space="preserve"> vai citādi darīti pieejami personai, kurai ir tiesības uz šo maksājumu.</w:t>
      </w:r>
    </w:p>
    <w:p w14:paraId="76FED2B7" w14:textId="3E3D13C8" w:rsidR="00F02FF0" w:rsidRPr="00774B72" w:rsidRDefault="00080348" w:rsidP="007A163A">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20. Kopējie bruto ieņēmumi no pārdošanas vai dzēšanas ir kopējā summa, kas iegūta no finanšu aktīvu pārdošanas vai dzēšanas. Ja pārdošanu īsteno mākleris, kopējie bruto ieņēmumi no pārdošanas vai dzēšanas ir kopējā summa, kas iemaksāta tās personas kontā vai kreditēta uz šādu kontu </w:t>
      </w:r>
      <w:r>
        <w:rPr>
          <w:rFonts w:ascii="Times New Roman" w:hAnsi="Times New Roman"/>
          <w:b/>
          <w:i/>
          <w:color w:val="231F20"/>
          <w:sz w:val="24"/>
          <w:u w:val="single"/>
        </w:rPr>
        <w:t>vai attiecībā uz šādu kontu</w:t>
      </w:r>
      <w:r>
        <w:rPr>
          <w:rFonts w:ascii="Times New Roman" w:hAnsi="Times New Roman"/>
          <w:color w:val="231F20"/>
          <w:sz w:val="24"/>
        </w:rPr>
        <w:t>, kurai ir tiesības uz šo maksājumu, pieskaitot tai jebkuru summu, kas nav samaksāta saistībā ar maržinālo aizdevumu atmaksāšanu; nosakot kopējos bruto ieņēmumus, mākleris var (bet viņam nav tāda pienākuma) ņemt vērā komisijas maksu par pārdošanas darījumu. Ja pārdod procentus saturošas parādsaistības, bruto ieņēmumos ietilpst visi procenti, kas uzkrāti starp procentu maksājuma datumiem.</w:t>
      </w:r>
    </w:p>
    <w:p w14:paraId="096BF7E6" w14:textId="77777777" w:rsidR="00F02FF0" w:rsidRPr="00774B72" w:rsidRDefault="00F02FF0" w:rsidP="007A163A">
      <w:pPr>
        <w:pStyle w:val="Heading8"/>
        <w:spacing w:before="120"/>
        <w:ind w:left="567" w:hanging="284"/>
        <w:jc w:val="both"/>
        <w:rPr>
          <w:rFonts w:ascii="Times New Roman" w:hAnsi="Times New Roman" w:cs="Times New Roman"/>
          <w:noProof/>
          <w:color w:val="616161"/>
          <w:sz w:val="24"/>
          <w:szCs w:val="24"/>
        </w:rPr>
      </w:pPr>
      <w:bookmarkStart w:id="56" w:name="Subparagraph_A(7)_–_Gross_amounts"/>
      <w:bookmarkEnd w:id="56"/>
      <w:r>
        <w:rPr>
          <w:rFonts w:ascii="Times New Roman" w:hAnsi="Times New Roman"/>
          <w:color w:val="616161"/>
          <w:sz w:val="24"/>
        </w:rPr>
        <w:t>A punkta 7. apakšpunkts. Bruto summas</w:t>
      </w:r>
    </w:p>
    <w:p w14:paraId="0E11DEB1" w14:textId="765F341C" w:rsidR="00F02FF0" w:rsidRPr="00774B72" w:rsidRDefault="00080348" w:rsidP="001834C5">
      <w:pPr>
        <w:widowControl/>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21. Jebkura tāda konta gadījumā, kas nav turētāja konts vai noguldījumu konts, sniedzamajā informācijā ietilpst kopējā bruto summa, kas samaksāta vai kreditēta konta turētājam saistībā ar kontu kalendārajā gadā vai citā attiecīgā ziņošanas periodā, attiecībā uz kuru finanšu </w:t>
      </w:r>
      <w:r>
        <w:rPr>
          <w:rFonts w:ascii="Times New Roman" w:hAnsi="Times New Roman"/>
          <w:color w:val="231F20"/>
          <w:sz w:val="24"/>
        </w:rPr>
        <w:lastRenderedPageBreak/>
        <w:t>iestāde, kas sniedz ziņojumus, ir kreditors vai parādnieks. Šādā “bruto summā” ietilpst, piemēram, šādas kopsummas:</w:t>
      </w:r>
    </w:p>
    <w:p w14:paraId="5E98DF40" w14:textId="77777777" w:rsidR="00F02FF0" w:rsidRPr="00774B72" w:rsidRDefault="00F02FF0" w:rsidP="007A163A">
      <w:pPr>
        <w:pStyle w:val="ListParagraph"/>
        <w:numPr>
          <w:ilvl w:val="0"/>
          <w:numId w:val="50"/>
        </w:numPr>
        <w:tabs>
          <w:tab w:val="left" w:pos="1620"/>
          <w:tab w:val="left" w:pos="1622"/>
        </w:tabs>
        <w:ind w:left="567" w:hanging="284"/>
        <w:rPr>
          <w:rFonts w:ascii="Times New Roman" w:hAnsi="Times New Roman" w:cs="Times New Roman"/>
          <w:noProof/>
          <w:sz w:val="24"/>
          <w:szCs w:val="24"/>
        </w:rPr>
      </w:pPr>
      <w:r>
        <w:rPr>
          <w:rFonts w:ascii="Times New Roman" w:hAnsi="Times New Roman"/>
          <w:sz w:val="24"/>
        </w:rPr>
        <w:t>visi dzēšanas maksājumi, kas (pilnībā vai daļēji) veikti konta turētājam kalendārajā gadā vai citā attiecīgā ziņošanas periodā, un</w:t>
      </w:r>
    </w:p>
    <w:p w14:paraId="29B987DF" w14:textId="77777777" w:rsidR="00F02FF0" w:rsidRPr="00774B72" w:rsidRDefault="00F02FF0" w:rsidP="007A163A">
      <w:pPr>
        <w:pStyle w:val="ListParagraph"/>
        <w:numPr>
          <w:ilvl w:val="0"/>
          <w:numId w:val="50"/>
        </w:numPr>
        <w:tabs>
          <w:tab w:val="left" w:pos="1620"/>
          <w:tab w:val="left" w:pos="1622"/>
        </w:tabs>
        <w:ind w:left="567" w:hanging="284"/>
        <w:rPr>
          <w:rFonts w:ascii="Times New Roman" w:hAnsi="Times New Roman" w:cs="Times New Roman"/>
          <w:noProof/>
          <w:color w:val="231F20"/>
          <w:sz w:val="24"/>
          <w:szCs w:val="24"/>
        </w:rPr>
      </w:pPr>
      <w:r>
        <w:rPr>
          <w:rFonts w:ascii="Times New Roman" w:hAnsi="Times New Roman"/>
          <w:color w:val="231F20"/>
          <w:sz w:val="24"/>
        </w:rPr>
        <w:t>jebkurš maksājums, kas veikts konta turētājam, pamatojoties uz apdrošināšanas līgumu ar naudas vērtību vai anuitātes līgumu, kalendārajā gadā vai citā attiecīgā ziņošanas periodā, pat ja šādi maksājumi netiek uzskatīti par naudas vērtību atbilstīgi VIII panta C punkta 8. apakšpunktam.</w:t>
      </w:r>
    </w:p>
    <w:p w14:paraId="4D9E45E3" w14:textId="77777777" w:rsidR="00F02FF0" w:rsidRPr="00774B72" w:rsidRDefault="00F02FF0" w:rsidP="007A163A">
      <w:pPr>
        <w:pStyle w:val="Heading8"/>
        <w:spacing w:before="120"/>
        <w:ind w:left="567" w:hanging="284"/>
        <w:jc w:val="both"/>
        <w:rPr>
          <w:rFonts w:ascii="Times New Roman" w:hAnsi="Times New Roman" w:cs="Times New Roman"/>
          <w:noProof/>
          <w:color w:val="616161"/>
          <w:sz w:val="24"/>
          <w:szCs w:val="24"/>
        </w:rPr>
      </w:pPr>
      <w:bookmarkStart w:id="57" w:name="CRS_schema_and_user_guide"/>
      <w:bookmarkEnd w:id="57"/>
      <w:r>
        <w:rPr>
          <w:rFonts w:ascii="Times New Roman" w:hAnsi="Times New Roman"/>
          <w:color w:val="616161"/>
          <w:sz w:val="24"/>
        </w:rPr>
        <w:t>CRS shēma un lietošanas vadlīnijas</w:t>
      </w:r>
    </w:p>
    <w:p w14:paraId="4BEBE111" w14:textId="139228B6" w:rsidR="00F02FF0" w:rsidRPr="00774B72" w:rsidRDefault="00080348" w:rsidP="007A163A">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22. Kompetento iestāžu nolīguma paraugā paredzēts, ka kompetentās iestādes izmantos Kopējā ziņošanas standarta shēmu sniedzamās informācijas apmaiņai. Shēmu informācijas sniegšanai (atbilstīgi tam, kā to nosaka valsts tiesību akti) var izmantot arī finanšu iestādes, kas sniedz ziņojumus. Lietošanas pamācība var būt īpaši noderīga finanšu iestādēm, kas sniedz ziņojumus, jo tajā iekļauta sīkāka informācija par katru datu elementu un jebkuriem šādu datu elementu atribūtiem. Piemēram, lietotāja pamācībā ir sniegta informācija par trīs datu elementiem, kas piemērojami attiecībā uz dzimšanas vietu (t. i., </w:t>
      </w:r>
      <w:r>
        <w:rPr>
          <w:rFonts w:ascii="Times New Roman" w:hAnsi="Times New Roman"/>
          <w:i/>
          <w:iCs/>
          <w:color w:val="231F20"/>
          <w:sz w:val="24"/>
        </w:rPr>
        <w:t>CountryInfo</w:t>
      </w:r>
      <w:r>
        <w:rPr>
          <w:rFonts w:ascii="Times New Roman" w:hAnsi="Times New Roman"/>
          <w:color w:val="231F20"/>
          <w:sz w:val="24"/>
        </w:rPr>
        <w:t xml:space="preserve">, </w:t>
      </w:r>
      <w:r>
        <w:rPr>
          <w:rFonts w:ascii="Times New Roman" w:hAnsi="Times New Roman"/>
          <w:i/>
          <w:iCs/>
          <w:color w:val="231F20"/>
          <w:sz w:val="24"/>
        </w:rPr>
        <w:t>City</w:t>
      </w:r>
      <w:r>
        <w:rPr>
          <w:rFonts w:ascii="Times New Roman" w:hAnsi="Times New Roman"/>
          <w:color w:val="231F20"/>
          <w:sz w:val="24"/>
        </w:rPr>
        <w:t xml:space="preserve"> un </w:t>
      </w:r>
      <w:r>
        <w:rPr>
          <w:rFonts w:ascii="Times New Roman" w:hAnsi="Times New Roman"/>
          <w:i/>
          <w:iCs/>
          <w:color w:val="231F20"/>
          <w:sz w:val="24"/>
        </w:rPr>
        <w:t>CitySubentity</w:t>
      </w:r>
      <w:r>
        <w:rPr>
          <w:rFonts w:ascii="Times New Roman" w:hAnsi="Times New Roman"/>
          <w:color w:val="231F20"/>
          <w:sz w:val="24"/>
        </w:rPr>
        <w:t>) un paskaidrots, ka gadījumā, ja jāsniedz informācija par dzimšanas vietu, tad obligāti jāpaziņo datu elements</w:t>
      </w:r>
      <w:r>
        <w:rPr>
          <w:rFonts w:ascii="Times New Roman" w:hAnsi="Times New Roman"/>
          <w:i/>
          <w:iCs/>
          <w:color w:val="231F20"/>
          <w:sz w:val="24"/>
        </w:rPr>
        <w:t xml:space="preserve"> CountryInfo</w:t>
      </w:r>
      <w:r>
        <w:rPr>
          <w:rFonts w:ascii="Times New Roman" w:hAnsi="Times New Roman"/>
          <w:color w:val="231F20"/>
          <w:sz w:val="24"/>
        </w:rPr>
        <w:t xml:space="preserve"> (ko norāda, izmantojot valsts kodu vai nosaukumu) un </w:t>
      </w:r>
      <w:r>
        <w:rPr>
          <w:rFonts w:ascii="Times New Roman" w:hAnsi="Times New Roman"/>
          <w:i/>
          <w:iCs/>
          <w:color w:val="231F20"/>
          <w:sz w:val="24"/>
        </w:rPr>
        <w:t>City</w:t>
      </w:r>
      <w:r>
        <w:rPr>
          <w:rFonts w:ascii="Times New Roman" w:hAnsi="Times New Roman"/>
          <w:color w:val="231F20"/>
          <w:sz w:val="24"/>
        </w:rPr>
        <w:t xml:space="preserve">, savukārt </w:t>
      </w:r>
      <w:r>
        <w:rPr>
          <w:rFonts w:ascii="Times New Roman" w:hAnsi="Times New Roman"/>
          <w:i/>
          <w:iCs/>
          <w:color w:val="231F20"/>
          <w:sz w:val="24"/>
        </w:rPr>
        <w:t>CitySubentity</w:t>
      </w:r>
      <w:r>
        <w:rPr>
          <w:rFonts w:ascii="Times New Roman" w:hAnsi="Times New Roman"/>
          <w:color w:val="231F20"/>
          <w:sz w:val="24"/>
        </w:rPr>
        <w:t xml:space="preserve"> norādīšana nav obligāta.</w:t>
      </w:r>
    </w:p>
    <w:p w14:paraId="5AAF6FE4" w14:textId="77777777" w:rsidR="00F02FF0" w:rsidRPr="00774B72" w:rsidRDefault="00F02FF0" w:rsidP="007A163A">
      <w:pPr>
        <w:pStyle w:val="Heading7"/>
        <w:spacing w:before="120"/>
        <w:ind w:left="567" w:hanging="284"/>
        <w:jc w:val="both"/>
        <w:rPr>
          <w:rFonts w:ascii="Times New Roman" w:hAnsi="Times New Roman" w:cs="Times New Roman"/>
          <w:noProof/>
          <w:sz w:val="24"/>
          <w:szCs w:val="24"/>
        </w:rPr>
      </w:pPr>
      <w:bookmarkStart w:id="58" w:name="Paragraph_B_–_Currency"/>
      <w:bookmarkEnd w:id="58"/>
      <w:r>
        <w:rPr>
          <w:rFonts w:ascii="Times New Roman" w:hAnsi="Times New Roman"/>
          <w:sz w:val="24"/>
        </w:rPr>
        <w:t>B punkts. Valūta</w:t>
      </w:r>
    </w:p>
    <w:p w14:paraId="1764519A" w14:textId="1FC850A3" w:rsidR="00F02FF0" w:rsidRPr="00774B72" w:rsidRDefault="00080348"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23. Informācija ir jāsniedz valūtā, kurā ir denominēts konts, un ir jānorāda valūta, kurā ir denominēta katra summa. Ja konts denominēts vairākās valūtās, tad finanšu iestāde, kas sniedz ziņojumus, var izvēlēties sniegt informāciju valūtā, kurā ir denominēts konts un tai ir jānorāda valūta, kurā tiek sniegta informāciju par kontu.</w:t>
      </w:r>
    </w:p>
    <w:p w14:paraId="7E9B3744" w14:textId="6135E0BF" w:rsidR="00F02FF0" w:rsidRPr="00774B72" w:rsidRDefault="00080348"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24. Ja finanšu konta bilance vai vērtība vai cita summa ir denominēta valūtā, kas nav valūta, kuru izmanto iesaistītā jurisdikcija, kad tiek ieviests Kopējais ziņošanas standarts (ar robežvērtībām un ierobežojumiem saistītām vajadzībām), finanšu iestādei, kas sniedz ziņojumus, bilance vai vērtība ir jāaprēķina, piemērojot dienas kursu, lai izteiktu šādu bilanci vai vērtību valūtas ekvivalentā. Ciktāl tas saistīts ar finanšu iestādes, kas sniedz ziņojumus, informācijas sniegšanu par kontu, dienas kursam ir jābūt noteiktam kalendārā gada vai cita tāda attiecīga ziņošanas perioda pēdējā dienā, attiecībā uz kuru tiek sniegts ziņojums par kontu.</w:t>
      </w:r>
    </w:p>
    <w:p w14:paraId="6A6C2983" w14:textId="77777777" w:rsidR="00F02FF0" w:rsidRPr="00774B72" w:rsidRDefault="00F02FF0" w:rsidP="00CA7B19">
      <w:pPr>
        <w:pStyle w:val="Heading7"/>
        <w:spacing w:before="120"/>
        <w:ind w:left="567" w:hanging="284"/>
        <w:jc w:val="both"/>
        <w:rPr>
          <w:rFonts w:ascii="Times New Roman" w:hAnsi="Times New Roman" w:cs="Times New Roman"/>
          <w:noProof/>
          <w:sz w:val="24"/>
          <w:szCs w:val="24"/>
        </w:rPr>
      </w:pPr>
      <w:bookmarkStart w:id="59" w:name="Paragraphs_C_through_G_–_Exceptions"/>
      <w:bookmarkEnd w:id="59"/>
      <w:r>
        <w:rPr>
          <w:rFonts w:ascii="Times New Roman" w:hAnsi="Times New Roman"/>
          <w:sz w:val="24"/>
        </w:rPr>
        <w:t>C–</w:t>
      </w:r>
      <w:r>
        <w:rPr>
          <w:rFonts w:ascii="Times New Roman" w:hAnsi="Times New Roman"/>
          <w:sz w:val="24"/>
          <w:u w:val="single"/>
        </w:rPr>
        <w:t>G punkts. Izņēmumi</w:t>
      </w:r>
    </w:p>
    <w:p w14:paraId="4E8186E4" w14:textId="77777777" w:rsidR="00F02FF0" w:rsidRPr="00774B72" w:rsidRDefault="00F02FF0" w:rsidP="00CA7B19">
      <w:pPr>
        <w:pStyle w:val="Heading8"/>
        <w:spacing w:before="120"/>
        <w:ind w:left="567" w:hanging="284"/>
        <w:jc w:val="both"/>
        <w:rPr>
          <w:rFonts w:ascii="Times New Roman" w:hAnsi="Times New Roman" w:cs="Times New Roman"/>
          <w:noProof/>
          <w:color w:val="616161"/>
          <w:sz w:val="24"/>
          <w:szCs w:val="24"/>
        </w:rPr>
      </w:pPr>
      <w:bookmarkStart w:id="60" w:name="TIN_and_date_of_birth"/>
      <w:bookmarkEnd w:id="60"/>
      <w:r>
        <w:rPr>
          <w:rFonts w:ascii="Times New Roman" w:hAnsi="Times New Roman"/>
          <w:color w:val="616161"/>
          <w:sz w:val="24"/>
        </w:rPr>
        <w:t>TIN un dzimšanas datums</w:t>
      </w:r>
    </w:p>
    <w:p w14:paraId="5A20BB6F" w14:textId="1870D5F9" w:rsidR="00F02FF0" w:rsidRPr="00774B72" w:rsidRDefault="00080348"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25. C punktā noteikts izņēmums attiecībā uz iepriekšpastāvējušiem kontiem: </w:t>
      </w:r>
      <w:r>
        <w:rPr>
          <w:rFonts w:ascii="Times New Roman" w:hAnsi="Times New Roman"/>
          <w:i/>
          <w:iCs/>
          <w:color w:val="231F20"/>
          <w:sz w:val="24"/>
        </w:rPr>
        <w:t>TIN</w:t>
      </w:r>
      <w:r>
        <w:rPr>
          <w:rFonts w:ascii="Times New Roman" w:hAnsi="Times New Roman"/>
          <w:color w:val="231F20"/>
          <w:sz w:val="24"/>
        </w:rPr>
        <w:t xml:space="preserve"> vai dzimšanas datums nav jāpaziņo, ja i) </w:t>
      </w:r>
      <w:r>
        <w:rPr>
          <w:rFonts w:ascii="Times New Roman" w:hAnsi="Times New Roman"/>
          <w:i/>
          <w:iCs/>
          <w:color w:val="231F20"/>
          <w:sz w:val="24"/>
        </w:rPr>
        <w:t>TIN</w:t>
      </w:r>
      <w:r>
        <w:rPr>
          <w:rFonts w:ascii="Times New Roman" w:hAnsi="Times New Roman"/>
          <w:color w:val="231F20"/>
          <w:sz w:val="24"/>
        </w:rPr>
        <w:t xml:space="preserve"> vai dzimšanas datums nav reģistrēts finanšu iestādes, kas sniedz ziņojumus, datos un ii) citādi finanšu iestādei, kas sniedz ziņojumus, valsts tiesību aktos nav noteikts pienākums vākt </w:t>
      </w:r>
      <w:r>
        <w:rPr>
          <w:rFonts w:ascii="Times New Roman" w:hAnsi="Times New Roman"/>
          <w:i/>
          <w:iCs/>
          <w:color w:val="231F20"/>
          <w:sz w:val="24"/>
        </w:rPr>
        <w:t>TIN</w:t>
      </w:r>
      <w:r>
        <w:rPr>
          <w:rFonts w:ascii="Times New Roman" w:hAnsi="Times New Roman"/>
          <w:color w:val="231F20"/>
          <w:sz w:val="24"/>
        </w:rPr>
        <w:t xml:space="preserve"> vai dzimšanas datumu. Līdz ar to </w:t>
      </w:r>
      <w:r>
        <w:rPr>
          <w:rFonts w:ascii="Times New Roman" w:hAnsi="Times New Roman"/>
          <w:i/>
          <w:iCs/>
          <w:color w:val="231F20"/>
          <w:sz w:val="24"/>
        </w:rPr>
        <w:t>TIN</w:t>
      </w:r>
      <w:r>
        <w:rPr>
          <w:rFonts w:ascii="Times New Roman" w:hAnsi="Times New Roman"/>
          <w:color w:val="231F20"/>
          <w:sz w:val="24"/>
        </w:rPr>
        <w:t xml:space="preserve"> vai dzimšanas datums ir jāpaziņo, ja:</w:t>
      </w:r>
    </w:p>
    <w:p w14:paraId="6D37F8A9" w14:textId="77777777" w:rsidR="00F02FF0" w:rsidRPr="00774B72" w:rsidRDefault="00F02FF0" w:rsidP="00CA7B19">
      <w:pPr>
        <w:pStyle w:val="ListParagraph"/>
        <w:numPr>
          <w:ilvl w:val="0"/>
          <w:numId w:val="49"/>
        </w:numPr>
        <w:tabs>
          <w:tab w:val="left" w:pos="1620"/>
          <w:tab w:val="left" w:pos="1622"/>
        </w:tabs>
        <w:ind w:left="567" w:hanging="284"/>
        <w:rPr>
          <w:rFonts w:ascii="Times New Roman" w:hAnsi="Times New Roman" w:cs="Times New Roman"/>
          <w:noProof/>
          <w:sz w:val="24"/>
          <w:szCs w:val="24"/>
        </w:rPr>
      </w:pPr>
      <w:r>
        <w:rPr>
          <w:rFonts w:ascii="Times New Roman" w:hAnsi="Times New Roman"/>
          <w:sz w:val="24"/>
        </w:rPr>
        <w:t xml:space="preserve">finanšu iestāde, kas sniedz ziņojumus, reģistrē </w:t>
      </w:r>
      <w:r>
        <w:rPr>
          <w:rFonts w:ascii="Times New Roman" w:hAnsi="Times New Roman"/>
          <w:i/>
          <w:iCs/>
          <w:sz w:val="24"/>
        </w:rPr>
        <w:t>TIN</w:t>
      </w:r>
      <w:r>
        <w:rPr>
          <w:rFonts w:ascii="Times New Roman" w:hAnsi="Times New Roman"/>
          <w:sz w:val="24"/>
        </w:rPr>
        <w:t xml:space="preserve"> vai dzimšanas datumu (neatkarīgi no tā, vai tai ir noteikts pienākums iekļaut šo informāciju reģistrētajos datos) vai</w:t>
      </w:r>
    </w:p>
    <w:p w14:paraId="174B677B" w14:textId="77777777" w:rsidR="00F02FF0" w:rsidRPr="00774B72" w:rsidRDefault="00F02FF0" w:rsidP="00CA7B19">
      <w:pPr>
        <w:pStyle w:val="ListParagraph"/>
        <w:numPr>
          <w:ilvl w:val="0"/>
          <w:numId w:val="49"/>
        </w:numPr>
        <w:tabs>
          <w:tab w:val="left" w:pos="1620"/>
          <w:tab w:val="left" w:pos="1622"/>
        </w:tabs>
        <w:ind w:left="567" w:hanging="284"/>
        <w:rPr>
          <w:rFonts w:ascii="Times New Roman" w:hAnsi="Times New Roman" w:cs="Times New Roman"/>
          <w:noProof/>
          <w:sz w:val="24"/>
          <w:szCs w:val="24"/>
        </w:rPr>
      </w:pPr>
      <w:r>
        <w:rPr>
          <w:rFonts w:ascii="Times New Roman" w:hAnsi="Times New Roman"/>
          <w:sz w:val="24"/>
        </w:rPr>
        <w:t xml:space="preserve">finanšu iestāde, kas sniedz ziņojumus, nereģistrē </w:t>
      </w:r>
      <w:r>
        <w:rPr>
          <w:rFonts w:ascii="Times New Roman" w:hAnsi="Times New Roman"/>
          <w:i/>
          <w:iCs/>
          <w:sz w:val="24"/>
        </w:rPr>
        <w:t>TIN</w:t>
      </w:r>
      <w:r>
        <w:rPr>
          <w:rFonts w:ascii="Times New Roman" w:hAnsi="Times New Roman"/>
          <w:sz w:val="24"/>
        </w:rPr>
        <w:t xml:space="preserve"> vai dzimšanas datumu, taču valsts tiesību aktos ir noteikts pienākums finanšu iestādei, kas sniedz ziņojumus, vākt šādus datus citām vajadzībām (piemēram,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w:t>
      </w:r>
    </w:p>
    <w:p w14:paraId="42CD855E" w14:textId="0B6A410D" w:rsidR="00F02FF0" w:rsidRPr="00774B72" w:rsidRDefault="00080348" w:rsidP="001834C5">
      <w:pPr>
        <w:keepNext/>
        <w:keepLines/>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lastRenderedPageBreak/>
        <w:t xml:space="preserve">26. “Reģistrētie dati”, kurus uztur finanšu iestāde, kas sniedz ziņojumus, ietver klienta pamatdatni un elektroniski uzmeklējamo informāciju (skat. turpmāk 34. punktu). “Klienta pamatdatnē” ietilpst finanšu iestādes, kas sniedz ziņojumus, galvenās datnes, kuras nepieciešamas konta turētāja informācijas uzturēšanai, piemēram, informācija, ko izmanto tam, lai sazinātos ar konta turētājiem un izpildītu </w:t>
      </w:r>
      <w:r>
        <w:rPr>
          <w:rFonts w:ascii="Times New Roman" w:hAnsi="Times New Roman"/>
          <w:i/>
          <w:iCs/>
          <w:color w:val="231F20"/>
          <w:sz w:val="24"/>
        </w:rPr>
        <w:t>AML</w:t>
      </w:r>
      <w:r>
        <w:rPr>
          <w:rFonts w:ascii="Times New Roman" w:hAnsi="Times New Roman"/>
          <w:color w:val="231F20"/>
          <w:sz w:val="24"/>
        </w:rPr>
        <w:t>/</w:t>
      </w:r>
      <w:r>
        <w:rPr>
          <w:rFonts w:ascii="Times New Roman" w:hAnsi="Times New Roman"/>
          <w:i/>
          <w:iCs/>
          <w:color w:val="231F20"/>
          <w:sz w:val="24"/>
        </w:rPr>
        <w:t>KYC</w:t>
      </w:r>
      <w:r>
        <w:rPr>
          <w:rFonts w:ascii="Times New Roman" w:hAnsi="Times New Roman"/>
          <w:color w:val="231F20"/>
          <w:sz w:val="24"/>
        </w:rPr>
        <w:t xml:space="preserve"> procedūras. Finanšu iestādēm, kas sniedz ziņojumus, parasti ir divus gadus ilgs laika posms pārbaudes procedūru pabeigšanai, lai noteiktu, kuri no zemākas vērtības kontiem ir konti, par kuriem jāsniedz ziņojums (skat. komentāru par III pantu 51. punktu), līdz ar to tās vispirms var izskatīt savus elektroniskos datus (vai iegūt </w:t>
      </w:r>
      <w:r>
        <w:rPr>
          <w:rFonts w:ascii="Times New Roman" w:hAnsi="Times New Roman"/>
          <w:i/>
          <w:iCs/>
          <w:color w:val="231F20"/>
          <w:sz w:val="24"/>
        </w:rPr>
        <w:t>TIN</w:t>
      </w:r>
      <w:r>
        <w:rPr>
          <w:rFonts w:ascii="Times New Roman" w:hAnsi="Times New Roman"/>
          <w:color w:val="231F20"/>
          <w:sz w:val="24"/>
        </w:rPr>
        <w:t xml:space="preserve"> vai dzimšanas datumu no konta turētāja) un pēc tam izskatīt papīra dokumentus.</w:t>
      </w:r>
    </w:p>
    <w:p w14:paraId="61823D04" w14:textId="4025A8C6" w:rsidR="00F02FF0" w:rsidRPr="00774B72" w:rsidRDefault="00080348" w:rsidP="00CA7B19">
      <w:pPr>
        <w:tabs>
          <w:tab w:val="left" w:pos="941"/>
        </w:tabs>
        <w:spacing w:before="120"/>
        <w:jc w:val="both"/>
        <w:rPr>
          <w:rFonts w:ascii="Times New Roman" w:hAnsi="Times New Roman" w:cs="Times New Roman"/>
          <w:noProof/>
          <w:sz w:val="24"/>
          <w:szCs w:val="24"/>
        </w:rPr>
      </w:pPr>
      <w:r>
        <w:rPr>
          <w:rFonts w:ascii="Times New Roman" w:hAnsi="Times New Roman"/>
          <w:color w:val="231F20"/>
          <w:sz w:val="24"/>
        </w:rPr>
        <w:t xml:space="preserve">27. Turklāt pat tad, ja finanšu iestādei, kas sniedz ziņojumus, tās reģistrētajos datos attiecībā uz iepriekšpastāvējušu kontu nav iekļauts </w:t>
      </w:r>
      <w:r>
        <w:rPr>
          <w:rFonts w:ascii="Times New Roman" w:hAnsi="Times New Roman"/>
          <w:i/>
          <w:iCs/>
          <w:color w:val="231F20"/>
          <w:sz w:val="24"/>
        </w:rPr>
        <w:t>TIN</w:t>
      </w:r>
      <w:r>
        <w:rPr>
          <w:rFonts w:ascii="Times New Roman" w:hAnsi="Times New Roman"/>
          <w:color w:val="231F20"/>
          <w:sz w:val="24"/>
        </w:rPr>
        <w:t xml:space="preserve"> vai dzimšanas datums un tiesību aktos tai arī nav noteikts pienākums vākt šādu informāciju citām vajadzībām, šai finanšu iestādei ir pienākums veikt pietiekamus pasākumus, lai iegūtu </w:t>
      </w:r>
      <w:r>
        <w:rPr>
          <w:rFonts w:ascii="Times New Roman" w:hAnsi="Times New Roman"/>
          <w:i/>
          <w:iCs/>
          <w:color w:val="231F20"/>
          <w:sz w:val="24"/>
        </w:rPr>
        <w:t>TIN</w:t>
      </w:r>
      <w:r>
        <w:rPr>
          <w:rFonts w:ascii="Times New Roman" w:hAnsi="Times New Roman"/>
          <w:color w:val="231F20"/>
          <w:sz w:val="24"/>
        </w:rPr>
        <w:t xml:space="preserve"> un dzimšanas datumu attiecībā uz iepriekšpastāvējušiem kontiem līdz otrā kalendārā gada beigām, kas seko gadam, kad šādi konti ir identificēti kā konti, par kuriem jāsniedz ziņojums, </w:t>
      </w:r>
      <w:r>
        <w:rPr>
          <w:rFonts w:ascii="Times New Roman" w:hAnsi="Times New Roman"/>
          <w:b/>
          <w:i/>
          <w:iCs/>
          <w:color w:val="231F20"/>
          <w:sz w:val="24"/>
          <w:u w:val="single"/>
        </w:rPr>
        <w:t>un tad, kad tai nepieciešams atjaunot informāciju par iepriekšpastāvējušu kontu saskaņā ar valsts tiesību aktos noteiktajām</w:t>
      </w:r>
      <w:r>
        <w:rPr>
          <w:rFonts w:ascii="Times New Roman" w:hAnsi="Times New Roman"/>
          <w:b/>
          <w:i/>
          <w:color w:val="231F20"/>
          <w:sz w:val="24"/>
          <w:u w:val="single"/>
        </w:rPr>
        <w:t xml:space="preserve"> AML/KYC </w:t>
      </w:r>
      <w:r>
        <w:rPr>
          <w:rFonts w:ascii="Times New Roman" w:hAnsi="Times New Roman"/>
          <w:b/>
          <w:i/>
          <w:iCs/>
          <w:color w:val="231F20"/>
          <w:sz w:val="24"/>
          <w:u w:val="single"/>
        </w:rPr>
        <w:t>procedūrām</w:t>
      </w:r>
      <w:r>
        <w:rPr>
          <w:rFonts w:ascii="Times New Roman" w:hAnsi="Times New Roman"/>
          <w:color w:val="231F20"/>
          <w:sz w:val="24"/>
        </w:rPr>
        <w:t xml:space="preserve">, ja vien attiecībā uz </w:t>
      </w:r>
      <w:r>
        <w:rPr>
          <w:rFonts w:ascii="Times New Roman" w:hAnsi="Times New Roman"/>
          <w:i/>
          <w:iCs/>
          <w:color w:val="231F20"/>
          <w:sz w:val="24"/>
        </w:rPr>
        <w:t>TIN</w:t>
      </w:r>
      <w:r>
        <w:rPr>
          <w:rFonts w:ascii="Times New Roman" w:hAnsi="Times New Roman"/>
          <w:color w:val="231F20"/>
          <w:sz w:val="24"/>
        </w:rPr>
        <w:t xml:space="preserve"> nav piemērojams viens no D punktā noteiktajiem izņēmumiem un tas nav jāpaziņo.</w:t>
      </w:r>
    </w:p>
    <w:p w14:paraId="5C6BA26F" w14:textId="40C3FA77" w:rsidR="00F02FF0" w:rsidRPr="00774B72" w:rsidRDefault="00080348" w:rsidP="00CA7B19">
      <w:pPr>
        <w:tabs>
          <w:tab w:val="left" w:pos="941"/>
        </w:tabs>
        <w:spacing w:before="120"/>
        <w:jc w:val="both"/>
        <w:rPr>
          <w:rFonts w:ascii="Times New Roman" w:hAnsi="Times New Roman" w:cs="Times New Roman"/>
          <w:noProof/>
          <w:sz w:val="24"/>
          <w:szCs w:val="24"/>
        </w:rPr>
      </w:pPr>
      <w:r>
        <w:rPr>
          <w:rFonts w:ascii="Times New Roman" w:hAnsi="Times New Roman"/>
          <w:color w:val="231F20"/>
          <w:sz w:val="24"/>
        </w:rPr>
        <w:t xml:space="preserve">28. “Pietiekami pasākumi” ir patiesi centieni noskaidrot konta, par kuru jāsniedz ziņojums, turētāja </w:t>
      </w:r>
      <w:r>
        <w:rPr>
          <w:rFonts w:ascii="Times New Roman" w:hAnsi="Times New Roman"/>
          <w:i/>
          <w:iCs/>
          <w:color w:val="231F20"/>
          <w:sz w:val="24"/>
        </w:rPr>
        <w:t>TIN</w:t>
      </w:r>
      <w:r>
        <w:rPr>
          <w:rFonts w:ascii="Times New Roman" w:hAnsi="Times New Roman"/>
          <w:color w:val="231F20"/>
          <w:sz w:val="24"/>
        </w:rPr>
        <w:t xml:space="preserve"> un dzimšanas datumu. Šādi pasākumi jāīsteno vismaz vienu reizi gadā, laika posmā starp brīdi, kad iepriekšpastāvējis konts tiek identificēts kā konts, par kuru jāsniedz ziņojums, un otrā kalendārā gada beigām, kas seko gadam, kad veikta minētā identifikācija, </w:t>
      </w:r>
      <w:r>
        <w:rPr>
          <w:rFonts w:ascii="Times New Roman" w:hAnsi="Times New Roman"/>
          <w:b/>
          <w:i/>
          <w:iCs/>
          <w:color w:val="231F20"/>
          <w:sz w:val="24"/>
          <w:u w:val="single"/>
        </w:rPr>
        <w:t>un tad, kad tai nepieciešams atjaunot informāciju par iepriekšpastāvējušu kontu saskaņā ar valsts tiesību aktos noteiktajām</w:t>
      </w:r>
      <w:r>
        <w:rPr>
          <w:rFonts w:ascii="Times New Roman" w:hAnsi="Times New Roman"/>
          <w:b/>
          <w:i/>
          <w:color w:val="231F20"/>
          <w:sz w:val="24"/>
          <w:u w:val="single"/>
        </w:rPr>
        <w:t xml:space="preserve"> AML/KYC </w:t>
      </w:r>
      <w:r>
        <w:rPr>
          <w:rFonts w:ascii="Times New Roman" w:hAnsi="Times New Roman"/>
          <w:b/>
          <w:i/>
          <w:iCs/>
          <w:color w:val="231F20"/>
          <w:sz w:val="24"/>
          <w:u w:val="single"/>
        </w:rPr>
        <w:t>procedūrām</w:t>
      </w:r>
      <w:r>
        <w:rPr>
          <w:rFonts w:ascii="Times New Roman" w:hAnsi="Times New Roman"/>
          <w:color w:val="231F20"/>
          <w:sz w:val="24"/>
        </w:rPr>
        <w:t xml:space="preserve">. Pietiekami pasākumi ir, piemēram, sazināšanās ar konta turētāju (pa pastu, personīgi, pa tālruni u. c.), tostarp pieprasījums, kas iekļauts citā dokumentācijā vai sniegts elektroniski (piemēram, izmantojot faksimilu vai elektronisko pastu), un finanšu iestādes, kas sniedz ziņojumus, saistītās vienības uzturētās elektroniski uzmeklējamās informācijas izskatīšana atbilstīgi VII panta C punktā noteiktajiem apkopošanas principiem. Tomēr pietiekami pasākumi nenozīmē to, ka konts ir jāslēdz, jābloķē vai jāveic pārskaitījums, ne arī to, ka jāpiemēro nosacījumi vai citādi jāierobežo tā izmantošana. Neatkarīgi no iepriekš minētā, pietiekamus pasākumus var turpināt piemērot </w:t>
      </w:r>
      <w:r>
        <w:rPr>
          <w:rFonts w:ascii="Times New Roman" w:hAnsi="Times New Roman"/>
          <w:b/>
          <w:i/>
          <w:color w:val="231F20"/>
          <w:sz w:val="24"/>
          <w:u w:val="single"/>
        </w:rPr>
        <w:t>jebkurā brīdī</w:t>
      </w:r>
      <w:r>
        <w:rPr>
          <w:rFonts w:ascii="Times New Roman" w:hAnsi="Times New Roman"/>
          <w:strike/>
          <w:color w:val="231F20"/>
          <w:sz w:val="24"/>
        </w:rPr>
        <w:t>arī pēc iepriekš minētā perioda beigām</w:t>
      </w:r>
      <w:r>
        <w:rPr>
          <w:rFonts w:ascii="Times New Roman" w:hAnsi="Times New Roman"/>
          <w:color w:val="231F20"/>
          <w:sz w:val="24"/>
        </w:rPr>
        <w:t>.</w:t>
      </w:r>
    </w:p>
    <w:p w14:paraId="28437051" w14:textId="24D63C21" w:rsidR="00F02FF0" w:rsidRPr="00774B72" w:rsidRDefault="00C80D6E"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29. D punktā ir noteikts izņēmums, kas piemērojams attiecībā uz iepriekšpastāvējušiem kontiem un jauniem kontiem. </w:t>
      </w:r>
      <w:r>
        <w:rPr>
          <w:rFonts w:ascii="Times New Roman" w:hAnsi="Times New Roman"/>
          <w:i/>
          <w:iCs/>
          <w:color w:val="231F20"/>
          <w:sz w:val="24"/>
        </w:rPr>
        <w:t>TIN</w:t>
      </w:r>
      <w:r>
        <w:rPr>
          <w:rFonts w:ascii="Times New Roman" w:hAnsi="Times New Roman"/>
          <w:color w:val="231F20"/>
          <w:sz w:val="24"/>
        </w:rPr>
        <w:t xml:space="preserve"> nav obligāti jāpaziņo, ja:</w:t>
      </w:r>
    </w:p>
    <w:p w14:paraId="3E388DCC" w14:textId="19CD361B" w:rsidR="00F02FF0" w:rsidRPr="00774B72" w:rsidRDefault="00C80D6E" w:rsidP="00CA7B19">
      <w:pPr>
        <w:tabs>
          <w:tab w:val="left" w:pos="166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a) attiecīgā jurisdikcija, par kuru jāsniedz ziņojums, nav izdevusi </w:t>
      </w:r>
      <w:r>
        <w:rPr>
          <w:rFonts w:ascii="Times New Roman" w:hAnsi="Times New Roman"/>
          <w:i/>
          <w:iCs/>
          <w:color w:val="231F20"/>
          <w:sz w:val="24"/>
        </w:rPr>
        <w:t>TIN</w:t>
      </w:r>
      <w:r>
        <w:rPr>
          <w:rFonts w:ascii="Times New Roman" w:hAnsi="Times New Roman"/>
          <w:color w:val="231F20"/>
          <w:sz w:val="24"/>
        </w:rPr>
        <w:t xml:space="preserve"> vai</w:t>
      </w:r>
    </w:p>
    <w:p w14:paraId="1AA491B2" w14:textId="7EF94B17" w:rsidR="00F02FF0" w:rsidRPr="00774B72" w:rsidRDefault="00C80D6E" w:rsidP="00CA7B19">
      <w:pPr>
        <w:tabs>
          <w:tab w:val="left" w:pos="1661"/>
          <w:tab w:val="left" w:pos="166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b) attiecīgajā jurisdikcijā, par kuru jāsniedz ziņojums, valsts tiesību aktos nav noteikts pienākums vākt šīs jurisdikcijas izdotos </w:t>
      </w:r>
      <w:r>
        <w:rPr>
          <w:rFonts w:ascii="Times New Roman" w:hAnsi="Times New Roman"/>
          <w:i/>
          <w:iCs/>
          <w:color w:val="231F20"/>
          <w:sz w:val="24"/>
        </w:rPr>
        <w:t>TIN</w:t>
      </w:r>
      <w:r>
        <w:rPr>
          <w:rFonts w:ascii="Times New Roman" w:hAnsi="Times New Roman"/>
          <w:color w:val="231F20"/>
          <w:sz w:val="24"/>
        </w:rPr>
        <w:t>.</w:t>
      </w:r>
    </w:p>
    <w:p w14:paraId="57848840" w14:textId="07FD095E" w:rsidR="00F02FF0" w:rsidRPr="00774B72" w:rsidRDefault="00C80D6E"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30. Uzskatāms, ka jurisdikcija, par kuru jāsniedz ziņojums, nav izdevusi </w:t>
      </w:r>
      <w:r>
        <w:rPr>
          <w:rFonts w:ascii="Times New Roman" w:hAnsi="Times New Roman"/>
          <w:i/>
          <w:iCs/>
          <w:color w:val="231F20"/>
          <w:sz w:val="24"/>
        </w:rPr>
        <w:t>TIN</w:t>
      </w:r>
      <w:r>
        <w:rPr>
          <w:rFonts w:ascii="Times New Roman" w:hAnsi="Times New Roman"/>
          <w:color w:val="231F20"/>
          <w:sz w:val="24"/>
        </w:rPr>
        <w:t xml:space="preserve">, ja i) šī jurisdikcija neizdod nodokļu maksātāja identifikācijas numuru, ne arī tā funkcionālo ekvivalentu, ja nodokļu maksātāja identifikācijas numura nav (skat. komentāru par VIII pantu 148. punktu) vai ii) ja jurisdikcija nav izdevusi </w:t>
      </w:r>
      <w:r>
        <w:rPr>
          <w:rFonts w:ascii="Times New Roman" w:hAnsi="Times New Roman"/>
          <w:i/>
          <w:iCs/>
          <w:color w:val="231F20"/>
          <w:sz w:val="24"/>
        </w:rPr>
        <w:t>TIN</w:t>
      </w:r>
      <w:r>
        <w:rPr>
          <w:rFonts w:ascii="Times New Roman" w:hAnsi="Times New Roman"/>
          <w:color w:val="231F20"/>
          <w:sz w:val="24"/>
        </w:rPr>
        <w:t xml:space="preserve"> konkrētai fiziskai personai vai vienībai. Līdz ar to </w:t>
      </w:r>
      <w:r>
        <w:rPr>
          <w:rFonts w:ascii="Times New Roman" w:hAnsi="Times New Roman"/>
          <w:i/>
          <w:iCs/>
          <w:color w:val="231F20"/>
          <w:sz w:val="24"/>
        </w:rPr>
        <w:t>TIN</w:t>
      </w:r>
      <w:r>
        <w:rPr>
          <w:rFonts w:ascii="Times New Roman" w:hAnsi="Times New Roman"/>
          <w:color w:val="231F20"/>
          <w:sz w:val="24"/>
        </w:rPr>
        <w:t xml:space="preserve"> nav obligāti jāpaziņo attiecībā uz kontu, par kuru jāsniedz ziņojums, ko tur persona, par kuru jāsniedz ziņojums un kura ir rezidents šādā jurisdikcijā, par kuru jāsniedz ziņojums vai attiecībā uz kuru </w:t>
      </w:r>
      <w:r>
        <w:rPr>
          <w:rFonts w:ascii="Times New Roman" w:hAnsi="Times New Roman"/>
          <w:i/>
          <w:iCs/>
          <w:color w:val="231F20"/>
          <w:sz w:val="24"/>
        </w:rPr>
        <w:t>TIN</w:t>
      </w:r>
      <w:r>
        <w:rPr>
          <w:rFonts w:ascii="Times New Roman" w:hAnsi="Times New Roman"/>
          <w:color w:val="231F20"/>
          <w:sz w:val="24"/>
        </w:rPr>
        <w:t xml:space="preserve"> nav izdots. Tomēr gadījumā, ja jurisdikcija, par kuru jāsniedz ziņojums, sāk izdot </w:t>
      </w:r>
      <w:r>
        <w:rPr>
          <w:rFonts w:ascii="Times New Roman" w:hAnsi="Times New Roman"/>
          <w:i/>
          <w:iCs/>
          <w:color w:val="231F20"/>
          <w:sz w:val="24"/>
        </w:rPr>
        <w:t>TIN</w:t>
      </w:r>
      <w:r>
        <w:rPr>
          <w:rFonts w:ascii="Times New Roman" w:hAnsi="Times New Roman"/>
          <w:color w:val="231F20"/>
          <w:sz w:val="24"/>
        </w:rPr>
        <w:t xml:space="preserve"> un izdod </w:t>
      </w:r>
      <w:r>
        <w:rPr>
          <w:rFonts w:ascii="Times New Roman" w:hAnsi="Times New Roman"/>
          <w:i/>
          <w:iCs/>
          <w:color w:val="231F20"/>
          <w:sz w:val="24"/>
        </w:rPr>
        <w:t>TIN</w:t>
      </w:r>
      <w:r>
        <w:rPr>
          <w:rFonts w:ascii="Times New Roman" w:hAnsi="Times New Roman"/>
          <w:color w:val="231F20"/>
          <w:sz w:val="24"/>
        </w:rPr>
        <w:t xml:space="preserve"> arī konkrētai personai, par kuru jāsniedz ziņojums, tad D punktā noteikto izņēmumu vairs nepiemēro un personas, par kuru jāsniedz ziņojums, </w:t>
      </w:r>
      <w:r>
        <w:rPr>
          <w:rFonts w:ascii="Times New Roman" w:hAnsi="Times New Roman"/>
          <w:i/>
          <w:iCs/>
          <w:color w:val="231F20"/>
          <w:sz w:val="24"/>
        </w:rPr>
        <w:t>TIN</w:t>
      </w:r>
      <w:r>
        <w:rPr>
          <w:rFonts w:ascii="Times New Roman" w:hAnsi="Times New Roman"/>
          <w:color w:val="231F20"/>
          <w:sz w:val="24"/>
        </w:rPr>
        <w:t xml:space="preserve"> būtu jāpaziņo, ja finanšu iestāde, kas sniedz ziņojumus, saņem pašapliecinājumu, kurā norādīts šāds </w:t>
      </w:r>
      <w:r>
        <w:rPr>
          <w:rFonts w:ascii="Times New Roman" w:hAnsi="Times New Roman"/>
          <w:i/>
          <w:iCs/>
          <w:color w:val="231F20"/>
          <w:sz w:val="24"/>
        </w:rPr>
        <w:t>TIN</w:t>
      </w:r>
      <w:r>
        <w:rPr>
          <w:rFonts w:ascii="Times New Roman" w:hAnsi="Times New Roman"/>
          <w:color w:val="231F20"/>
          <w:sz w:val="24"/>
        </w:rPr>
        <w:t xml:space="preserve">, vai iegūst šādu </w:t>
      </w:r>
      <w:r>
        <w:rPr>
          <w:rFonts w:ascii="Times New Roman" w:hAnsi="Times New Roman"/>
          <w:i/>
          <w:iCs/>
          <w:color w:val="231F20"/>
          <w:sz w:val="24"/>
        </w:rPr>
        <w:t>TIN</w:t>
      </w:r>
      <w:r>
        <w:rPr>
          <w:rFonts w:ascii="Times New Roman" w:hAnsi="Times New Roman"/>
          <w:color w:val="231F20"/>
          <w:sz w:val="24"/>
        </w:rPr>
        <w:t xml:space="preserve"> citā veidā.</w:t>
      </w:r>
    </w:p>
    <w:p w14:paraId="126BF304" w14:textId="37605A70" w:rsidR="00F02FF0" w:rsidRPr="00774B72" w:rsidRDefault="00C80D6E"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lastRenderedPageBreak/>
        <w:t xml:space="preserve">31. D punkta ii) klauzulā noteiktajā izņēmumā uzmanība ir vērsta uz konta turētāja jurisdikcijas tiesību aktiem. Ja jurisdikcija, par kuru jāsniedz ziņojums, ir izdevusi </w:t>
      </w:r>
      <w:r>
        <w:rPr>
          <w:rFonts w:ascii="Times New Roman" w:hAnsi="Times New Roman"/>
          <w:i/>
          <w:iCs/>
          <w:color w:val="231F20"/>
          <w:sz w:val="24"/>
        </w:rPr>
        <w:t>TIN</w:t>
      </w:r>
      <w:r>
        <w:rPr>
          <w:rFonts w:ascii="Times New Roman" w:hAnsi="Times New Roman"/>
          <w:color w:val="231F20"/>
          <w:sz w:val="24"/>
        </w:rPr>
        <w:t xml:space="preserve"> personai, par kuru jāsniedz ziņojums un kura tur kontu, par ko ir jāsniedz ziņojums, un šāda </w:t>
      </w:r>
      <w:r>
        <w:rPr>
          <w:rFonts w:ascii="Times New Roman" w:hAnsi="Times New Roman"/>
          <w:i/>
          <w:iCs/>
          <w:color w:val="231F20"/>
          <w:sz w:val="24"/>
        </w:rPr>
        <w:t>TIN</w:t>
      </w:r>
      <w:r>
        <w:rPr>
          <w:rFonts w:ascii="Times New Roman" w:hAnsi="Times New Roman"/>
          <w:color w:val="231F20"/>
          <w:sz w:val="24"/>
        </w:rPr>
        <w:t xml:space="preserve"> pieprasīšana nav paredzēta šīs jurisdikcijas tiesību aktos (piemēram, tādēļ, ka saskaņā ar šiem tiesību aktiem nodokļu maksātājs sniedz savu </w:t>
      </w:r>
      <w:r>
        <w:rPr>
          <w:rFonts w:ascii="Times New Roman" w:hAnsi="Times New Roman"/>
          <w:i/>
          <w:iCs/>
          <w:color w:val="231F20"/>
          <w:sz w:val="24"/>
        </w:rPr>
        <w:t>TIN</w:t>
      </w:r>
      <w:r>
        <w:rPr>
          <w:rFonts w:ascii="Times New Roman" w:hAnsi="Times New Roman"/>
          <w:color w:val="231F20"/>
          <w:sz w:val="24"/>
        </w:rPr>
        <w:t xml:space="preserve"> saskaņā ar brīvprātības principu), tad finanšu iestādei, kas sniedz ziņojumus un uztur šādu kontu, nav pienākuma iegūt un paziņot </w:t>
      </w:r>
      <w:r>
        <w:rPr>
          <w:rFonts w:ascii="Times New Roman" w:hAnsi="Times New Roman"/>
          <w:i/>
          <w:iCs/>
          <w:color w:val="231F20"/>
          <w:sz w:val="24"/>
        </w:rPr>
        <w:t>TIN</w:t>
      </w:r>
      <w:r>
        <w:rPr>
          <w:rFonts w:ascii="Times New Roman" w:hAnsi="Times New Roman"/>
          <w:color w:val="231F20"/>
          <w:sz w:val="24"/>
        </w:rPr>
        <w:t xml:space="preserve">. Tomēr finanšu iestādei, kas sniedz ziņojumus, nav liegts pieprasīt konta turētājam </w:t>
      </w:r>
      <w:r>
        <w:rPr>
          <w:rFonts w:ascii="Times New Roman" w:hAnsi="Times New Roman"/>
          <w:i/>
          <w:iCs/>
          <w:color w:val="231F20"/>
          <w:sz w:val="24"/>
        </w:rPr>
        <w:t>TIN</w:t>
      </w:r>
      <w:r>
        <w:rPr>
          <w:rFonts w:ascii="Times New Roman" w:hAnsi="Times New Roman"/>
          <w:color w:val="231F20"/>
          <w:sz w:val="24"/>
        </w:rPr>
        <w:t xml:space="preserve"> un iegūt to ar informācijas sniegšanu saistītām vajadzībām, ja konta turētājs piekrīt to sniegt. Šajā gadījumā finanšu iestādei, kas sniedz ziņojumus, ir pienākums paziņot </w:t>
      </w:r>
      <w:r>
        <w:rPr>
          <w:rFonts w:ascii="Times New Roman" w:hAnsi="Times New Roman"/>
          <w:i/>
          <w:iCs/>
          <w:color w:val="231F20"/>
          <w:sz w:val="24"/>
        </w:rPr>
        <w:t>TIN</w:t>
      </w:r>
      <w:r>
        <w:rPr>
          <w:rFonts w:ascii="Times New Roman" w:hAnsi="Times New Roman"/>
          <w:color w:val="231F20"/>
          <w:sz w:val="24"/>
        </w:rPr>
        <w:t>. Praksē šāds gadījums pastāv vien dažās jurisdikcijās (piemēram, Austrālijā).</w:t>
      </w:r>
    </w:p>
    <w:p w14:paraId="5256AC48" w14:textId="4BBDC2D2" w:rsidR="00F02FF0" w:rsidRPr="00774B72" w:rsidRDefault="00C80D6E"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32. Iesaistītajām jurisdikcijām ir jānodrošina finanšu iestādēm, kas sniedz ziņojumus, informācija par nodokļu maksātāju identifikācijas numuru izdošanu, apkopošanu un, ciktāl tas praktiski iespējams, par to struktūru un citām specifikācijām. </w:t>
      </w:r>
      <w:r>
        <w:rPr>
          <w:rFonts w:ascii="Times New Roman" w:hAnsi="Times New Roman"/>
          <w:i/>
          <w:iCs/>
          <w:color w:val="231F20"/>
          <w:sz w:val="24"/>
        </w:rPr>
        <w:t>OECD</w:t>
      </w:r>
      <w:r>
        <w:rPr>
          <w:rFonts w:ascii="Times New Roman" w:hAnsi="Times New Roman"/>
          <w:color w:val="231F20"/>
          <w:sz w:val="24"/>
        </w:rPr>
        <w:t xml:space="preserve"> centīsies veicināt šādas informācijas izplatīšanu.</w:t>
      </w:r>
    </w:p>
    <w:p w14:paraId="621C191A" w14:textId="77777777" w:rsidR="00F02FF0" w:rsidRPr="00774B72" w:rsidRDefault="00F02FF0" w:rsidP="00CA7B19">
      <w:pPr>
        <w:pStyle w:val="Heading8"/>
        <w:spacing w:before="120"/>
        <w:ind w:left="567" w:hanging="284"/>
        <w:jc w:val="both"/>
        <w:rPr>
          <w:rFonts w:ascii="Times New Roman" w:hAnsi="Times New Roman" w:cs="Times New Roman"/>
          <w:noProof/>
          <w:color w:val="616161"/>
          <w:sz w:val="24"/>
          <w:szCs w:val="24"/>
        </w:rPr>
      </w:pPr>
      <w:bookmarkStart w:id="61" w:name="Place_of_birth"/>
      <w:bookmarkEnd w:id="61"/>
      <w:r>
        <w:rPr>
          <w:rFonts w:ascii="Times New Roman" w:hAnsi="Times New Roman"/>
          <w:color w:val="616161"/>
          <w:sz w:val="24"/>
        </w:rPr>
        <w:t>Dzimšanas vieta</w:t>
      </w:r>
    </w:p>
    <w:p w14:paraId="6AFBD734" w14:textId="0B27B623" w:rsidR="00F02FF0" w:rsidRPr="00774B72" w:rsidRDefault="00C80D6E"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33. E punktā noteikts izņēmums attiecībā uz iepriekšpastāvējušiem un jauniem kontiem: dzimšanas vieta nav obligāti jāpaziņo, ja vien finanšu iestādei, kas sniedz ziņojumus, valsts tiesību aktos nav noteikts pienākums iegūt un sniegt šādu informāciju un tā nav pieejama elektroniski uzmeklējamos datos, kurus uztur finanšu iestāde, kas sniedz ziņojumus. Līdz ar to dzimšanas vieta ir jāpaziņo, ja attiecībā uz konta turētāju:</w:t>
      </w:r>
    </w:p>
    <w:p w14:paraId="5A7BE125" w14:textId="77777777" w:rsidR="00F02FF0" w:rsidRPr="00774B72" w:rsidRDefault="00F02FF0" w:rsidP="00CA7B19">
      <w:pPr>
        <w:pStyle w:val="ListParagraph"/>
        <w:numPr>
          <w:ilvl w:val="0"/>
          <w:numId w:val="48"/>
        </w:numPr>
        <w:tabs>
          <w:tab w:val="left" w:pos="1620"/>
          <w:tab w:val="left" w:pos="1622"/>
        </w:tabs>
        <w:ind w:left="567" w:hanging="284"/>
        <w:rPr>
          <w:rFonts w:ascii="Times New Roman" w:hAnsi="Times New Roman" w:cs="Times New Roman"/>
          <w:noProof/>
          <w:sz w:val="24"/>
          <w:szCs w:val="24"/>
        </w:rPr>
      </w:pPr>
      <w:r>
        <w:rPr>
          <w:rFonts w:ascii="Times New Roman" w:hAnsi="Times New Roman"/>
          <w:sz w:val="24"/>
        </w:rPr>
        <w:t>finanšu iestādei, kas sniedz ziņojumus, valsts tiesību aktos ir noteikts pienākums iegūt un paziņot dzimšanas vietu saistībā ar citām vajadzībām un</w:t>
      </w:r>
    </w:p>
    <w:p w14:paraId="5D794100" w14:textId="77777777" w:rsidR="00F02FF0" w:rsidRPr="00774B72" w:rsidRDefault="00F02FF0" w:rsidP="00CA7B19">
      <w:pPr>
        <w:pStyle w:val="ListParagraph"/>
        <w:numPr>
          <w:ilvl w:val="0"/>
          <w:numId w:val="48"/>
        </w:numPr>
        <w:tabs>
          <w:tab w:val="left" w:pos="1620"/>
          <w:tab w:val="left" w:pos="1622"/>
        </w:tabs>
        <w:ind w:left="567" w:hanging="284"/>
        <w:rPr>
          <w:rFonts w:ascii="Times New Roman" w:hAnsi="Times New Roman" w:cs="Times New Roman"/>
          <w:noProof/>
          <w:color w:val="231F20"/>
          <w:sz w:val="24"/>
          <w:szCs w:val="24"/>
        </w:rPr>
      </w:pPr>
      <w:r>
        <w:rPr>
          <w:rFonts w:ascii="Times New Roman" w:hAnsi="Times New Roman"/>
          <w:color w:val="231F20"/>
          <w:sz w:val="24"/>
        </w:rPr>
        <w:t>informācija par dzimšanas vietu ir pieejama elektroniski uzmeklējamos datos, kurus uztur finanšu iestāde, kas sniedz ziņojumus.</w:t>
      </w:r>
    </w:p>
    <w:p w14:paraId="0FBF80CF" w14:textId="562DF885" w:rsidR="00F02FF0" w:rsidRPr="00774B72" w:rsidRDefault="00C80D6E"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34. Termins “elektroniski uzmeklējama informācija/dati” nozīmē informāciju, kuru finanšu iestāde, kas sniedz ziņojumus, uztur savās nodokļu informācijas datnēs, klientu pamatdatnēs vai līdzīgās datnēs un kura tiek glabāta elektroniskā datubāzē, attiecībā uz kuru var izmantot standarta vaicājumus tādās programmēšanas valodās kā, piemēram, strukturētā vaicājumvaloda. Tas, ka informācija, dati un datnes tiek glabāti attēlu izguves sistēmā (piemēram, portatīvā dokumenta formātā (.</w:t>
      </w:r>
      <w:r>
        <w:rPr>
          <w:rFonts w:ascii="Times New Roman" w:hAnsi="Times New Roman"/>
          <w:i/>
          <w:iCs/>
          <w:color w:val="231F20"/>
          <w:sz w:val="24"/>
        </w:rPr>
        <w:t>pdf</w:t>
      </w:r>
      <w:r>
        <w:rPr>
          <w:rFonts w:ascii="Times New Roman" w:hAnsi="Times New Roman"/>
          <w:color w:val="231F20"/>
          <w:sz w:val="24"/>
        </w:rPr>
        <w:t>) vai skenētu dokumentu veidā), nav pietiekams iemesls, lai tos varētu uzskatīt par elektroniski uzmeklējamu informāciju, datiem un datnēm. “Paziņošana” šajā saistībā nozīmē, ka netiek iekļauta informācija, kas tiek sniegta vienīgi pēc pieprasījuma.</w:t>
      </w:r>
    </w:p>
    <w:p w14:paraId="35E39A24" w14:textId="77777777" w:rsidR="00F02FF0" w:rsidRPr="00774B72" w:rsidRDefault="00F02FF0" w:rsidP="00CA7B19">
      <w:pPr>
        <w:pStyle w:val="Heading8"/>
        <w:spacing w:before="120"/>
        <w:ind w:left="284"/>
        <w:jc w:val="both"/>
        <w:rPr>
          <w:rFonts w:ascii="Times New Roman" w:hAnsi="Times New Roman" w:cs="Times New Roman"/>
          <w:noProof/>
          <w:color w:val="616161"/>
          <w:sz w:val="24"/>
          <w:szCs w:val="24"/>
        </w:rPr>
      </w:pPr>
      <w:bookmarkStart w:id="62" w:name="Gross_proceeds"/>
      <w:bookmarkEnd w:id="62"/>
      <w:r>
        <w:rPr>
          <w:rFonts w:ascii="Times New Roman" w:hAnsi="Times New Roman"/>
          <w:color w:val="616161"/>
          <w:sz w:val="24"/>
        </w:rPr>
        <w:t>Bruto ieņēmumi</w:t>
      </w:r>
    </w:p>
    <w:p w14:paraId="779D30C4" w14:textId="34BB55FA" w:rsidR="00F02FF0" w:rsidRPr="00774B72" w:rsidRDefault="00C80D6E" w:rsidP="00CA7B19">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35. F punktā paredzēts izņēmums attiecībā uz gadu, kad ir jāsniedz informācija. Finanšu iestādei, kas sniedz ziņojumus, var būt sarežģītāk ieviest procedūras, kas ļauj iegūt informāciju par kopējiem bruto ieņēmumiem no finanšu aktīvu pārdošanas vai dzēšanas. Tāpēc, īstenojot Kopējo ziņošanas standartu, jurisdikcijas var apsvērt (ja nepieciešams) ziņošanas par šādiem bruto ieņēmumiem pakāpenisku ieviešanu. Šādā gadījumā pārejas noteikumi tiktu iekļauti F punktā.</w:t>
      </w:r>
    </w:p>
    <w:p w14:paraId="0725A09C" w14:textId="77777777" w:rsidR="00F02FF0" w:rsidRPr="00774B72" w:rsidRDefault="00F02FF0" w:rsidP="00CA7B19">
      <w:pPr>
        <w:pStyle w:val="Heading7"/>
        <w:spacing w:before="120"/>
        <w:ind w:left="567" w:hanging="284"/>
        <w:jc w:val="both"/>
        <w:rPr>
          <w:rFonts w:ascii="Times New Roman" w:hAnsi="Times New Roman" w:cs="Times New Roman"/>
          <w:noProof/>
          <w:color w:val="616161"/>
          <w:sz w:val="24"/>
          <w:szCs w:val="24"/>
          <w:u w:val="single"/>
        </w:rPr>
      </w:pPr>
      <w:bookmarkStart w:id="63" w:name="Financial_Assets_subject_to_reporting_un"/>
      <w:bookmarkEnd w:id="63"/>
      <w:r>
        <w:rPr>
          <w:rFonts w:ascii="Times New Roman" w:hAnsi="Times New Roman"/>
          <w:color w:val="616161"/>
          <w:sz w:val="24"/>
          <w:u w:val="single"/>
        </w:rPr>
        <w:t>Finanšu aktīvi, par kuriem jāziņo saskaņā ar kriptoaktīvu ziņošanas sistēmu</w:t>
      </w:r>
    </w:p>
    <w:p w14:paraId="498F27C9" w14:textId="2DA96DEE" w:rsidR="00F02FF0" w:rsidRPr="00774B72" w:rsidRDefault="00C80D6E" w:rsidP="00CA7B19">
      <w:pPr>
        <w:tabs>
          <w:tab w:val="left" w:pos="941"/>
        </w:tabs>
        <w:spacing w:before="120"/>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t>36. G punktā ir ietverts neobligāts izņēmums, ka finanšu iestādes, kas sniedz ziņojumus, var neziņot par bruto ieņēmumiem no finanšu aktīva pārdošanas vai dzēšanas, ciktāl par šādiem bruto ieņēmumiem no šāda finanšu aktīva pārdošanas vai dzēšanas finanšu iestāde, kas sniedz ziņojumus, ziņo saskaņā ar kriptoaktīvu ziņošanas sistēmu, kā to parāda turpmāk sniegtais piemērs.</w:t>
      </w:r>
    </w:p>
    <w:p w14:paraId="49D93EE3" w14:textId="77777777" w:rsidR="00F02FF0" w:rsidRPr="00774B72" w:rsidRDefault="00F02FF0" w:rsidP="00D90B0A">
      <w:pPr>
        <w:keepNext/>
        <w:keepLines/>
        <w:spacing w:before="120"/>
        <w:jc w:val="both"/>
        <w:rPr>
          <w:rFonts w:ascii="Times New Roman" w:hAnsi="Times New Roman" w:cs="Times New Roman"/>
          <w:b/>
          <w:i/>
          <w:noProof/>
          <w:color w:val="231F20"/>
          <w:sz w:val="24"/>
          <w:szCs w:val="24"/>
          <w:u w:val="single"/>
        </w:rPr>
      </w:pPr>
      <w:r>
        <w:rPr>
          <w:rFonts w:ascii="Times New Roman" w:hAnsi="Times New Roman"/>
          <w:b/>
          <w:i/>
          <w:color w:val="231F20"/>
          <w:sz w:val="24"/>
          <w:u w:val="single"/>
        </w:rPr>
        <w:lastRenderedPageBreak/>
        <w:t>Fiziskai personai A ir turētāja konts kriptoaktīvu turētājbiržā C, kura ir finanšu iestāde, kas sniedz ziņojumus. Gada sākumā A tur C turētāja kontā vērtspapīru žetonu X (5 vienības). Gada laikā A iegādājas vēl 3 vienības un realizē 2 vienības šā žetona. C ziņo turētāja konta bilanci saskaņā ar A punkta 4. apakšpunktu. C ziņo par vērtspapīru žetona X iegādi un realizāciju saskaņā ar kriptoaktīvu ziņošanas sistēmu, tāpēc tai nav jāpaziņo bruto ieņēmumi no vērtspapīru žetona X realizācijas saskaņā ar A punkta 5. apakšpunkta b) daļu.</w:t>
      </w:r>
    </w:p>
    <w:p w14:paraId="60E0374D" w14:textId="77777777" w:rsidR="00C80D6E" w:rsidRDefault="00C80D6E">
      <w:pPr>
        <w:rPr>
          <w:rFonts w:ascii="Times New Roman" w:hAnsi="Times New Roman" w:cs="Times New Roman"/>
          <w:b/>
          <w:bCs/>
          <w:noProof/>
          <w:color w:val="4E81BD"/>
          <w:sz w:val="56"/>
          <w:szCs w:val="56"/>
        </w:rPr>
      </w:pPr>
      <w:bookmarkStart w:id="64" w:name="Commentary_on_Section_II_concerning_Gene"/>
      <w:bookmarkStart w:id="65" w:name="_bookmark14"/>
      <w:bookmarkEnd w:id="64"/>
      <w:bookmarkEnd w:id="65"/>
      <w:r>
        <w:br w:type="page"/>
      </w:r>
    </w:p>
    <w:p w14:paraId="408C2679" w14:textId="21DAC5BA" w:rsidR="00F02FF0" w:rsidRPr="00FD391F" w:rsidRDefault="00F02FF0" w:rsidP="00CB441B">
      <w:pPr>
        <w:pStyle w:val="Heading2"/>
        <w:spacing w:before="120"/>
        <w:rPr>
          <w:rFonts w:ascii="Times New Roman" w:hAnsi="Times New Roman" w:cs="Times New Roman"/>
          <w:noProof/>
          <w:color w:val="4E81BD"/>
        </w:rPr>
      </w:pPr>
      <w:bookmarkStart w:id="66" w:name="_Toc241827495"/>
      <w:r>
        <w:rPr>
          <w:rFonts w:ascii="Times New Roman" w:hAnsi="Times New Roman"/>
          <w:color w:val="4E81BD"/>
        </w:rPr>
        <w:lastRenderedPageBreak/>
        <w:t>Komentāri par II pantu – par pienācīgas pārbaudes vispārīgajām prasībām</w:t>
      </w:r>
      <w:bookmarkEnd w:id="66"/>
    </w:p>
    <w:p w14:paraId="5BACBA36" w14:textId="77777777" w:rsidR="00F02FF0" w:rsidRPr="00C80D6E" w:rsidRDefault="00F02FF0" w:rsidP="00CB441B">
      <w:pPr>
        <w:pStyle w:val="BodyText"/>
        <w:spacing w:before="120"/>
        <w:jc w:val="left"/>
        <w:rPr>
          <w:rFonts w:ascii="Times New Roman" w:hAnsi="Times New Roman" w:cs="Times New Roman"/>
          <w:b/>
          <w:noProof/>
          <w:sz w:val="56"/>
          <w:szCs w:val="56"/>
        </w:rPr>
      </w:pPr>
    </w:p>
    <w:p w14:paraId="0C7083AF" w14:textId="77777777" w:rsidR="00F02FF0" w:rsidRPr="00C80D6E" w:rsidRDefault="00F02FF0" w:rsidP="00CB441B">
      <w:pPr>
        <w:pStyle w:val="BodyText"/>
        <w:spacing w:before="120"/>
        <w:jc w:val="left"/>
        <w:rPr>
          <w:rFonts w:ascii="Times New Roman" w:hAnsi="Times New Roman" w:cs="Times New Roman"/>
          <w:b/>
          <w:noProof/>
          <w:sz w:val="56"/>
          <w:szCs w:val="56"/>
        </w:rPr>
      </w:pPr>
    </w:p>
    <w:p w14:paraId="53576269" w14:textId="5F1056B1" w:rsidR="00F02FF0" w:rsidRPr="00A248D6" w:rsidRDefault="00C80D6E"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 Šajā pantā sniegtas pienācīgas pārbaudes vispārīgās prasības. Tajā arī apspriests jautājums par pakalpojuma sniedzēju izmantošanu un alternatīvas pienācīgas pārbaudes procedūras attiecībā uz iepriekšpastāvējušiem kontiem.</w:t>
      </w:r>
    </w:p>
    <w:p w14:paraId="42163A53" w14:textId="77777777" w:rsidR="00F02FF0" w:rsidRPr="00A248D6" w:rsidRDefault="00F02FF0" w:rsidP="00A248D6">
      <w:pPr>
        <w:pStyle w:val="Heading7"/>
        <w:spacing w:before="120"/>
        <w:ind w:left="284"/>
        <w:jc w:val="both"/>
        <w:rPr>
          <w:rFonts w:ascii="Times New Roman" w:hAnsi="Times New Roman" w:cs="Times New Roman"/>
          <w:noProof/>
          <w:sz w:val="24"/>
          <w:szCs w:val="24"/>
        </w:rPr>
      </w:pPr>
      <w:bookmarkStart w:id="67" w:name="Paragraphs_A_through_C_–_General_Due_Dil"/>
      <w:bookmarkEnd w:id="67"/>
      <w:r>
        <w:rPr>
          <w:rFonts w:ascii="Times New Roman" w:hAnsi="Times New Roman"/>
          <w:sz w:val="24"/>
        </w:rPr>
        <w:t>A–C punkts. Pienācīgas pārbaudes vispārīgās prasības</w:t>
      </w:r>
    </w:p>
    <w:p w14:paraId="69C85D0A" w14:textId="49A4E68C" w:rsidR="00F02FF0" w:rsidRPr="00A248D6" w:rsidRDefault="00C80D6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 Kontu uzskata par kontu, par kuru jāsniedz ziņojums, saskaņā ar A punktu no dienas, kad tas šādi identificēts atbilstīgi II–VII pantā noteiktajām pienācīgas pārbaudes procedūrām. Pēc tam, kad konts kļūst par kontu, par kuru jāsniedz ziņojums, tas šādu statusu saglabā līdz dienai, kad tas pārstāj būt konts, par kuru jāsniedz ziņojums (piemēram, tādēļ, ka konta turētājs pārstāj būt persona, par kuru jāsniedz ziņojums, vai konts kļūst par izslēgto kontu, tiek slēgts vai pilnīgi pārvests), pat ja konta bilance vai vērtība ir vienāda ar nulli vai ir negatīva vai ja kontā (vai attiecībā uz kontu) nav iemaksāta vai uz to nav kreditēta neviena summa. Ja konts ir identificēts kā konts, par kuru jāsniedz ziņojums, pamatojoties uz tā statusu kalendārā gada vai ziņošanas perioda beigās, informācija par šo kontu jāsniedz tā, it kā šis konts būtu konts, par kuru jāsniedz ziņojums, visā kalendārajā gadā vai ziņošanas periodā, kurā tas šādi identificēts. Ja konts, par kuru jāsniedz ziņojums, ir slēgts, informācija attiecībā uz šo kontu jāsniedz līdz slēgšanas datumam. Ja vien nav noteikts citādi, informācija par kontu, par kuru jāsniedz ziņojums, ir jāsniedz vienu reizi kalendārajā gadā pēc gada, uz kuru šī informācija attiecas.</w:t>
      </w:r>
    </w:p>
    <w:p w14:paraId="46A62F22" w14:textId="1DA82546" w:rsidR="00F02FF0" w:rsidRPr="00A248D6" w:rsidRDefault="00C80D6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 Turpmākajos piemēros vispārīgi atspoguļota A punkta piemērošana.</w:t>
      </w:r>
    </w:p>
    <w:p w14:paraId="706B17C5" w14:textId="77777777" w:rsidR="00F02FF0" w:rsidRPr="00A248D6" w:rsidRDefault="00F02FF0" w:rsidP="00A248D6">
      <w:pPr>
        <w:pStyle w:val="ListParagraph"/>
        <w:numPr>
          <w:ilvl w:val="1"/>
          <w:numId w:val="47"/>
        </w:numPr>
        <w:tabs>
          <w:tab w:val="left" w:pos="1283"/>
        </w:tabs>
        <w:ind w:left="567" w:hanging="283"/>
        <w:rPr>
          <w:rFonts w:ascii="Times New Roman" w:hAnsi="Times New Roman" w:cs="Times New Roman"/>
          <w:noProof/>
          <w:sz w:val="24"/>
          <w:szCs w:val="24"/>
        </w:rPr>
      </w:pPr>
      <w:r>
        <w:rPr>
          <w:rFonts w:ascii="Times New Roman" w:hAnsi="Times New Roman"/>
          <w:sz w:val="24"/>
        </w:rPr>
        <w:t>1. piemērs (konts, kas kļūst par kontu, par kuru jāsniedz ziņojums). Konts tiek atvērts 2000. gada 28. maijā un tiek identificēts kā konts, par kuru jāsniedz ziņojums 2001. gada 3. decembrī. Tā kā 2001. gads bija kalendārais gads, kad konts tika identificēts kā konts, par kuru jāsniedz ziņojums, tad kalendārais gads, kad attiecībā uz pilnu 2001. gadu jāsniedz informācija par kontu, par kuru jāsniedz ziņojums, ir 2002. gads, un pēc tam šāda informācija jāsniedz katru gadu.</w:t>
      </w:r>
    </w:p>
    <w:p w14:paraId="577BDA66" w14:textId="77777777" w:rsidR="00F02FF0" w:rsidRPr="00A248D6" w:rsidRDefault="00F02FF0" w:rsidP="00A248D6">
      <w:pPr>
        <w:pStyle w:val="ListParagraph"/>
        <w:numPr>
          <w:ilvl w:val="1"/>
          <w:numId w:val="47"/>
        </w:numPr>
        <w:tabs>
          <w:tab w:val="left" w:pos="1283"/>
        </w:tabs>
        <w:ind w:left="567" w:hanging="283"/>
        <w:rPr>
          <w:rFonts w:ascii="Times New Roman" w:hAnsi="Times New Roman" w:cs="Times New Roman"/>
          <w:noProof/>
          <w:sz w:val="24"/>
          <w:szCs w:val="24"/>
        </w:rPr>
      </w:pPr>
      <w:r>
        <w:rPr>
          <w:rFonts w:ascii="Times New Roman" w:hAnsi="Times New Roman"/>
          <w:sz w:val="24"/>
        </w:rPr>
        <w:t>2. piemērs (konts, kas pārstāj būt konts, par kuru jāsniedz ziņojums). Apstākļi ir tādi paši kā 1. piemērā. Tomēr konta turētājs 2002. gada 24. martā pārstāj būt persona, par kuru jāsniedz ziņojums, un tāpēc arī konts pārstāj būt konts, par kuru jāsniedz ziņojums. Tā kā konts 2002. gada 24. martā pārstājis būt konts, par kuru jāsniedz ziņojums, informācija par šo kontu nav jāsniedz ne kalendārajā 2003. gadā, ne arī pēc tam, ja vien šis konts kalendārajā 2003. gadā vai kādā turpmākajā kalendārajā gadā atkal nekļūst par kontu, par kuru jāsniedz ziņojums.</w:t>
      </w:r>
    </w:p>
    <w:p w14:paraId="45766261" w14:textId="77777777" w:rsidR="00F02FF0" w:rsidRPr="00A248D6" w:rsidRDefault="00F02FF0" w:rsidP="00A248D6">
      <w:pPr>
        <w:pStyle w:val="ListParagraph"/>
        <w:numPr>
          <w:ilvl w:val="1"/>
          <w:numId w:val="47"/>
        </w:numPr>
        <w:tabs>
          <w:tab w:val="left" w:pos="1283"/>
        </w:tabs>
        <w:ind w:left="567" w:hanging="283"/>
        <w:rPr>
          <w:rFonts w:ascii="Times New Roman" w:hAnsi="Times New Roman" w:cs="Times New Roman"/>
          <w:noProof/>
          <w:sz w:val="24"/>
          <w:szCs w:val="24"/>
        </w:rPr>
      </w:pPr>
      <w:r>
        <w:rPr>
          <w:rFonts w:ascii="Times New Roman" w:hAnsi="Times New Roman"/>
          <w:sz w:val="24"/>
        </w:rPr>
        <w:t xml:space="preserve">3. piemērs (konts, kas ir slēgts). Konts tiek atvērts 2004. gada 9. septembrī un kļūst par kontu, par kuru jāsniedz ziņojums, 2005. gada 8. februārī. Tomēr konta turētājs šo kontu slēdz 2005. gada 27. septembrī. Tā kā konts bija konts, par kuru jāsniedz ziņojums, laika posmā no 2005. gada 8. februāra līdz 27. septembrim un tika slēgts kalendārajā </w:t>
      </w:r>
      <w:r>
        <w:rPr>
          <w:rFonts w:ascii="Times New Roman" w:hAnsi="Times New Roman"/>
          <w:sz w:val="24"/>
        </w:rPr>
        <w:lastRenderedPageBreak/>
        <w:t>2005. gadā, tad informācija par šo kontu (tostarp par konta slēgšanu) jāsniedz kalendārajā 2006. gadā attiecībā uz kalendārā 2005. gada laika posmu no 1. janvāra līdz 27. septembrim.</w:t>
      </w:r>
    </w:p>
    <w:p w14:paraId="2A373093" w14:textId="77777777" w:rsidR="00F02FF0" w:rsidRPr="00A248D6" w:rsidRDefault="00F02FF0" w:rsidP="00A248D6">
      <w:pPr>
        <w:pStyle w:val="ListParagraph"/>
        <w:numPr>
          <w:ilvl w:val="1"/>
          <w:numId w:val="47"/>
        </w:numPr>
        <w:tabs>
          <w:tab w:val="left" w:pos="1283"/>
        </w:tabs>
        <w:ind w:left="567" w:hanging="283"/>
        <w:rPr>
          <w:rFonts w:ascii="Times New Roman" w:hAnsi="Times New Roman" w:cs="Times New Roman"/>
          <w:noProof/>
          <w:color w:val="231F20"/>
          <w:sz w:val="24"/>
          <w:szCs w:val="24"/>
        </w:rPr>
      </w:pPr>
      <w:r>
        <w:rPr>
          <w:rFonts w:ascii="Times New Roman" w:hAnsi="Times New Roman"/>
          <w:sz w:val="24"/>
        </w:rPr>
        <w:t>4. piemērs (konts, kas pārstāj būt konts, par kuru jāsniedz ziņojums, un tiek slēgts).</w:t>
      </w:r>
      <w:r>
        <w:rPr>
          <w:rFonts w:ascii="Times New Roman" w:hAnsi="Times New Roman"/>
          <w:color w:val="231F20"/>
          <w:sz w:val="24"/>
        </w:rPr>
        <w:t xml:space="preserve"> Apstākļi ir tādi paši kā 2. piemērā, izņemot to, ka konta turētājs slēdz kontu 2002. gada 4. jūlijā. Tā kā konts pārstājis būt konts, par kuru jāsniedz ziņojums, 2002. gada 24. martā, tad informācija attiecībā uz šo kontu nav jāsniedz kalendārajā 2003. gadā.</w:t>
      </w:r>
    </w:p>
    <w:p w14:paraId="224F2F14" w14:textId="661F272C" w:rsidR="00F02FF0" w:rsidRPr="00A248D6" w:rsidRDefault="00C80D6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 Informācija par konta bilanci vai vērtību ir ne tikai daļa no sniedzamās informācijas – tā ir arī būtiska citām vajadzībām, piemēram, pienācīgas pārbaudes procedūrām attiecībā uz iepriekšpastāvējušiem vienību kontiem (skat. V panta A un B punktu un E punkta 1. un 2. apakšpunktu) un konta bilances apkopošanas noteikumiem (skat. VII panta C punkta 1. un 2. apakšpunktu). Saskaņā ar B punktu konta bilanci vai vērtību nosaka kalendārā gada vai cita attiecīgā ziņošanas perioda pēdējā dienā.</w:t>
      </w:r>
    </w:p>
    <w:p w14:paraId="52CDC42B" w14:textId="3AD44612" w:rsidR="00F02FF0" w:rsidRPr="00A248D6" w:rsidRDefault="00C80D6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5. Ja robežvērtība konta bilancei vai vērtībai ir jānosaka kalendārā gada pēdējā dienā (skat. III panta C punkta 6. apakšpunktu un V panta A un B punktu) atbilstīgi C punktam, attiecīgajai bilancei vai vērtībai ir jābūt noteiktai tā ziņošanas perioda pēdējā dienā, kurš beidzas līdz ar kalendāro gadu vai kalendārajā gadā. Līdz ar to, ja ziņošanas periods beidzas kalendārajā gadā, tad attiecīgā bilance vai vērtība ir jānosaka kalendārā gada 31. decembrī. Ja tomēr ziņošanas periods beidzas kalendārajā gadā, pirms tā beigām, tad attiecīgā bilance vai vērtība jānosaka šā ziņošanas perioda pēdējā dienā, taču minētajā kalendārajā gadā.</w:t>
      </w:r>
    </w:p>
    <w:p w14:paraId="775D6559" w14:textId="77777777" w:rsidR="00F02FF0" w:rsidRPr="00A248D6" w:rsidRDefault="00F02FF0" w:rsidP="00A248D6">
      <w:pPr>
        <w:pStyle w:val="Heading7"/>
        <w:spacing w:before="120"/>
        <w:ind w:left="284"/>
        <w:jc w:val="both"/>
        <w:rPr>
          <w:rFonts w:ascii="Times New Roman" w:hAnsi="Times New Roman" w:cs="Times New Roman"/>
          <w:noProof/>
          <w:sz w:val="24"/>
          <w:szCs w:val="24"/>
        </w:rPr>
      </w:pPr>
      <w:bookmarkStart w:id="68" w:name="Paragraph_D_–_Reliance_on_Service_Provid"/>
      <w:bookmarkEnd w:id="68"/>
      <w:r>
        <w:rPr>
          <w:rFonts w:ascii="Times New Roman" w:hAnsi="Times New Roman"/>
          <w:sz w:val="24"/>
        </w:rPr>
        <w:t>D punkts. Pakalpojumu sniedzēju izmantošana</w:t>
      </w:r>
    </w:p>
    <w:p w14:paraId="5505F40D" w14:textId="5D472929" w:rsidR="00F02FF0" w:rsidRPr="00A248D6" w:rsidRDefault="00C80D6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6. Saskaņā ar D punktu katra jurisdikcija var atļaut finanšu iestādēm, kas sniedz ziņojumus, izmantot pakalpojumu sniedzējus to ziņošanas un pienācīgas pārbaudes pienākumu izpildei, kas noteikti attiecībā uz šādu finanšu iestādi, kas sniedz ziņojumus (piemēram, jurisdikcija var ļaut finanšu iestādēm, kas sniedz ziņojumus, izmantot pakalpojumu sniedzēju īstenotas pienācīgas pārbaudes procedūras). Šādos gadījumos finanšu iestādēm, kas sniedz ziņojumus, jāizpilda valsts tiesību aktos noteiktās prasības un jāuzņemas atbildība par savu ziņošanas un pienācīgas pārbaudes pienākumu izpildi (t. i., finanšu iestāde, kas sniedz ziņojumus, ir atbildīga par pakalpojuma sniedzēja darbībām), tostarp par valsts tiesību aktos noteikto privātuma un datu aizsardzības saistību izpildi. Šāda iespēja ļauj finanšu iestādēm, kas sniedz ziņojumus, izmantot pakalpojumu sniedzēju, kurš ir tās pašas jurisdikcijas rezidents, kurā rezidenta statuss ir arī finanšu iestādei, kas sniedz ziņojumus, vai citas jurisdikcijas rezidents. Šādā gadījumā arī nemainās ziņošanas un pienācīgas pārbaudes pienākumu izpildes laiks un veids; tas paliek tāds pats kā gadījumā, ja šos pienākumus veiktu finanšu iestāde, kas sniedz ziņojumus. Piemēram, pakalpojuma sniedzējam ir jāsniedz informācija tā, kā to darītu finanšu iestāde, kas sniedz ziņojumus (piemēram, tai pašai jurisdikcijai) un jānorāda finanšu iestāde, kas sniedz ziņojumus, attiecībā uz kuru tas izpilda ziņošanas un pienācīgas pārbaudes procedūras.</w:t>
      </w:r>
    </w:p>
    <w:p w14:paraId="60708624" w14:textId="40BCC58F" w:rsidR="00F02FF0" w:rsidRPr="00A248D6" w:rsidRDefault="00C80D6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7. Turpmākajos piemēros atspoguļota D punkta piemērošana. Ieguldījumu vienība P ir kopieguldījumu fonds, kuru pārvalda fonda pārvaldītājs M; tai ir rezidenta statuss iesaistītajā jurisdikcijā B, un tā nav kvalificējama kā atbrīvots kolektīvo ieguldījumu instruments. Iesaistītā jurisdikcija B ļauj finanšu iestādei, kas sniedz ziņojumus, izmantot pakalpojumu sniedzējus visu savu ar </w:t>
      </w:r>
      <w:r>
        <w:rPr>
          <w:rFonts w:ascii="Times New Roman" w:hAnsi="Times New Roman"/>
          <w:i/>
          <w:iCs/>
          <w:color w:val="231F20"/>
          <w:sz w:val="24"/>
        </w:rPr>
        <w:t>CRS</w:t>
      </w:r>
      <w:r>
        <w:rPr>
          <w:rFonts w:ascii="Times New Roman" w:hAnsi="Times New Roman"/>
          <w:color w:val="231F20"/>
          <w:sz w:val="24"/>
        </w:rPr>
        <w:t xml:space="preserve"> saistīto pienākumu izpildei. Tā kā ieguldījumu vienība P ir finanšu iestāde, kas sniedz ziņojumus, tā var izmantot fonda pārvaldītāju B, lai tas īsteno pienācīgas pārbaudes procedūras un izpilda tās ziņošanas un citus </w:t>
      </w:r>
      <w:r>
        <w:rPr>
          <w:rFonts w:ascii="Times New Roman" w:hAnsi="Times New Roman"/>
          <w:i/>
          <w:iCs/>
          <w:color w:val="231F20"/>
          <w:sz w:val="24"/>
        </w:rPr>
        <w:t>CRS</w:t>
      </w:r>
      <w:r>
        <w:rPr>
          <w:rFonts w:ascii="Times New Roman" w:hAnsi="Times New Roman"/>
          <w:color w:val="231F20"/>
          <w:sz w:val="24"/>
        </w:rPr>
        <w:t xml:space="preserve"> pienākumus.</w:t>
      </w:r>
    </w:p>
    <w:p w14:paraId="6BDE5E72" w14:textId="77777777" w:rsidR="00F02FF0" w:rsidRPr="00A248D6" w:rsidRDefault="00F02FF0" w:rsidP="00FE7E48">
      <w:pPr>
        <w:pStyle w:val="Heading7"/>
        <w:keepNext/>
        <w:keepLines/>
        <w:spacing w:before="120"/>
        <w:ind w:left="284"/>
        <w:jc w:val="both"/>
        <w:rPr>
          <w:rFonts w:ascii="Times New Roman" w:hAnsi="Times New Roman" w:cs="Times New Roman"/>
          <w:noProof/>
          <w:sz w:val="24"/>
          <w:szCs w:val="24"/>
        </w:rPr>
      </w:pPr>
      <w:bookmarkStart w:id="69" w:name="Paragraph_E_–_Alternative_due_diligence_"/>
      <w:bookmarkEnd w:id="69"/>
      <w:r>
        <w:rPr>
          <w:rFonts w:ascii="Times New Roman" w:hAnsi="Times New Roman"/>
          <w:sz w:val="24"/>
        </w:rPr>
        <w:lastRenderedPageBreak/>
        <w:t>E punkts. Alternatīvas pienācīgas pārbaudes procedūras attiecībā uz iepriekšpastāvējušiem kontiem</w:t>
      </w:r>
    </w:p>
    <w:p w14:paraId="685C6E87" w14:textId="52C9E88C" w:rsidR="00F02FF0" w:rsidRPr="00A248D6" w:rsidRDefault="00C80D6E" w:rsidP="00FE7E48">
      <w:pPr>
        <w:keepNext/>
        <w:keepLines/>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8. Saskaņā ar E punktu katra jurisdikcija var atļaut finanšu iestādei, kas sniedz ziņojumus, i) attiecībā uz iepriekšpastāvējušiem kontiem piemērot pienācīgas pārbaudes procedūras, kas paredzētas jauniem kontiem, un ii) attiecībā uz zemas vērtības kontiem piemērot pienācīgas pārbaudes procedūras, kas paredzētas zemas vērtības kontiem. Tā arī var ļaut finanšu iestādei, kas sniedz ziņojumus, izvēlēties šādu risinājumu attiecībā uz visiem iepriekšpastāvējušiem kontiem vai atsevišķi attiecībā uz jebkuru skaidri identificētu šādu kontu grupu (kas atlasīti pēc uzņēmējdarbības veida vai vietas, kur konts tiek uzturēts).</w:t>
      </w:r>
    </w:p>
    <w:p w14:paraId="3F886313" w14:textId="1DCE1C78" w:rsidR="00F02FF0" w:rsidRPr="00A248D6" w:rsidRDefault="00C80D6E" w:rsidP="00A248D6">
      <w:pPr>
        <w:tabs>
          <w:tab w:val="left" w:pos="941"/>
        </w:tabs>
        <w:spacing w:before="120"/>
        <w:jc w:val="both"/>
        <w:rPr>
          <w:rFonts w:ascii="Times New Roman" w:hAnsi="Times New Roman" w:cs="Times New Roman"/>
          <w:noProof/>
          <w:sz w:val="24"/>
          <w:szCs w:val="24"/>
        </w:rPr>
      </w:pPr>
      <w:r>
        <w:rPr>
          <w:rFonts w:ascii="Times New Roman" w:hAnsi="Times New Roman"/>
          <w:color w:val="231F20"/>
          <w:sz w:val="24"/>
        </w:rPr>
        <w:t xml:space="preserve">9. </w:t>
      </w:r>
      <w:r>
        <w:rPr>
          <w:rFonts w:ascii="Times New Roman" w:hAnsi="Times New Roman"/>
          <w:sz w:val="24"/>
        </w:rPr>
        <w:t>Ja jurisdikcija ļauj attiecībā uz iepriekšpastāvējušiem kontiem piemērot pienācīgas pārbaudes procedūras, kas paredzētas jauniem kontiem, citi noteikumi, kas piemērojami attiecībā uz iepriekšpastāvējušiem kontiem, paliek spēkā. Līdz ar to finanšu iestāde, kas sniedz ziņojumus, var piemērot jauniem kontiem paredzētās pienācīgas pārbaudes procedūras, neierobežojot iespēju piemērot noteikumus, kas attiecas uz iepriekšpastāvējušiem kontiem, piemēram, I panta C punktu, III panta A punktu un V panta A punktu, kas joprojām ir piemērojami šādos apstākļos. Turklāt atbilstīgi III panta B punkta 1. apakšpunktam ar vienas rezidences paziņošanu attiecībā uz iepriekšpastāvējušu kontu ir pietiekami, lai varētu uzskatīt, ka ir izpildītas I pantā noteiktās ziņošanas prasības.</w:t>
      </w:r>
    </w:p>
    <w:p w14:paraId="74CA9ADD" w14:textId="77777777" w:rsidR="00B27AD2" w:rsidRDefault="00B27AD2">
      <w:pPr>
        <w:rPr>
          <w:rFonts w:ascii="Times New Roman" w:hAnsi="Times New Roman" w:cs="Times New Roman"/>
          <w:b/>
          <w:bCs/>
          <w:noProof/>
          <w:color w:val="4E81BD"/>
          <w:sz w:val="56"/>
          <w:szCs w:val="56"/>
        </w:rPr>
      </w:pPr>
      <w:bookmarkStart w:id="70" w:name="Commentary_on_Section_III_concerning_Due"/>
      <w:bookmarkStart w:id="71" w:name="_bookmark15"/>
      <w:bookmarkEnd w:id="70"/>
      <w:bookmarkEnd w:id="71"/>
      <w:r>
        <w:br w:type="page"/>
      </w:r>
    </w:p>
    <w:p w14:paraId="04DE47D2" w14:textId="4A247C8A" w:rsidR="00F02FF0" w:rsidRPr="00B27AD2" w:rsidRDefault="00F02FF0" w:rsidP="00B27AD2">
      <w:pPr>
        <w:pStyle w:val="Heading2"/>
        <w:spacing w:before="120"/>
        <w:ind w:left="0"/>
        <w:rPr>
          <w:rFonts w:ascii="Times New Roman" w:hAnsi="Times New Roman" w:cs="Times New Roman"/>
          <w:noProof/>
          <w:color w:val="4E81BD"/>
        </w:rPr>
      </w:pPr>
      <w:bookmarkStart w:id="72" w:name="_Toc241827496"/>
      <w:r>
        <w:rPr>
          <w:rFonts w:ascii="Times New Roman" w:hAnsi="Times New Roman"/>
          <w:color w:val="4E81BD"/>
        </w:rPr>
        <w:lastRenderedPageBreak/>
        <w:t>Komentāri par III pantu – par iepriekšpastāvējušu fizisku personu kontu pienācīgu pārbaudi</w:t>
      </w:r>
      <w:bookmarkEnd w:id="72"/>
    </w:p>
    <w:p w14:paraId="5E760347" w14:textId="77777777" w:rsidR="00F02FF0" w:rsidRPr="00B27AD2" w:rsidRDefault="00F02FF0" w:rsidP="00CB441B">
      <w:pPr>
        <w:pStyle w:val="BodyText"/>
        <w:spacing w:before="120"/>
        <w:jc w:val="left"/>
        <w:rPr>
          <w:rFonts w:ascii="Times New Roman" w:hAnsi="Times New Roman" w:cs="Times New Roman"/>
          <w:b/>
          <w:noProof/>
          <w:sz w:val="56"/>
          <w:szCs w:val="56"/>
        </w:rPr>
      </w:pPr>
    </w:p>
    <w:p w14:paraId="70689946" w14:textId="77777777" w:rsidR="00F02FF0" w:rsidRPr="00B27AD2" w:rsidRDefault="00F02FF0" w:rsidP="00CB441B">
      <w:pPr>
        <w:pStyle w:val="BodyText"/>
        <w:spacing w:before="120"/>
        <w:jc w:val="left"/>
        <w:rPr>
          <w:rFonts w:ascii="Times New Roman" w:hAnsi="Times New Roman" w:cs="Times New Roman"/>
          <w:b/>
          <w:noProof/>
          <w:sz w:val="56"/>
          <w:szCs w:val="56"/>
        </w:rPr>
      </w:pPr>
    </w:p>
    <w:p w14:paraId="11987F4B" w14:textId="69EF7DE4" w:rsidR="00F02FF0" w:rsidRPr="00A248D6" w:rsidRDefault="00B27AD2"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 Šajā pantā izklāstītas pienācīgas pārbaudes procedūras, ko piemēro, lai noteiktu, kuri no iepriekšpastāvējušiem fizisku personu kontiem ir konti, par kuriem jāsniedz ziņojums. Tajā noteikts dalījums starp zemākas vērtības kontiem un lielas vērtības kontiem.</w:t>
      </w:r>
    </w:p>
    <w:p w14:paraId="29B9DDB5" w14:textId="77777777" w:rsidR="00F02FF0" w:rsidRPr="00A248D6" w:rsidRDefault="00F02FF0" w:rsidP="00A248D6">
      <w:pPr>
        <w:pStyle w:val="Heading7"/>
        <w:spacing w:before="120"/>
        <w:ind w:left="284"/>
        <w:jc w:val="both"/>
        <w:rPr>
          <w:rFonts w:ascii="Times New Roman" w:hAnsi="Times New Roman" w:cs="Times New Roman"/>
          <w:noProof/>
          <w:sz w:val="24"/>
          <w:szCs w:val="24"/>
        </w:rPr>
      </w:pPr>
      <w:r>
        <w:rPr>
          <w:rFonts w:ascii="Times New Roman" w:hAnsi="Times New Roman"/>
          <w:sz w:val="24"/>
        </w:rPr>
        <w:t>A punkts. Konti, kuri nav jāpārbauda, jāidentificē vai par kuriem nav jāsniedz ziņojumi</w:t>
      </w:r>
    </w:p>
    <w:p w14:paraId="5A7B2512" w14:textId="1165F4C3" w:rsidR="00F02FF0" w:rsidRPr="00A248D6" w:rsidRDefault="00B27AD2"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2. A punktā no pārbaudes ir atbrīvoti visi iepriekšpastāvējuši fizisku personu konti, kas ir apdrošināšanas līgumi ar naudas vērtību un anuitātes līgumi, ar nosacījumu, ka tiesību akti faktiski liedz finanšu iestādei, kas sniedz ziņojumus, pārdot šādus līgumus rezidentiem jurisdikcijā, par kuru jāsniedz ziņojums. Uzskata, ka “tiesību akti faktiski liedz” finanšu iestādei, kas sniedz ziņojumus, pārdot apdrošināšanas līgumus ar naudas vērtību un anuitātes līgumus rezidentiem jurisdikcijā, par kuru jāsniedz ziņojums, ja:</w:t>
      </w:r>
    </w:p>
    <w:p w14:paraId="414A05D8" w14:textId="48CAD6C2" w:rsidR="00F02FF0" w:rsidRPr="00A248D6" w:rsidRDefault="00B27AD2" w:rsidP="00A248D6">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a) finanšu iestādes, kas sniedz ziņojumus, jurisdikcijas tiesību aktos aizliegta vai citādi faktiski novērsta šādu līgumu pārdošana citas jurisdikcijas rezidentiem vai</w:t>
      </w:r>
    </w:p>
    <w:p w14:paraId="4FCF154C" w14:textId="19E5E0B2" w:rsidR="00F02FF0" w:rsidRPr="00A248D6" w:rsidRDefault="00B27AD2" w:rsidP="00A248D6">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b) jurisdikcijas, par kuru jāsniedz ziņojums, tiesību aktos finanšu iestādei, kas sniedz ziņojumus, aizliegts pārdot šādus līgumus šādas jurisdikcijas, par kuru jāsniedz ziņojums, rezidentiem, vai šāda iespēja ir citādi faktiski novērsta.</w:t>
      </w:r>
    </w:p>
    <w:p w14:paraId="5670D8AE" w14:textId="4607F7B8" w:rsidR="00F02FF0" w:rsidRPr="00A248D6" w:rsidRDefault="00B27AD2"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3. Ja piemērojamie tiesību akti tieši neaizliedz finanšu iestādēm, kas sniedz ziņojumus, pārdot apdrošināšanas un anuitātes līgumus, taču paredz, ka tām ir jāizpilda noteikti nosacījumi, lai tās varētu pārdot šādus līgumus rezidentiem jurisdikcijā, par kuru jāsniedz ziņojums (piemēram, jāsaņem licence un jāreģistrē līgumi), tad uzskata, ka finanšu iestādei, kas sniedz ziņojumus un kas nav izpildījusi piemērojamajos tiesību aktos noteiktos nosacījumus, “tiesību akti faktiski liedz” pārdot šādus līgumus šādas jurisdikcijas, par kuru jāsniedz ziņojumi, rezidentiem.</w:t>
      </w:r>
    </w:p>
    <w:p w14:paraId="144D4297" w14:textId="77777777" w:rsidR="00F02FF0" w:rsidRPr="00A248D6" w:rsidRDefault="00F02FF0" w:rsidP="00A248D6">
      <w:pPr>
        <w:pStyle w:val="Heading7"/>
        <w:spacing w:before="120"/>
        <w:ind w:left="284"/>
        <w:jc w:val="both"/>
        <w:rPr>
          <w:rFonts w:ascii="Times New Roman" w:hAnsi="Times New Roman" w:cs="Times New Roman"/>
          <w:noProof/>
          <w:sz w:val="24"/>
          <w:szCs w:val="24"/>
        </w:rPr>
      </w:pPr>
      <w:bookmarkStart w:id="73" w:name="Paragraph_B_–_Due_diligence_for_Lower_Va"/>
      <w:bookmarkEnd w:id="73"/>
      <w:r>
        <w:rPr>
          <w:rFonts w:ascii="Times New Roman" w:hAnsi="Times New Roman"/>
          <w:sz w:val="24"/>
        </w:rPr>
        <w:t>B punkts. Zemākas vērtības kontu pienācīga pārbaude</w:t>
      </w:r>
    </w:p>
    <w:p w14:paraId="73004C3B" w14:textId="0125540B" w:rsidR="00F02FF0" w:rsidRPr="00A248D6" w:rsidRDefault="00B27AD2"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4. B punktā noteiktas procedūras, ko piemēro attiecībā uz zemākas vērtības kontiem. Šādas procedūras ietver dzīvesvietas adreses pārbaudi un elektronisku datu meklēšanu.</w:t>
      </w:r>
    </w:p>
    <w:p w14:paraId="6D79682B" w14:textId="62592093" w:rsidR="00F02FF0" w:rsidRPr="00A248D6" w:rsidRDefault="00B27AD2"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5. Īstenojot Kopējo ziņošanas standartu, jurisdikcijas var atļaut finanšu iestādēm, kas sniedz ziņojumus, piemērot i) vai nu dzīvesvietas adreses pārbaudi, vai elektronisko datu meklēšanu, kas aprakstīta B punkta 2. līdz 6. apakšpunktā, vai ii) tikai elektronisku datu meklēšanu. Pirmajā gadījumā jurisdikcijas var arī ļaut finanšu iestādēm, kas sniedz ziņojumus, izvēlēties veikt dzīvesvietas adreses pārbaudi attiecībā uz visiem zemākas vērtības kontiem vai atsevišķi attiecībā uz jebkuru skaidri identificētu šādu kontu grupu (kas atlasīti pēc uzņēmējdarbības veida vai vietas, kur konts tiek uzturēts).</w:t>
      </w:r>
    </w:p>
    <w:p w14:paraId="33309A6A" w14:textId="68BED49B" w:rsidR="00F02FF0" w:rsidRPr="00A248D6" w:rsidRDefault="00B27AD2"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6. Ja valsts tiesību aktos finanšu iestādēm, kas sniedz ziņojumus, atļauts veikt dzīvesvietas adreses pārbaudi un finanšu iestāde, kas sniedz ziņojumus, to nolemj veikt, tad šai finanšu iestādei šāda pārbaude ir jāveic attiecībā uz katru zemākas vērtības kontu vai jebkuru skaidri </w:t>
      </w:r>
      <w:r>
        <w:rPr>
          <w:rFonts w:ascii="Times New Roman" w:hAnsi="Times New Roman"/>
          <w:sz w:val="24"/>
        </w:rPr>
        <w:lastRenderedPageBreak/>
        <w:t>identificētu šādu kontu grupu (atbilstīgi tam, kā paredzēts valsts tiesību aktos). Ja finanšu iestāde, kas sniedz ziņojumus, nolemj neveikt pārbaudi vai ja viena vai vairākas pārbaudes prasības nav izpildītas, tai ir jāveic elektroniska datu meklēšana attiecībā uz zemākas vērtības kontu.</w:t>
      </w:r>
    </w:p>
    <w:p w14:paraId="2EF1D02B" w14:textId="77777777" w:rsidR="00F02FF0" w:rsidRPr="00A248D6" w:rsidRDefault="00F02FF0" w:rsidP="00A248D6">
      <w:pPr>
        <w:pStyle w:val="Heading8"/>
        <w:spacing w:before="120"/>
        <w:ind w:left="142"/>
        <w:jc w:val="both"/>
        <w:rPr>
          <w:rFonts w:ascii="Times New Roman" w:hAnsi="Times New Roman" w:cs="Times New Roman"/>
          <w:noProof/>
          <w:color w:val="616161"/>
          <w:sz w:val="24"/>
          <w:szCs w:val="24"/>
        </w:rPr>
      </w:pPr>
      <w:bookmarkStart w:id="74" w:name="Subparagraph_B(1)_–_Residence_address_te"/>
      <w:bookmarkEnd w:id="74"/>
      <w:r>
        <w:rPr>
          <w:rFonts w:ascii="Times New Roman" w:hAnsi="Times New Roman"/>
          <w:color w:val="616161"/>
          <w:sz w:val="24"/>
        </w:rPr>
        <w:t>B punkta 1. apakšpunkts. Dzīvesvietas adreses pārbaude</w:t>
      </w:r>
    </w:p>
    <w:p w14:paraId="0DCBC104" w14:textId="3BA70B90" w:rsidR="00F02FF0" w:rsidRPr="00A248D6" w:rsidRDefault="00B27AD2"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7. B punkta 1. apakšpunktā aprakstīta “dzīvesvietas adreses” pārbaude. Šī pārbaude paredz, ka finanšu iestādei, kas sniedz ziņojumus, jābūt ieviestiem noteikumiem un procedūrām, kas nepieciešami dzīvesvietas adreses pārbaudei, pamatojoties uz dokumentāriem pierādījumiem. Lai noteiktu, vai individuāls konta turētājs ir persona, par kuru jāsniedz ziņojums, finanšu iestāde, kas sniedz ziņojumus, var uzskatīt, ka šāda fiziska persona ir rezidents nodokļu aprēķina vajadzībām jurisdikcijā, kurā atrodas adrese, ja:</w:t>
      </w:r>
    </w:p>
    <w:p w14:paraId="5CB85D31" w14:textId="7300A69B" w:rsidR="00F02FF0" w:rsidRPr="00A248D6" w:rsidRDefault="00B27AD2" w:rsidP="00A248D6">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a) finanšu iestādes, kas sniedz ziņojumus, reģistrētajos datos ir šā individuālā konta turētāja dzīvesvietas adrese;</w:t>
      </w:r>
    </w:p>
    <w:p w14:paraId="27DBF71F" w14:textId="08E22FA1" w:rsidR="00F02FF0" w:rsidRPr="00A248D6" w:rsidRDefault="00B27AD2" w:rsidP="00A248D6">
      <w:pPr>
        <w:tabs>
          <w:tab w:val="left" w:pos="941"/>
        </w:tabs>
        <w:spacing w:before="120"/>
        <w:ind w:left="567" w:hanging="284"/>
        <w:jc w:val="both"/>
        <w:rPr>
          <w:rFonts w:ascii="Times New Roman" w:hAnsi="Times New Roman" w:cs="Times New Roman"/>
          <w:noProof/>
          <w:sz w:val="24"/>
          <w:szCs w:val="24"/>
        </w:rPr>
      </w:pPr>
      <w:r>
        <w:rPr>
          <w:rFonts w:ascii="Times New Roman" w:hAnsi="Times New Roman"/>
          <w:sz w:val="24"/>
        </w:rPr>
        <w:t>b) šāda dzīvesvietas adrese joprojām ir spēkā un</w:t>
      </w:r>
    </w:p>
    <w:p w14:paraId="3CA41D54" w14:textId="26FF9FB6" w:rsidR="00F02FF0" w:rsidRPr="00A248D6" w:rsidRDefault="00B27AD2" w:rsidP="00A248D6">
      <w:pPr>
        <w:tabs>
          <w:tab w:val="left" w:pos="942"/>
        </w:tabs>
        <w:spacing w:before="120"/>
        <w:ind w:left="567" w:hanging="284"/>
        <w:jc w:val="both"/>
        <w:rPr>
          <w:rFonts w:ascii="Times New Roman" w:hAnsi="Times New Roman" w:cs="Times New Roman"/>
          <w:noProof/>
          <w:sz w:val="24"/>
          <w:szCs w:val="24"/>
        </w:rPr>
      </w:pPr>
      <w:r>
        <w:rPr>
          <w:rFonts w:ascii="Times New Roman" w:hAnsi="Times New Roman"/>
          <w:sz w:val="24"/>
        </w:rPr>
        <w:t>c) šāda dzīvesvietas adrese ir pamatota ar dokumentāriem pierādījumiem.</w:t>
      </w:r>
    </w:p>
    <w:p w14:paraId="7F05FAC6" w14:textId="15C31752" w:rsidR="00F02FF0" w:rsidRPr="00A248D6" w:rsidRDefault="00C43266"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sz w:val="24"/>
        </w:rPr>
        <w:t>8. Pirmā prasība paredz, ka finanšu iestādes, kas sniedz ziņojumus, reģistrētajos datos jābūt individuālā konta turētāja dzīvesvietas adresei (skat. komentāru par I pantu 26. punktu). Parasti “adrese, ar kuru saņēmējs saistīts” vai pasta abonenta kastīte nav uzskatāma par dzīvesvietas adresi. Tomēr pasta abonenta kastīti var uzskatīt par dzīvesvietas adresi, ja tā ir daļa no adreses kopā ar, piemēram, ielas nosaukumu, dzīvokļa numuru vai māju nosaukumu lauku teritorijās, un tādējādi skaidri norāda konta turētāja faktisko dzīvesvietas vietu.</w:t>
      </w:r>
      <w:r>
        <w:rPr>
          <w:rFonts w:ascii="Times New Roman" w:hAnsi="Times New Roman"/>
          <w:color w:val="231F20"/>
          <w:sz w:val="24"/>
        </w:rPr>
        <w:t xml:space="preserve"> Īpašos apstākļos, piemēram, attiecībā uz militāro personālu “adresi, ar kuru saņēmējs saistīts” var uzskatīt par dzīvesvietas adresi. Jurisdikcijas, kas ievieš Kopējo ziņošanas standartu, var noteikt citus īpašus apstākļus, kad tiek izmantota “adrese, ar kuru saņēmējs saistīts” vai pasta abonenta kastīte, kas skaidri norāda dzīvesvietas adresi, ja vien šāda noteikšana nav pretrunā Kopējā ziņošanas standarta mērķiem.</w:t>
      </w:r>
    </w:p>
    <w:p w14:paraId="089EE4E5" w14:textId="70CF8FA3"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9. Otrā prasība paredz, ka dzīvesvietas adrese, kura reģistrēta finanšu iestādes, kas sniedz ziņojumus, datos, joprojām ir spēkā. Dzīvesvietas adresi uzskata par “spēkā esošu”, ja tā ir jaunākā dzīvesvietas adrese, ko finanšu iestāde, kas sniedz ziņojumus, reģistrējusi attiecībā uz individuālo konta turētāju. Tomēr dzīvesvietas adresi neuzskata par “spēkā esošu”, ja uz šo adresi nosūtīts pasta sūtījums ir saņemts atpakaļ kā tāds, ko nav iespējams piegādāt adresātam (izņemot gadījumus, kad tas nav bijis iespējams kļūmes dēļ). Neraugoties uz iepriekš minēto, dzīvesvietas adrese, kas saistīta ar neaktīvu kontu, neaktivitātes perioda laikā tiktu uzskatīta par “spēkā esošu”. Konts (izņemot anuitātes līgumu) ir “neaktīvs konts”, ja i) konta turētājs pēdējo trīs gadu laikā nav ierosinājis darījumu attiecībā uz šo kontu vai jebkuru citu konta turētāja turētu kontu finanšu iestādē, kas sniedz ziņojumus; ii) konta turētājs pēdējo sešu gadu laikā nav sazinājies ar finanšu iestādi, kas sniedz ziņojumus un uztur šādu kontu, jautājumos par šādu kontu vai par jebkuru citu konta turētāja turētu kontu finanšu iestādē, kas sniedz ziņojumus, un iii) apdrošināšanas līguma ar naudas vērtību gadījumā finanšu iestāde, kas sniedz ziņojumus, pēdējo sešu gadu laikā nav sazinājusies ar konta turētāju, kas tur šādu kontu, jautājumos par šādu kontu vai par jebkuru citu konta turētāja turētu kontu finanšu iestādē, kas sniedz ziņojumus. Kontu (izņemot anuitātes līgumu) var uzskatīt par “neaktīvu kontu” arī saskaņā ar piemērojamajiem tiesību aktiem un noteikumiem vai finanšu iestādes, kas sniedz ziņojumus, parastajām darbības procedūrām, kuras tiek konsekventi piemērotas attiecībā uz visiem kontiem, ko šāda iestāde uztur konkrētajā jurisdikcijā, ar nosacījumu, ka šādi tiesību akti un noteikumi vai šādas procedūras paredz prasības, kas pēc būtības ir līdzīgas iepriekšējā teikumā noteiktajām prasībām. Konts vairs netiek uzskatīts par neaktīvu kontu, ja i) konta turētājs ierosina darījumu attiecībā uz šo kontu vai jebkuru citu konta turētāja turētu kontu finanšu iestādē, kas sniedz ziņojumus; ii) konta turētājs sazinās ar finanšu iestādi, kas </w:t>
      </w:r>
      <w:r>
        <w:rPr>
          <w:rFonts w:ascii="Times New Roman" w:hAnsi="Times New Roman"/>
          <w:sz w:val="24"/>
        </w:rPr>
        <w:lastRenderedPageBreak/>
        <w:t>sniedz ziņojumus, jautājumos par šādu kontu vai par jebkuru citu konta turētāja turētu kontu finanšu iestādē, kas sniedz ziņojumus vai iii) konts vairs nav neaktīvs konts saskaņā ar piemērojamajiem tiesību aktiem vai noteikumiem vai finanšu iestādes, kas sniedz ziņojumus, parastajām darbības procedūrām.</w:t>
      </w:r>
    </w:p>
    <w:p w14:paraId="52BFE9AD" w14:textId="320CFD50" w:rsidR="00F02FF0" w:rsidRPr="00A248D6" w:rsidRDefault="00C43266"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sz w:val="24"/>
        </w:rPr>
        <w:t>10. Trešā prasība paredz, ka spēkā esošajai dzīvesvietas adresei finanšu iestādes, kas sniedz ziņojumus, datos jābūt reģistrētai, pamatojoties uz dokumentāriem pierādījumiem (skat. komentāru par VIII pantu 150.–162. punktu). Šī prasība tiek izpildīta, ja finanšu iestādes, kas sniedz ziņojumus, noteikumi un procedūras nodrošina, ka tās datos reģistrētā dzīvesvietas adrese ir tā pati adrese (vai adrese tajā pašā jurisdikcijā), kura norādīta dokumentārajos pierādījumos (piemēram, identifikācijas kartē, autovadītāja apliecībā, balsošanas kartē vai dzimšanas apliecībā).</w:t>
      </w:r>
      <w:r>
        <w:rPr>
          <w:rFonts w:ascii="Times New Roman" w:hAnsi="Times New Roman"/>
          <w:color w:val="231F20"/>
          <w:sz w:val="24"/>
        </w:rPr>
        <w:t xml:space="preserve"> Trešā prasība tiek izpildīta arī tad, ja finanšu iestādes, kas sniedz ziņojumus, noteikumi un procedūras nodrošina, ka gadījumos, kad tai ir valsts izdoti dokumentāri pierādījumi, taču šādos dokumentāros pierādījumos nav norādīta jaunākā dzīvesvietas adrese vai dzīvesvietas adrese nav norādīta vispār (piemēram, atsevišķās pasēs), spēkā esošā dzīvesvietas adrese finanšu iestādes, kas sniedz ziņojumus, reģistrētajos datos ir tā pati adrese (vai adrese tajā pašā jurisdikcijā), kas norādīta pilnvarotas valsts iestādes vai sabiedrisko pakalpojumu sniedzēja nesen izdotā dokumentā vai deklarācijā, ko sniedzis individuālais konta turētājs, kura jurisdikcijas tiesību akti paredz atbildību par nepatiesas informācijas sniegšanu. Pieņemami pilnvarotas valsts iestādes izsniegti dokumenti ietver, piemēram, nodokļu administrācijas oficiālos paziņojumus vai novērtējumus. Pieņemami komunālo pakalpojumu uzņēmumu izsniegti dokumenti ir izdoti saistībā ar konkrēta īpašuma apgādi, un tie var būt rēķini par ūdeni, elektrību, tālruni (tikai fiksētās sakaru līnijas), gāzi vai degvielu. Deklarācija, ko sniedzis individuālais konta turētājs, kura jurisdikcijas tiesību akti paredz atbildību par nepatiesas informācijas sniegšanu, ir pieņemama tikai tad, ja i) finanšu iestādei, kas sniedz ziņojumus, saskaņā ar valsts tiesību aktiem jau vairākus gadus ir bijis pienākums to ievākt; ii) tajā ir norādīta konta turētāja dzīvesvietas adrese un uz tās ir norādīts datums, un individuālais konta turētājs, kura jurisdikcijas tiesību akti paredz atbildību par nepatiesas informācijas sniegšanu, to ir parakstījis. Šādos apstākļos zināšanu prasību standarti, kas piemērojami attiecībā uz dokumentārajiem pierādījumiem, ir piemērojami arī attiecībā uz dokumentāciju, uz kuru paļaujas finanšu iestāde, kas sniedz ziņojumus (skat. komentāru par VII pantu 2.–3. punktu). Finanšu iestāde, kas sniedz ziņojumus, var izpildīt trešo prasību arī tādā gadījumā, ja tās noteikumi un procedūras ļauj pārliecināties par to, ka dzīvesvietas adresē norādītā jurisdikcija atbilst jurisdikcijai, kurā izdoti valsts izdotie dokumentārie pierādījumi.</w:t>
      </w:r>
    </w:p>
    <w:p w14:paraId="18D78402" w14:textId="32B2C5B4"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11. Konti var būt atvērti arī laikā, kad nav bijušas spēkā </w:t>
      </w:r>
      <w:r>
        <w:rPr>
          <w:rFonts w:ascii="Times New Roman" w:hAnsi="Times New Roman"/>
          <w:i/>
          <w:iCs/>
          <w:sz w:val="24"/>
        </w:rPr>
        <w:t>AML/KYC</w:t>
      </w:r>
      <w:r>
        <w:rPr>
          <w:rFonts w:ascii="Times New Roman" w:hAnsi="Times New Roman"/>
          <w:sz w:val="24"/>
        </w:rPr>
        <w:t xml:space="preserve"> prasības, un tāpēc finanšu iestāde, kas sniedz ziņojumus, var nebūt pārbaudījusi dokumentāros pierādījumus, kad dati tika sākotnēji reģistrēti. </w:t>
      </w:r>
      <w:r>
        <w:rPr>
          <w:rFonts w:ascii="Times New Roman" w:hAnsi="Times New Roman"/>
          <w:i/>
          <w:iCs/>
          <w:sz w:val="24"/>
        </w:rPr>
        <w:t>FATF</w:t>
      </w:r>
      <w:r>
        <w:rPr>
          <w:rFonts w:ascii="Times New Roman" w:hAnsi="Times New Roman"/>
          <w:sz w:val="24"/>
        </w:rPr>
        <w:t xml:space="preserve"> ieteikumi, kuros izklāstīti starptautiskie standarti noziedzīgi iegūtu līdzekļu legalizācijas novēršanai un iekļauta prasība pārbaudīt klientu identitāti, pamatojoties uz uzticamiem un neatkarīgiem avotiem, pirmo reizi tika izdoti 1990. gadā un pēc tam pārskatīti 1996., 2003. un 2012. gadā.</w:t>
      </w:r>
      <w:r>
        <w:rPr>
          <w:rStyle w:val="FootnoteReference"/>
          <w:rFonts w:ascii="Times New Roman" w:hAnsi="Times New Roman" w:cs="Times New Roman"/>
          <w:noProof/>
          <w:sz w:val="24"/>
          <w:szCs w:val="24"/>
        </w:rPr>
        <w:footnoteReference w:customMarkFollows="1" w:id="3"/>
        <w:t>3</w:t>
      </w:r>
      <w:r>
        <w:rPr>
          <w:rFonts w:ascii="Times New Roman" w:hAnsi="Times New Roman"/>
          <w:sz w:val="24"/>
          <w:vertAlign w:val="superscript"/>
        </w:rPr>
        <w:t xml:space="preserve"> </w:t>
      </w:r>
      <w:r>
        <w:rPr>
          <w:rFonts w:ascii="Times New Roman" w:hAnsi="Times New Roman"/>
          <w:sz w:val="24"/>
        </w:rPr>
        <w:t>Prasība piemērot klienta pienācīgas pārbaudes pasākumus attiecībā uz pašreizējiem klientiem, pamatojoties uz būtiskumu un risku, attiecas pat uz tiem kontiem, kas atvērti pirms šādu prasību stāšanās spēkā un uz ko tiek attiecināti iepriekšējie noteikumi.</w:t>
      </w:r>
      <w:r>
        <w:rPr>
          <w:rFonts w:ascii="Times New Roman" w:hAnsi="Times New Roman"/>
          <w:color w:val="231F20"/>
          <w:sz w:val="24"/>
        </w:rPr>
        <w:t xml:space="preserve"> Turklāt attiecībā uz kontiem, par kuriem jāsniedz ziņojums un kuri ir iepriekšpastāvējuši konti, finanšu iestādēm, kas sniedz ziņojumus, jau ir pienākums veikt pietiekamus pasākumus un sazināties ar saviem klientiem, lai iegūtu viņu </w:t>
      </w:r>
      <w:r>
        <w:rPr>
          <w:rFonts w:ascii="Times New Roman" w:hAnsi="Times New Roman"/>
          <w:i/>
          <w:iCs/>
          <w:color w:val="231F20"/>
          <w:sz w:val="24"/>
        </w:rPr>
        <w:t>TIN</w:t>
      </w:r>
      <w:r>
        <w:rPr>
          <w:rFonts w:ascii="Times New Roman" w:hAnsi="Times New Roman"/>
          <w:color w:val="231F20"/>
          <w:sz w:val="24"/>
        </w:rPr>
        <w:t xml:space="preserve"> un dzimšanas datumu (ievērojot I panta C un D punkta noteikumus). Paredzams, ka šāda saziņa tiks izmantota arī tam, lai pieprasītu dokumentāros pierādījumus. Tādējādi gadījumiem, kad kontiem nav dokumentāru pierādījumu, jābūt izņēmumiem, jāattiecas uz zema riska kontiem un kontiem, kas atvērti pirms 2004. gada. Šādos gadījumos var uzskatīt, ka trešā prasība, kas </w:t>
      </w:r>
      <w:r>
        <w:rPr>
          <w:rFonts w:ascii="Times New Roman" w:hAnsi="Times New Roman"/>
          <w:color w:val="231F20"/>
          <w:sz w:val="24"/>
        </w:rPr>
        <w:lastRenderedPageBreak/>
        <w:t>noteikta B punkta 1. apakšpunktā, ir izpildīta arī tad, ja finanšu iestādes, kas sniedz ziņojumus, noteikumi un procedūras ļauj pārliecināties par to, ka tās datos reģistrētā spēkā esošā dzīvesvietas adrese atrodas tajā pašā jurisdikcijā, i) kurā atrodas adrese, kas norādīta jaunākajā dokumentā, kuru ieguvusi finanšu iestāde, kas sniedz ziņojumus (piemēram, sabiedrisko pakalpojumu rēķinā, nekustamā īpašuma nomas līgumā vai deklarācijā, ko sniedzis individuālais konta turētājs, kura jurisdikcijas tiesību akti paredz atbildību par nepatiesas informācijas sniegšanu), un ii) kuru finanšu iestāde, kas sniedz ziņojumus, paziņojusi attiecībā uz individuālo konta turētāju, pildot citas nodokļu informācijas sniegšanas prasības (ja tādas pastāv). Lai iepriekš minētajos apstākļos izpildītu trešo prasību apdrošināšanas līguma ar naudas vērtību gadījumā, finanšu iestāde, kas sniedz ziņojumus, var paļauties uz tās datos reģistrēto spēkā esošo dzīvesvietas adresi līdz brīdim, kad i) mainās apstākļi un tādēļ finanšu iestādei, kas sniedz ziņojumus, kļūst zināms vai ir pamats zināt, ka šāda dzīvesvietas adrese nav pareiza vai uzticama, vai ii) tiek veikts apdrošināšanas līguma ar naudas vērtību (pilnīgs vai daļējs) maksājums vai sasniegtas šāda līguma termiņa beigas. Šāda līguma izmaksāšana vai termiņa beigas būs uzskatāmas par apstākļu maiņu, kas izraisa attiecīgo procedūru piemērošanu (skat. turpmāk 13. punktu).</w:t>
      </w:r>
    </w:p>
    <w:p w14:paraId="1EF00DFB" w14:textId="3B062114"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12. Turpmākajos piemēros atspoguļota finanšu iestādes, kas sniedz ziņojumus, noteikumu un procedūru piemērošana attiecībā uz B punkta 1. apakšpunktu.</w:t>
      </w:r>
    </w:p>
    <w:p w14:paraId="7A551412" w14:textId="77777777" w:rsidR="00F02FF0" w:rsidRPr="00A248D6" w:rsidRDefault="00F02FF0" w:rsidP="00A248D6">
      <w:pPr>
        <w:pStyle w:val="ListParagraph"/>
        <w:numPr>
          <w:ilvl w:val="0"/>
          <w:numId w:val="45"/>
        </w:numPr>
        <w:ind w:left="709"/>
        <w:rPr>
          <w:rFonts w:ascii="Times New Roman" w:hAnsi="Times New Roman" w:cs="Times New Roman"/>
          <w:noProof/>
          <w:sz w:val="24"/>
          <w:szCs w:val="24"/>
        </w:rPr>
      </w:pPr>
      <w:r>
        <w:rPr>
          <w:rFonts w:ascii="Times New Roman" w:hAnsi="Times New Roman"/>
          <w:sz w:val="24"/>
        </w:rPr>
        <w:t>1. piemērs (identifikācijas karte). Bankā M, kura ir finanšu iestāde, kas sniedz ziņojumus, ir ieviesti noteikumi un procedūras, saskaņā ar ko tā ir savākusi visu ar tās iepriekšpastāvējušu fizisku personu kontiem saistīto identifikācijas karšu kopijas un pārliecinās, ka spēkā esošā dzīvesvietas adrese, kas reģistrēta tās datos attiecībā uz šādiem kontiem, atrodas tajā pašā jurisdikcijā, kurā atrodas attiecīgajā identitātes kartē norādītā adrese. M var uzskatīt, ka šādi konta turētāji nodokļu aprēķina vajadzībām ir tās jurisdikcijas rezidenti, kurā atrodas šāda adrese.</w:t>
      </w:r>
    </w:p>
    <w:p w14:paraId="2CEFF817" w14:textId="77777777" w:rsidR="00F02FF0" w:rsidRPr="00A248D6" w:rsidRDefault="00F02FF0" w:rsidP="00A248D6">
      <w:pPr>
        <w:pStyle w:val="ListParagraph"/>
        <w:numPr>
          <w:ilvl w:val="0"/>
          <w:numId w:val="45"/>
        </w:numPr>
        <w:ind w:left="709"/>
        <w:rPr>
          <w:rFonts w:ascii="Times New Roman" w:hAnsi="Times New Roman" w:cs="Times New Roman"/>
          <w:noProof/>
          <w:color w:val="231F20"/>
          <w:sz w:val="24"/>
          <w:szCs w:val="24"/>
        </w:rPr>
      </w:pPr>
      <w:r>
        <w:rPr>
          <w:rFonts w:ascii="Times New Roman" w:hAnsi="Times New Roman"/>
          <w:color w:val="231F20"/>
          <w:sz w:val="24"/>
        </w:rPr>
        <w:t>2. piemērs (pase un rēķins par pakalpojumu). M ir ieviesusi konta atvēršanas procedūras, saskaņā ar kurām tā izmanto konta turētāja pasi, lai apstiprinātu konta turētāja identitāti, un nesen izdotus rēķinus par pakalpojumiem, lai pārliecinātos par M sistēmā reģistrētās dzīvesvietas adreses pareizību. M var uzskatīt, ka tās iepriekšpastāvējušu kontu turētāji nodokļu aprēķina vajadzībām ir tās sistēmās reģistrētās jurisdikcijas rezidenti.</w:t>
      </w:r>
    </w:p>
    <w:p w14:paraId="0D0D6672" w14:textId="77777777" w:rsidR="00F02FF0" w:rsidRPr="00A248D6" w:rsidRDefault="00F02FF0" w:rsidP="00A248D6">
      <w:pPr>
        <w:pStyle w:val="ListParagraph"/>
        <w:numPr>
          <w:ilvl w:val="0"/>
          <w:numId w:val="45"/>
        </w:numPr>
        <w:ind w:left="709"/>
        <w:rPr>
          <w:rFonts w:ascii="Times New Roman" w:hAnsi="Times New Roman" w:cs="Times New Roman"/>
          <w:noProof/>
          <w:color w:val="231F20"/>
          <w:sz w:val="24"/>
          <w:szCs w:val="24"/>
        </w:rPr>
      </w:pPr>
      <w:r>
        <w:rPr>
          <w:rFonts w:ascii="Times New Roman" w:hAnsi="Times New Roman"/>
          <w:color w:val="231F20"/>
          <w:sz w:val="24"/>
        </w:rPr>
        <w:t xml:space="preserve">3. piemērs (rēķins par pakalpojumu ar ziņošanas pienākumiem). Bankai H, kura ir finanšu iestāde, kas sniedz ziņojumus, ir virkne pirms 1990. gada atvērtu kontu, attiecībā uz kuriem nav piemērotas </w:t>
      </w:r>
      <w:r>
        <w:rPr>
          <w:rFonts w:ascii="Times New Roman" w:hAnsi="Times New Roman"/>
          <w:i/>
          <w:iCs/>
          <w:color w:val="231F20"/>
          <w:sz w:val="24"/>
        </w:rPr>
        <w:t>AML</w:t>
      </w:r>
      <w:r>
        <w:rPr>
          <w:rFonts w:ascii="Times New Roman" w:hAnsi="Times New Roman"/>
          <w:color w:val="231F20"/>
          <w:sz w:val="24"/>
        </w:rPr>
        <w:t>/</w:t>
      </w:r>
      <w:r>
        <w:rPr>
          <w:rFonts w:ascii="Times New Roman" w:hAnsi="Times New Roman"/>
          <w:i/>
          <w:iCs/>
          <w:color w:val="231F20"/>
          <w:sz w:val="24"/>
        </w:rPr>
        <w:t>KYC</w:t>
      </w:r>
      <w:r>
        <w:rPr>
          <w:rFonts w:ascii="Times New Roman" w:hAnsi="Times New Roman"/>
          <w:color w:val="231F20"/>
          <w:sz w:val="24"/>
        </w:rPr>
        <w:t xml:space="preserve"> procedūras, un saistītie noteikumi par būtiskumu un risku neparedz atkārtoti veikt to dokumentēšanu. H reģistrētajos datos attiecībā uz šiem kontiem ir norādīta spēkā esošā dzīvesvietas adrese, ko apliecina konta atvēršanas laikā iegūtie rēķini par pakalpojumu. Šī adrese ir tā pati adrese, ko H regulāri paziņo attiecībā uz šiem kontiem, pildot savus ar </w:t>
      </w:r>
      <w:r>
        <w:rPr>
          <w:rFonts w:ascii="Times New Roman" w:hAnsi="Times New Roman"/>
          <w:i/>
          <w:iCs/>
          <w:color w:val="231F20"/>
          <w:sz w:val="24"/>
        </w:rPr>
        <w:t>CRS</w:t>
      </w:r>
      <w:r>
        <w:rPr>
          <w:rFonts w:ascii="Times New Roman" w:hAnsi="Times New Roman"/>
          <w:color w:val="231F20"/>
          <w:sz w:val="24"/>
        </w:rPr>
        <w:t xml:space="preserve"> nesaistītos nodokļu informācijas sniegšanas pienākumus. Tā kā H reģistrētajos datos nav ar šiem kontiem saistīti dokumentāri pierādījumi un H tie nav jāvāc </w:t>
      </w:r>
      <w:r>
        <w:rPr>
          <w:rFonts w:ascii="Times New Roman" w:hAnsi="Times New Roman"/>
          <w:i/>
          <w:iCs/>
          <w:color w:val="231F20"/>
          <w:sz w:val="24"/>
        </w:rPr>
        <w:t>AML</w:t>
      </w:r>
      <w:r>
        <w:rPr>
          <w:rFonts w:ascii="Times New Roman" w:hAnsi="Times New Roman"/>
          <w:color w:val="231F20"/>
          <w:sz w:val="24"/>
        </w:rPr>
        <w:t>/</w:t>
      </w:r>
      <w:r>
        <w:rPr>
          <w:rFonts w:ascii="Times New Roman" w:hAnsi="Times New Roman"/>
          <w:i/>
          <w:iCs/>
          <w:color w:val="231F20"/>
          <w:sz w:val="24"/>
        </w:rPr>
        <w:t>KYC</w:t>
      </w:r>
      <w:r>
        <w:rPr>
          <w:rFonts w:ascii="Times New Roman" w:hAnsi="Times New Roman"/>
          <w:color w:val="231F20"/>
          <w:sz w:val="24"/>
        </w:rPr>
        <w:t xml:space="preserve"> procedūrās, un spēkā esošā dzīvesvietas adrese H reģistrētajos datos ir tā pati, kas norādīta jaunākajā dokumentācijā, kuru H savākusi un kuru H paziņojusi, pildot savus ar </w:t>
      </w:r>
      <w:r>
        <w:rPr>
          <w:rFonts w:ascii="Times New Roman" w:hAnsi="Times New Roman"/>
          <w:i/>
          <w:iCs/>
          <w:color w:val="231F20"/>
          <w:sz w:val="24"/>
        </w:rPr>
        <w:t>CRS</w:t>
      </w:r>
      <w:r>
        <w:rPr>
          <w:rFonts w:ascii="Times New Roman" w:hAnsi="Times New Roman"/>
          <w:color w:val="231F20"/>
          <w:sz w:val="24"/>
        </w:rPr>
        <w:t xml:space="preserve"> nesaistītos nodokļu informācijas sniegšanas pienākumus, tad H var uzskatīt, ka tās konta turētāji nodokļu aprēķina vajadzībām ir tās jurisdikcijas rezidenti, kurā atrodas šāda adrese.</w:t>
      </w:r>
    </w:p>
    <w:p w14:paraId="561FDFF5" w14:textId="08772C55" w:rsidR="00F02FF0" w:rsidRPr="00A248D6" w:rsidRDefault="00C43266"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13. Ja finanšu iestāde, kas sniedz ziņojumus, ir paļāvusies uz dzīvesvietas adreses pārbaudi, kas izklāstīta B punkta 1. apakšpunktā, un mainās apstākļi (skat. turpmāk 17. punktu), un finanšu iestāde tādēļ zina vai tai ir pamats zināt, ka sākotnējais dokumentārais pierādījums (vai cita dokumentācija, kas minēta iepriekš 10. punktā) ir nepareizs vai neuzticams, tad finanšu iestādei, kas sniedz ziņojumus, līdz attiecīgā kalendārā gada vai cita attiecīga ziņošanas perioda pēdējai dienai vai dienai, kas ir 90 kalendārās dienas pēc paziņojuma par </w:t>
      </w:r>
      <w:r>
        <w:rPr>
          <w:rFonts w:ascii="Times New Roman" w:hAnsi="Times New Roman"/>
          <w:color w:val="231F20"/>
          <w:sz w:val="24"/>
        </w:rPr>
        <w:lastRenderedPageBreak/>
        <w:t>šādu apstākļu maiņu vai pēc šādas apstākļu maiņas konstatēšanas, piemērojot vēlāko no šīm divām dienām, ir jāiegūst pašapliecinājums vai jauns dokumentārs pierādījums, lai noteiktu konta turētāja rezidenta statusu(-us) nodokļu aprēķina vajadzībām. Ja finanšu iestāde, kas sniedz ziņojumus, nevar iegūt pašapliecinājumu vai jaunu dokumentāru pierādījumu līdz šādai dienai, tad tai ir jāpiemēro B punkta 2.–6. apakšpunktā minētā elektroniskās datu meklēšanas procedūra. Turpmākajos piemēros atspoguļotas procedūras, kas jāpiemēro apstākļu maiņas gadījumā.</w:t>
      </w:r>
    </w:p>
    <w:p w14:paraId="104E467D" w14:textId="49BE01A5" w:rsidR="00F02FF0" w:rsidRPr="00A248D6" w:rsidRDefault="00F02FF0" w:rsidP="00A248D6">
      <w:pPr>
        <w:pStyle w:val="ListParagraph"/>
        <w:numPr>
          <w:ilvl w:val="0"/>
          <w:numId w:val="44"/>
        </w:numPr>
        <w:tabs>
          <w:tab w:val="left" w:pos="1283"/>
        </w:tabs>
        <w:ind w:left="567"/>
        <w:rPr>
          <w:rFonts w:ascii="Times New Roman" w:hAnsi="Times New Roman" w:cs="Times New Roman"/>
          <w:noProof/>
          <w:sz w:val="24"/>
          <w:szCs w:val="24"/>
        </w:rPr>
      </w:pPr>
      <w:r>
        <w:rPr>
          <w:rFonts w:ascii="Times New Roman" w:hAnsi="Times New Roman"/>
          <w:sz w:val="24"/>
        </w:rPr>
        <w:t>1. piemērs. Banka I ir finanšu iestāde, kas sniedz ziņojumus, un tā, pamatojoties uz dzīvesvietas adreses pārbaudes rezultātiem, uzskata, ka individuālais konta turētājs P ir rezidents jurisdikcijā X, par kuru jāsniedz ziņojums. Pēc pieciem gadiem P paziņo I, ka tas ir pārcēlies uz jurisdikciju Y, kas arī ir jurisdikcija, par kuru jāsniedz ziņojums, un sniedz savu jauno adresi. I iegūst no P pašapliecinājumu un jaunu dokumentāru pierādījumu, kas apstiprina, ka viņš ir jurisdikcijas Y rezidents nodokļu aprēķina vajadzībām. I ir pienākums uzskatīt, ka P ir rezidents jurisdikcijā Y, par kuru jāsniedz ziņojums.</w:t>
      </w:r>
    </w:p>
    <w:p w14:paraId="25F2F5C4" w14:textId="77777777" w:rsidR="00F02FF0" w:rsidRPr="00A248D6" w:rsidRDefault="00F02FF0" w:rsidP="00A248D6">
      <w:pPr>
        <w:pStyle w:val="ListParagraph"/>
        <w:numPr>
          <w:ilvl w:val="0"/>
          <w:numId w:val="44"/>
        </w:numPr>
        <w:tabs>
          <w:tab w:val="left" w:pos="1283"/>
        </w:tabs>
        <w:ind w:left="567"/>
        <w:rPr>
          <w:rFonts w:ascii="Times New Roman" w:hAnsi="Times New Roman" w:cs="Times New Roman"/>
          <w:noProof/>
          <w:color w:val="231F20"/>
          <w:sz w:val="24"/>
          <w:szCs w:val="24"/>
        </w:rPr>
      </w:pPr>
      <w:r>
        <w:rPr>
          <w:rFonts w:ascii="Times New Roman" w:hAnsi="Times New Roman"/>
          <w:color w:val="231F20"/>
          <w:sz w:val="24"/>
        </w:rPr>
        <w:t>2. piemērs. Apstākļi ir tādi paši kā 1. piemērā, izņemot to, ka I neiegūst pašapliecinājumu no P. I ir jāpiemēro B punkta 2.–6. apakšpunktā minētā elektroniskās datu meklēšanas procedūra un tās rezultātā jāuzskata, ka P ir vismaz jurisdikcijas Y rezidents (pamatojoties uz jauno adresi, ko norādījis konta turētājs).</w:t>
      </w:r>
    </w:p>
    <w:p w14:paraId="74CB1733" w14:textId="77777777" w:rsidR="00F02FF0" w:rsidRPr="00A248D6" w:rsidRDefault="00F02FF0" w:rsidP="00D61E5A">
      <w:pPr>
        <w:pStyle w:val="Heading8"/>
        <w:spacing w:before="120"/>
        <w:ind w:left="284"/>
        <w:jc w:val="both"/>
        <w:rPr>
          <w:rFonts w:ascii="Times New Roman" w:hAnsi="Times New Roman" w:cs="Times New Roman"/>
          <w:noProof/>
          <w:color w:val="616161"/>
          <w:sz w:val="24"/>
          <w:szCs w:val="24"/>
        </w:rPr>
      </w:pPr>
      <w:bookmarkStart w:id="75" w:name="Subparagraphs_B(2)_through_(6)_–_Electro"/>
      <w:bookmarkEnd w:id="75"/>
      <w:r>
        <w:rPr>
          <w:rFonts w:ascii="Times New Roman" w:hAnsi="Times New Roman"/>
          <w:color w:val="616161"/>
          <w:sz w:val="24"/>
        </w:rPr>
        <w:t>B punkta 2.–6. apakšpunkts. Elektroniska datu meklēšana</w:t>
      </w:r>
    </w:p>
    <w:p w14:paraId="2E45E5CE" w14:textId="6A87A50D"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14. B punkta 2.–6. apakšpunktā izklāstīta “elektroniskas datu meklēšanas” procedūra. Šajā procedūrā finanšu iestādei, kas sniedz ziņojumus, ir jāizskata tās glabātie elektroniski uzmeklējamie dati, meklējot jebkuras B punkta 2. apakšpunktā minētās pazīmes.</w:t>
      </w:r>
    </w:p>
    <w:p w14:paraId="4A8DE76D" w14:textId="6E65EBE5"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15. B punkta 3. apakšpunktā noteikts, ka gadījumā, ja elektroniskajā meklēšanā netiek atrasta neviena B punkta 2. apakšpunktā minētā pazīme, turpmākas darbības nav nepieciešamas līdz brīdim, kad mainās apstākļi, kā rezultātā ar kontu kļūst saistāma viena vai vairākas pazīmes, vai arī konts kļūst par lielas vērtības kontu.</w:t>
      </w:r>
    </w:p>
    <w:p w14:paraId="40F42766" w14:textId="20F4BE30"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16. Ja elektroniskajā meklēšanā tiek atklāta kāda B punkta 2. apakšpunkta a)–e) daļā minētā pazīme vai ja mainās apstākļi, kā rezultātā viena vai vairākas pazīmes kļūst saistāmas ar kontu, tad saskaņā ar B punkta 4. apakšpunktu finanšu iestādei, kas sniedz ziņojumus, jāuzskata, ka konta turētājs ir rezidents nodokļu aprēķina vajadzībām katrā jurisdikcijā, par kuru jāsniedz ziņojums un attiecībā uz kuru ir identificēta pazīme, izņemot gadījumus, kad tā izvēlas piemērot B punkta 6. apakšpunktā aprakstīto labošanas procedūru un uz minēto kontu attiecas viens no šajā apakšpunktā noteiktajiem izņēmumiem. Tomēr apstākļu maiņas gadījumā finanšu iestāde, kas sniedz ziņojumus, var uzskatīt, ka personai ir tāds pats statuss, kāds tai bija pirms apstākļu maiņas, līdz vēlākajai no šādām divām dienām – attiecīgā kalendārā gada vai attiecīga ziņošanas perioda pēdējai dienai vai dienai, kas ir 90 kalendārās dienas pēc dienas, kad apstākļu maiņas dēļ tika identificēta pazīme.</w:t>
      </w:r>
    </w:p>
    <w:p w14:paraId="719855FC" w14:textId="491D8C15"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17. Par “apstākļu maiņu” uzskata jebkuras izmaiņas, kuru dēļ tiek papildināta ar personas statusu saistītā informācija vai kuras kā citādi ir pretrunā ar šā lietotāja statusu. Turklāt par apstākļu maiņu uzskata jebkuras informācijas izmaiņas vai informācijas papildinājumu konta turētāja kontā (tostarp konta turētāja pievienošana, aizstāšana vai cita veida maiņa) vai jebkuras ar šādu kontu saistīta konta informācijas izmaiņas vai informācijas papildinājumu (piemērojot VII panta C punkta 1.–3. apakšpunktā izklāstītos konta apkopošanas noteikumus), ja šādas informācijas izmaiņas vai informācijas papildinājums skar konta turētāja statusu.</w:t>
      </w:r>
    </w:p>
    <w:p w14:paraId="5EF83EC9" w14:textId="260CF218"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18. Lai arī B punkta 2. apakšpunktā minētajām pazīmēm būtu jāierobežo tādu gadījumu skaits, kad elektroniskā datu meklēšanā tiek iegūtas pazīmes par dažādām jurisdikcijām, par kurām jāsniedz ziņojums, praksē šādi gadījumi tomēr ir sastopami. Daži no šiem gadījumiem </w:t>
      </w:r>
      <w:r>
        <w:rPr>
          <w:rFonts w:ascii="Times New Roman" w:hAnsi="Times New Roman"/>
          <w:sz w:val="24"/>
        </w:rPr>
        <w:lastRenderedPageBreak/>
        <w:t>var būt “kļūdainas” norādes par rezidenta statusu jurisdikcijā, par kuru jāsniedz ziņojums. Citi var būt patiesi gadījumi, kad konta turētāji ir vairāku jurisdikciju rezidenti. Finanšu iestādes, kas sniedz ziņojumus, parasti sazinās ar saviem klientiem, lai atrisinātu šādus gadījumus (piemērojot B punkta 6. apakšpunktā noteiktās labošanas procedūras) un informē tos, ka gadījumā, ja pretrunīgās pazīmes nav iespējams labot, informācijas apmaiņa var notikt ar divām vai vairākām jurisdikcijām. Šādas rīcības nepieciešamību bieži vien nosaka arī ar klientu apkalpošanu saistīti apsvērumi un vajadzība nodrošināt rūpīgu klientu informācijas apstrādi. Tas pats attiecas arī uz gadījumiem, kad pienācīgas pārbaudes procedūras tiek piemērotas attiecībā uz tādiem iepriekšpastāvējušiem kontiem, kas ir lielas vērtības konti. Ja tomēr konta turētājs tiek paziņots kā vairāku jurisdikciju rezidents, kompetentajām iestādēm ir jāapmainās ar informāciju par visām rezidences jurisdikcijām ar katru attiecīgo jurisdikciju. Tādējādi attiecīgās kompetentās iestādes spēs atrisināt jebkurus ar rezidenta statusu saistītus jautājumus.</w:t>
      </w:r>
    </w:p>
    <w:p w14:paraId="748D9928" w14:textId="6E29F0B1"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19. B punkta 5. apakšpunktā norādīta īpaša procedūra, ko piemēro gadījumā, ja elektroniskajā meklēšanā attiecībā uz konta turētāju tiek atrasts norādījums par “adresi, uz kuru tiek sūtīti saņēmējam adresēti pasta sūtījumi” vai “adrese, ar kuru saņēmējs ir saistīts”, bet netiek identificēta neviena cita B punkta 2. apakšpunkta a)–e) daļā norādītā pazīme, ne arī kāda cita adrese (šādās pazīmēs).</w:t>
      </w:r>
    </w:p>
    <w:p w14:paraId="7444C34E" w14:textId="77777777" w:rsidR="00F02FF0" w:rsidRPr="00A248D6" w:rsidRDefault="00F02FF0" w:rsidP="00D61E5A">
      <w:pPr>
        <w:pStyle w:val="Heading9"/>
        <w:spacing w:before="120"/>
        <w:ind w:left="284" w:firstLine="0"/>
        <w:jc w:val="both"/>
        <w:rPr>
          <w:rFonts w:ascii="Times New Roman" w:hAnsi="Times New Roman" w:cs="Times New Roman"/>
          <w:noProof/>
          <w:sz w:val="24"/>
          <w:szCs w:val="24"/>
        </w:rPr>
      </w:pPr>
      <w:bookmarkStart w:id="76" w:name="Subparagraph_B(2)_–_Indicia"/>
      <w:bookmarkEnd w:id="76"/>
      <w:r>
        <w:rPr>
          <w:rFonts w:ascii="Times New Roman" w:hAnsi="Times New Roman"/>
          <w:sz w:val="24"/>
        </w:rPr>
        <w:t>B punkta 2. apakšpunkts. Pazīmes</w:t>
      </w:r>
    </w:p>
    <w:p w14:paraId="0D056D04" w14:textId="28FD61EA" w:rsidR="00F02FF0" w:rsidRPr="00A248D6" w:rsidRDefault="00C43266"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20. B punkta 2. apakšpunktā noteikta faktiskā “elektroniskā datu meklēšana”. Šajā procedūrā finanšu iestādei, kas sniedz ziņojumus, ir jāizskata tās glabātie elektroniski uzmeklējamie dati, meklējot jebkuras turpmāk norādītās pazīmes (skat. komentāru par I pantu 34. punktu), un jāpiemēro B punkta 3.–6. apakšpunkts:</w:t>
      </w:r>
    </w:p>
    <w:p w14:paraId="2433F8AA" w14:textId="77D3B9AD" w:rsidR="00F02FF0" w:rsidRPr="00A248D6" w:rsidRDefault="00C43266" w:rsidP="00D61E5A">
      <w:pPr>
        <w:tabs>
          <w:tab w:val="left" w:pos="941"/>
        </w:tabs>
        <w:spacing w:before="120"/>
        <w:ind w:left="567" w:hanging="284"/>
        <w:jc w:val="both"/>
        <w:rPr>
          <w:rFonts w:ascii="Times New Roman" w:hAnsi="Times New Roman" w:cs="Times New Roman"/>
          <w:noProof/>
          <w:sz w:val="24"/>
          <w:szCs w:val="24"/>
        </w:rPr>
      </w:pPr>
      <w:r>
        <w:rPr>
          <w:rFonts w:ascii="Times New Roman" w:hAnsi="Times New Roman"/>
          <w:sz w:val="24"/>
        </w:rPr>
        <w:t>a) norāde par konta turētāju kā jurisdikcijas, par kuru jāsniedz ziņojums, rezidentu;</w:t>
      </w:r>
    </w:p>
    <w:p w14:paraId="78D74CCC" w14:textId="3B26C555" w:rsidR="00F02FF0" w:rsidRPr="00A248D6" w:rsidRDefault="00C43266" w:rsidP="00D61E5A">
      <w:pPr>
        <w:tabs>
          <w:tab w:val="left" w:pos="941"/>
        </w:tabs>
        <w:spacing w:before="120"/>
        <w:ind w:left="567" w:hanging="284"/>
        <w:jc w:val="both"/>
        <w:rPr>
          <w:rFonts w:ascii="Times New Roman" w:hAnsi="Times New Roman" w:cs="Times New Roman"/>
          <w:noProof/>
          <w:sz w:val="24"/>
          <w:szCs w:val="24"/>
        </w:rPr>
      </w:pPr>
      <w:r>
        <w:rPr>
          <w:rFonts w:ascii="Times New Roman" w:hAnsi="Times New Roman"/>
          <w:sz w:val="24"/>
        </w:rPr>
        <w:t>b) spēkā esoša pasta adrese vai dzīvesvietas adrese (tostarp pasta abonenta kastīte) jurisdikcijā, par kuru jāsniedz ziņojums;</w:t>
      </w:r>
    </w:p>
    <w:p w14:paraId="76AA3367" w14:textId="060F8A2C" w:rsidR="00F02FF0" w:rsidRPr="00A248D6" w:rsidRDefault="00C43266" w:rsidP="00D61E5A">
      <w:pPr>
        <w:tabs>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c) viens vai vairāki tālruņa numuri jurisdikcijā, par kuru jāsniedz ziņojums, un neviens tālruņa numurs jurisdikcijā, kurā atrodas finanšu iestāde, kas sniedz ziņojumus;</w:t>
      </w:r>
    </w:p>
    <w:p w14:paraId="7A82FC03" w14:textId="5E0456F5" w:rsidR="00F02FF0" w:rsidRPr="00A248D6" w:rsidRDefault="00C43266" w:rsidP="00D61E5A">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d) regulāri rīkojumi (izņemot attiecībā uz noguldījumu kontu) pārskaitīt finanšu līdzekļus uz kontu, kas tiek uzturēts jurisdikcijā, par kuru jāsniedz ziņojums;</w:t>
      </w:r>
    </w:p>
    <w:p w14:paraId="0E0AFA33" w14:textId="5796EFF5" w:rsidR="00F02FF0" w:rsidRPr="00A248D6" w:rsidRDefault="00C43266" w:rsidP="00D61E5A">
      <w:pPr>
        <w:tabs>
          <w:tab w:val="left" w:pos="941"/>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e) spēkā esoša pilnvara vai paraksta tiesības, kas piešķirtas personai ar adresi jurisdikcijā, par kuru jāsniedz ziņojums, vai</w:t>
      </w:r>
    </w:p>
    <w:p w14:paraId="20351D12" w14:textId="155AE454" w:rsidR="00F02FF0" w:rsidRPr="00A248D6" w:rsidRDefault="00F3683E" w:rsidP="00D61E5A">
      <w:pPr>
        <w:tabs>
          <w:tab w:val="left" w:pos="943"/>
        </w:tabs>
        <w:spacing w:before="120"/>
        <w:ind w:left="567" w:hanging="284"/>
        <w:jc w:val="both"/>
        <w:rPr>
          <w:rFonts w:ascii="Times New Roman" w:hAnsi="Times New Roman" w:cs="Times New Roman"/>
          <w:noProof/>
          <w:sz w:val="24"/>
          <w:szCs w:val="24"/>
        </w:rPr>
      </w:pPr>
      <w:r>
        <w:rPr>
          <w:rFonts w:ascii="Times New Roman" w:hAnsi="Times New Roman"/>
          <w:sz w:val="24"/>
        </w:rPr>
        <w:t>f) norādījums par “adresi, uz kuru tiek sūtīti saņēmējam adresēti pasta sūtījumi” vai “adrese, ar kuru saņēmējs ir saistīts” jurisdikcijā, par kuru jāsniedz ziņojums, ja finanšu iestādei, kas sniedz ziņojumus, nav nevienas citas adreses konta turētāja datnē.</w:t>
      </w:r>
    </w:p>
    <w:p w14:paraId="30A8EC2B" w14:textId="5C353750"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21. B punkta 2. apakšpunkta a) daļā noteiktā pazīme ir norāde par konta turētāju kā par jurisdikcijas, par kuru jāsniedz ziņojums, rezidentu. Šāda pazīme pastāv, ja finanšu iestādes, kas sniedz ziņojumus, elektroniski uzmeklējamajā informācijā ir iekļauta norāde par konta turētāju kā jurisdikcijas, par kuru jāsniedz ziņojums, rezidentu nodokļu aprēķina vajadzībām.</w:t>
      </w:r>
    </w:p>
    <w:p w14:paraId="5B79030A" w14:textId="6676A71C" w:rsidR="00F02FF0" w:rsidRPr="00A248D6" w:rsidRDefault="00F3683E"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22. B punkta 2. apakšpunkta b) daļā norādītā pazīme ir spēkā esoša pasta adrese vai dzīvesvietas adrese (tostarp pasta abonenta kastīte) jurisdikcijā, par kuru jāsniedz ziņojums. Pasta vai dzīvesvietas adresi uzskata par “spēkā esošu”, ja tā ir jaunākā pasta vai dzīvesvietas adrese, ko finanšu iestāde, kas sniedz ziņojumus, reģistrējusi attiecībā uz individuālo konta turētāju. Ar neaktīvu kontu (skat. iepriekš 9. punktu) saistīta pasta vai dzīvesvietas adrese tiktu uzskatīta par “spēkā esošu” neaktivitātes periodā. Ja finanšu iestāde, kas sniedz ziņojumus, ir reģistrējusi divas vai vairākas pasta vai dzīvesvietas adreses attiecībā uz konta turētāju un viena no šīm adresēm ir konta turētāja pakalpojuma sniedzēja (piemēram, ārēja </w:t>
      </w:r>
      <w:r>
        <w:rPr>
          <w:rFonts w:ascii="Times New Roman" w:hAnsi="Times New Roman"/>
          <w:sz w:val="24"/>
        </w:rPr>
        <w:lastRenderedPageBreak/>
        <w:t>aktīvu pārvaldnieka, ieguldījumu konsultanta vai advokāta) adrese, tad finanšu iestādei, kas sniedz ziņojumus, nav jāuzskata, ka pakalpojuma sniedzēja adrese ir pazīme par konta turētāja rezidenta statusu.</w:t>
      </w:r>
    </w:p>
    <w:p w14:paraId="4C76732B" w14:textId="61D6DFFF"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23. B punkta 2. apakšpunkta c) daļā minētā pazīme ir viens vai vairāki tālruņa numuri jurisdikcijā, par kuru jāsniedz ziņojums, un neviens tālruņa numurs jurisdikcijā, kurā atrodas finanšu iestāde, kas sniedz ziņojumus. Tālruņa numurs(-i) jurisdikcijā, par kuru jāsniedz ziņojums, uzskatāms(-i) par konta turētāja rezidences statusa pazīmi vienīgi tad, ja tas(tie) ir “spēkā esošs(-i)” tālruņa numurs(-i) jurisdikcijā, par kuru jāsniedz ziņojums. Šajā saistībā tālruņa numurs(-i) jāuzskata par “spēkā esošu(-iem)”, ja tas(tie) ir jaunākais(-ie) tālruņa numurs(-i), ko finanšu iestāde, kas sniedz ziņojumus, ir reģistrējusi attiecībā uz konta turētāju. Ja finanšu iestāde, kas sniedz ziņojumus, ir reģistrējusi divus vai vairākus tālruņa numurus attiecībā uz konta turētāju un viens no šiem tālruņa numuriem ir konta turētāja pakalpojuma sniedzēja (piemēram, ārēja aktīvu pārvaldnieka, ieguldījumu konsultanta vai advokāta) tālruņa numurs, tad finanšu iestādei, kas sniedz ziņojumus, nav jāuzskata, ka pakalpojuma sniedzēja tālruņa numurs ir pazīme par konta turētāja rezidenta statusu.</w:t>
      </w:r>
    </w:p>
    <w:p w14:paraId="32D23D57" w14:textId="23A757B5"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24. B punkta 2. apakšpunkta d) daļā norādītā pazīme ir regulāri rīkojumi (izņemot attiecībā uz noguldījumu kontu) pārskaitīt finanšu līdzekļus uz kontu, kas tiek uzturēts jurisdikcijā, par kuru jāsniedz ziņojums. Termins “regulāri rīkojumi par finanšu līdzekļu pārskaitīšanu” ir spēkā esoši maksājuma dokumenti, kurus izdevis konta turētājs vai konta turētāja aģents un kuri tiks izdoti atkārtoti bez konta turētāja papildu rīkojumiem. Līdz ar to, piemēram, rīkojums par atsevišķa maksājuma pārskaitīšanu nav regulārs rīkojums pārskaitīt finanšu līdzekļus pat tad, ja rīkojumi izdoti vienu gadu iepriekš. Savukārt rīkojums par maksājumu veikšanu nenoteiktā laika posmā ir regulārs rīkojums par finanšu līdzekļu pārskaitīšanu laika posmā, kurā šādi rīkojumi ir spēkā, pat ja šādi rīkojumi tiek grozīti pēc viena maksājuma veikšanas.</w:t>
      </w:r>
    </w:p>
    <w:p w14:paraId="4687F9A3" w14:textId="25E3AE99"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25. Turpmākajos piemēros atspoguļota B punkta 2. apakšpunkta d) daļas piemērošana. Fiziska persona K ir turētāja konta turētājs turētājbankā E, kas ir rezidents jurisdikcijā R, par kuru jāsniedz ziņojums. K tur arī noguldījumu kontu komercbankā F, kas ir rezidents jurisdikcijā S, par kuru jāsniedz ziņojums. K ir sniedzis E regulārus rīkojumus par visu ienākumu, kas gūti attiecībā uz turētāja kontā esošajiem vērtspapīriem, pārskaitīšanu uz noguldījumu kontu. Tā kā regulārie rīkojumi tiek izdoti attiecībā uz turētāja kontu un finanšu līdzekļi ir jāpārskaita uz kontu jurisdikcijā, par kuru jāsniedz ziņojums, tad šādi regulārie rīkojumi ir pazīme par rezidenta statusu jurisdikcijā S, par kuru jāsniedz ziņojums.</w:t>
      </w:r>
    </w:p>
    <w:p w14:paraId="6980C38B" w14:textId="18939DBE"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26. B punkta 2. apakšpunkta f) daļā minētās pazīmes ir norādījums par “adresi, uz kuru tiek sūtīti saņēmējam adresēti pasta sūtījumi” vai “adrese, ar kuru saņēmējs ir saistīts” jurisdikcijā, par kuru jāsniedz ziņojums, ja finanšu iestādei, kas sniedz ziņojumus, nav nevienas citas adreses konta turētāja datnē. Norādījums par “adresi, uz kuru tiek sūtīti saņēmējam adresēti pasta sūtījumi” ir spēkā esošs konta turētāja vai konta turētāja aģenta norādījums saglabāt konta turētāja pasta sūtījumus līdz brīdim, kad šāds norādījums tiek mainīts. Ja šāds norādījums ir izdots un finanšu iestādei, kas sniedz ziņojumus, nav citas adreses konta turētāja datnē, tad to uzskata par pazīmi. Norādījums nosūtīt visu korespondenci elektroniski nav uzskatāms par norādījumu par “adresi, uz kuru tiek sūtīti saņēmējam adresēti pasta sūtījumi”. Ja finanšu iestādei, kas sniedz ziņojumus, ir “adrese, ar kuru saņēmējs ir saistīts” jurisdikcijā, par kuru jāsniedz ziņojums, un nav nevienas citas adreses konta turētāja datnē, tad arī to uzskata par pazīmi.</w:t>
      </w:r>
    </w:p>
    <w:p w14:paraId="5EB1E6EE" w14:textId="77777777" w:rsidR="00F02FF0" w:rsidRPr="00A248D6" w:rsidRDefault="00F02FF0" w:rsidP="00D61E5A">
      <w:pPr>
        <w:pStyle w:val="Heading9"/>
        <w:spacing w:before="120"/>
        <w:ind w:left="567" w:hanging="284"/>
        <w:jc w:val="both"/>
        <w:rPr>
          <w:rFonts w:ascii="Times New Roman" w:hAnsi="Times New Roman" w:cs="Times New Roman"/>
          <w:noProof/>
          <w:sz w:val="24"/>
          <w:szCs w:val="24"/>
        </w:rPr>
      </w:pPr>
      <w:bookmarkStart w:id="77" w:name="Subparagraph_B(5)_–_Special_procedure"/>
      <w:bookmarkEnd w:id="77"/>
      <w:r>
        <w:rPr>
          <w:rFonts w:ascii="Times New Roman" w:hAnsi="Times New Roman"/>
          <w:sz w:val="24"/>
        </w:rPr>
        <w:t>B punkta 5. apakšpunkts. Īpaša procedūra</w:t>
      </w:r>
    </w:p>
    <w:p w14:paraId="69F52C26" w14:textId="6AECFC9E"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27. B punkta 5. apakšpunktā norādīta īpaša procedūra, ko piemēro gadījumā, ja elektroniskajā meklēšanā attiecībā uz konta turētāju tiek atrasts norādījums par “adresi, uz kuru tiek sūtīti saņēmējam adresēti pasta sūtījumi” vai “adrese, ar kuru saņēmējs ir saistīts”, bet netiek </w:t>
      </w:r>
      <w:r>
        <w:rPr>
          <w:rFonts w:ascii="Times New Roman" w:hAnsi="Times New Roman"/>
          <w:color w:val="231F20"/>
          <w:sz w:val="24"/>
        </w:rPr>
        <w:lastRenderedPageBreak/>
        <w:t>identificēta neviena cita B punkta 2. apakšpunkta a)–e) daļā norādītā pazīme, ne arī kāda cita adrese (šādās pazīmēs).</w:t>
      </w:r>
    </w:p>
    <w:p w14:paraId="7DAB9906" w14:textId="4C1697D3"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28. Ja ir piemērojama īpašā procedūra, tad finanšu iestādei būtu apstākļiem vispiemērotākajā kārtībā jāveic C punkta 2. apakšpunktā noteiktā datu meklēšana papīra dokumentos vai jācenšas iegūt no konta turētāja pašapliecinājums vai dokumentārs pierādījums, lai noteiktu šāda konta turētāja rezidences statusu(-us) nodokļu aprēķina vajadzībām. Ja papīra dokumentos nav atrasta neviena pazīme un mēģinājums iegūt pašapliecinājumu vai dokumentārus pierādījumus nav veiksmīgs, finanšu iestādei, kas sniedz ziņojumus, konts jāpaziņo kā nedokumentēts konts.</w:t>
      </w:r>
    </w:p>
    <w:p w14:paraId="3B1A789C" w14:textId="155C7973"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29. Pēc tam, kad finanšu iestāde, kas sniedz ziņojumus, nosaka, ka zemākas vērtības konts ir nedokumentēts konts, šai finanšu iestādei, kas sniedz ziņojumus, nav atkārtoti jāpiemēro B punkta 5. apakšpunktā noteiktā procedūra attiecībā uz to pašu zemākas vērtības kontu kādā no turpmākajiem gadiem līdz brīdim, kad mainās apstākļi, kā rezultātā ar kontu kļūst saistāmas viena vai vairākas pazīmes vai konts kļūst par lielas vērtības kontu. Tomēr finanšu iestādei, kas sniedz ziņojumus, ir jāziņo par zemākas vērtības kontu kā par nedokumentētu kontu līdz brīdim, kad šāds konts pārstāj būt nedokumentēts konts.</w:t>
      </w:r>
    </w:p>
    <w:p w14:paraId="52AD389B" w14:textId="77777777" w:rsidR="00F02FF0" w:rsidRPr="00A248D6" w:rsidRDefault="00F02FF0" w:rsidP="00D61E5A">
      <w:pPr>
        <w:pStyle w:val="Heading9"/>
        <w:spacing w:before="120"/>
        <w:ind w:left="567" w:hanging="284"/>
        <w:jc w:val="both"/>
        <w:rPr>
          <w:rFonts w:ascii="Times New Roman" w:hAnsi="Times New Roman" w:cs="Times New Roman"/>
          <w:noProof/>
          <w:sz w:val="24"/>
          <w:szCs w:val="24"/>
        </w:rPr>
      </w:pPr>
      <w:bookmarkStart w:id="78" w:name="Subparagraph_B(6)_–_Curing_procedure"/>
      <w:bookmarkEnd w:id="78"/>
      <w:r>
        <w:rPr>
          <w:rFonts w:ascii="Times New Roman" w:hAnsi="Times New Roman"/>
          <w:sz w:val="24"/>
        </w:rPr>
        <w:t>B punkta 6. apakšpunkts. Labošanas procedūra</w:t>
      </w:r>
    </w:p>
    <w:p w14:paraId="5A6170CB" w14:textId="693076C0"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30. B punkta 6. apakšpunktā noteikta labošanas procedūra piemērošanai gadījumos, kad tiek atklātas B punkta 2. apakšpunktā noteiktās pazīmes. Finanšu iestādei, kas sniedz ziņojumus, nav jāuzskata, ka konta turētājs ir rezidents jurisdikcijā, par kuru jāsniedz ziņojums, ja:</w:t>
      </w:r>
    </w:p>
    <w:p w14:paraId="5674BE2F" w14:textId="762B8752" w:rsidR="00F02FF0" w:rsidRPr="00A248D6" w:rsidRDefault="00F3683E" w:rsidP="00D61E5A">
      <w:pPr>
        <w:tabs>
          <w:tab w:val="left" w:pos="941"/>
          <w:tab w:val="left" w:pos="94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a) informācijā par konta turētāju iekļauta spēkā esoša pasta vai dzīvesvietas adrese jurisdikcijā, par kuru jāsniedz ziņojums, viens vai vairāki tālruņa numuri šajā jurisdikcijā (un neviens tālruņa numurs jurisdikcijā, kurā atrodas finanšu iestāde, kas sniedz ziņojumus) vai regulāri rīkojumi (attiecībā uz finanšu kontiem, kas nav noguldījumu konti) par finanšu līdzekļu pārskaitīšanu uz jurisdikcijā, par kuru jāsniedz ziņojums, uzturētu kontu, un finanšu iestāde, kas sniedz ziņojumus, iegūst vai ir iepriekš izskatījusi un reģistrējusi šādu informāciju:</w:t>
      </w:r>
    </w:p>
    <w:p w14:paraId="57B0FB9F" w14:textId="166F34A1" w:rsidR="00F02FF0" w:rsidRPr="00A248D6" w:rsidRDefault="00F3683E" w:rsidP="00D61E5A">
      <w:pPr>
        <w:tabs>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i) konta turētāja pašapliecinājums par konta turētāja rezidences jurisdikciju(-ām), kurā nav norādīta šāda jurisdikcija, par ko jāsniedz ziņojums, un</w:t>
      </w:r>
    </w:p>
    <w:p w14:paraId="3BB1E7D7" w14:textId="51EA038D" w:rsidR="00F02FF0" w:rsidRPr="00A248D6" w:rsidRDefault="00F3683E" w:rsidP="00D61E5A">
      <w:pPr>
        <w:tabs>
          <w:tab w:val="left" w:pos="135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ii) dokumentāri pierādījumi, kas apliecina to, ka par konta turētāju nav jāsniedz ziņojumi;</w:t>
      </w:r>
    </w:p>
    <w:p w14:paraId="3317FE38" w14:textId="7430F16E" w:rsidR="00F02FF0" w:rsidRPr="00A248D6" w:rsidRDefault="00F3683E" w:rsidP="00D61E5A">
      <w:pPr>
        <w:tabs>
          <w:tab w:val="left" w:pos="941"/>
          <w:tab w:val="left" w:pos="943"/>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b) informācijā par konta turētāju norādīta spēkā esoša pilnvara vai paraksta tiesības, kas piešķirtas personai ar adresi jurisdikcijā, par kuru jāsniedz ziņojums, un finanšu iestāde, kas sniedz ziņojumus, iegūst vai iepriekš ir izskatījusi un reģistrējusi šādu informāciju:</w:t>
      </w:r>
    </w:p>
    <w:p w14:paraId="3A807F63" w14:textId="63981A7A" w:rsidR="00F02FF0" w:rsidRPr="00A248D6" w:rsidRDefault="00F3683E" w:rsidP="00D61E5A">
      <w:pPr>
        <w:tabs>
          <w:tab w:val="left" w:pos="1356"/>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i) konta turētāja pašapliecinājums par konta turētāja rezidences jurisdikciju(-ām), kurā nav norādīta šāda jurisdikcija, par ko jāsniedz ziņojums, vai</w:t>
      </w:r>
    </w:p>
    <w:p w14:paraId="6EA3D905" w14:textId="72E5C047" w:rsidR="00F02FF0" w:rsidRPr="00A248D6" w:rsidRDefault="00F3683E" w:rsidP="00D61E5A">
      <w:pPr>
        <w:tabs>
          <w:tab w:val="left" w:pos="1354"/>
        </w:tabs>
        <w:spacing w:before="120"/>
        <w:ind w:left="851" w:hanging="284"/>
        <w:jc w:val="both"/>
        <w:rPr>
          <w:rFonts w:ascii="Times New Roman" w:hAnsi="Times New Roman" w:cs="Times New Roman"/>
          <w:noProof/>
          <w:color w:val="231F20"/>
          <w:sz w:val="24"/>
          <w:szCs w:val="24"/>
        </w:rPr>
      </w:pPr>
      <w:r>
        <w:rPr>
          <w:rFonts w:ascii="Times New Roman" w:hAnsi="Times New Roman"/>
          <w:color w:val="231F20"/>
          <w:sz w:val="24"/>
        </w:rPr>
        <w:t>ii) dokumentāri pierādījumi, kas apliecina to, ka par konta turētāju nav jāsniedz ziņojumi.</w:t>
      </w:r>
    </w:p>
    <w:p w14:paraId="1EC98FC7" w14:textId="04156DA9"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31. Iepriekš izskatītu pašapliecinājumu vai dokumentāru pierādījumu var izmantot labošanas procedūrā, ja vien finanšu iestādei, kas sniedz ziņojumus, nav zināms vai nav pamata zināt, ka šis pašapliecinājums vai dokumentārais pierādījums ir nepareizs vai nav uzticams (skat. komentāru par VII pantu 2.–3. punktu).</w:t>
      </w:r>
    </w:p>
    <w:p w14:paraId="359D7B9E" w14:textId="532E6660"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32. Pašapliecinājumā, kas ir labošanas procedūras daļa, nav jābūt iekļautam skaidram apstiprinājumam, ka konta turētājs nav rezidents attiecīgajā jurisdikcijā, par kuru jāsniedz ziņojums, ja konta turētājs apstiprina, ka pašapliecinājumā ir norādītas visas tā rezidences jurisdikcijas (t. i., ka informācija par konta turētāja rezidences jurisdikciju(-ām) ir pareiza un pilnīga). Ar dokumentāro pierādījumu ir pietiekami, lai noteiktu, ka par konta turētāju nav </w:t>
      </w:r>
      <w:r>
        <w:rPr>
          <w:rFonts w:ascii="Times New Roman" w:hAnsi="Times New Roman"/>
          <w:color w:val="231F20"/>
          <w:sz w:val="24"/>
        </w:rPr>
        <w:lastRenderedPageBreak/>
        <w:t>jāsniedz ziņojumi, ja dokumentārais pierādījums i) apliecina, ka konta turētājs ir tādas jurisdikcijas rezidents, kas nav attiecīgā jurisdikcija, par kuru jāsniedz ziņojums, ii) tajā ir norādīta spēkā esoša dzīvesvietas adrese ārpus attiecīgās jurisdikcijas, par kuru jāsniedz ziņojums, vai iii) to ir izdevusi pilnvarota valsts iestāde jurisdikcijā, kas nav attiecīgā jurisdikcija, par kuru jāsniedz ziņojums (skat. komentāru par VIII pantu 150.–162. punktu).</w:t>
      </w:r>
    </w:p>
    <w:p w14:paraId="03108866" w14:textId="77777777" w:rsidR="00F02FF0" w:rsidRPr="00A248D6" w:rsidRDefault="00F02FF0" w:rsidP="00D61E5A">
      <w:pPr>
        <w:pStyle w:val="Heading7"/>
        <w:spacing w:before="120"/>
        <w:ind w:left="567" w:hanging="284"/>
        <w:jc w:val="both"/>
        <w:rPr>
          <w:rFonts w:ascii="Times New Roman" w:hAnsi="Times New Roman" w:cs="Times New Roman"/>
          <w:noProof/>
          <w:sz w:val="24"/>
          <w:szCs w:val="24"/>
        </w:rPr>
      </w:pPr>
      <w:bookmarkStart w:id="79" w:name="Paragraph_C_–_Due_diligence_for_Higher_V"/>
      <w:bookmarkEnd w:id="79"/>
      <w:r>
        <w:rPr>
          <w:rFonts w:ascii="Times New Roman" w:hAnsi="Times New Roman"/>
          <w:sz w:val="24"/>
        </w:rPr>
        <w:t>C punkts. Augstākas vērtības kontu pienācīga pārbaude</w:t>
      </w:r>
    </w:p>
    <w:p w14:paraId="2C4D673B" w14:textId="3F63B2B7" w:rsidR="00F02FF0" w:rsidRPr="00A248D6" w:rsidRDefault="00F3683E"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33. C punktā noteiktas pastiprinātas pārbaudes procedūras, ko piemēro attiecībā uz lielas vērtības kontiem. Šādas procedūras ir elektroniska datu meklēšana, datu meklēšana papīra dokumentos un klientu apkalpošanas speciālista rīcībā esošās informācijas izvērtēšana.</w:t>
      </w:r>
    </w:p>
    <w:p w14:paraId="307E026D" w14:textId="77777777" w:rsidR="00F02FF0" w:rsidRPr="00A248D6" w:rsidRDefault="00F02FF0" w:rsidP="00D61E5A">
      <w:pPr>
        <w:pStyle w:val="Heading8"/>
        <w:spacing w:before="120"/>
        <w:ind w:left="284"/>
        <w:jc w:val="both"/>
        <w:rPr>
          <w:rFonts w:ascii="Times New Roman" w:hAnsi="Times New Roman" w:cs="Times New Roman"/>
          <w:noProof/>
          <w:color w:val="616161"/>
          <w:sz w:val="24"/>
          <w:szCs w:val="24"/>
        </w:rPr>
      </w:pPr>
      <w:bookmarkStart w:id="80" w:name="Subparagraph_C(1)_–_Electronic_record_se"/>
      <w:bookmarkEnd w:id="80"/>
      <w:r>
        <w:rPr>
          <w:rFonts w:ascii="Times New Roman" w:hAnsi="Times New Roman"/>
          <w:color w:val="616161"/>
          <w:sz w:val="24"/>
        </w:rPr>
        <w:t>C punkta 1. apakšpunkts. Elektroniska datu meklēšana</w:t>
      </w:r>
    </w:p>
    <w:p w14:paraId="6D2FDEB8" w14:textId="21798F91" w:rsidR="00F02FF0" w:rsidRPr="00A248D6" w:rsidRDefault="00F3683E" w:rsidP="00A248D6">
      <w:pPr>
        <w:tabs>
          <w:tab w:val="left" w:pos="941"/>
        </w:tabs>
        <w:spacing w:before="120"/>
        <w:jc w:val="both"/>
        <w:rPr>
          <w:rFonts w:ascii="Times New Roman" w:hAnsi="Times New Roman" w:cs="Times New Roman"/>
          <w:noProof/>
          <w:sz w:val="24"/>
          <w:szCs w:val="24"/>
        </w:rPr>
      </w:pPr>
      <w:r>
        <w:rPr>
          <w:rFonts w:ascii="Times New Roman" w:hAnsi="Times New Roman"/>
          <w:color w:val="231F20"/>
          <w:sz w:val="24"/>
        </w:rPr>
        <w:t xml:space="preserve">34. </w:t>
      </w:r>
      <w:r>
        <w:rPr>
          <w:rFonts w:ascii="Times New Roman" w:hAnsi="Times New Roman"/>
          <w:sz w:val="24"/>
        </w:rPr>
        <w:t>Attiecībā uz visiem lielas vērtības kontiem jāveic “elektroniska datu meklēšana”. Kā noteikts C punkta 1. apakšpunktā, finanšu iestādei, kas sniedz ziņojumus, ir jāizskata tās glabātie elektroniski uzmeklējamie dati, meklējot jebkuras B punkta 2. apakšpunktā minētās pazīmes (skat. komentāru par I pantu 34. punktu).</w:t>
      </w:r>
    </w:p>
    <w:p w14:paraId="31055F86" w14:textId="77777777" w:rsidR="00F02FF0" w:rsidRPr="00A248D6" w:rsidRDefault="00F02FF0" w:rsidP="00D61E5A">
      <w:pPr>
        <w:pStyle w:val="Heading8"/>
        <w:spacing w:before="120"/>
        <w:ind w:left="567" w:hanging="284"/>
        <w:jc w:val="both"/>
        <w:rPr>
          <w:rFonts w:ascii="Times New Roman" w:hAnsi="Times New Roman" w:cs="Times New Roman"/>
          <w:noProof/>
          <w:color w:val="616161"/>
          <w:sz w:val="24"/>
          <w:szCs w:val="24"/>
        </w:rPr>
      </w:pPr>
      <w:bookmarkStart w:id="81" w:name="Subparagraph_C(2)_and_(3)_–_Paper_record"/>
      <w:bookmarkEnd w:id="81"/>
      <w:r>
        <w:rPr>
          <w:rFonts w:ascii="Times New Roman" w:hAnsi="Times New Roman"/>
          <w:color w:val="616161"/>
          <w:sz w:val="24"/>
        </w:rPr>
        <w:t>C punkta 2. un 3. apakšpunkts. Datu meklēšana papīra dokumentos</w:t>
      </w:r>
    </w:p>
    <w:p w14:paraId="10655578" w14:textId="43E1C33A"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35. Ja finanšu iestādes, kas sniedz ziņojumus, elektroniski pārmeklējamās datubāzes satur C punkta 3. apakšpunktā minētajai informācijai paredzētus laukus un satur visu šo informāciju, tad turpmāka datu meklēšana papīra dokumentos nav nepieciešama. Tas nozīmē, ka finanšu iestādes, kas sniedz ziņojumus, elektroniski pārmeklējamajā datu bāzē ir C punkta 3. apakšpunktā minētajai informācijai paredzēti lauki, no kuras tā, izmantojot elektronisku meklēšanu, var noteikt, vai šādos laukos ir iekļauta informācija. Līdz ar to izņēmums par datu meklēšanu papīra dokumentos nebūtu pieejams gadījumā, ja lauks būtu atstāts neaizpildīts, ja vien atbilstīgi finanšu iestādes, kas sniedz ziņojumus, noteikumiem un procedūrām fakts, ka šāds lauks ir atstāts neaizpildīts, nenozīmētu to, ka C punkta 3. apakšpunktā minētā informācija nav pieejama finanšu iestādes, kas sniedz ziņojumus, reģistrētajos datos (piemēram, jo tālruņa numurs nav norādīts vai pilnvara nav piešķirta).</w:t>
      </w:r>
    </w:p>
    <w:p w14:paraId="1A8C8E80" w14:textId="70A81F19"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36. Finanšu iestādei, kas sniedz ziņojumus, nav jāveic C punkta 2. apakšpunktā minētā datu meklēšana papīra dokumentos, ciktāl C punkta 3. apakšpunktā minētā informācija ir iekļauta finanšu iestādes, kas sniedz ziņojumus, elektroniski uzmeklējamajā informācijā. Līdz ar to gadījumā, ja finanšu iestādes, kas sniedz ziņojumus, elektroniski uzmeklējamajā informācijā neietilpst visa C punkta 3. apakšpunktā minētā informācija, tad finanšu iestādei, kas sniedz ziņojumus, ir pienākums papīra dokumentos meklēt vienīgi to C punkta 3. apakšpunktā minēto informāciju, kas nav iekļauta tās elektroniski uzmeklējamajā informācijā. Piemēram, ja finanšu iestādes, kas sniedz ziņojumus, elektroniski pārmeklējamajā datubāzē ir iekļauta visa C punkta 3. apakšpunktā minētā informācija, izņemot to, kas noteikta C punkta 3. apakšpunkta d) daļā (t. i., regulāri rīkojumi par finanšu līdzekļu pārskaitīšanu), tad finanšu iestādei, kas sniedz ziņojumus, papīra dokumentos jāmeklē vienīgi informācija, kas noteikta C punkta 3. apakšpunkta d) daļā. Līdzīgi arī gadījumā, ja finanšu iestādes, kas sniedz ziņojumus, elektroniski pārmeklējamajā datubāzē nav iekļauta visa C punkta 3. apakšpunktā minētā informācija attiecībā uz skaidri identificētu lielas vērtības kontu grupu, tad finanšu iestādei, kas sniedz ziņojumus, papīra dokumentos attiecībā uz šādu kontu grupu ir jāmeklē vienīgi tā C punkta 3. apakšpunktā minētā informācija, kas nav iekļauta tās elektroniski uzmeklējamajā informācijā.</w:t>
      </w:r>
    </w:p>
    <w:p w14:paraId="1D4376EE" w14:textId="4F6F7FEA"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37. Ja finanšu iestādei, kas sniedz ziņojumus, jāveic “meklēšana papīra dokumentos” attiecībā uz lielas vērtības kontu, tai jāizskata arī esošā klienta pamatdatne un, ciktāl šī informācija nav iekļauta esošā klienta pamatdatnē, jāizskata C punkta 2. apakšpunktā minētie dokumenti, kuri saistīti ar kontu un kurus finanšu iestāde, kas sniedz ziņojumus, ieguvusi pēdējo piecu gadu laikā, un jāmeklē tajos jebkura B punkta 2. apakšpunktā minētā pazīme.</w:t>
      </w:r>
    </w:p>
    <w:p w14:paraId="4036454E" w14:textId="77777777" w:rsidR="00F02FF0" w:rsidRPr="00A248D6" w:rsidRDefault="00F02FF0" w:rsidP="00D61E5A">
      <w:pPr>
        <w:pStyle w:val="Heading8"/>
        <w:spacing w:before="120"/>
        <w:ind w:left="284"/>
        <w:jc w:val="both"/>
        <w:rPr>
          <w:rFonts w:ascii="Times New Roman" w:hAnsi="Times New Roman" w:cs="Times New Roman"/>
          <w:noProof/>
          <w:color w:val="616161"/>
          <w:sz w:val="24"/>
          <w:szCs w:val="24"/>
        </w:rPr>
      </w:pPr>
      <w:bookmarkStart w:id="82" w:name="Subparagraph_C(4)_–_Relationship_manager"/>
      <w:bookmarkEnd w:id="82"/>
      <w:r>
        <w:rPr>
          <w:rFonts w:ascii="Times New Roman" w:hAnsi="Times New Roman"/>
          <w:color w:val="616161"/>
          <w:sz w:val="24"/>
        </w:rPr>
        <w:lastRenderedPageBreak/>
        <w:t>C punkta 4. apakšpunkts. Klientu apkalpošanas speciālista rīcībā esošās informācijas izvērtēšana</w:t>
      </w:r>
    </w:p>
    <w:p w14:paraId="7D0D87B1" w14:textId="60764F5C"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38. “Klientu apkalpošanas speciālista rīcībā esošās informācijas izvērtēšana” ir nepieciešama papildus elektroniskai datu meklēšanai un datu meklēšanai papīra dokumentos. C punkta 4. apakšpunktā paredzēts, ka finanšu iestādei, kas sniedz ziņojumus, jāuzskata, ka jebkurš lielas vērtības konts, kas uzticēts klientu apkalpošanas speciālistam (tostarp jebkuri finanšu konti, kas apkopoti ar šo lielas vērtības kontu), ir konts, par kuru jāsniedz ziņojums, ja klientu apkalpošanas speciālists faktiski zina, ka konta turētājs ir persona, par kuru jāsniedz ziņojums.</w:t>
      </w:r>
    </w:p>
    <w:p w14:paraId="0B1B80A6" w14:textId="0B30478D"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39. “Klientu apkalpošanas speciālists” ir finanšu iestādes, kas sniedz ziņojumus, amatpersona vai cits darbinieks, kuram uzticēta pastāvīga atbildība par konkrētiem konta turētājiem (tostarp amatpersona vai darbinieks, kurš ir finanšu iestādes, kas sniedz ziņojumus, aktīvu pārvaldības struktūrvienības loceklis) un kurš konsultē konta turētājus jautājumos par vajadzībām, kas saistītas ar bankas operācijām un ieguldījumiem, trastiem, uzticības personām, mantojuma plānošanu un filantropiju, un iesaka, pieprasa vai organizē finanšu produktus, pakalpojumus vai citu palīdzību, ko sniedz iekšējie vai ārējie pakalpojuma sniedzēji, lai nodrošinātu šo vajadzību izpildi.</w:t>
      </w:r>
    </w:p>
    <w:p w14:paraId="392310C9" w14:textId="4E10ADAD"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40. Lai personu varētu uzskatīt par klientu apkalpošanas speciālistu, klientu apkalpošanai jāveido ievērojama daļa no personas darba pienākumiem; tā nedrīkst būt tikai funkcija, ko persona veic papildus saviem galvenajiem darba pienākumiem vai neregulāri. Par klientu apkalpošanas speciālistu neuzskata personu, kuras funkcijās neietilpst tieša saskarsme ar klientu vai kura veic saistītās, administratīvās vai lietvedības funkcijas. Zināms, ka regulāra saziņa starp konta turētāju un finanšu iestādes, kas sniedz ziņojumus, darbinieku, var pastāvēt arī tad, ja šis darbinieks nav klientu apkalpošanas speciālists. Piemēram, finanšu iestādē, kas sniedz ziņojumus, konta turētāju var labi zināt persona, kura ir galvenokārt atbildīga par transakciju/rīkojumu vai </w:t>
      </w:r>
      <w:r>
        <w:rPr>
          <w:rFonts w:ascii="Times New Roman" w:hAnsi="Times New Roman"/>
          <w:i/>
          <w:iCs/>
          <w:color w:val="231F20"/>
          <w:sz w:val="24"/>
        </w:rPr>
        <w:t>ad hoc</w:t>
      </w:r>
      <w:r>
        <w:rPr>
          <w:rFonts w:ascii="Times New Roman" w:hAnsi="Times New Roman"/>
          <w:color w:val="231F20"/>
          <w:sz w:val="24"/>
        </w:rPr>
        <w:t xml:space="preserve"> pieprasījumu apstrādi. Tomēr šāda persona netiek uzskatīta par klientu apkalpošanas speciālistu, ja vien tai nav galīgā atbildība par konta turētāja lietu pārvaldīšanu finanšu iestādē, kas sniedz ziņojumus.</w:t>
      </w:r>
    </w:p>
    <w:p w14:paraId="053C5666" w14:textId="70BBD12F" w:rsidR="00F02FF0" w:rsidRPr="00A248D6" w:rsidRDefault="00F3683E" w:rsidP="00A248D6">
      <w:pPr>
        <w:tabs>
          <w:tab w:val="left" w:pos="941"/>
        </w:tabs>
        <w:spacing w:before="120"/>
        <w:jc w:val="both"/>
        <w:rPr>
          <w:rFonts w:ascii="Times New Roman" w:hAnsi="Times New Roman" w:cs="Times New Roman"/>
          <w:noProof/>
          <w:sz w:val="24"/>
          <w:szCs w:val="24"/>
        </w:rPr>
      </w:pPr>
      <w:r>
        <w:rPr>
          <w:rFonts w:ascii="Times New Roman" w:hAnsi="Times New Roman"/>
          <w:color w:val="231F20"/>
          <w:sz w:val="24"/>
        </w:rPr>
        <w:t>41. Neatkarīgi no 39.–40. punkta persona ir klientu apkalpošanas speciālists C punkta 4. apakšpunkta vajadzībām vienīgi attiecībā uz kontu, kura kopējā bilance vai vērtība pārsniedz 1 000 000 USD, ievērojot VII panta C punktā noteiktos kontu apkopošanas un valūtas pārrēķināšanas noteikumus. Līdz ar to, lai finanšu iestādēs, kas sniedz ziņojumus, amatpersonu vai darbinieku varētu uzskatīt par klientu apkalpošanas speciālistu, i) šim darbiniekam ir jāatbilst klientu apkalpošanas speciālista definīcijai un ii) konta turētāja kontu kopējai bilancei vai vērtībai ir jāpārsniedz 1 000 000 USD.</w:t>
      </w:r>
    </w:p>
    <w:p w14:paraId="76CB4637" w14:textId="1E5AAC16"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42. Turpmākie piemēri parāda, kā noteikt, vai finanšu iestādes, kas sniedz ziņojumus, darbinieks ir klientu apkalpošanas speciālists.</w:t>
      </w:r>
    </w:p>
    <w:p w14:paraId="6F51B0E7" w14:textId="77777777" w:rsidR="00F02FF0" w:rsidRPr="00A248D6" w:rsidRDefault="00F02FF0" w:rsidP="00D61E5A">
      <w:pPr>
        <w:pStyle w:val="ListParagraph"/>
        <w:numPr>
          <w:ilvl w:val="0"/>
          <w:numId w:val="43"/>
        </w:numPr>
        <w:tabs>
          <w:tab w:val="left" w:pos="1283"/>
        </w:tabs>
        <w:ind w:left="567" w:hanging="283"/>
        <w:rPr>
          <w:rFonts w:ascii="Times New Roman" w:hAnsi="Times New Roman" w:cs="Times New Roman"/>
          <w:noProof/>
          <w:sz w:val="24"/>
          <w:szCs w:val="24"/>
        </w:rPr>
      </w:pPr>
      <w:r>
        <w:rPr>
          <w:rFonts w:ascii="Times New Roman" w:hAnsi="Times New Roman"/>
          <w:sz w:val="24"/>
        </w:rPr>
        <w:t>1. piemērs. Fiziskai personai P ir turētāja konts bankā R, kura ir finanšu iestāde, kas sniedz ziņojumus. Gada beigās P konta vērtība ir 1 200 000 USD. R aktīvu pārvaldības struktūrvienības darbinieks O nodrošina P konta nepārtrauktu pārraudzību. Tā kā O atbilst “klientu apkalpošanas speciālista” definīcijai un P konta vērtība pārsniedz 1 000 000 USD, tad O ir klientu apkalpošanas speciālists attiecībā uz P kontu.</w:t>
      </w:r>
    </w:p>
    <w:p w14:paraId="2BFC70C0" w14:textId="77777777" w:rsidR="00F02FF0" w:rsidRPr="00A248D6" w:rsidRDefault="00F02FF0" w:rsidP="00D61E5A">
      <w:pPr>
        <w:pStyle w:val="ListParagraph"/>
        <w:numPr>
          <w:ilvl w:val="0"/>
          <w:numId w:val="43"/>
        </w:numPr>
        <w:tabs>
          <w:tab w:val="left" w:pos="1283"/>
        </w:tabs>
        <w:ind w:left="567" w:hanging="283"/>
        <w:rPr>
          <w:rFonts w:ascii="Times New Roman" w:hAnsi="Times New Roman" w:cs="Times New Roman"/>
          <w:noProof/>
          <w:sz w:val="24"/>
          <w:szCs w:val="24"/>
        </w:rPr>
      </w:pPr>
      <w:r>
        <w:rPr>
          <w:rFonts w:ascii="Times New Roman" w:hAnsi="Times New Roman"/>
          <w:sz w:val="24"/>
        </w:rPr>
        <w:t>2. piemērs. Apstākļi ir tādi paši kā 1. piemērā, vienīgi P turētāja konta vērtība gada beigās ir 800 000 USD. Turklāt P ir arī noguldījumu konta turētājs, un tā konta vērtība gada beigās ir 400 000 USD. Pamatojoties uz R iekšējās identifikācijas numuru, abi konti ir saistīti ar P un viens ar otru. Ņemot vērā, ka O atbilst “klientu apkalpošanas speciālista” definīcijai un pēc kontu apkopošanas noteikumu piemērošanas P kontu kopējā bilance vai vērtība pārsniedz 1 000 000 USD, O ir klientu apkalpošanas speciālists attiecībā uz P kontiem.</w:t>
      </w:r>
    </w:p>
    <w:p w14:paraId="0E7E3FB5" w14:textId="77777777" w:rsidR="00F02FF0" w:rsidRPr="00A248D6" w:rsidRDefault="00F02FF0" w:rsidP="00D61E5A">
      <w:pPr>
        <w:pStyle w:val="ListParagraph"/>
        <w:numPr>
          <w:ilvl w:val="0"/>
          <w:numId w:val="43"/>
        </w:numPr>
        <w:tabs>
          <w:tab w:val="left" w:pos="1283"/>
        </w:tabs>
        <w:ind w:left="567" w:hanging="283"/>
        <w:rPr>
          <w:rFonts w:ascii="Times New Roman" w:hAnsi="Times New Roman" w:cs="Times New Roman"/>
          <w:noProof/>
          <w:sz w:val="24"/>
          <w:szCs w:val="24"/>
        </w:rPr>
      </w:pPr>
      <w:r>
        <w:rPr>
          <w:rFonts w:ascii="Times New Roman" w:hAnsi="Times New Roman"/>
          <w:sz w:val="24"/>
        </w:rPr>
        <w:lastRenderedPageBreak/>
        <w:t>3. piemērs. Apstākļi ir tādi paši kā 2. piemērā, izņemot to, ka O funkcijas nav saistītas ar tiešu saziņu ar P. Tā kā O neatbilst “klientu apkalpošanas speciālista” definīcijai, O nav klientu apkalpošanas speciālists attiecībā uz P kontiem.</w:t>
      </w:r>
    </w:p>
    <w:p w14:paraId="1C5EC0F2" w14:textId="77777777" w:rsidR="00F02FF0" w:rsidRPr="00A248D6" w:rsidRDefault="00F02FF0" w:rsidP="00D61E5A">
      <w:pPr>
        <w:pStyle w:val="Heading8"/>
        <w:spacing w:before="120"/>
        <w:ind w:left="284"/>
        <w:jc w:val="both"/>
        <w:rPr>
          <w:rFonts w:ascii="Times New Roman" w:hAnsi="Times New Roman" w:cs="Times New Roman"/>
          <w:noProof/>
          <w:color w:val="616161"/>
          <w:sz w:val="24"/>
          <w:szCs w:val="24"/>
        </w:rPr>
      </w:pPr>
      <w:bookmarkStart w:id="83" w:name="Subparagraph_C(5)_–_Effect_of_finding_in"/>
      <w:bookmarkEnd w:id="83"/>
      <w:r>
        <w:rPr>
          <w:rFonts w:ascii="Times New Roman" w:hAnsi="Times New Roman"/>
          <w:color w:val="616161"/>
          <w:sz w:val="24"/>
        </w:rPr>
        <w:t>C punkta 5. apakšpunkts. Rīcība pazīmju atrašanas gadījumā</w:t>
      </w:r>
    </w:p>
    <w:p w14:paraId="7A1CD49C" w14:textId="7376AE25"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43. Ja lielas vērtības kontu pastiprinātā pārbaudē nav atklāta neviena B punkta 2. apakšpunktā minētā pazīme un konts nav identificēts kā tāds, kuru tur persona, par kuru jāsniedz ziņojums, atbilstīgi C punkta 4. apakšpunktam, tad saskaņā ar C punkta 5. apakšpunkta a) daļu turpmāka rīcība nav nepieciešama līdz brīdim, kad mainās apstākļi, kā rezultātā ar kontu kļūst saistāmas viena vai vairākas pazīmes.</w:t>
      </w:r>
    </w:p>
    <w:p w14:paraId="3F155690" w14:textId="5DFEF983"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44. Ja kāda no B punkta 2. apakšpunkta a)–e) daļā minētajām pazīmēm tiek atklāta lielas vērtības kontu pastiprinātā pārbaudē vai ja turpmāk mainās apstākļi, kā rezultātā viena vai vairākas pazīmes kļūst saistāmas ar kontu, tad saskaņā ar C punkta 5. apakšpunkta b) daļu finanšu iestādei, kas sniedz ziņojumus, jāuzskata, ka šis konts ir konts, par kuru jāsniedz ziņojums, attiecībā uz katru jurisdikciju, par kuru jāsniedz ziņojums un attiecībā uz kuru ir norādīta pazīme, izņemot gadījumus, kad tā izvēlas piemērot B punkta 6. apakšpunktā noteikto labošanas procedūru un viens no B punkta 6. apakšpunktā noteiktajiem izņēmumiem ir piemērojams attiecībā uz minēto kontu. Pazīmi, kas atklāta vienā pārbaudes procedūrā, piemēram, veicot meklēšanu papīra dokumentos vai izmantojot klientu apkalpošanas speciālista rīcībā esošās informācijas izvērtēšanu, nevar izmantot tam, lai labotu pazīmi, kas identificēta citā pārbaudes procedūrā, piemēram, elektroniskajā datu meklēšanā. Piemēram, klientu apkalpošanas speciālistam zināmu spēkā esošu dzīvesvietas adresi jurisdikcijā, par kuru jāsniedz ziņojums, nevar izmantot tam, lai labotu atšķirīgu dzīvesvietas adresi, kura norādīta finanšu iestādes, kas sniedz ziņojumus, datnē un atklāta, veicot datu meklēšanu papīra dokumentos.</w:t>
      </w:r>
    </w:p>
    <w:p w14:paraId="30A6AFC0" w14:textId="55179C96"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45. Ja lielas vērtības kontu pastiprinātā pārbaudē tiek atrasts norādījums par “adresi, uz kuru tiek sūtīti saņēmējam adresēti pasta sūtījumi” vai “adrese, ar kuru saņēmējs ir saistīts” un attiecībā uz konta turētāju nav identificēta neviena B punkta 2. apakšpunkta a)–e) daļā minētā pazīme, tad saskaņā ar C punkta 5. apakšpunkta c) daļu finanšu iestādei, kas sniedz ziņojumus, jāiegūst no šāda konta turētāja pašapliecinājums vai dokumentārs pierādījums, lai noskaidrotu šāda konta turētāja rezidenta statusu(-us) nodokļu aprēķina vajadzībām. Ja finanšu iestāde, kas sniedz ziņojumus, nevar iegūt šādu pašapliecinājumu vai dokumentāru pierādījumu, tai ir jāpaziņo konts kā nedokumentēts konts līdz brīdim, kad šis konts pārstāj būt nedokumentēts konts.</w:t>
      </w:r>
    </w:p>
    <w:p w14:paraId="4AC4849E" w14:textId="77777777" w:rsidR="00F02FF0" w:rsidRPr="00A248D6" w:rsidRDefault="00F02FF0" w:rsidP="00D61E5A">
      <w:pPr>
        <w:pStyle w:val="Heading8"/>
        <w:spacing w:before="120"/>
        <w:ind w:left="284"/>
        <w:jc w:val="both"/>
        <w:rPr>
          <w:rFonts w:ascii="Times New Roman" w:hAnsi="Times New Roman" w:cs="Times New Roman"/>
          <w:noProof/>
          <w:color w:val="616161"/>
          <w:sz w:val="24"/>
          <w:szCs w:val="24"/>
        </w:rPr>
      </w:pPr>
      <w:bookmarkStart w:id="84" w:name="Subparagraphs_C(6)_through_(9)_–_Additio"/>
      <w:bookmarkEnd w:id="84"/>
      <w:r>
        <w:rPr>
          <w:rFonts w:ascii="Times New Roman" w:hAnsi="Times New Roman"/>
          <w:color w:val="616161"/>
          <w:sz w:val="24"/>
        </w:rPr>
        <w:t>C punkta 6.–9. apakšpunkts. Papildu procedūras</w:t>
      </w:r>
    </w:p>
    <w:p w14:paraId="70208F77" w14:textId="58C7E301"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46. Saskaņā ar C punkta 6. apakšpunktu gadījumā, ja iepriekšpastāvējis konts [xxxx]. gada 31. decembrī nav lielas vērtības konts (proti, ja tas ir zemākas vērtības konts), taču tas kļūst par lielas vērtības kontu nākamā kalendārā gada pēdējā dienā, tad finanšu iestādei, kas sniedz ziņojumus, ir jāveic lielas vērtības kontu pastiprinātā pārbaude attiecībā uz šādu kontu kalendārajā gadā, kurš seko gadam, kad konts kļūst par lielas vērtības kontu. Ja šādā pārbaudē tiek konstatēts, ka konts ir konts, par kuru jāsniedz ziņojums, tad finanšu iestādei, kas sniedz ziņojumus, ir jāpaziņo nepieciešamā informācija par šādu kontu par gadu, kad tas tika identificēts kā konts, par kuru jāsniedz ziņojums, un turpmāk vienu reizi gadā līdz brīdim, kad konta turētājs pārstāj būt persona, par kuru jāsniedz ziņojums.</w:t>
      </w:r>
    </w:p>
    <w:p w14:paraId="2C2CC1EA" w14:textId="39BC2CA2"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47. Lai arī C punkta 6. apakšpunktā minētā gada izvēle ir atkarīga no tās jurisdikcijas lēmuma, kurā tiek īstenots Kopējais ziņošanas standarts, paredzams, ka šim nolūkam tiks izraudzīts tas pats gads, kurš tiek izraudzīts attiecībā uz terminu “iepriekšpastāvējis konts”.</w:t>
      </w:r>
    </w:p>
    <w:p w14:paraId="4C18073F" w14:textId="5DB64C6B" w:rsidR="00F02FF0" w:rsidRPr="00A248D6" w:rsidRDefault="00F3683E" w:rsidP="00E46DB5">
      <w:pPr>
        <w:keepNext/>
        <w:keepLines/>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lastRenderedPageBreak/>
        <w:t>48. Saskaņā ar C punkta 7. apakšpunktu finanšu iestādei, kas sniedz ziņojumus, pēc lielas vērtības kontu pastiprinātas pārbaudes procedūru piemērošanas šīs procedūras, izņemot klientu apkalpošanas speciālista rīcībā esošās informācijas izvērtēšanas procedūru, nākamajos gados nav jāpiemēro atkārtoti attiecībā uz to pašu lielas vērtības kontu, ja vien šāds konts nav nedokumentēts konts. Šādā gadījumā finanšu iestādei, kas sniedz ziņojumus, šīs procedūras ir jāatkārto katru gadu līdz brīdim, kad konts pārstāj būt nedokumentēts konts. Līdzīgi arī klientu apkalpošanas speciālista rīcībā esošās informācijas izvērtēšanas gadījumā ir pietiekami ar ikgadējām verifikācijām, nenosakot klientu apkalpošanas speciālistam pienākumu attiecībā uz katru kontu apstiprināt, ka tā rīcībā nav faktiskas informācijas par to, ka tam uzticētais konta turētājs nav persona, par kuru jāsniedz ziņojums.</w:t>
      </w:r>
    </w:p>
    <w:p w14:paraId="50DAE28A" w14:textId="7FC079F2"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49. Saskaņā ar C punkta 8. apakšpunktu gadījumā, ja attiecībā uz lielas vērtības kontu mainās apstākļi, kā rezultātā ar kontu kļūst saistāmas viena vai vairākas B punkta 2. apakšpunktā minētās pazīmes, tad finanšu iestādei, kas sniedz ziņojumus, ir jāuzskata, ka šis konts ir konts, par kuru jāsniedz ziņojums, attiecībā uz katru jurisdikciju, par kuru jāsniedz ziņojums un uz kuru attiecas šāda pazīme, ja vien šī finanšu iestāde nenolemj piemērot B punkta 6. apakšpunktu un attiecībā uz šādu kontu ir piemērojams kāds no tajā noteiktajiem izņēmumiem. Tomēr 90 kalendārās dienas ilgā laika posmā pēc dienas, kad apstākļu maiņas dēļ tika identificēta pazīme, finanšu iestāde, kas sniedz ziņojumus, var uzskatīt, ka persona saglabā to pašu statusu, kāds personai bija pirms apstākļu maiņas (skat. arī iepriekš 17. punktu).</w:t>
      </w:r>
    </w:p>
    <w:p w14:paraId="78319C20" w14:textId="2D3F9B8B"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50. Atbilstīgi C punkta 9. apakšpunktam finanšu iestādei, kas sniedz ziņojumus, jābūt atbilstīgiem saziņas kanāliem un procedūrām, lai nodrošinātu, ka klientu apkalpošanas speciālists identificē jebkuru ar kontu saistīto apstākļu maiņu. Piemēram, ja klientu apkalpošanas speciālistam tiek paziņots, ka konta turētājam ir jauna pasta adrese jurisdikcijā, par kuru jāsniedz ziņojums, tad finanšu iestādei, kas sniedz ziņojumus, ir pienākums uzskatīt adreses maiņu par apstākļu maiņu un, ja tā izvēlas piemērot B punkta 6. apakšpunktu, tai ir pienākums iegūt attiecīgu dokumentāciju no konta turētāja.</w:t>
      </w:r>
    </w:p>
    <w:p w14:paraId="75B44AE7" w14:textId="77777777" w:rsidR="00F02FF0" w:rsidRPr="00A248D6" w:rsidRDefault="00F02FF0" w:rsidP="00D61E5A">
      <w:pPr>
        <w:pStyle w:val="Heading7"/>
        <w:spacing w:before="120"/>
        <w:ind w:left="284"/>
        <w:jc w:val="both"/>
        <w:rPr>
          <w:rFonts w:ascii="Times New Roman" w:hAnsi="Times New Roman" w:cs="Times New Roman"/>
          <w:noProof/>
          <w:sz w:val="24"/>
          <w:szCs w:val="24"/>
        </w:rPr>
      </w:pPr>
      <w:bookmarkStart w:id="85" w:name="Paragraphs_D_and_E_–_Timing_of_review_an"/>
      <w:bookmarkEnd w:id="85"/>
      <w:r>
        <w:rPr>
          <w:rFonts w:ascii="Times New Roman" w:hAnsi="Times New Roman"/>
          <w:sz w:val="24"/>
        </w:rPr>
        <w:t>D un E punkts. Pārbaudes īstenošanas laiks un papildu procedūras</w:t>
      </w:r>
    </w:p>
    <w:p w14:paraId="20AA7DA6" w14:textId="09A5F9EE" w:rsidR="00F02FF0" w:rsidRPr="00A248D6" w:rsidRDefault="00F3683E" w:rsidP="00A248D6">
      <w:pPr>
        <w:tabs>
          <w:tab w:val="left" w:pos="941"/>
        </w:tabs>
        <w:spacing w:before="120"/>
        <w:jc w:val="both"/>
        <w:rPr>
          <w:rFonts w:ascii="Times New Roman" w:hAnsi="Times New Roman" w:cs="Times New Roman"/>
          <w:noProof/>
          <w:sz w:val="24"/>
          <w:szCs w:val="24"/>
        </w:rPr>
      </w:pPr>
      <w:r>
        <w:rPr>
          <w:rFonts w:ascii="Times New Roman" w:hAnsi="Times New Roman"/>
          <w:sz w:val="24"/>
        </w:rPr>
        <w:t>51. D punktā noteikts to pārbaudes procedūru īstenošanas laiks, kuras piemēro, lai noteiktu, kuri no iepriekšpastāvējušiem kontiem ir konti, par kuriem jāsniedz ziņojums. Šis noteikums paredz, ka pārbaude ir jāpabeidz līdz [xx.xx.xxxx.]. Lai arī šo datumu izvēlas Kopējo ziņošanas standartu īstenojošā jurisdikcija, paredzams, ka šim nolūkam izraudzītais datums būs gads pēc gada, kurš izraudzīts attiecībā uz terminu “iepriekšpastāvējis konts” saistībā ar lielas vērtības kontiem, un otrais gads pēc gada, kurš izraudzīts attiecībā uz šādu terminu saistībā ar zemākas vērtības kontiem.</w:t>
      </w:r>
    </w:p>
    <w:p w14:paraId="0C503E3D" w14:textId="78839E4A" w:rsidR="00F02FF0" w:rsidRPr="00A248D6" w:rsidRDefault="00F3683E" w:rsidP="00A248D6">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52. E punktā noteikta papildu procedūra, kas piemērojama attiecībā uz iepriekšpastāvējušiem kontiem: jebkurš iepriekšpastāvējis fiziskas personas konts, kurš saskaņā ar III pantu ir identificēts kā konts, par kuru jāsniedz ziņojums, visus turpmākos gadus ir uzskatāms par kontu, par kuru jāsniedz ziņojums, ja vien konta turētājs nepārtrauc būt persona, par kuru jāsniedz ziņojums.</w:t>
      </w:r>
    </w:p>
    <w:p w14:paraId="4F923DC6" w14:textId="77777777" w:rsidR="00F3683E" w:rsidRDefault="00F3683E">
      <w:pPr>
        <w:rPr>
          <w:rFonts w:ascii="Times New Roman" w:hAnsi="Times New Roman" w:cs="Times New Roman"/>
          <w:b/>
          <w:bCs/>
          <w:noProof/>
          <w:color w:val="4E81BD"/>
          <w:sz w:val="56"/>
          <w:szCs w:val="56"/>
        </w:rPr>
      </w:pPr>
      <w:bookmarkStart w:id="86" w:name="Commentary_on_Section_IV_concerning_Due_"/>
      <w:bookmarkStart w:id="87" w:name="_bookmark16"/>
      <w:bookmarkEnd w:id="86"/>
      <w:bookmarkEnd w:id="87"/>
      <w:r>
        <w:br w:type="page"/>
      </w:r>
    </w:p>
    <w:p w14:paraId="751A76F1" w14:textId="0B8A314E" w:rsidR="00F02FF0" w:rsidRPr="00F3683E" w:rsidRDefault="00F02FF0" w:rsidP="00F3683E">
      <w:pPr>
        <w:pStyle w:val="Heading2"/>
        <w:spacing w:before="120"/>
        <w:ind w:left="0"/>
        <w:rPr>
          <w:rFonts w:ascii="Times New Roman" w:hAnsi="Times New Roman" w:cs="Times New Roman"/>
          <w:noProof/>
          <w:color w:val="4E81BD"/>
        </w:rPr>
      </w:pPr>
      <w:bookmarkStart w:id="88" w:name="_Toc241827497"/>
      <w:r>
        <w:rPr>
          <w:rFonts w:ascii="Times New Roman" w:hAnsi="Times New Roman"/>
          <w:color w:val="4E81BD"/>
        </w:rPr>
        <w:lastRenderedPageBreak/>
        <w:t>Komentāri par IV pantu – par jaunu fizisku personu kontu pienācīgu pārbaudi</w:t>
      </w:r>
      <w:bookmarkEnd w:id="88"/>
    </w:p>
    <w:p w14:paraId="1351FA2F" w14:textId="77777777" w:rsidR="00F02FF0" w:rsidRPr="00F3683E" w:rsidRDefault="00F02FF0" w:rsidP="00CB441B">
      <w:pPr>
        <w:pStyle w:val="BodyText"/>
        <w:spacing w:before="120"/>
        <w:jc w:val="left"/>
        <w:rPr>
          <w:rFonts w:ascii="Times New Roman" w:hAnsi="Times New Roman" w:cs="Times New Roman"/>
          <w:b/>
          <w:noProof/>
          <w:sz w:val="56"/>
          <w:szCs w:val="56"/>
        </w:rPr>
      </w:pPr>
    </w:p>
    <w:p w14:paraId="4AF78FA7" w14:textId="77777777" w:rsidR="00F02FF0" w:rsidRPr="00F3683E" w:rsidRDefault="00F02FF0" w:rsidP="00CB441B">
      <w:pPr>
        <w:pStyle w:val="BodyText"/>
        <w:spacing w:before="120"/>
        <w:jc w:val="left"/>
        <w:rPr>
          <w:rFonts w:ascii="Times New Roman" w:hAnsi="Times New Roman" w:cs="Times New Roman"/>
          <w:b/>
          <w:noProof/>
          <w:sz w:val="56"/>
          <w:szCs w:val="56"/>
        </w:rPr>
      </w:pPr>
    </w:p>
    <w:p w14:paraId="66D32DE4" w14:textId="37A51B43" w:rsidR="00F02FF0" w:rsidRPr="0071782B" w:rsidRDefault="00F3683E"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1. Šajā pantā ir noteiktas pienācīgas pārbaudes procedūras, ko piemēro jauniem fizisku personu kontiem, un ir paredzēta pašapliecinājumu vākšana (un to pamatotības apstiprināšana).</w:t>
      </w:r>
    </w:p>
    <w:p w14:paraId="4E9473EC" w14:textId="4F22186E" w:rsidR="00F02FF0" w:rsidRPr="0071782B" w:rsidRDefault="00F3683E"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 Saskaņā ar A punktu finanšu iestādei, kas sniedz ziņojumus, saistībā ar konta atvēršanu ir:</w:t>
      </w:r>
    </w:p>
    <w:p w14:paraId="302FF462" w14:textId="77777777" w:rsidR="00F02FF0" w:rsidRPr="0071782B" w:rsidRDefault="00F02FF0" w:rsidP="0071782B">
      <w:pPr>
        <w:pStyle w:val="ListParagraph"/>
        <w:numPr>
          <w:ilvl w:val="1"/>
          <w:numId w:val="42"/>
        </w:numPr>
        <w:tabs>
          <w:tab w:val="left" w:pos="1418"/>
        </w:tabs>
        <w:ind w:left="567" w:hanging="283"/>
        <w:rPr>
          <w:rFonts w:ascii="Times New Roman" w:hAnsi="Times New Roman" w:cs="Times New Roman"/>
          <w:noProof/>
          <w:sz w:val="24"/>
          <w:szCs w:val="24"/>
        </w:rPr>
      </w:pPr>
      <w:r>
        <w:rPr>
          <w:rFonts w:ascii="Times New Roman" w:hAnsi="Times New Roman"/>
          <w:sz w:val="24"/>
        </w:rPr>
        <w:t>jāiegūst pašapliecinājums (kas var ietilpt konta atvēršanas dokumentācijā), kuru finanšu iestāde, kas sniedz ziņojumus, var izmantot tam, lai noteiktu konta turētāja rezidenci(-es) nodokļu aprēķina vajadzībām, un</w:t>
      </w:r>
    </w:p>
    <w:p w14:paraId="3ABF30AA" w14:textId="77777777" w:rsidR="00F02FF0" w:rsidRPr="0071782B" w:rsidRDefault="00F02FF0" w:rsidP="0071782B">
      <w:pPr>
        <w:pStyle w:val="ListParagraph"/>
        <w:numPr>
          <w:ilvl w:val="1"/>
          <w:numId w:val="42"/>
        </w:numPr>
        <w:tabs>
          <w:tab w:val="left" w:pos="1418"/>
        </w:tabs>
        <w:ind w:left="567" w:hanging="283"/>
        <w:rPr>
          <w:rFonts w:ascii="Times New Roman" w:hAnsi="Times New Roman" w:cs="Times New Roman"/>
          <w:noProof/>
          <w:sz w:val="24"/>
          <w:szCs w:val="24"/>
        </w:rPr>
      </w:pPr>
      <w:r>
        <w:rPr>
          <w:rFonts w:ascii="Times New Roman" w:hAnsi="Times New Roman"/>
          <w:sz w:val="24"/>
        </w:rPr>
        <w:t xml:space="preserve">jāapstiprina šādu pašapliecinājumu pamatotība, pamatojoties uz informāciju, kuru finanšu iestāde, kas sniedz ziņojumus, ieguvusi saistībā ar konta atvēršanu, tostarp uz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savākto dokumentāciju.</w:t>
      </w:r>
    </w:p>
    <w:p w14:paraId="53BAB429" w14:textId="77777777" w:rsidR="00F02FF0" w:rsidRPr="00774B72" w:rsidRDefault="00F02FF0" w:rsidP="0071782B">
      <w:pPr>
        <w:spacing w:before="120"/>
        <w:jc w:val="both"/>
        <w:rPr>
          <w:rFonts w:ascii="Times New Roman" w:hAnsi="Times New Roman" w:cs="Times New Roman"/>
          <w:b/>
          <w:i/>
          <w:noProof/>
          <w:sz w:val="24"/>
          <w:szCs w:val="24"/>
          <w:u w:val="single"/>
        </w:rPr>
      </w:pPr>
      <w:r>
        <w:rPr>
          <w:rFonts w:ascii="Times New Roman" w:hAnsi="Times New Roman"/>
          <w:b/>
          <w:i/>
          <w:sz w:val="24"/>
          <w:u w:val="single"/>
        </w:rPr>
        <w:t>2.bis Lai arī parasti pašapliecinājums jāiegūst konta atvēršanas dienā, retos gadījumos uzņēmējdarbības nozares specifikas dēļ nav iespējams iegūt pašapliecinājumu konta atvēršanas procesa “pirmajā dienā”. Piemēram, tas tā var būt, ja ar vienu personu noslēgts apdrošināšanas līgums tiek piešķirts citai personai, ja saskaņā ar tiesas rīkojumu mainās konta turētājs, ja jaundibināta sabiedrība ir TIN iegūšanas procesā vai ja ieguldītājs otrreizējā tirgū iegādājas ieguldījumu trasta akcijas. Turklāt jāatzīst, ka pat tad, ja pašapliecinājums ir iegūts konta atvēršanas laikā, tā validāciju ne vienmēr var pabeigt konta atvēršanas dienā (piemēram, ja validācijas procesu veic nodaļa, kura pilda atbalsta funkcijas finanšu iestādē, kas sniedz ziņojumus). Šādos apstākļos finanšu iestādei, kas sniedz ziņojumus, pašapliecinājums jāiegūst un tā derīgums jāpārbauda, cik drīz vien iespējams, un jebkurā gadījumā ne vēlāk kā 90 kalendāro dienu laikā, kā arī tādā termiņā, lai varētu izpildīt pienācīgas pārbaudes un ziņošanas pienākumus attiecībā uz ziņošanas periodu, kurā konts tika atvērts. Šajā saistībā ir paredzams, ka jurisdikcijas ir ieviesušas stingrus pasākumus, lai nodrošinātu, ka attiecībā uz jauniem kontiem vienmēr tiek iegūti derīgi pašapliecinājumi (kā norādīts komentāru par IX pantu 18. punktā).</w:t>
      </w:r>
    </w:p>
    <w:p w14:paraId="3C9E70E5" w14:textId="3662468A" w:rsidR="00F02FF0" w:rsidRPr="0071782B" w:rsidRDefault="00F3683E"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3. Ja pašapliecinājumā norādīts, ka konta turētājs nodokļu aprēķina vajadzībām ir rezidents jurisdikcijā, par kuru jāsniedz ziņojums, tad atbilstīgi B punktam finanšu iestādei, kas sniedz ziņojumus, jāuzskata, ka konts ir konts, par kuru jāsniedz ziņojums.</w:t>
      </w:r>
    </w:p>
    <w:p w14:paraId="119B8EED" w14:textId="40042011" w:rsidR="00F02FF0" w:rsidRPr="0071782B" w:rsidRDefault="00F3683E"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4. Pašapliecinājumam jānodrošina iespēja noteikt konta turētāja rezidenci(-es) nodokļu aprēķina vajadzībām. Parasti fiziskai personai būs tikai viena rezidences jurisdikcija. Tomēr nodokļu aprēķina vajadzībām fiziska persona var būt divu vai vairāku jurisdikciju rezidents. </w:t>
      </w:r>
      <w:r>
        <w:rPr>
          <w:rFonts w:ascii="Times New Roman" w:hAnsi="Times New Roman"/>
          <w:b/>
          <w:i/>
          <w:sz w:val="24"/>
          <w:u w:val="single"/>
        </w:rPr>
        <w:t xml:space="preserve">Šādos apstākļos tiek sagaidīts, ka pašapliecinājumā tiek norādītas visas rezidences jurisdikcijas un ka finanšu iestāde, kas sniedz ziņojumus, uzskata, ka tas ir konts, par kuru jāsniedz ziņojums, visās jurisdikcijās, par kurām jāsniedz ziņojums. </w:t>
      </w:r>
      <w:r>
        <w:rPr>
          <w:rFonts w:ascii="Times New Roman" w:hAnsi="Times New Roman"/>
          <w:sz w:val="24"/>
        </w:rPr>
        <w:t xml:space="preserve">Dažādu jurisdikciju tiesību aktos ir noteikti nosacījumi, kas jāizpilda, lai fizisku personu varētu uzskatīt par nodokļu “rezidentu”. Tie ietver dažādu formu piesaisti jurisdikcijai, kura valstu tiesību aktos </w:t>
      </w:r>
      <w:r>
        <w:rPr>
          <w:rFonts w:ascii="Times New Roman" w:hAnsi="Times New Roman"/>
          <w:sz w:val="24"/>
        </w:rPr>
        <w:lastRenderedPageBreak/>
        <w:t xml:space="preserve">noteikta kā pamats nodokļu vispārējai piemērošanai (pilna apjoma nodokļu saistības). Tie arī ietver gadījumus, kad saskaņā ar jurisdikcijas nodokļu tiesību aktiem fiziska persona tiek uzskatīta par šīs jurisdikcijas rezidentu (piemēram, diplomāti vai citas civildienestā strādājošas personas). </w:t>
      </w:r>
      <w:r>
        <w:rPr>
          <w:rFonts w:ascii="Times New Roman" w:hAnsi="Times New Roman"/>
          <w:strike/>
          <w:sz w:val="24"/>
        </w:rPr>
        <w:t>Lai risinātu dubultā rezidenta statusa gadījumus, nodokļu konvencijās iekļauti īpaši noteikumi, kas paredz, ka saistībā ar šīm konvencijām piesaiste vienai jurisdikcijai prevalē pār piesaisti otrai jurisdikcijai.</w:t>
      </w:r>
      <w:r>
        <w:rPr>
          <w:rFonts w:ascii="Times New Roman" w:hAnsi="Times New Roman"/>
          <w:sz w:val="24"/>
        </w:rPr>
        <w:t xml:space="preserve"> </w:t>
      </w:r>
      <w:r>
        <w:rPr>
          <w:rFonts w:ascii="Times New Roman" w:hAnsi="Times New Roman"/>
          <w:strike/>
          <w:sz w:val="24"/>
        </w:rPr>
        <w:t xml:space="preserve">Parasti fiziska persona nodokļu aprēķina vajadzībām būs jurisdikcijas rezidents, ja saskaņā ar šīs jurisdikcijas tiesību aktiem (tostarp nodokļu konvencijām) persona maksā vai tai ir jāmaksā šajā jurisdikcijā nodokļi tādēļ, ka šajā jurisdikcijā atrodas personas pastāvīgā dzīvesvieta, mītnes vieta vai tiek izpildīts kāds līdzīga rakstura kritērijs, nevis vienīgi tādēļ, ka tā šajā jurisdikcijā gūst ienākumus. </w:t>
      </w:r>
      <w:r>
        <w:rPr>
          <w:rFonts w:ascii="Times New Roman" w:hAnsi="Times New Roman"/>
          <w:sz w:val="24"/>
        </w:rPr>
        <w:t xml:space="preserve">Fiziskas personas ar dubulta rezidenta statusu var izmantot izšķirošos noteikumus, kas paredzēti nodokļu konvencijās (ja tie ir piemērojami), lai risinātu dubultā rezidenta statusa gadījumus un noteiktu, kurā jurisdikcijā persona ir rezidents nodokļu aprēķina vajadzībām (skat. turpmāk 23. punktu) </w:t>
      </w:r>
      <w:r>
        <w:rPr>
          <w:rFonts w:ascii="Times New Roman" w:hAnsi="Times New Roman"/>
          <w:b/>
          <w:i/>
          <w:iCs/>
          <w:sz w:val="24"/>
          <w:u w:val="single"/>
        </w:rPr>
        <w:t>līdz [pārskatītā</w:t>
      </w:r>
      <w:r>
        <w:rPr>
          <w:rFonts w:ascii="Times New Roman" w:hAnsi="Times New Roman"/>
          <w:b/>
          <w:i/>
          <w:sz w:val="24"/>
          <w:u w:val="single"/>
        </w:rPr>
        <w:t xml:space="preserve"> CRS </w:t>
      </w:r>
      <w:r>
        <w:rPr>
          <w:rFonts w:ascii="Times New Roman" w:hAnsi="Times New Roman"/>
          <w:b/>
          <w:i/>
          <w:iCs/>
          <w:sz w:val="24"/>
          <w:u w:val="single"/>
        </w:rPr>
        <w:t>spēkā stāšanās datums]</w:t>
      </w:r>
      <w:r>
        <w:rPr>
          <w:rFonts w:ascii="Times New Roman" w:hAnsi="Times New Roman"/>
          <w:sz w:val="24"/>
        </w:rPr>
        <w:t>.</w:t>
      </w:r>
      <w:r>
        <w:rPr>
          <w:rFonts w:ascii="Times New Roman" w:hAnsi="Times New Roman"/>
          <w:b/>
          <w:i/>
          <w:sz w:val="24"/>
        </w:rPr>
        <w:t xml:space="preserve"> Pēc </w:t>
      </w:r>
      <w:r>
        <w:rPr>
          <w:rFonts w:ascii="Times New Roman" w:hAnsi="Times New Roman"/>
          <w:b/>
          <w:i/>
          <w:iCs/>
          <w:sz w:val="24"/>
          <w:u w:val="single"/>
        </w:rPr>
        <w:t>[pārskatītā</w:t>
      </w:r>
      <w:r>
        <w:rPr>
          <w:rFonts w:ascii="Times New Roman" w:hAnsi="Times New Roman"/>
          <w:b/>
          <w:i/>
          <w:sz w:val="24"/>
          <w:u w:val="single"/>
        </w:rPr>
        <w:t xml:space="preserve"> CRS </w:t>
      </w:r>
      <w:r>
        <w:rPr>
          <w:rFonts w:ascii="Times New Roman" w:hAnsi="Times New Roman"/>
          <w:b/>
          <w:i/>
          <w:iCs/>
          <w:sz w:val="24"/>
          <w:u w:val="single"/>
        </w:rPr>
        <w:t>spēkā stāšanās datums]</w:t>
      </w:r>
      <w:r>
        <w:rPr>
          <w:rFonts w:ascii="Times New Roman" w:hAnsi="Times New Roman"/>
          <w:b/>
          <w:i/>
          <w:sz w:val="24"/>
        </w:rPr>
        <w:t xml:space="preserve"> fiziskās personas, kas ir dubultrezidenti un ir (atkārtoti) reģistrēti, nevarēs paļauties uz izšķirošajiem noteikumiem un tām būs jādeklarē visas savas </w:t>
      </w:r>
      <w:r>
        <w:rPr>
          <w:rFonts w:ascii="Times New Roman" w:hAnsi="Times New Roman"/>
          <w:b/>
          <w:i/>
          <w:sz w:val="24"/>
          <w:u w:val="single"/>
        </w:rPr>
        <w:t>rezidences</w:t>
      </w:r>
      <w:r>
        <w:rPr>
          <w:rFonts w:ascii="Times New Roman" w:hAnsi="Times New Roman"/>
          <w:b/>
          <w:i/>
          <w:sz w:val="24"/>
        </w:rPr>
        <w:t xml:space="preserve"> jurisdikcijas.</w:t>
      </w:r>
    </w:p>
    <w:p w14:paraId="17C6D25F" w14:textId="5372D43D" w:rsidR="00F02FF0" w:rsidRPr="0071782B" w:rsidRDefault="00F3683E"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5. Turpmākie piemēri parāda, kā iespējams noteikt fiziskas personas rezidenta statusu nodokļu aprēķina vajadzībām.</w:t>
      </w:r>
    </w:p>
    <w:p w14:paraId="418149CC" w14:textId="77777777" w:rsidR="00F02FF0" w:rsidRPr="0071782B" w:rsidRDefault="00F02FF0" w:rsidP="0071782B">
      <w:pPr>
        <w:pStyle w:val="ListParagraph"/>
        <w:numPr>
          <w:ilvl w:val="1"/>
          <w:numId w:val="42"/>
        </w:numPr>
        <w:ind w:left="567" w:hanging="283"/>
        <w:rPr>
          <w:rFonts w:ascii="Times New Roman" w:hAnsi="Times New Roman" w:cs="Times New Roman"/>
          <w:noProof/>
          <w:sz w:val="24"/>
          <w:szCs w:val="24"/>
        </w:rPr>
      </w:pPr>
      <w:r>
        <w:rPr>
          <w:rFonts w:ascii="Times New Roman" w:hAnsi="Times New Roman"/>
          <w:sz w:val="24"/>
        </w:rPr>
        <w:t>1. piemērs. Fiziskas personas pastāvīgā dzīvesvieta atrodas jurisdikcijā A, un personai piemēro nodokļus kā jurisdikcijas A rezidentam. Personai ir bijis jāuzturas jurisdikcijā B ilgāk par sešiem mēnešiem, un saskaņā ar jurisdikcijas B tiesību aktiem šāds uzturēšanās ilgums ir pamats tam, lai personai piemērotu nodokļus kā šīs jurisdikcijas rezidentam. Tādējādi šī persona ir abu jurisdikciju rezidents.</w:t>
      </w:r>
    </w:p>
    <w:p w14:paraId="17F8F54C" w14:textId="77777777" w:rsidR="00F02FF0" w:rsidRPr="0071782B" w:rsidRDefault="00F02FF0" w:rsidP="0071782B">
      <w:pPr>
        <w:pStyle w:val="ListParagraph"/>
        <w:numPr>
          <w:ilvl w:val="1"/>
          <w:numId w:val="42"/>
        </w:numPr>
        <w:ind w:left="567" w:hanging="283"/>
        <w:rPr>
          <w:rFonts w:ascii="Times New Roman" w:hAnsi="Times New Roman" w:cs="Times New Roman"/>
          <w:noProof/>
          <w:sz w:val="24"/>
          <w:szCs w:val="24"/>
        </w:rPr>
      </w:pPr>
      <w:r>
        <w:rPr>
          <w:rFonts w:ascii="Times New Roman" w:hAnsi="Times New Roman"/>
          <w:sz w:val="24"/>
        </w:rPr>
        <w:t>2. piemērs. Apstākļi ir tādi paši kā 1. piemērā, izņemot to, ka fiziska persona uzturas jurisdikcijā B tikai astoņas nedēļas, līdz ar to saskaņā ar šīs jurisdikcijas tiesību aktiem šāds uzturēšanās ilgums nav pietiekams pamats tam, lai personai piemērotu nodokli kā jurisdikcijas B rezidentam. Tādējādi šī persona ir vienīgi jurisdikcijas A rezidents.</w:t>
      </w:r>
    </w:p>
    <w:p w14:paraId="44E72473" w14:textId="673A6BA8" w:rsidR="00F02FF0" w:rsidRPr="0071782B" w:rsidRDefault="00F3683E"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6. Iesaistītajām jurisdikcijām ir jāpalīdz nodokļu maksātājiem noteikt viņu rezidenta statusu(-us) nodokļu aprēķina vajadzībām un šajā saistībā jāsniedz viņiem informācija. To var nodrošināt, piemēram, ar dažādu pakalpojumu kanālu starpniecību, kas tiek izmantoti informācijas vai norādījumu sniegšanai nodokļu maksātājiem par nodokļu tiesību aktu piemērošanu (piemēram, pa tālruni, apmeklētāju pieņemšanas punktos, tiešsaistē). </w:t>
      </w:r>
      <w:r>
        <w:rPr>
          <w:rFonts w:ascii="Times New Roman" w:hAnsi="Times New Roman"/>
          <w:i/>
          <w:iCs/>
          <w:sz w:val="24"/>
        </w:rPr>
        <w:t>OECD</w:t>
      </w:r>
      <w:r>
        <w:rPr>
          <w:rFonts w:ascii="Times New Roman" w:hAnsi="Times New Roman"/>
          <w:sz w:val="24"/>
        </w:rPr>
        <w:t xml:space="preserve"> centīsies veicināt šādas informācijas izplatīšanu.</w:t>
      </w:r>
    </w:p>
    <w:p w14:paraId="05DAF41C" w14:textId="77777777" w:rsidR="00F02FF0" w:rsidRPr="0071782B" w:rsidRDefault="00F02FF0" w:rsidP="0071782B">
      <w:pPr>
        <w:pStyle w:val="Heading8"/>
        <w:spacing w:before="120"/>
        <w:ind w:left="284"/>
        <w:jc w:val="both"/>
        <w:rPr>
          <w:rFonts w:ascii="Times New Roman" w:hAnsi="Times New Roman" w:cs="Times New Roman"/>
          <w:noProof/>
          <w:color w:val="616161"/>
          <w:sz w:val="24"/>
          <w:szCs w:val="24"/>
        </w:rPr>
      </w:pPr>
      <w:bookmarkStart w:id="89" w:name="Requirements_for_validity_of_self-certif"/>
      <w:bookmarkEnd w:id="89"/>
      <w:r>
        <w:rPr>
          <w:rFonts w:ascii="Times New Roman" w:hAnsi="Times New Roman"/>
          <w:color w:val="616161"/>
          <w:sz w:val="24"/>
        </w:rPr>
        <w:t>Prasības par pašapliecinājumu derīgumu</w:t>
      </w:r>
    </w:p>
    <w:p w14:paraId="3BD395A3" w14:textId="000F776A" w:rsidR="00F02FF0" w:rsidRPr="0071782B" w:rsidRDefault="00F3683E"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7. “Pašapliecinājums” ir konta turētāja apliecinājums, kurā norādīts konta turētāja statuss un cita informācija, kuru finanšu iestāde, kas sniedz ziņojumus, var pamatoti pieprasīt, lai izpildītu savas ziņošanas un pienācīgas pārbaudes saistības, piemēram, tas, vai konta turētājs nodokļu aprēķina vajadzībām ir rezidents jurisdikcijā, par kuru jāsniedz ziņojums. Jaunu fizisku personu kontu gadījumā pašapliecinājums ir derīgs vienīgi tad, ja konta turētājs to ir parakstījis (vai citādi nepārprotami apstiprinājis), tas ir datēts ar datumu, kas nav vēlāks par tā saņemšanas dienu, un tajā norādīta šāda konta turētāja informācija:</w:t>
      </w:r>
    </w:p>
    <w:p w14:paraId="3F206249" w14:textId="0DDFD323" w:rsidR="00F02FF0" w:rsidRPr="0071782B" w:rsidRDefault="00F3683E" w:rsidP="0071782B">
      <w:pPr>
        <w:tabs>
          <w:tab w:val="left" w:pos="94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a) vārds, uzvārds;</w:t>
      </w:r>
    </w:p>
    <w:p w14:paraId="58675CB7" w14:textId="260027B3" w:rsidR="00F02FF0" w:rsidRPr="0071782B" w:rsidRDefault="00F3683E" w:rsidP="0071782B">
      <w:pPr>
        <w:tabs>
          <w:tab w:val="left" w:pos="94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b) dzīvesvietas adrese;</w:t>
      </w:r>
    </w:p>
    <w:p w14:paraId="105CBC4A" w14:textId="62BDD60B" w:rsidR="00F02FF0" w:rsidRPr="0071782B" w:rsidRDefault="00F3683E" w:rsidP="0071782B">
      <w:pPr>
        <w:tabs>
          <w:tab w:val="left" w:pos="942"/>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c) rezidences jurisdikcija(-as) nodokļu aprēķina vajadzībām;</w:t>
      </w:r>
    </w:p>
    <w:p w14:paraId="50B01443" w14:textId="74C7457A" w:rsidR="00F02FF0" w:rsidRPr="0071782B" w:rsidRDefault="00F3683E" w:rsidP="0071782B">
      <w:pPr>
        <w:tabs>
          <w:tab w:val="left" w:pos="94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t xml:space="preserve">d) </w:t>
      </w:r>
      <w:r>
        <w:rPr>
          <w:rFonts w:ascii="Times New Roman" w:hAnsi="Times New Roman"/>
          <w:i/>
          <w:iCs/>
          <w:color w:val="231F20"/>
          <w:sz w:val="24"/>
        </w:rPr>
        <w:t>TIN</w:t>
      </w:r>
      <w:r>
        <w:rPr>
          <w:rFonts w:ascii="Times New Roman" w:hAnsi="Times New Roman"/>
          <w:color w:val="231F20"/>
          <w:sz w:val="24"/>
        </w:rPr>
        <w:t xml:space="preserve"> attiecībā uz katru jurisdikciju, par kuru jāsniedz ziņojums (skat. turpmāk 8. punktu), un</w:t>
      </w:r>
    </w:p>
    <w:p w14:paraId="0E061CB8" w14:textId="0161D245" w:rsidR="00F02FF0" w:rsidRPr="0071782B" w:rsidRDefault="00DC2779" w:rsidP="0071782B">
      <w:pPr>
        <w:tabs>
          <w:tab w:val="left" w:pos="941"/>
        </w:tabs>
        <w:spacing w:before="120"/>
        <w:ind w:left="567" w:hanging="284"/>
        <w:jc w:val="both"/>
        <w:rPr>
          <w:rFonts w:ascii="Times New Roman" w:hAnsi="Times New Roman" w:cs="Times New Roman"/>
          <w:noProof/>
          <w:color w:val="231F20"/>
          <w:sz w:val="24"/>
          <w:szCs w:val="24"/>
        </w:rPr>
      </w:pPr>
      <w:r>
        <w:rPr>
          <w:rFonts w:ascii="Times New Roman" w:hAnsi="Times New Roman"/>
          <w:color w:val="231F20"/>
          <w:sz w:val="24"/>
        </w:rPr>
        <w:lastRenderedPageBreak/>
        <w:t>e) dzimšanas datums (skat. turpmāk 8. punktu).</w:t>
      </w:r>
    </w:p>
    <w:p w14:paraId="38FE057A" w14:textId="77777777" w:rsidR="00F02FF0" w:rsidRPr="0071782B" w:rsidRDefault="00F02FF0" w:rsidP="0071782B">
      <w:pPr>
        <w:pStyle w:val="BodyText"/>
        <w:spacing w:before="120"/>
        <w:ind w:firstLine="284"/>
        <w:rPr>
          <w:rFonts w:ascii="Times New Roman" w:hAnsi="Times New Roman" w:cs="Times New Roman"/>
          <w:noProof/>
          <w:sz w:val="24"/>
          <w:szCs w:val="24"/>
        </w:rPr>
      </w:pPr>
      <w:r>
        <w:rPr>
          <w:rFonts w:ascii="Times New Roman" w:hAnsi="Times New Roman"/>
          <w:sz w:val="24"/>
        </w:rPr>
        <w:t>Pašapliecinājumu var būt iepriekš aizpildījusi finanšu iestāde, kas sniedz ziņojumus, norādot tajā konta turētāja informāciju no saviem reģistrētajiem datiem, izņemot rezidences jurisdikciju(-as) nodokļu aprēķina vajadzībām.</w:t>
      </w:r>
    </w:p>
    <w:p w14:paraId="0424E6CD" w14:textId="34B42D75" w:rsidR="00F02FF0" w:rsidRPr="0071782B" w:rsidRDefault="00DC2779"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8. Ja konta turētājs ir rezidents nodokļu aprēķina vajadzībām jurisdikcijā, par kuru jāsniedz ziņojums, tad pašapliecinājumā ir jānorāda i) konta turētāja </w:t>
      </w:r>
      <w:r>
        <w:rPr>
          <w:rFonts w:ascii="Times New Roman" w:hAnsi="Times New Roman"/>
          <w:i/>
          <w:iCs/>
          <w:sz w:val="24"/>
        </w:rPr>
        <w:t>TIN</w:t>
      </w:r>
      <w:r>
        <w:rPr>
          <w:rFonts w:ascii="Times New Roman" w:hAnsi="Times New Roman"/>
          <w:sz w:val="24"/>
        </w:rPr>
        <w:t xml:space="preserve"> attiecībā uz katru jurisdikciju, par kuru jāsniedz ziņojums, ievērojot I panta D punktu (skat. komentāru par I pantu 29.–32. punktu), un ii) konta turētāja dzimšanas datums. Pašapliecinājumā nav jānorāda konta turētāja dzimšanas vieta, jo saskaņā ar I panta E punktu dzimšanas vieta nav obligāti jāpaziņo, ja vien finanšu iestādei, kas sniedz ziņojumus, valsts tiesību aktos nav noteikts pienākums iegūt un sniegt šādu informāciju un tā nav pieejama elektroniski uzmeklējamos datos, kurus uztur finanšu iestāde, kas sniedz ziņojumus.</w:t>
      </w:r>
    </w:p>
    <w:p w14:paraId="16B6F2E8" w14:textId="1193B27A" w:rsidR="00F02FF0" w:rsidRPr="0071782B" w:rsidRDefault="00DC2779"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9. Pašapliecinājumu var sniegt jebkurā veidā un formā (piemēram, elektroniski, izmantojot portatīvā dokumenta formātu (.</w:t>
      </w:r>
      <w:r>
        <w:rPr>
          <w:rFonts w:ascii="Times New Roman" w:hAnsi="Times New Roman"/>
          <w:i/>
          <w:iCs/>
          <w:sz w:val="24"/>
        </w:rPr>
        <w:t>pdf</w:t>
      </w:r>
      <w:r>
        <w:rPr>
          <w:rFonts w:ascii="Times New Roman" w:hAnsi="Times New Roman"/>
          <w:sz w:val="24"/>
        </w:rPr>
        <w:t>) vai skenētus dokumentus). Ja pašapliecinājums tiek sniegts elektroniski, elektroniskajai sistēmai ir jānodrošina, ka tiek saņemta tā pati informācija, kas tika nosūtīta, un jādokumentē visi lietotāju piekļuves gadījumi, kad pašapliecinājums tiek iesniegts, atjaunināts vai grozīts. Turklāt elektroniskās sistēmas plānojumam un darbībai, tostarp piekļuves procedūrām, jānodrošina, ka sistēmai piekļūst un pašapliecinājumu iesniedz persona, kuras vārds un uzvārds ir norādīts pašapliecinājumā, un pēc pieprasījuma jāspēj izdot visu elektroniski sniegto pašapliecinājumu cietā kopija. Ja informācija ir iekļauta konta atvēršanas dokumentācijā, tai nav obligāti jābūt sniegtai uz noteiktas dokumentācijas lapas vai noteiktā formā, ar nosacījumu, ka šī informācija ir pilnīga.</w:t>
      </w:r>
    </w:p>
    <w:p w14:paraId="03917D1C" w14:textId="23692F29" w:rsidR="00F02FF0" w:rsidRPr="0071782B" w:rsidRDefault="00DC2779"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10. Turpmākajos piemēros atspoguļotas pašapliecinājumu iesniegšanas iespējas.</w:t>
      </w:r>
    </w:p>
    <w:p w14:paraId="7F7951F1" w14:textId="77777777" w:rsidR="00F02FF0" w:rsidRPr="0071782B" w:rsidRDefault="00F02FF0" w:rsidP="0071782B">
      <w:pPr>
        <w:pStyle w:val="ListParagraph"/>
        <w:numPr>
          <w:ilvl w:val="1"/>
          <w:numId w:val="42"/>
        </w:numPr>
        <w:ind w:left="567" w:hanging="283"/>
        <w:rPr>
          <w:rFonts w:ascii="Times New Roman" w:hAnsi="Times New Roman" w:cs="Times New Roman"/>
          <w:noProof/>
          <w:sz w:val="24"/>
          <w:szCs w:val="24"/>
        </w:rPr>
      </w:pPr>
      <w:r>
        <w:rPr>
          <w:rFonts w:ascii="Times New Roman" w:hAnsi="Times New Roman"/>
          <w:sz w:val="24"/>
        </w:rPr>
        <w:t xml:space="preserve">1. piemērs. Fiziska persona A tiešsaistē aizpilda pieteikumu par konta atvēršanu finanšu iestādē K, kas sniedz ziņojumus. Visu pašapliecinājumā sniedzamo informāciju A ievada elektroniskā pieteikuma veidlapā (tostarp apstiprina A rezidences jurisdikciju nodokļu aprēķina vajadzībām). K pakalpojumu sniedzējs apstiprina, ka informācija, ko A sniegusi elektroniskajā pašapliecinājumā, pietiekami atbilst informācijai, ko tas ir savācis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A pašapliecinājums ir derīgs.</w:t>
      </w:r>
    </w:p>
    <w:p w14:paraId="5B180E8C" w14:textId="432DEF0F" w:rsidR="00F02FF0" w:rsidRPr="0071782B" w:rsidRDefault="00F02FF0" w:rsidP="0071782B">
      <w:pPr>
        <w:pStyle w:val="ListParagraph"/>
        <w:numPr>
          <w:ilvl w:val="1"/>
          <w:numId w:val="42"/>
        </w:numPr>
        <w:ind w:left="567" w:hanging="283"/>
        <w:rPr>
          <w:rFonts w:ascii="Times New Roman" w:hAnsi="Times New Roman" w:cs="Times New Roman"/>
          <w:noProof/>
          <w:sz w:val="24"/>
          <w:szCs w:val="24"/>
        </w:rPr>
      </w:pPr>
      <w:r>
        <w:rPr>
          <w:rFonts w:ascii="Times New Roman" w:hAnsi="Times New Roman"/>
          <w:sz w:val="24"/>
        </w:rPr>
        <w:t>2. piemērs. Fiziska persona B personīgi iesniedz pieteikumu par konta atvēršanu bankā L. B uzrāda savu identifikācijas karti kā indentitātes apliecinājumu un sniedz visu pašapliecinājumā nepieciešamo informāciju L darbiniekam, kurš to ievada L sistēmās.</w:t>
      </w:r>
      <w:r>
        <w:rPr>
          <w:rFonts w:ascii="Times New Roman" w:hAnsi="Times New Roman"/>
          <w:color w:val="231F20"/>
          <w:sz w:val="24"/>
        </w:rPr>
        <w:t xml:space="preserve"> Pēc tam B paraksta pieteikumu. B pašapliecinājums ir derīgs.</w:t>
      </w:r>
    </w:p>
    <w:p w14:paraId="44F2FD95" w14:textId="3D029BA2" w:rsidR="00F02FF0" w:rsidRPr="0071782B" w:rsidRDefault="00DC2779"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11. Pašapliecinājumu drīkst parakstīt (vai citādi nepārprotami apstiprināt) jebkura persona, kura saskaņā ar valsts tiesību aktiem ir pilnvarota parakstīties konta turētāja vārdā. Tiesības parakstīt pašapliecinājumu parasti ir tādām personām kā testamenta izpildītājs vai jebkurai līdzvērtīgai personai, kā arī jebkurai citai personai, kuru konta turētājs pilnvarojis parakstīt dokumentāciju viņa vārdā.</w:t>
      </w:r>
    </w:p>
    <w:p w14:paraId="38F7061C" w14:textId="77777777" w:rsidR="00F02FF0" w:rsidRPr="00774B72" w:rsidRDefault="00F02FF0" w:rsidP="0071782B">
      <w:pPr>
        <w:spacing w:before="120"/>
        <w:jc w:val="both"/>
        <w:rPr>
          <w:rFonts w:ascii="Times New Roman" w:hAnsi="Times New Roman" w:cs="Times New Roman"/>
          <w:b/>
          <w:i/>
          <w:noProof/>
          <w:sz w:val="24"/>
          <w:szCs w:val="24"/>
          <w:u w:val="single"/>
        </w:rPr>
      </w:pPr>
      <w:r>
        <w:rPr>
          <w:rFonts w:ascii="Times New Roman" w:hAnsi="Times New Roman"/>
          <w:b/>
          <w:i/>
          <w:sz w:val="24"/>
          <w:u w:val="single"/>
        </w:rPr>
        <w:t>11.bis Pašapliecinājums ir citādi nepārprotami apstiprināts, ja persona, sniedzot pašapliecinājumu, iesniedz finanšu iestādei, kas sniedz ziņojumus, nepārprotamu apliecinājumu, ka tā piekrīt pašapliecinājumā sniegtajiem apgalvojumiem. Paredzēts, ka nepārprotamo apstiprinājumu visos gadījumos finanšu iestāde, kas sniedz ziņojumus, saņem tādā veidā, ka tā var uzticami parādīt, ka pašapliecinājums bijis nepārprotami apstiprināts (piemēram, balss ieraksts, digitāls nospiedums utt.). Paredzēts, ka pieeja, kuru finanšu iestāde, kas sniedz ziņojumus, izmanto, lai iegūtu pašapliecinājumu, saskan ar procedūrām, ko finanšu iestāde, kas sniedz ziņojumus, izmanto konta atvēršanai. Finanšu iestādei, kas sniedz ziņojumus, ir jāsaglabā ne tikai pats pašapliecinājums, bet jāuztur arī šā procesa pieraksts audita vajadzībām.</w:t>
      </w:r>
    </w:p>
    <w:p w14:paraId="53EE8D24" w14:textId="02E47070" w:rsidR="00F02FF0" w:rsidRPr="0071782B" w:rsidRDefault="00B625B5"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lastRenderedPageBreak/>
        <w:t>12. Pašapliecinājums ir derīgs līdz brīdim, kad notiek izmaiņas apstākļos, kuru dēļ finanšu iestādei, kas sniedz ziņojumus, kļūst zināms vai ir pamats zināt, ka sākotnējais pašapliecinājums ir nepareizs vai nav uzticams (skat. komentāru par III pantu 17. punktu un komentāru par VII pantu 2.–3. punktu). Šādā gadījumā saskaņā ar C punktu finanšu iestāde, kas sniedz ziņojumus, nevar paļauties uz sākotnējo pašapliecinājumu, un tai ir jāiegūst i) derīgs pašapliecinājums, kurā norādīts konta turētāja rezidenta statuss(-i) nodokļu aprēķina vajadzībām vai ii) pamatots skaidrojums un dokumentācija (atbilstīgi vajadzībai), kas pamato sākotnējā pašapliecinājuma derīgumu (un saglabāta šāda pamatojuma un dokumentācijas kopija vai notācija). Tāpēc finanšu iestādei, kas sniedz ziņojumus, ir jāievieš procedūras, ar kurām nodrošina, ka finanšu iestāde, kas sniedz ziņojumus, identificē jebkuras izmaiņas, kas uzskatāmas par apstākļu maiņu. Turklāt finanšu iestādei, kas sniedz ziņojumus, ir jāinformē persona, kura sniedz pašapliecinājumu, par personas pienākumu informēt finanšu iestādi, kas sniedz ziņojumus, par apstākļu maiņu.</w:t>
      </w:r>
    </w:p>
    <w:p w14:paraId="01A98AA7" w14:textId="10A44ADA" w:rsidR="00F02FF0" w:rsidRPr="0071782B" w:rsidRDefault="00B625B5"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13. Ja apstākļu maiņa skar finanšu iestādei, kas sniedz ziņojumus, iesniegto pašapliecinājumu, tad pašapliecinājums vairs nebūs derīgs attiecībā uz informāciju, kura zaudējusi ticamību, līdz brīdim, kad šāda informācija tiks atjaunināta (skat. komentāru par III pantu 17. punktu).</w:t>
      </w:r>
    </w:p>
    <w:p w14:paraId="01849C0E" w14:textId="0DE80379" w:rsidR="00F02FF0" w:rsidRPr="0071782B" w:rsidRDefault="00B625B5"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14. Pašapliecinājums kļūst nederīgs dienā, kad šo pašapliecinājumu glabājošā finanšu iestāde, kas sniedz ziņojumus, uzzina vai tai ir pamats zināt, ka ir mainījušies apstākļi, kas ietekmē pašapliecinājuma atbilstību patiesībai. Tomēr finanšu iestāde, kas sniedz ziņojumus, var izvēlēties uzskatīt, ka personai ir tāds pats statuss, kāds tai bija pirms apstākļu maiņas, līdz agrākajai no šādām dienām: diena, kad pagājušas 90 kalendārās dienas no dienas, kad pašapliecinājums kļuvis nederīgs apstākļu maiņas dēļ; diena, kad ir apstiprināts pašapliecinājuma derīgums, vai diena, kad ir iegūts jauns pašapliecinājums. Finanšu iestāde, kas sniedz ziņojumus, var paļauties uz pašapliecinājumu, nepieprasot informāciju par iespējamo apstākļu maiņu, kas var ietekmēt apliecinājuma derīgumu, ja vien tā nezina vai tai nav pamats zināt, ka apstākļi ir mainījušies.</w:t>
      </w:r>
    </w:p>
    <w:p w14:paraId="57638958" w14:textId="7DC90D6E" w:rsidR="00F02FF0" w:rsidRPr="0071782B" w:rsidRDefault="00B625B5"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15. Ja finanšu iestāde, kas sniedz ziņojumus, nespēj apstiprināt sākotnējā pašapliecinājuma derīgumu vai iegūt derīgu pašapliecinājumu minēto 90 dienu laikā, tai ir jāuzskata, ka konta turētājs ir rezidents jurisdikcijā, kuru viņš norādījis kā rezidences jurisdikciju sākotnējā pašapliecinājumā, un jurisdikcijā, kurā viņš varētu būt rezidents apstākļu maiņas gadījumā.</w:t>
      </w:r>
    </w:p>
    <w:p w14:paraId="2098E105" w14:textId="0B4443FC" w:rsidR="00F02FF0" w:rsidRPr="0071782B" w:rsidRDefault="00B625B5"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16. Finanšu iestāde, kas sniedz ziņojumus, var saglabāt pašapliecinājuma sākotnējo apliecināto norakstu vai fotokopiju (tostarp mikrofišu, elektronisku skenējumu vai līdzīgu elektroniskās glabāšanas līdzekli). Jebkura elektroniski glabāta dokumentācija pēc pieprasījuma ir jādara pieejama cietās kopijas veidā.</w:t>
      </w:r>
    </w:p>
    <w:p w14:paraId="447D100C" w14:textId="77777777" w:rsidR="00F02FF0" w:rsidRPr="0071782B" w:rsidRDefault="00F02FF0" w:rsidP="0071782B">
      <w:pPr>
        <w:pStyle w:val="Heading8"/>
        <w:spacing w:before="120"/>
        <w:ind w:left="284"/>
        <w:jc w:val="both"/>
        <w:rPr>
          <w:rFonts w:ascii="Times New Roman" w:hAnsi="Times New Roman" w:cs="Times New Roman"/>
          <w:noProof/>
          <w:color w:val="616161"/>
          <w:sz w:val="24"/>
          <w:szCs w:val="24"/>
        </w:rPr>
      </w:pPr>
      <w:bookmarkStart w:id="90" w:name="Curing_self-certification_errors"/>
      <w:bookmarkEnd w:id="90"/>
      <w:r>
        <w:rPr>
          <w:rFonts w:ascii="Times New Roman" w:hAnsi="Times New Roman"/>
          <w:color w:val="616161"/>
          <w:sz w:val="24"/>
        </w:rPr>
        <w:t>Pašapliecinājuma kļūdu labošana</w:t>
      </w:r>
    </w:p>
    <w:p w14:paraId="1197A85E" w14:textId="6FA44B53" w:rsidR="00F02FF0" w:rsidRPr="0071782B" w:rsidRDefault="00B625B5"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sz w:val="24"/>
        </w:rPr>
        <w:t>17. Finanšu iestāde, kas sniedz ziņojumus, var uzskatīt, ka pašapliecinājums ir derīgs, neatkarīgi no tā, ka pašapliecinājumā ir nebūtiska kļūda, ja finanšu iestādes, kas sniedz ziņojumu, rīcībā ir pietiekama dokumentācija, ar kuru iespējams aizvietot kļūdas dēļ trūkstošo informāciju. Šādā gadījumā nebūtiskās kļūdas labošanā izmantotajai dokumentācijai jābūt pārliecinošai. Piemēram, pašapliecinājumu, kurā persona, kas iesniegusi veidlapu, ir norādījusi jurisdikcijas saīsinājumu, var uzskatīt par derīgu neatkarīgi no tā, ka šāds saīsinājums ir izmantots, ja finanšu iestādei, kas sniedz ziņojumus, ir valsts izdota personas identifikācija no jurisdikcijas, uz kuru var pamatoti attiecināt šo saīsinājumu. No otras puses, tāda rezidences jurisdikcijas saīsinājuma izmantošanu, kuru nevar pamatoti attiecināt uz personas pasē norādīto rezidences jurisdikciju, nevar uzskatīt par nebūtisku kļūdu. Rezidences jurisdikcijas nenorādīšana nav uzskatāma par nebūtisku kļūdu.</w:t>
      </w:r>
      <w:r>
        <w:rPr>
          <w:rFonts w:ascii="Times New Roman" w:hAnsi="Times New Roman"/>
          <w:color w:val="231F20"/>
          <w:sz w:val="24"/>
        </w:rPr>
        <w:t xml:space="preserve"> Turklāt par nebūtisku kļūdu nevar uzskatīt to, ka pašapliecinājumā sniegtā informācija ir pretrunā citai pašapliecinājumā vai klienta pamatdatnē sniegtai informācijai.</w:t>
      </w:r>
    </w:p>
    <w:p w14:paraId="0222CCAF" w14:textId="77777777" w:rsidR="00F02FF0" w:rsidRPr="0071782B" w:rsidRDefault="00F02FF0" w:rsidP="0034181A">
      <w:pPr>
        <w:pStyle w:val="Heading8"/>
        <w:keepNext/>
        <w:keepLines/>
        <w:spacing w:before="120"/>
        <w:ind w:left="284"/>
        <w:jc w:val="both"/>
        <w:rPr>
          <w:rFonts w:ascii="Times New Roman" w:hAnsi="Times New Roman" w:cs="Times New Roman"/>
          <w:noProof/>
          <w:color w:val="616161"/>
          <w:sz w:val="24"/>
          <w:szCs w:val="24"/>
        </w:rPr>
      </w:pPr>
      <w:bookmarkStart w:id="91" w:name="Self-certifications_furnished_on_account"/>
      <w:bookmarkEnd w:id="91"/>
      <w:r>
        <w:rPr>
          <w:rFonts w:ascii="Times New Roman" w:hAnsi="Times New Roman"/>
          <w:color w:val="616161"/>
          <w:sz w:val="24"/>
        </w:rPr>
        <w:lastRenderedPageBreak/>
        <w:t>Pašapliecinājumi, kas sniegti par katru kontu</w:t>
      </w:r>
    </w:p>
    <w:p w14:paraId="0C130156" w14:textId="378AB83F" w:rsidR="00F02FF0" w:rsidRPr="0071782B" w:rsidRDefault="00B625B5" w:rsidP="0034181A">
      <w:pPr>
        <w:keepNext/>
        <w:keepLines/>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18. Kopumā finanšu iestādei, kura sniedz ziņojumus un kurā klients var atvērt kontu, ir jāiegūst pašapliecinājums par katru kontu. Tomēr finanšu iestāde, kas sniedz ziņojumus, var izmantot pašapliecinājumu, ko klients iesniedzis attiecībā uz citu kontu, ja abi konti uzskatāmi par vienu finanšu kontu saistībā ar VII panta A punktā izklāstīto zināšanu prasību standartu izpildi.</w:t>
      </w:r>
    </w:p>
    <w:p w14:paraId="01D3BD57" w14:textId="77777777" w:rsidR="00F02FF0" w:rsidRPr="0071782B" w:rsidRDefault="00F02FF0" w:rsidP="0071782B">
      <w:pPr>
        <w:pStyle w:val="Heading8"/>
        <w:spacing w:before="120"/>
        <w:ind w:left="284"/>
        <w:jc w:val="both"/>
        <w:rPr>
          <w:rFonts w:ascii="Times New Roman" w:hAnsi="Times New Roman" w:cs="Times New Roman"/>
          <w:noProof/>
          <w:color w:val="616161"/>
          <w:sz w:val="24"/>
          <w:szCs w:val="24"/>
        </w:rPr>
      </w:pPr>
      <w:r>
        <w:rPr>
          <w:rFonts w:ascii="Times New Roman" w:hAnsi="Times New Roman"/>
          <w:color w:val="616161"/>
          <w:sz w:val="24"/>
        </w:rPr>
        <w:t>Citu personu savākta dokumentācija</w:t>
      </w:r>
    </w:p>
    <w:p w14:paraId="33136841" w14:textId="4378B234" w:rsidR="00F02FF0" w:rsidRPr="0071782B" w:rsidRDefault="00B625B5"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19. Kā noteikts II panta D punktā, iesaistītā jurisdikcija var atļaut finanšu iestādēm, kas sniedz ziņojumus, izmantot pakalpojumu sniedzējus savu ziņošanas un pienācīgas pārbaudes saistību izpildei. Šādos gadījumos finanšu iestāde, kas sniedz ziņojumus, var izmantot pakalpojumu sniedzēju (piemēram, datu nodrošinātāju, finanšu konsultantu, apdrošināšanas aģentu) savākto dokumentāciju (tostarp pašapliecinājumus), ievērojot valsts tiesību aktu nosacījumus. Tomēr finanšu iestāde, kas sniedz ziņojumus, saglabā atbildību par ziņošanas un pienācīgas pārbaudes pienākumu izpildi.</w:t>
      </w:r>
    </w:p>
    <w:p w14:paraId="0A93618E" w14:textId="785C159A" w:rsidR="00F02FF0" w:rsidRPr="0071782B" w:rsidRDefault="00B625B5"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20. Finanšu iestāde, kas sniedz ziņojumus, var paļauties uz tās aģenta (tostarp kopieguldījumu fondu, riska ieguldījumu fondu vai privātā kapitāla grupu konsultantu) savākto dokumentāciju (tostarp pašapliecinājumiem). Aģents var saglabāt dokumentāciju informācijas sistēmā, kas tiek uzturēta vienas vai vairāku finanšu iestāžu, kas sniedz informāciju, vajadzībām, ar nosacījumu, ka šādā sistēmā jebkura finanšu iestāde, kura sniedz ziņojumus un kuras vārdā aģents glabā dokumentāciju, spēj ērti piekļūt datiem par dokumentācijas raksturu, dokumentācijā iekļauto informāciju (tostarp pašas dokumentācijas kopijai) un dokumentācijas derīgumu, un tai jāļauj šādai finanšu iestādei ērti nosūtīt datus – tieši elektroniskajā sistēmā vai sniedzot šādu informāciju aģentam – par jebkuriem faktiem, kas tai kļūst zināmi un var ietekmēt dokumentācijas uzticamību. Finanšu iestādei, kas sniedz ziņojumus, jāspēj noteikt, ciktāl tas nepieciešams, kā un kad tā ir nosūtījusi datus par faktiem, kuri tai ir kļuvuši zināmi un var ietekmēt dokumentācijas uzticamību, un jāspēj pārliecināties par to, ka jebkuri tās nosūtītie dati ir apstrādāti un ka attiecībā uz dokumentācijas derīgumu ir piemērota pienācīga padziļinātā pārbaude. Aģentam jābūt ieviestai sistēmai, kas nodrošina, ka visa informācija, ko tas saņem par faktiem, kuri ietekmē dokumentācijas uzticamību vai klientam piešķirto statusu, tiek sniegta visām finanšu iestādēm, kuras sniedz ziņojumus un kuru vajadzībām aģents glabā šo dokumentāciju.</w:t>
      </w:r>
    </w:p>
    <w:p w14:paraId="53124A32" w14:textId="3A98E1F2" w:rsidR="00F02FF0" w:rsidRPr="0071782B" w:rsidRDefault="00B625B5"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21. Finanšu iestādei, kas sniedz ziņojumus un saņem kontu no priekšgājēja vai tiesību nodevēja kontu apvienošanā vai vairumiepirkumā, parasti ir atļauts izmantot priekšgājēja vai tiesību nodevēja savāktu derīgu dokumentāciju (tostarp derīgus pašapliecinājumus) vai derīgas dokumentācijas kopijas. Turklāt finanšu iestādei, kas sniedz ziņojumus un kontu iegūst apvienošanas vai vairumiepirkuma gadījumā no citas finanšu iestādes, kas sniedz ziņojumus un kas ir izpildījusi visas II–VII pantā noteiktās pienācīgas pārbaudes prasības attiecībā uz nodotajiem kontiem, parasti drīkst paļauties uz priekšgājēja vai tiesību nodevēja noteikto konta turētāja statusu līdz brīdim, kad tai kļūst zināms vai ir pamats zināt, ka šis statuss ir nepareizs vai ir mainījušies apstākļi (skat. komentāru par III pantu 17. punktu).</w:t>
      </w:r>
    </w:p>
    <w:p w14:paraId="65067AFA" w14:textId="77777777" w:rsidR="00F02FF0" w:rsidRPr="0071782B" w:rsidRDefault="00F02FF0" w:rsidP="0071782B">
      <w:pPr>
        <w:pStyle w:val="Heading8"/>
        <w:spacing w:before="120"/>
        <w:ind w:left="284"/>
        <w:jc w:val="both"/>
        <w:rPr>
          <w:rFonts w:ascii="Times New Roman" w:hAnsi="Times New Roman" w:cs="Times New Roman"/>
          <w:noProof/>
          <w:color w:val="616161"/>
          <w:sz w:val="24"/>
          <w:szCs w:val="24"/>
        </w:rPr>
      </w:pPr>
      <w:r>
        <w:rPr>
          <w:rFonts w:ascii="Times New Roman" w:hAnsi="Times New Roman"/>
          <w:color w:val="616161"/>
          <w:sz w:val="24"/>
        </w:rPr>
        <w:t>Pašapliecinājumu pamatotība</w:t>
      </w:r>
    </w:p>
    <w:p w14:paraId="44A8A50F" w14:textId="1EAB4C80" w:rsidR="00F02FF0" w:rsidRPr="0071782B" w:rsidRDefault="00B625B5" w:rsidP="0071782B">
      <w:pPr>
        <w:tabs>
          <w:tab w:val="left" w:pos="941"/>
        </w:tabs>
        <w:spacing w:before="120"/>
        <w:jc w:val="both"/>
        <w:rPr>
          <w:rFonts w:ascii="Times New Roman" w:hAnsi="Times New Roman" w:cs="Times New Roman"/>
          <w:noProof/>
          <w:sz w:val="24"/>
          <w:szCs w:val="24"/>
        </w:rPr>
      </w:pPr>
      <w:r>
        <w:rPr>
          <w:rFonts w:ascii="Times New Roman" w:hAnsi="Times New Roman"/>
          <w:sz w:val="24"/>
        </w:rPr>
        <w:t xml:space="preserve">22. Kā norādīts iepriekš 2. punktā, ja konta atvēršanas laikā finanšu iestāde, kas sniedz ziņojumus, ir ieguvusi pašapliecinājumu, kurš ļauj noteikt konta turētāja rezidenci(-es) nodokļu aprēķina vajadzībām, finanšu iestādei, kas sniedz ziņojumus, ir jāapstiprina šāda pašapliecinājuma pamatotība, pamatojoties uz informāciju, kuru finanšu iestāde, kas sniedz ziņojumus, ieguvusi saistībā ar konta atvēršanu, tostarp jebkuru dokumentāciju, kura savākta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(t. i., “pamatotības” pārbaude).</w:t>
      </w:r>
    </w:p>
    <w:p w14:paraId="53617763" w14:textId="51653689" w:rsidR="00F02FF0" w:rsidRPr="0071782B" w:rsidRDefault="00B625B5" w:rsidP="0034181A">
      <w:pPr>
        <w:keepNext/>
        <w:keepLines/>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lastRenderedPageBreak/>
        <w:t xml:space="preserve">23. Ir uzskatāms, ka finanšu iestāde, kas sniedz ziņojumus, ir apstiprinājusi pašapliecinājuma “pamatotību”, ja konta atvēršanas procedūrās un tādas informācijas pārbaudē, kas iegūta saistībā ar konta atvēršanu (tostarp </w:t>
      </w:r>
      <w:r>
        <w:rPr>
          <w:rFonts w:ascii="Times New Roman" w:hAnsi="Times New Roman"/>
          <w:i/>
          <w:iCs/>
          <w:color w:val="231F20"/>
          <w:sz w:val="24"/>
        </w:rPr>
        <w:t>AML</w:t>
      </w:r>
      <w:r>
        <w:rPr>
          <w:rFonts w:ascii="Times New Roman" w:hAnsi="Times New Roman"/>
          <w:color w:val="231F20"/>
          <w:sz w:val="24"/>
        </w:rPr>
        <w:t>/</w:t>
      </w:r>
      <w:r>
        <w:rPr>
          <w:rFonts w:ascii="Times New Roman" w:hAnsi="Times New Roman"/>
          <w:i/>
          <w:iCs/>
          <w:color w:val="231F20"/>
          <w:sz w:val="24"/>
        </w:rPr>
        <w:t>KYC</w:t>
      </w:r>
      <w:r>
        <w:rPr>
          <w:rFonts w:ascii="Times New Roman" w:hAnsi="Times New Roman"/>
          <w:color w:val="231F20"/>
          <w:sz w:val="24"/>
        </w:rPr>
        <w:t xml:space="preserve"> procedūrās savāktās dokumentācijas pārbaudē), tai nav kļuvis zināms vai nav pamata zināt, ka pašapliecinājums ir nepareizs vai neuzticams (skat. komentāru par VII pantu 2.–3. punktu). Finanšu iestādēm, kas sniedz ziņojumus, nav pienākuma veikt attiecīgo nodokļu tiesību aktu neatkarīgu juridisko analīzi, lai apstiprinātu pašapliecinājuma pamatotību.</w:t>
      </w:r>
    </w:p>
    <w:p w14:paraId="5D2E057A" w14:textId="1FD3182F" w:rsidR="00F02FF0" w:rsidRPr="0071782B" w:rsidRDefault="00B625B5"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24. Turpmākie piemēri parāda, kā piemērot “pamatotības” pārbaudi.</w:t>
      </w:r>
    </w:p>
    <w:p w14:paraId="49950478" w14:textId="77777777" w:rsidR="00F02FF0" w:rsidRPr="0071782B" w:rsidRDefault="00F02FF0" w:rsidP="0071782B">
      <w:pPr>
        <w:pStyle w:val="ListParagraph"/>
        <w:numPr>
          <w:ilvl w:val="1"/>
          <w:numId w:val="42"/>
        </w:numPr>
        <w:tabs>
          <w:tab w:val="left" w:pos="1276"/>
        </w:tabs>
        <w:ind w:left="567" w:hanging="283"/>
        <w:rPr>
          <w:rFonts w:ascii="Times New Roman" w:hAnsi="Times New Roman" w:cs="Times New Roman"/>
          <w:noProof/>
          <w:sz w:val="24"/>
          <w:szCs w:val="24"/>
        </w:rPr>
      </w:pPr>
      <w:r>
        <w:rPr>
          <w:rFonts w:ascii="Times New Roman" w:hAnsi="Times New Roman"/>
          <w:sz w:val="24"/>
        </w:rPr>
        <w:t xml:space="preserve">1. piemērs. Finanšu iestāde, kas sniedz ziņojumus, iegūst pašapliecinājumu no konta turētāja konta atvēršanas laikā. Pašapliecinājumā norādītā rezidences jurisdikcijas adrese nesakrīt ar adresi, kas norādīta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savāktajā dokumentācijā. Pretrunīgas informācijas dēļ pašapliecinājums ir nepareizs vai neuzticams, tāpēc tas nav atzīstams par pamatotu.</w:t>
      </w:r>
    </w:p>
    <w:p w14:paraId="74D93FB0" w14:textId="77777777" w:rsidR="00F02FF0" w:rsidRPr="0071782B" w:rsidRDefault="00F02FF0" w:rsidP="0071782B">
      <w:pPr>
        <w:pStyle w:val="ListParagraph"/>
        <w:numPr>
          <w:ilvl w:val="1"/>
          <w:numId w:val="42"/>
        </w:numPr>
        <w:tabs>
          <w:tab w:val="left" w:pos="1276"/>
        </w:tabs>
        <w:ind w:left="567" w:hanging="283"/>
        <w:rPr>
          <w:rFonts w:ascii="Times New Roman" w:hAnsi="Times New Roman" w:cs="Times New Roman"/>
          <w:noProof/>
          <w:sz w:val="24"/>
          <w:szCs w:val="24"/>
        </w:rPr>
      </w:pPr>
      <w:r>
        <w:rPr>
          <w:rFonts w:ascii="Times New Roman" w:hAnsi="Times New Roman"/>
          <w:sz w:val="24"/>
        </w:rPr>
        <w:t>2. piemērs. Finanšu iestāde, kas sniedz ziņojumus, iegūst pašapliecinājumu no konta turētāja konta atvēršanas laikā. Pašapliecinājumā norādītā dzīvesvietas adrese neatrodas jurisdikcijā, kuru konta turētājs norādījis kā savu rezidences jurisdikciju nodokļu aprēķina vajadzībām. Pretrunīgas informācijas dēļ pašapliecinājums nav atzīstams par pamatotu.</w:t>
      </w:r>
    </w:p>
    <w:p w14:paraId="4D6D49CF" w14:textId="48E317DC" w:rsidR="00F02FF0" w:rsidRPr="0071782B" w:rsidRDefault="00B625B5" w:rsidP="0071782B">
      <w:pPr>
        <w:tabs>
          <w:tab w:val="left" w:pos="941"/>
        </w:tabs>
        <w:spacing w:before="120"/>
        <w:jc w:val="both"/>
        <w:rPr>
          <w:rFonts w:ascii="Times New Roman" w:hAnsi="Times New Roman" w:cs="Times New Roman"/>
          <w:noProof/>
          <w:color w:val="231F20"/>
          <w:sz w:val="24"/>
          <w:szCs w:val="24"/>
        </w:rPr>
      </w:pPr>
      <w:r>
        <w:rPr>
          <w:rFonts w:ascii="Times New Roman" w:hAnsi="Times New Roman"/>
          <w:color w:val="231F20"/>
          <w:sz w:val="24"/>
        </w:rPr>
        <w:t xml:space="preserve">25. Ja pašapliecinājums sākotnēji neatbilstu pamatotības pārbaudes prasībām, finanšu iestādei, kas sniedz ziņojumus, konta atvēršanas procedūrās ir jāiegūst i) derīgs pašapliecinājums vai ii) pamatots paskaidrojums un dokumentācija (atbilstīgi vajadzībai), kas apliecina pašapliecinājuma pamatotību (un jāsaglabā šāda paskaidrojuma un dokumentācijas kopija vai notācija). Šāda “pamatota paskaidrojuma” piemēri ir fiziskas personas paziņojums, ka tā: 1) studē izglītības iestādē attiecīgajā jurisdikcijā un ir saņēmusi atbilstīgu vīzu (ja piemērojams); 2) ir pasniedzējs, māceklis vai praktikants izglītības iestādē attiecīgajā jurisdikcijā vai izglītības vai kultūras apmaiņas programmas dalībnieks un ir saņēmusi atbilstīgu vīzu (ja piemērojams); 3) ir ārzemnieks, kas norīkots darbā diplomātiskajā dienestā, konsulātā vai vēstniecībā attiecīgajā jurisdikcijā, vai 4) ir pierobežas darbinieks vai darbinieks, kura darba pienākumos ietilpst pārvietošanās no vienas jurisdikcijas un otru jurisdikciju ar kravas automobili vai vilcienu. Turpmākajā piemērā atspoguļota šā punkta piemērošana. Finanšu iestāde, kas sniedz ziņojumus, konta atvēršanas procedūrā saņem konta turētāja pašapliecinājumu. Nodokļu aprēķina vajadzībām noteiktā rezidences jurisdikcija, kas norādīta pašapliecinājumā, nesakrīt ar dzīvesvietas adresi, kas norādīta </w:t>
      </w:r>
      <w:r>
        <w:rPr>
          <w:rFonts w:ascii="Times New Roman" w:hAnsi="Times New Roman"/>
          <w:i/>
          <w:iCs/>
          <w:color w:val="231F20"/>
          <w:sz w:val="24"/>
        </w:rPr>
        <w:t>AML</w:t>
      </w:r>
      <w:r>
        <w:rPr>
          <w:rFonts w:ascii="Times New Roman" w:hAnsi="Times New Roman"/>
          <w:color w:val="231F20"/>
          <w:sz w:val="24"/>
        </w:rPr>
        <w:t>/</w:t>
      </w:r>
      <w:r>
        <w:rPr>
          <w:rFonts w:ascii="Times New Roman" w:hAnsi="Times New Roman"/>
          <w:i/>
          <w:iCs/>
          <w:color w:val="231F20"/>
          <w:sz w:val="24"/>
        </w:rPr>
        <w:t>KYC</w:t>
      </w:r>
      <w:r>
        <w:rPr>
          <w:rFonts w:ascii="Times New Roman" w:hAnsi="Times New Roman"/>
          <w:color w:val="231F20"/>
          <w:sz w:val="24"/>
        </w:rPr>
        <w:t xml:space="preserve"> procedūrās savāktajā dokumentācijā. Konta turētāja paskaidro, ka viņa ir diplomāte no konkrētās jurisdikcijas un ka tādēļ viņa ir šīs jurisdikcijas rezidents; viņa uzrāda arī savu diplomātisko pasi. Tā kā finanšu iestāde, kas sniedz ziņojumus, ir ieguvusi pamatotu paskaidrojumu un dokumentāciju, kas apliecina pašapliecinājuma pamatotību, pašapliecinājums atzīstams par pamatotu.</w:t>
      </w:r>
    </w:p>
    <w:p w14:paraId="47114DD5" w14:textId="3A6782A1" w:rsidR="00DB30B8" w:rsidRDefault="00F02FF0" w:rsidP="0071782B">
      <w:pPr>
        <w:spacing w:before="120"/>
        <w:jc w:val="both"/>
        <w:rPr>
          <w:rFonts w:ascii="Times New Roman" w:hAnsi="Times New Roman"/>
          <w:b/>
          <w:i/>
          <w:sz w:val="24"/>
          <w:u w:val="single"/>
        </w:rPr>
      </w:pPr>
      <w:r>
        <w:rPr>
          <w:rFonts w:ascii="Times New Roman" w:hAnsi="Times New Roman"/>
          <w:b/>
          <w:i/>
          <w:sz w:val="24"/>
          <w:u w:val="single"/>
        </w:rPr>
        <w:t>25.bis Līdzīgi, ja fiziska persona, kas ir konta turētājs, norāda pašapliecinājumā, ka nav rezidents nodokļu aprēķina vajadzībām, finanšu iestādei, kas sniedz ziņojumus, ir jāapstiprina pašapliecinājuma pamatotība, pamatojoties uz citiem tās rīcībā esošiem dokumentiem, tostarp dokumentiem, kas ievākti AML/KYC procedūrās. Piemēram, ja pašapliecinājumā norādīts, ka konta turētājs nav rezidents nodokļu aprēķina vajadzībām, bet citos lietas materiālu dokumentos ir sniegta adrese, tas ir iemesls apšaubīt pašapliecinājuma derīgumu. Šādos gadījumos finanšu iestādei, kas sniedz ziņojumus, ir jānodrošina, ka tā saņem pamatotu skaidrojumu un pēc nepieciešamības dokumentus, kas pamato pašapliecinājuma pamatotību. Ja finanšu iestāde, kas sniedz ziņojumus, neiegūst pamatotu skaidrojumu par pašapliecinājuma pamatotību, tā nedrīkst paļauties uz šo pašapliecinājumu un tai no konta turētāja jāiegūst jauns derīgs pašapliecinājums.</w:t>
      </w:r>
      <w:bookmarkStart w:id="92" w:name="Commentary_on_Section_V_concerning_Due_D"/>
      <w:bookmarkStart w:id="93" w:name="_bookmark17"/>
      <w:bookmarkEnd w:id="92"/>
      <w:bookmarkEnd w:id="93"/>
    </w:p>
    <w:p w14:paraId="300B37DA" w14:textId="488C83C3" w:rsidR="00DB30B8" w:rsidRDefault="00DB30B8">
      <w:pPr>
        <w:rPr>
          <w:rFonts w:ascii="Times New Roman" w:hAnsi="Times New Roman"/>
          <w:b/>
          <w:i/>
          <w:sz w:val="24"/>
          <w:u w:val="single"/>
        </w:rPr>
      </w:pPr>
    </w:p>
    <w:p w14:paraId="396A661C" w14:textId="77777777" w:rsidR="00DB30B8" w:rsidRPr="00E262DD" w:rsidRDefault="00DB30B8" w:rsidP="00DB30B8">
      <w:pPr>
        <w:spacing w:before="120"/>
        <w:outlineLvl w:val="1"/>
        <w:rPr>
          <w:rFonts w:ascii="Times New Roman" w:hAnsi="Times New Roman" w:cs="Times New Roman"/>
          <w:b/>
          <w:bCs/>
          <w:noProof/>
          <w:color w:val="4E81BD"/>
          <w:sz w:val="56"/>
          <w:szCs w:val="56"/>
        </w:rPr>
      </w:pPr>
      <w:bookmarkStart w:id="94" w:name="_Toc241827498"/>
      <w:r>
        <w:rPr>
          <w:rFonts w:ascii="Times New Roman" w:hAnsi="Times New Roman"/>
          <w:b/>
          <w:color w:val="4E81BD"/>
          <w:sz w:val="56"/>
        </w:rPr>
        <w:lastRenderedPageBreak/>
        <w:t>Komentāri par V pantu – par iepriekšpastāvējušu vienību kontu pienācīgu pārbaudi</w:t>
      </w:r>
      <w:bookmarkEnd w:id="94"/>
    </w:p>
    <w:p w14:paraId="41DC17B0" w14:textId="77777777" w:rsidR="00DB30B8" w:rsidRPr="00C0366A" w:rsidRDefault="00DB30B8" w:rsidP="00DB30B8">
      <w:pPr>
        <w:spacing w:before="120"/>
        <w:rPr>
          <w:rFonts w:ascii="Times New Roman" w:hAnsi="Times New Roman" w:cs="Times New Roman"/>
          <w:b/>
          <w:noProof/>
        </w:rPr>
      </w:pPr>
    </w:p>
    <w:p w14:paraId="33859AC6"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1. Šajā pantā izklāstītas pienācīgas pārbaudes procedūras, ko piemēro iepriekšpastāvējušiem vienību kontiem.</w:t>
      </w:r>
    </w:p>
    <w:p w14:paraId="278F5D9F" w14:textId="77777777" w:rsidR="00DB30B8" w:rsidRPr="00F7687B" w:rsidRDefault="00DB30B8" w:rsidP="00DB30B8">
      <w:pPr>
        <w:spacing w:before="120"/>
        <w:ind w:left="567" w:hanging="283"/>
        <w:outlineLvl w:val="6"/>
        <w:rPr>
          <w:rFonts w:ascii="Times New Roman" w:hAnsi="Times New Roman" w:cs="Times New Roman"/>
          <w:b/>
          <w:bCs/>
          <w:i/>
          <w:iCs/>
          <w:noProof/>
          <w:sz w:val="24"/>
          <w:szCs w:val="24"/>
        </w:rPr>
      </w:pPr>
      <w:bookmarkStart w:id="95" w:name="Paragraph_A_–_Accounts_not_required_to_b"/>
      <w:bookmarkEnd w:id="95"/>
      <w:r w:rsidRPr="00F7687B">
        <w:rPr>
          <w:rFonts w:ascii="Times New Roman" w:hAnsi="Times New Roman"/>
          <w:b/>
          <w:i/>
          <w:sz w:val="24"/>
          <w:szCs w:val="24"/>
        </w:rPr>
        <w:t>A punkts. Konti, kuri nav jāpārbauda, jāidentificē vai par kuriem nav jāsniedz ziņojumi</w:t>
      </w:r>
    </w:p>
    <w:p w14:paraId="42075F60"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2. A punktā noteikts, ka no pārbaudes ir atbrīvoti visi iepriekšpastāvējuši konti, kuru bilance vai vērtība [xxxx]. gada 31. decembrī nepārsniedz 250 000 USD, līdz brīdim, kad šī bilance vai vērtība jebkura nākamā kalendārā gada pēdējā dienā pārsniedz 250 000 USD. Šī robežvērtība ir noteikta, lai samazinātu atbilstības nodrošināšanas slogu finanšu iestādēm, atzīstot, ka pienācīgas pārbaudes procedūras vienību turētiem kontiem ir sarežģītākas par procedūrām, ko piemēro fizisku personu turētiem kontiem.</w:t>
      </w:r>
    </w:p>
    <w:p w14:paraId="2FE2ABB6"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 xml:space="preserve">3. </w:t>
      </w:r>
      <w:r w:rsidRPr="00F7687B">
        <w:rPr>
          <w:rFonts w:ascii="Times New Roman" w:hAnsi="Times New Roman"/>
          <w:sz w:val="24"/>
          <w:szCs w:val="24"/>
        </w:rPr>
        <w:t>Tomēr A punkta piemērošana ir atkarīga no tā, vai i) īstenojošā jursidikcija ļauj finanšu iestādēm, kas sniedz ziņojumus, piemērot šādu izņēmumu un vai ii) finanšu iestāde, kas sniedz ziņojumus, izvēlas piemērot šādu izņēmumu attiecībā uz visiem iepriekšpastāvējušiem vienību kontiem vai arī attiecībā uz skaidri noteiktu šādu kontu grupu.</w:t>
      </w:r>
      <w:r w:rsidRPr="00F7687B">
        <w:rPr>
          <w:rFonts w:ascii="Times New Roman" w:hAnsi="Times New Roman"/>
          <w:color w:val="231F20"/>
          <w:sz w:val="24"/>
          <w:szCs w:val="24"/>
        </w:rPr>
        <w:t xml:space="preserve"> Līdz ar to gadījumā, ja jursidikcijas īstenošanas noteikumos šādas izvēles iespējas nav paredzētas vai finanšu iestāde, kas sniedz ziņojumus, neveic šādu izvēli, visi iepriekšpastāvējušie vienību konti ir jāpārbauda saskaņā ar D punktā noteiktajām procedūrām.</w:t>
      </w:r>
    </w:p>
    <w:p w14:paraId="25E223AF"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4. Lai arī A un B punktos noteikto gadu izvēle ir tās jursidikcijas ziņā, kura īsteno Kopējo ziņošanas standartu, ir paredzams, ka šim nolūkam tiks izvēlēts tas pats gads, kurš izvēlēts attiecībā uz terminu “iepriekšpastāvējis konts”.</w:t>
      </w:r>
    </w:p>
    <w:p w14:paraId="6F7FBDBF" w14:textId="77777777" w:rsidR="00DB30B8" w:rsidRPr="00F7687B" w:rsidRDefault="00DB30B8" w:rsidP="00DB30B8">
      <w:pPr>
        <w:spacing w:before="120"/>
        <w:ind w:left="567" w:hanging="283"/>
        <w:outlineLvl w:val="6"/>
        <w:rPr>
          <w:rFonts w:ascii="Times New Roman" w:hAnsi="Times New Roman" w:cs="Times New Roman"/>
          <w:b/>
          <w:bCs/>
          <w:i/>
          <w:iCs/>
          <w:noProof/>
          <w:sz w:val="24"/>
          <w:szCs w:val="24"/>
        </w:rPr>
      </w:pPr>
      <w:bookmarkStart w:id="96" w:name="Paragraphs_B_and_C_–_Accounts_subject_to"/>
      <w:bookmarkEnd w:id="96"/>
      <w:r w:rsidRPr="00F7687B">
        <w:rPr>
          <w:rFonts w:ascii="Times New Roman" w:hAnsi="Times New Roman"/>
          <w:b/>
          <w:i/>
          <w:sz w:val="24"/>
          <w:szCs w:val="24"/>
        </w:rPr>
        <w:t>B un C punkts. Konti, kuri ir jāpārbauda un par kuriem ir jāsniedz ziņojums</w:t>
      </w:r>
    </w:p>
    <w:p w14:paraId="129F4C0A"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5. Saskaņā ar B punktu katrs iepriekšpastāvējis konts, kas nav minēts A punktā (t. i., konts, kura bilance vai vērtība jebkura kalendārā gada 31. decembrī pārsniedz 250 000 USD), ir jāpārbauda saskaņā ar D punktā noteiktajām procedūrām. Līdz ar to iepriekšpastāvējis konts ir jāpārbauda, ja:</w:t>
      </w:r>
    </w:p>
    <w:p w14:paraId="0434D4A8"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a) konta bilance vai vērtība [xxxx]. gada 31. decembrī pārsniedz 250 000 USD vai</w:t>
      </w:r>
    </w:p>
    <w:p w14:paraId="79CEED45" w14:textId="77777777" w:rsidR="00DB30B8" w:rsidRPr="00F7687B"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b) konta bilance vai vērtība 250 000 USD pārsniedz nevis [xxxx]. gada 31. decembrī, bet gan kāda nākamā kalendārā gada pēdējā dienā.</w:t>
      </w:r>
    </w:p>
    <w:p w14:paraId="127171C5" w14:textId="77777777" w:rsidR="00DB30B8" w:rsidRPr="00F7687B" w:rsidRDefault="00DB30B8" w:rsidP="00DB30B8">
      <w:pPr>
        <w:tabs>
          <w:tab w:val="left" w:pos="943"/>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6. Tomēr A punktā neminēts iepriekšpastāvējis vienības konts atbilstīgi C punktam ir uzskatāms par kontu, par kuru jāsniedz ziņojums, ja to tur viena vai vairākas vienības, kas ir:</w:t>
      </w:r>
    </w:p>
    <w:p w14:paraId="2526563B"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a) personas, par kurām jāsniedz ziņojums, vai</w:t>
      </w:r>
    </w:p>
    <w:p w14:paraId="4AC6C9BC"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b) pasīvas nefinanšu vienības ar vienu vai vairākām kontrolējošajām personām, kas ir personas, par kurām jāsniedz ziņojums.</w:t>
      </w:r>
    </w:p>
    <w:p w14:paraId="473602E5"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7. Tas, ka pasīvā nefinanšu vienība nav persona, par kuru jāsniedz ziņojums, vai ka kāda no pasīvās nefinanšu vienības kontrolējošām personām ir rezidents tajā pašā jursidikcijā, kurā rezidenta statuss ir arī pasīvajai nefinanšu vienībai, nav pietiekams iemesls, lai iepriekšpastāvējušu kontu, kuru tur pasīva nefinanšu vienība ar vienu vai vairākām kontrolējošām personām, kas ir personas, par kurām jāsniedz ziņojums, nevarētu uzskatīt par kontu, par kuru jāsniedz ziņojums, atbilstīgi C punktam.</w:t>
      </w:r>
    </w:p>
    <w:p w14:paraId="4157A262" w14:textId="77777777" w:rsidR="00DB30B8" w:rsidRPr="00F7687B" w:rsidRDefault="00DB30B8" w:rsidP="00DB30B8">
      <w:pPr>
        <w:spacing w:before="120"/>
        <w:ind w:left="567" w:hanging="283"/>
        <w:outlineLvl w:val="6"/>
        <w:rPr>
          <w:rFonts w:ascii="Times New Roman" w:hAnsi="Times New Roman" w:cs="Times New Roman"/>
          <w:b/>
          <w:bCs/>
          <w:i/>
          <w:iCs/>
          <w:noProof/>
          <w:sz w:val="24"/>
          <w:szCs w:val="24"/>
        </w:rPr>
      </w:pPr>
      <w:bookmarkStart w:id="97" w:name="Paragraph_D_–_Review_procedures"/>
      <w:bookmarkEnd w:id="97"/>
      <w:r w:rsidRPr="00F7687B">
        <w:rPr>
          <w:rFonts w:ascii="Times New Roman" w:hAnsi="Times New Roman"/>
          <w:b/>
          <w:i/>
          <w:sz w:val="24"/>
          <w:szCs w:val="24"/>
        </w:rPr>
        <w:lastRenderedPageBreak/>
        <w:t>D punkts. Pārbaudes procedūras</w:t>
      </w:r>
    </w:p>
    <w:p w14:paraId="59FD550E" w14:textId="77777777" w:rsidR="00DB30B8" w:rsidRPr="00F7687B" w:rsidRDefault="00DB30B8" w:rsidP="00DB30B8">
      <w:pPr>
        <w:tabs>
          <w:tab w:val="left" w:pos="943"/>
        </w:tabs>
        <w:spacing w:before="120"/>
        <w:rPr>
          <w:rFonts w:ascii="Times New Roman" w:hAnsi="Times New Roman" w:cs="Times New Roman"/>
          <w:noProof/>
          <w:color w:val="231F20"/>
          <w:sz w:val="24"/>
          <w:szCs w:val="24"/>
        </w:rPr>
      </w:pPr>
      <w:r w:rsidRPr="00F7687B">
        <w:rPr>
          <w:rFonts w:ascii="Times New Roman" w:hAnsi="Times New Roman"/>
          <w:color w:val="231F20"/>
          <w:sz w:val="24"/>
          <w:szCs w:val="24"/>
        </w:rPr>
        <w:t>8. D punktā noteiktas pārbaudes procedūras, ko piemēro, lai noteiktu, kuri no iepriekšpastāvējušiem vienību kontiem ir konti, par kuriem jāsniedz ziņojums. Šādās procedūrās finanšu iestādēm, kas sniedz ziņojumus, ir jānosaka:</w:t>
      </w:r>
    </w:p>
    <w:p w14:paraId="66B4D08D" w14:textId="77777777" w:rsidR="00DB30B8" w:rsidRPr="00F7687B" w:rsidRDefault="00DB30B8" w:rsidP="00DB30B8">
      <w:pPr>
        <w:tabs>
          <w:tab w:val="left" w:pos="941"/>
          <w:tab w:val="left" w:pos="943"/>
        </w:tabs>
        <w:spacing w:before="120"/>
        <w:ind w:left="567" w:hanging="283"/>
        <w:rPr>
          <w:rFonts w:ascii="Times New Roman" w:hAnsi="Times New Roman" w:cs="Times New Roman"/>
          <w:noProof/>
          <w:color w:val="231F20"/>
          <w:sz w:val="24"/>
          <w:szCs w:val="24"/>
        </w:rPr>
      </w:pPr>
      <w:r w:rsidRPr="00F7687B">
        <w:rPr>
          <w:rFonts w:ascii="Times New Roman" w:hAnsi="Times New Roman"/>
          <w:color w:val="231F20"/>
          <w:sz w:val="24"/>
          <w:szCs w:val="24"/>
        </w:rPr>
        <w:t>a) vai iepriekšpastāvējušu kontu tur viena vai vairākas vienības, kas ir personas, par kurām jāsniedz ziņojums, un</w:t>
      </w:r>
    </w:p>
    <w:p w14:paraId="41B1A297" w14:textId="77777777" w:rsidR="00DB30B8" w:rsidRPr="00F7687B" w:rsidRDefault="00DB30B8" w:rsidP="00DB30B8">
      <w:pPr>
        <w:tabs>
          <w:tab w:val="left" w:pos="941"/>
          <w:tab w:val="left" w:pos="943"/>
        </w:tabs>
        <w:spacing w:before="120"/>
        <w:ind w:left="567" w:hanging="283"/>
        <w:rPr>
          <w:rFonts w:ascii="Times New Roman" w:hAnsi="Times New Roman" w:cs="Times New Roman"/>
          <w:noProof/>
          <w:color w:val="231F20"/>
          <w:sz w:val="24"/>
          <w:szCs w:val="24"/>
        </w:rPr>
      </w:pPr>
      <w:r w:rsidRPr="00F7687B">
        <w:rPr>
          <w:rFonts w:ascii="Times New Roman" w:hAnsi="Times New Roman"/>
          <w:color w:val="231F20"/>
          <w:sz w:val="24"/>
          <w:szCs w:val="24"/>
        </w:rPr>
        <w:t>b) vai iepriekšpastāvējušu kontu tur viena vai vairākas vienības, kuras ir pasīvas nefinanšu vienības ar vienu vai vairākām kontrolējošajām personām, kas ir personas, par kurām jāsniedz ziņojums.</w:t>
      </w:r>
    </w:p>
    <w:p w14:paraId="56B74DE0" w14:textId="77777777" w:rsidR="00DB30B8" w:rsidRPr="00F7687B" w:rsidRDefault="00DB30B8" w:rsidP="00DB30B8">
      <w:pPr>
        <w:spacing w:before="120"/>
        <w:ind w:left="709" w:hanging="283"/>
        <w:outlineLvl w:val="7"/>
        <w:rPr>
          <w:rFonts w:ascii="Times New Roman" w:hAnsi="Times New Roman" w:cs="Times New Roman"/>
          <w:i/>
          <w:iCs/>
          <w:noProof/>
          <w:color w:val="616161"/>
          <w:sz w:val="24"/>
          <w:szCs w:val="24"/>
        </w:rPr>
      </w:pPr>
      <w:bookmarkStart w:id="98" w:name="Subparagraph_D(1)_–_Review_procedure_for"/>
      <w:bookmarkEnd w:id="98"/>
      <w:r w:rsidRPr="00F7687B">
        <w:rPr>
          <w:rFonts w:ascii="Times New Roman" w:hAnsi="Times New Roman"/>
          <w:i/>
          <w:color w:val="616161"/>
          <w:sz w:val="24"/>
          <w:szCs w:val="24"/>
        </w:rPr>
        <w:t>D punkta 1. apakšpunkts. Konta turētāju pārbaudes procedūra</w:t>
      </w:r>
    </w:p>
    <w:p w14:paraId="51336E1B"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9. D punkta 1. apakšpunktā noteikta pārbaudes procedūra, ko piemēro, lai noteiktu, vai iepriekšpastāvējušu vienības kontu tur viena vai vairākas vienības, kas ir personas, par kurām jāsniedz ziņojums. Ja kāda no vienībām ir persona, par kuru jāsniedz ziņojums, tad jāuzskata, ka konts ir konts, par kuru jāsniedz ziņojums.</w:t>
      </w:r>
    </w:p>
    <w:p w14:paraId="3D13D295"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 xml:space="preserve">10. Finanšu iestādei, kas sniedz ziņojumus, ir jāpārbauda informācija, kas tiek glabāta regulatīvām vai ar klientu apkalpošanu saistītām vajadzībām (tostarp informācija, kas savākta </w:t>
      </w:r>
      <w:r w:rsidRPr="00F7687B">
        <w:rPr>
          <w:rFonts w:ascii="Times New Roman" w:hAnsi="Times New Roman"/>
          <w:i/>
          <w:iCs/>
          <w:color w:val="231F20"/>
          <w:sz w:val="24"/>
          <w:szCs w:val="24"/>
        </w:rPr>
        <w:t>AML</w:t>
      </w:r>
      <w:r w:rsidRPr="00F7687B">
        <w:rPr>
          <w:rFonts w:ascii="Times New Roman" w:hAnsi="Times New Roman"/>
          <w:color w:val="231F20"/>
          <w:sz w:val="24"/>
          <w:szCs w:val="24"/>
        </w:rPr>
        <w:t>/</w:t>
      </w:r>
      <w:r w:rsidRPr="00F7687B">
        <w:rPr>
          <w:rFonts w:ascii="Times New Roman" w:hAnsi="Times New Roman"/>
          <w:i/>
          <w:iCs/>
          <w:color w:val="231F20"/>
          <w:sz w:val="24"/>
          <w:szCs w:val="24"/>
        </w:rPr>
        <w:t>KYC</w:t>
      </w:r>
      <w:r w:rsidRPr="00F7687B">
        <w:rPr>
          <w:rFonts w:ascii="Times New Roman" w:hAnsi="Times New Roman"/>
          <w:color w:val="231F20"/>
          <w:sz w:val="24"/>
          <w:szCs w:val="24"/>
        </w:rPr>
        <w:t xml:space="preserve"> procedūrās), lai noteiktu, vai informācija liecina, ka konta turētājs ir rezidents jursidikcijā, par kuru jāsniedz ziņojums. Šajā saistībā par to, ka konta turētājs ir jursidikcijas, par kuru jāsniedz ziņojums, rezidents, liecina šāda informācija:</w:t>
      </w:r>
    </w:p>
    <w:p w14:paraId="3C8270A0" w14:textId="77777777" w:rsidR="00DB30B8" w:rsidRPr="00F7687B" w:rsidRDefault="00DB30B8" w:rsidP="00DB30B8">
      <w:pPr>
        <w:numPr>
          <w:ilvl w:val="0"/>
          <w:numId w:val="39"/>
        </w:numPr>
        <w:tabs>
          <w:tab w:val="left" w:pos="1284"/>
        </w:tabs>
        <w:spacing w:before="120"/>
        <w:ind w:left="851" w:hanging="283"/>
        <w:jc w:val="both"/>
        <w:rPr>
          <w:rFonts w:ascii="Times New Roman" w:hAnsi="Times New Roman" w:cs="Times New Roman"/>
          <w:noProof/>
          <w:sz w:val="24"/>
          <w:szCs w:val="24"/>
        </w:rPr>
      </w:pPr>
      <w:r w:rsidRPr="00F7687B">
        <w:rPr>
          <w:rFonts w:ascii="Times New Roman" w:hAnsi="Times New Roman"/>
          <w:sz w:val="24"/>
          <w:szCs w:val="24"/>
        </w:rPr>
        <w:t>reģistrācijas vai dibināšanas vieta jursidikcijā, par kuru jāsniedz ziņojums;</w:t>
      </w:r>
    </w:p>
    <w:p w14:paraId="73278370" w14:textId="77777777" w:rsidR="00DB30B8" w:rsidRPr="00F7687B" w:rsidRDefault="00DB30B8" w:rsidP="00DB30B8">
      <w:pPr>
        <w:numPr>
          <w:ilvl w:val="0"/>
          <w:numId w:val="39"/>
        </w:numPr>
        <w:tabs>
          <w:tab w:val="left" w:pos="1284"/>
        </w:tabs>
        <w:spacing w:before="120"/>
        <w:ind w:left="851" w:hanging="283"/>
        <w:jc w:val="both"/>
        <w:rPr>
          <w:rFonts w:ascii="Times New Roman" w:hAnsi="Times New Roman" w:cs="Times New Roman"/>
          <w:noProof/>
          <w:sz w:val="24"/>
          <w:szCs w:val="24"/>
        </w:rPr>
      </w:pPr>
      <w:r w:rsidRPr="00F7687B">
        <w:rPr>
          <w:rFonts w:ascii="Times New Roman" w:hAnsi="Times New Roman"/>
          <w:sz w:val="24"/>
          <w:szCs w:val="24"/>
        </w:rPr>
        <w:t>adrese jursidikcijā, par kuru jāsniedz ziņojums (piemēram, tas varētu attiekties uz vienībām, kuras būtu uzskatāmas par fiskāli pārredzamām, un šāda adrese varētu būt juridiskā adrese, galvenā biroja adrese vai faktiskā vadības adrese), vai</w:t>
      </w:r>
    </w:p>
    <w:p w14:paraId="4DEA4D4F" w14:textId="77777777" w:rsidR="00DB30B8" w:rsidRPr="00F7687B" w:rsidRDefault="00DB30B8" w:rsidP="00DB30B8">
      <w:pPr>
        <w:numPr>
          <w:ilvl w:val="0"/>
          <w:numId w:val="39"/>
        </w:numPr>
        <w:tabs>
          <w:tab w:val="left" w:pos="1284"/>
        </w:tabs>
        <w:spacing w:before="120"/>
        <w:ind w:left="851" w:hanging="283"/>
        <w:jc w:val="both"/>
        <w:rPr>
          <w:rFonts w:ascii="Times New Roman" w:hAnsi="Times New Roman" w:cs="Times New Roman"/>
          <w:noProof/>
          <w:sz w:val="24"/>
          <w:szCs w:val="24"/>
        </w:rPr>
      </w:pPr>
      <w:r w:rsidRPr="00F7687B">
        <w:rPr>
          <w:rFonts w:ascii="Times New Roman" w:hAnsi="Times New Roman"/>
          <w:sz w:val="24"/>
          <w:szCs w:val="24"/>
        </w:rPr>
        <w:t>vienas vai vairāku trasta pilnvaroto personu adrese jursidikcijā, par kuru jāsniedz ziņojums.</w:t>
      </w:r>
    </w:p>
    <w:p w14:paraId="30A49FA6" w14:textId="77777777" w:rsidR="00DB30B8" w:rsidRPr="00F7687B" w:rsidRDefault="00DB30B8" w:rsidP="00DB30B8">
      <w:pPr>
        <w:tabs>
          <w:tab w:val="left" w:pos="1284"/>
        </w:tabs>
        <w:spacing w:before="120"/>
        <w:ind w:firstLine="284"/>
        <w:jc w:val="both"/>
        <w:rPr>
          <w:rFonts w:ascii="Times New Roman" w:hAnsi="Times New Roman" w:cs="Times New Roman"/>
          <w:noProof/>
          <w:sz w:val="24"/>
          <w:szCs w:val="24"/>
        </w:rPr>
      </w:pPr>
      <w:r w:rsidRPr="00F7687B">
        <w:rPr>
          <w:rFonts w:ascii="Times New Roman" w:hAnsi="Times New Roman"/>
          <w:sz w:val="24"/>
          <w:szCs w:val="24"/>
        </w:rPr>
        <w:t>Tomēr tas, ka jursidikcijā, par kuru jāsniedz ziņojums, atrodas pastāvīgs uzņēmums (tostarp filiāle), pats par sevi neliecina par rezidenta statusu šajā saistībā.</w:t>
      </w:r>
    </w:p>
    <w:p w14:paraId="368D75E0"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11. Ja informācija liecina, ka konta turētājs ir rezidents jursidikcijā, par kuru jāsniedz ziņojums, tad atbilstīgi tam, kā noteikts D punkta 1. apakšpunkta b) daļā, finanšu iestādei, kas sniedz ziņojumus, ir jāuzskata, ka konts ir konts, par kuru jāsniedz ziņojums, ja vien tā nesaņem pašapliecinājumu no konta turētāja vai, pamatojoties uz tās rīcībā esošo vai publiski pieejamu informāciju, nekonstatē, ka konta turētājs nav persona, par kuru jāsniedz ziņojums, attiecībā uz šādu jursidikciju, par kuru jāsniedz ziņojums.</w:t>
      </w:r>
    </w:p>
    <w:p w14:paraId="6BEFF2A8"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 xml:space="preserve">12. “Publiski pieejama” informācija ir informācija, ko publicējusi pilnvarota jurisdikcijas pārvaldes struktūra (piemēram, valdība vai valsts iestāde, vai pašvaldība), piemēram, informācija nodokļu administrācijas publicētā sarakstā, kurā norādīti finanšu iestāžu nosaukumi un identifikācijas numuri (piemēram, </w:t>
      </w:r>
      <w:r w:rsidRPr="00F7687B">
        <w:rPr>
          <w:rFonts w:ascii="Times New Roman" w:hAnsi="Times New Roman"/>
          <w:i/>
          <w:iCs/>
          <w:sz w:val="24"/>
          <w:szCs w:val="24"/>
        </w:rPr>
        <w:t>IRS</w:t>
      </w:r>
      <w:r w:rsidRPr="00F7687B">
        <w:rPr>
          <w:rFonts w:ascii="Times New Roman" w:hAnsi="Times New Roman"/>
          <w:sz w:val="24"/>
          <w:szCs w:val="24"/>
        </w:rPr>
        <w:t xml:space="preserve"> ārvalstu finanšu iestāžu (ĀFI) saraksts); informācija publiski pieejamā reģistrā, ko uztur vai ir autorizējusi pilnvarota jurisdikcijas pārvaldes struktūra; informācija, kas ir atklāta vispāratzītā vērtspapīru tirgū (skat. komentāru par VIII pantu 112. punktu), un publiski pieejama klasifikācija attiecībā uz konta turētāju, kas noteikta, pamatojoties uz standartizētu nozares kodēšanas sistēmu, un ko piešķīrusi nozares organizācija vai tirdzniecības kamera atbilstīgi ierastajai uzņēmējdarbības praksei (skat. komentāru par VIII pantu 154. punktu). Šajā saistībā finanšu iestādei, kas sniedz ziņojumus, ir jāsaglabā notācija par pārbaudītās informācijas veidu un datums, kad veikta informācijas pārbaude.</w:t>
      </w:r>
    </w:p>
    <w:p w14:paraId="6F3D0087" w14:textId="77777777" w:rsidR="00DB30B8" w:rsidRPr="00F7687B" w:rsidRDefault="00DB30B8" w:rsidP="001B0491">
      <w:pPr>
        <w:keepNext/>
        <w:keepLines/>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lastRenderedPageBreak/>
        <w:t>13. Nosakot, vai iepriekšpastāvējušu kontu tur viena vai vairākas vienības, kas ir personas, par kurām jāsniedz ziņojums, finanšu iestāde, kas sniedz ziņojumus, var rīkoties atbilstīgi tam, kā norādīts D punkta 1. apakšpunkta a) un b) daļā, apstākļiem vispiemērotākajā kārtībā. Tas ļautu finanšu iestādei, kas sniedz ziņojumus, piemēram, saskaņā ar D punkta 1. apakšpunkta b) daļu noteikt, ka iepriekšpastāvējuša vienības konta turētājs ir vienība, kas nav persona, par kuru jāsniedz ziņojums (piemēram, publiska akciju sabiedrība), un līdz ar to konts nav konts, par kuru jāsniedz ziņojums.</w:t>
      </w:r>
    </w:p>
    <w:p w14:paraId="124A31A8"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sz w:val="24"/>
          <w:szCs w:val="24"/>
        </w:rPr>
        <w:t>14. Kā norādīts komentāru par IV pantu 7. punktā, “pašapliecinājums” ir konta turētāja apliecinājums, kurā norādīts konta turētāja statuss un cita informācija, kuru finanšu iestāde, kas sniedz ziņojumus, var pamatoti pieprasīt, lai izpildītu savas ziņošanas un pienācīgas pārbaudes saistības, piemēram, tas, vai konta turētājs nodokļu aprēķina vajadzībām ir rezidents jursidikcijā, par kuru jāsniedz ziņojums, un vai konta turētājs ir pasīva nefinanšu vienība. Iepriekšpastāvējušu kontu gadījumā pašapliecinājums ir derīgs vienīgi tad, ja to ir parakstījusi (vai citādi nepārprotami apstiprinājusi) persona, kura ir pilnvarota parakstīties konta turētāja vārdā, tas ir datēts ar datumu, kas nav vēlāks par tā saņemšanas dienu, un tajā norādīta šāda konta turētāja informācija:</w:t>
      </w:r>
    </w:p>
    <w:p w14:paraId="435FC230"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a) vārds, uzvārds;</w:t>
      </w:r>
    </w:p>
    <w:p w14:paraId="4BA98234"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b) adrese;</w:t>
      </w:r>
    </w:p>
    <w:p w14:paraId="40F4EBC4"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c) rezidences jursidikcija(-as) nodokļu aprēķina vajadzībām un</w:t>
      </w:r>
    </w:p>
    <w:p w14:paraId="0F05A71B"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 xml:space="preserve">d) </w:t>
      </w:r>
      <w:r w:rsidRPr="00F7687B">
        <w:rPr>
          <w:rFonts w:ascii="Times New Roman" w:hAnsi="Times New Roman"/>
          <w:i/>
          <w:iCs/>
          <w:color w:val="231F20"/>
          <w:sz w:val="24"/>
          <w:szCs w:val="24"/>
        </w:rPr>
        <w:t>TIN</w:t>
      </w:r>
      <w:r w:rsidRPr="00F7687B">
        <w:rPr>
          <w:rFonts w:ascii="Times New Roman" w:hAnsi="Times New Roman"/>
          <w:color w:val="231F20"/>
          <w:sz w:val="24"/>
          <w:szCs w:val="24"/>
        </w:rPr>
        <w:t xml:space="preserve"> attiecībā uz katru jursidikciju, par kuru jāsniedz ziņojums.</w:t>
      </w:r>
    </w:p>
    <w:p w14:paraId="66E875AC" w14:textId="77777777" w:rsidR="00DB30B8" w:rsidRPr="00F7687B" w:rsidRDefault="00DB30B8" w:rsidP="00DB30B8">
      <w:pPr>
        <w:spacing w:before="120"/>
        <w:ind w:firstLine="284"/>
        <w:jc w:val="both"/>
        <w:rPr>
          <w:rFonts w:ascii="Times New Roman" w:hAnsi="Times New Roman" w:cs="Times New Roman"/>
          <w:noProof/>
          <w:sz w:val="24"/>
          <w:szCs w:val="24"/>
        </w:rPr>
      </w:pPr>
      <w:r w:rsidRPr="00F7687B">
        <w:rPr>
          <w:rFonts w:ascii="Times New Roman" w:hAnsi="Times New Roman"/>
          <w:sz w:val="24"/>
          <w:szCs w:val="24"/>
        </w:rPr>
        <w:t>Pašapliecinājumu var būt iepriekš aizpildījusi finanšu iestāde, kas sniedz ziņojumus, norādot tajā konta turētāja informāciju no saviem reģistrētajiem datiem, izņemot rezidences jurisdikciju(-as) nodokļu aprēķina vajadzībām.</w:t>
      </w:r>
    </w:p>
    <w:p w14:paraId="7EF73088"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15. Tiesības parakstīt pašapliecinājumu parasti ir tādām personām kā sabiedrības amatpersona vai direktors, personālsabiedrības partneris vai trasta pilnvarotā persona, vai jebkurai līdzvērtīgai personai, kā arī jebkurai citai personai, kuru konta turētājs pilnvarojis parakstīt dokumentāciju tā vārdā.</w:t>
      </w:r>
    </w:p>
    <w:p w14:paraId="6C0DC492"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16. Pašapliecinājumā attiecībā uz iepriekšpastāvējušiem vienību kontiem var būt norādīts arī konta turētāja statuss. Šādā gadījumā iespējams šāds konta turētāja statuss:</w:t>
      </w:r>
    </w:p>
    <w:p w14:paraId="673AF5EB"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a) finanšu iestāde:</w:t>
      </w:r>
    </w:p>
    <w:p w14:paraId="5BF93354" w14:textId="77777777" w:rsidR="00DB30B8" w:rsidRPr="00F7687B" w:rsidRDefault="00DB30B8" w:rsidP="00DB30B8">
      <w:pPr>
        <w:tabs>
          <w:tab w:val="left" w:pos="1301"/>
        </w:tabs>
        <w:spacing w:before="120"/>
        <w:ind w:left="851" w:hanging="283"/>
        <w:rPr>
          <w:rFonts w:ascii="Times New Roman" w:hAnsi="Times New Roman" w:cs="Times New Roman"/>
          <w:noProof/>
          <w:sz w:val="24"/>
          <w:szCs w:val="24"/>
        </w:rPr>
      </w:pPr>
      <w:r w:rsidRPr="00F7687B">
        <w:rPr>
          <w:rFonts w:ascii="Times New Roman" w:hAnsi="Times New Roman"/>
          <w:sz w:val="24"/>
          <w:szCs w:val="24"/>
        </w:rPr>
        <w:t>1) ieguldījumu vienība, kas minēta VIII panta A punkta 6. apakšpunkta b) daļā;</w:t>
      </w:r>
    </w:p>
    <w:p w14:paraId="0232FA22" w14:textId="77777777" w:rsidR="00DB30B8" w:rsidRPr="00F7687B" w:rsidRDefault="00DB30B8" w:rsidP="00DB30B8">
      <w:pPr>
        <w:tabs>
          <w:tab w:val="left" w:pos="1301"/>
        </w:tabs>
        <w:spacing w:before="120"/>
        <w:ind w:left="851" w:hanging="283"/>
        <w:rPr>
          <w:rFonts w:ascii="Times New Roman" w:hAnsi="Times New Roman" w:cs="Times New Roman"/>
          <w:noProof/>
          <w:sz w:val="24"/>
          <w:szCs w:val="24"/>
        </w:rPr>
      </w:pPr>
      <w:r w:rsidRPr="00F7687B">
        <w:rPr>
          <w:rFonts w:ascii="Times New Roman" w:hAnsi="Times New Roman"/>
          <w:sz w:val="24"/>
          <w:szCs w:val="24"/>
        </w:rPr>
        <w:t>2) finanšu iestāde (cita):</w:t>
      </w:r>
    </w:p>
    <w:p w14:paraId="78B28AF1"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b) nefinanšu vienība;</w:t>
      </w:r>
    </w:p>
    <w:p w14:paraId="74894047" w14:textId="77777777" w:rsidR="00DB30B8" w:rsidRPr="00F7687B" w:rsidRDefault="00DB30B8" w:rsidP="00DB30B8">
      <w:pPr>
        <w:tabs>
          <w:tab w:val="left" w:pos="1301"/>
        </w:tabs>
        <w:spacing w:before="120"/>
        <w:ind w:left="851" w:hanging="283"/>
        <w:rPr>
          <w:rFonts w:ascii="Times New Roman" w:hAnsi="Times New Roman" w:cs="Times New Roman"/>
          <w:noProof/>
          <w:sz w:val="24"/>
          <w:szCs w:val="24"/>
        </w:rPr>
      </w:pPr>
      <w:r w:rsidRPr="00F7687B">
        <w:rPr>
          <w:rFonts w:ascii="Times New Roman" w:hAnsi="Times New Roman"/>
          <w:sz w:val="24"/>
          <w:szCs w:val="24"/>
        </w:rPr>
        <w:t>1) publiska akciju sabiedrība vai publiskas akciju sabiedrības meitasuzņēmums;</w:t>
      </w:r>
    </w:p>
    <w:p w14:paraId="5073D6F5" w14:textId="77777777" w:rsidR="00DB30B8" w:rsidRPr="00F7687B" w:rsidRDefault="00DB30B8" w:rsidP="00DB30B8">
      <w:pPr>
        <w:tabs>
          <w:tab w:val="left" w:pos="1301"/>
        </w:tabs>
        <w:spacing w:before="120"/>
        <w:ind w:left="851" w:hanging="283"/>
        <w:rPr>
          <w:rFonts w:ascii="Times New Roman" w:hAnsi="Times New Roman" w:cs="Times New Roman"/>
          <w:noProof/>
          <w:sz w:val="24"/>
          <w:szCs w:val="24"/>
        </w:rPr>
      </w:pPr>
      <w:r w:rsidRPr="00F7687B">
        <w:rPr>
          <w:rFonts w:ascii="Times New Roman" w:hAnsi="Times New Roman"/>
          <w:sz w:val="24"/>
          <w:szCs w:val="24"/>
        </w:rPr>
        <w:t>2) valdības iestāde;</w:t>
      </w:r>
    </w:p>
    <w:p w14:paraId="070A55E4" w14:textId="77777777" w:rsidR="00DB30B8" w:rsidRPr="00F7687B" w:rsidRDefault="00DB30B8" w:rsidP="00DB30B8">
      <w:pPr>
        <w:tabs>
          <w:tab w:val="left" w:pos="1301"/>
        </w:tabs>
        <w:spacing w:before="120"/>
        <w:ind w:left="851" w:hanging="283"/>
        <w:rPr>
          <w:rFonts w:ascii="Times New Roman" w:hAnsi="Times New Roman" w:cs="Times New Roman"/>
          <w:noProof/>
          <w:sz w:val="24"/>
          <w:szCs w:val="24"/>
        </w:rPr>
      </w:pPr>
      <w:r w:rsidRPr="00F7687B">
        <w:rPr>
          <w:rFonts w:ascii="Times New Roman" w:hAnsi="Times New Roman"/>
          <w:sz w:val="24"/>
          <w:szCs w:val="24"/>
        </w:rPr>
        <w:t>3) starptautiska organizācija;</w:t>
      </w:r>
    </w:p>
    <w:p w14:paraId="328DB9FC" w14:textId="77777777" w:rsidR="00DB30B8" w:rsidRPr="00F7687B" w:rsidRDefault="00DB30B8" w:rsidP="00DB30B8">
      <w:pPr>
        <w:tabs>
          <w:tab w:val="left" w:pos="1301"/>
        </w:tabs>
        <w:spacing w:before="120"/>
        <w:ind w:left="851" w:hanging="283"/>
        <w:rPr>
          <w:rFonts w:ascii="Times New Roman" w:hAnsi="Times New Roman" w:cs="Times New Roman"/>
          <w:noProof/>
          <w:sz w:val="24"/>
          <w:szCs w:val="24"/>
        </w:rPr>
      </w:pPr>
      <w:r w:rsidRPr="00F7687B">
        <w:rPr>
          <w:rFonts w:ascii="Times New Roman" w:hAnsi="Times New Roman"/>
          <w:sz w:val="24"/>
          <w:szCs w:val="24"/>
        </w:rPr>
        <w:t>4) aktīva nefinanšu vienība (izņemot 1.–3. punktā norādīto);</w:t>
      </w:r>
    </w:p>
    <w:p w14:paraId="0224CE32" w14:textId="77777777" w:rsidR="00DB30B8" w:rsidRPr="00F7687B" w:rsidRDefault="00DB30B8" w:rsidP="00DB30B8">
      <w:pPr>
        <w:tabs>
          <w:tab w:val="left" w:pos="1301"/>
          <w:tab w:val="left" w:pos="1303"/>
        </w:tabs>
        <w:spacing w:before="120"/>
        <w:ind w:left="851" w:hanging="283"/>
        <w:rPr>
          <w:rFonts w:ascii="Times New Roman" w:hAnsi="Times New Roman" w:cs="Times New Roman"/>
          <w:noProof/>
          <w:sz w:val="24"/>
          <w:szCs w:val="24"/>
        </w:rPr>
      </w:pPr>
      <w:r w:rsidRPr="00F7687B">
        <w:rPr>
          <w:rFonts w:ascii="Times New Roman" w:hAnsi="Times New Roman"/>
          <w:sz w:val="24"/>
          <w:szCs w:val="24"/>
        </w:rPr>
        <w:t>5) pasīva nefinanšu vienība (izņemot ieguldījumu vienību, kas minēta VIII panta A punkta 6. apakšpunkta b) daļā).</w:t>
      </w:r>
    </w:p>
    <w:p w14:paraId="5906F8E1" w14:textId="77777777" w:rsidR="00DB30B8" w:rsidRPr="00F7687B" w:rsidRDefault="00DB30B8" w:rsidP="00DB30B8">
      <w:pPr>
        <w:spacing w:before="120"/>
        <w:ind w:firstLine="284"/>
        <w:jc w:val="both"/>
        <w:rPr>
          <w:rFonts w:ascii="Times New Roman" w:hAnsi="Times New Roman" w:cs="Times New Roman"/>
          <w:noProof/>
          <w:sz w:val="24"/>
          <w:szCs w:val="24"/>
        </w:rPr>
      </w:pPr>
      <w:r w:rsidRPr="00F7687B">
        <w:rPr>
          <w:rFonts w:ascii="Times New Roman" w:hAnsi="Times New Roman"/>
          <w:sz w:val="24"/>
          <w:szCs w:val="24"/>
        </w:rPr>
        <w:t>Ja finanšu iestādes, kas sniedz ziņojumus, pieprasa pašapliecinājumu, tām ir jāsniedz konta turētājiem informācija, kas tiem nepieciešama to statusa noteikšanai (piemēram, VIII panta D punkta 9. apakšpunktā noteiktā termina “aktīva nefinanšu vienība” definīcija).</w:t>
      </w:r>
    </w:p>
    <w:p w14:paraId="7B86A9BA" w14:textId="77777777" w:rsidR="00DB30B8" w:rsidRPr="00F7687B" w:rsidRDefault="00DB30B8" w:rsidP="001B0491">
      <w:pPr>
        <w:keepNext/>
        <w:keepLines/>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lastRenderedPageBreak/>
        <w:t>17. Pašapliecinājuma derīguma prasības, ko piemēro attiecībā uz jauniem fizisku personu kontiem, ir piemērojamas arī pašapliecinājumu derīgumam iepriekšpastāvējušu kontu gadījumā (skat. komentāru par IV pantu 7.–16. punktu). Tas pats attiecas uz pašapliecinājuma kļūdu labošanu, prasību iegūt atsevišķu pašapliecinājumu par katru kontu un uz citu personu savāktu dokumentāciju (skat. komentāru par IV pantu 17.–21. punktu).</w:t>
      </w:r>
    </w:p>
    <w:p w14:paraId="072D423C" w14:textId="77777777" w:rsidR="00DB30B8" w:rsidRPr="00F7687B" w:rsidRDefault="00DB30B8" w:rsidP="00DB30B8">
      <w:pPr>
        <w:spacing w:before="120"/>
        <w:ind w:left="426" w:firstLine="283"/>
        <w:outlineLvl w:val="7"/>
        <w:rPr>
          <w:rFonts w:ascii="Times New Roman" w:hAnsi="Times New Roman" w:cs="Times New Roman"/>
          <w:i/>
          <w:iCs/>
          <w:noProof/>
          <w:color w:val="616161"/>
          <w:sz w:val="24"/>
          <w:szCs w:val="24"/>
        </w:rPr>
      </w:pPr>
      <w:bookmarkStart w:id="99" w:name="Subparagraph_D(2)_–_Review_procedure_for"/>
      <w:bookmarkEnd w:id="99"/>
      <w:r w:rsidRPr="00F7687B">
        <w:rPr>
          <w:rFonts w:ascii="Times New Roman" w:hAnsi="Times New Roman"/>
          <w:i/>
          <w:color w:val="616161"/>
          <w:sz w:val="24"/>
          <w:szCs w:val="24"/>
        </w:rPr>
        <w:t>D punkta 2. apakšpunkts. Kontrolējošo personu pārbaudes procedūra</w:t>
      </w:r>
    </w:p>
    <w:p w14:paraId="6E52A846"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18. D punkta 2. apakšpunktā noteikta pārbaudes procedūra, ko piemēro, lai noteiktu, vai iepriekšpastāvējušu vienības kontu tur viena vai vairākas vienības, kuras ir pasīvas nefinanšu vienības ar vienu vai vairākām kontrolējošām personām, kas ir personas, par kurām jāsniedz ziņojums. Ja kāda no pasīvas nefinanšu vienības kontrolējošajām personām ir persona, par kuru jāsniedz ziņojums, tad jāuzskata, ka konts ir konts, par kuru jāsniedz ziņojums (pat ja kontrolējošā persona un pasīvā nefinanšu vienība ir vienas un tās pašas jursidikcijas rezidenti).</w:t>
      </w:r>
    </w:p>
    <w:p w14:paraId="740E7346" w14:textId="77777777" w:rsidR="00DB30B8" w:rsidRPr="00F7687B" w:rsidRDefault="00DB30B8" w:rsidP="00DB30B8">
      <w:pPr>
        <w:tabs>
          <w:tab w:val="left" w:pos="941"/>
        </w:tabs>
        <w:spacing w:before="120"/>
        <w:jc w:val="both"/>
        <w:rPr>
          <w:rFonts w:ascii="Times New Roman" w:hAnsi="Times New Roman" w:cs="Times New Roman"/>
          <w:noProof/>
          <w:sz w:val="24"/>
          <w:szCs w:val="24"/>
        </w:rPr>
      </w:pPr>
      <w:r w:rsidRPr="00F7687B">
        <w:rPr>
          <w:rFonts w:ascii="Times New Roman" w:hAnsi="Times New Roman"/>
          <w:sz w:val="24"/>
          <w:szCs w:val="24"/>
        </w:rPr>
        <w:t>19. Lai to noteiktu, finanšu iestādei, kas sniedz ziņojumus, jārīkojas atbilstīgi D punkta 2. apakšpunkta a)–c) daļā sniegtajiem norādījumiem apstākļiem vispiemērotākajā kārtībā. Šo apakšpunktu mērķis ir noteikt:</w:t>
      </w:r>
    </w:p>
    <w:p w14:paraId="6969295B"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a) vai konta turētājs ir pasīva nefinanšu vienība;</w:t>
      </w:r>
    </w:p>
    <w:p w14:paraId="02647BAD" w14:textId="77777777" w:rsidR="00DB30B8" w:rsidRPr="00F7687B"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b) šādas pasīvas nefinanšu vienības kontrolējošās personas un</w:t>
      </w:r>
    </w:p>
    <w:p w14:paraId="63E959BD" w14:textId="77777777" w:rsidR="00DB30B8" w:rsidRPr="00F7687B" w:rsidRDefault="00DB30B8" w:rsidP="00DB30B8">
      <w:pPr>
        <w:tabs>
          <w:tab w:val="left" w:pos="942"/>
        </w:tabs>
        <w:spacing w:before="120"/>
        <w:ind w:left="567" w:hanging="283"/>
        <w:rPr>
          <w:rFonts w:ascii="Times New Roman" w:hAnsi="Times New Roman" w:cs="Times New Roman"/>
          <w:noProof/>
          <w:color w:val="231F20"/>
          <w:sz w:val="24"/>
          <w:szCs w:val="24"/>
        </w:rPr>
      </w:pPr>
      <w:r w:rsidRPr="00F7687B">
        <w:rPr>
          <w:rFonts w:ascii="Times New Roman" w:hAnsi="Times New Roman"/>
          <w:color w:val="231F20"/>
          <w:sz w:val="24"/>
          <w:szCs w:val="24"/>
        </w:rPr>
        <w:t>c) vai kāda no šīm kontrolējošajām personām ir persona, par kuru jāsniedz ziņojums.</w:t>
      </w:r>
    </w:p>
    <w:p w14:paraId="0A2482DB"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20. Lai noteiktu, vai konta turētājs ir pasīva nefinanšu vienība atbilstīgi D punkta 2. apakšpunkta a) daļai, finanšu iestādei, kas sniedz ziņojumus, no konta turētāja jāiegūst pašapliecinājums, lai noteiktu tā statusu, izņemot, ja tās rīcībā ir informācija vai ir publiski pieejama informācija (skat. iepriekš 12. punktu), pamatojoties uz kuru tā var pamatoti noteikt, ka konta turētājs ir aktīva nefinanšu vienība vai finanšu iestāde, kas nav neiesaistīta, profesionāli pārvaldīta ieguldījumu vienība (piemēram, VIII panta A punkta 6. apakšpunkta b) daļā minētā ieguldījumu vienība, kas nav iesaistītās jurisdikcijas finanšu iestāde). Piemēram, finanšu iestāde, kas sniedz ziņojumus, var pamatoti noteikt, ka konta turētājs ir aktīva nefinanšu iestāde, ja konta turētājam ir ar likumu aizliegts veikt darbības vai operācijas vai turēt aktīvus pasīvo ienākumu radīšanai (skat. komentāru par VIII pantu 126. punktu). Pašapliecinājumam, kuru izmanto konta turētāja statusa noteikšanai, ir jāatbilst pašapliecinājuma derīguma prasībām attiecībā uz iepriekšpastāvējušiem vienību kontiem (skat. iepriekš 13.–17. punktu). Ja finanšu iestāde, kas sniedz ziņojumus, nevar piešķirt konta turētājam aktīvas nefinanšu vienības statusu vai tādas finanšu iestādes statusu, kas nav neiesaistīta, profesionāli pārvaldīta ieguldījumu vienība, tai jāpieņem, ka konta turētājs ir pasīva nefinanšu vienība.</w:t>
      </w:r>
    </w:p>
    <w:p w14:paraId="35BCB1D9" w14:textId="77777777" w:rsidR="00DB30B8" w:rsidRPr="00F7687B" w:rsidRDefault="00DB30B8" w:rsidP="00DB30B8">
      <w:pPr>
        <w:tabs>
          <w:tab w:val="left" w:pos="940"/>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 xml:space="preserve">21. Lai noteiktu konta turētāja kontrolējošās personas atbilstīgi D punkta 2. apakšpunkta b) daļai, finanšu iestāde, kas sniedz ziņojumus, var paļauties uz informāciju, kas savākta un saglabāta saskaņā ar </w:t>
      </w:r>
      <w:r w:rsidRPr="00F7687B">
        <w:rPr>
          <w:rFonts w:ascii="Times New Roman" w:hAnsi="Times New Roman"/>
          <w:i/>
          <w:iCs/>
          <w:color w:val="231F20"/>
          <w:sz w:val="24"/>
          <w:szCs w:val="24"/>
        </w:rPr>
        <w:t>AML/KYC</w:t>
      </w:r>
      <w:r w:rsidRPr="00F7687B">
        <w:rPr>
          <w:rFonts w:ascii="Times New Roman" w:hAnsi="Times New Roman"/>
          <w:color w:val="231F20"/>
          <w:sz w:val="24"/>
          <w:szCs w:val="24"/>
        </w:rPr>
        <w:t xml:space="preserve"> procedūrām </w:t>
      </w:r>
      <w:r w:rsidRPr="00F7687B">
        <w:rPr>
          <w:rFonts w:ascii="Times New Roman" w:hAnsi="Times New Roman"/>
          <w:b/>
          <w:i/>
          <w:iCs/>
          <w:color w:val="231F20"/>
          <w:sz w:val="24"/>
          <w:szCs w:val="24"/>
          <w:u w:val="thick" w:color="231F20"/>
        </w:rPr>
        <w:t>atbilstīgi</w:t>
      </w:r>
      <w:r w:rsidRPr="00F7687B">
        <w:rPr>
          <w:rFonts w:ascii="Times New Roman" w:hAnsi="Times New Roman"/>
          <w:b/>
          <w:i/>
          <w:color w:val="231F20"/>
          <w:sz w:val="24"/>
          <w:szCs w:val="24"/>
          <w:u w:val="single" w:color="231F20"/>
        </w:rPr>
        <w:t xml:space="preserve"> FATF </w:t>
      </w:r>
      <w:r w:rsidRPr="00F7687B">
        <w:rPr>
          <w:rFonts w:ascii="Times New Roman" w:hAnsi="Times New Roman"/>
          <w:b/>
          <w:i/>
          <w:iCs/>
          <w:color w:val="231F20"/>
          <w:sz w:val="24"/>
          <w:szCs w:val="24"/>
          <w:u w:val="thick" w:color="231F20"/>
        </w:rPr>
        <w:t>10. ieteikumam, ja publiski kotēts uzņēmums kontrolē konta turētāju, kas ir pasīva nefinanšu vienība, vairs netiek prasīts noteikt šāda uzņēmuma kontrolējošās personas, ja šim uzņēmumam jau piemēro informācijas atklāšanas prasības, nodrošinot pienācīgu informācijas par patiesā labuma guvējiem pārredzamību</w:t>
      </w:r>
      <w:r w:rsidRPr="00F7687B">
        <w:rPr>
          <w:rFonts w:ascii="Times New Roman" w:hAnsi="Times New Roman"/>
          <w:color w:val="231F20"/>
          <w:sz w:val="24"/>
          <w:szCs w:val="24"/>
        </w:rPr>
        <w:t>.</w:t>
      </w:r>
    </w:p>
    <w:p w14:paraId="22FFA4B4"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 xml:space="preserve">22. Lai noteiktu, vai pasīvas nefinanšu vienības kontrolējošā persona ir persona, par kuru jāsniedz ziņojums, finanšu iestāde, kas sniedz ziņojumus, var paļauties arī uz </w:t>
      </w:r>
      <w:r w:rsidRPr="00F7687B">
        <w:rPr>
          <w:rFonts w:ascii="Times New Roman" w:hAnsi="Times New Roman"/>
          <w:i/>
          <w:iCs/>
          <w:color w:val="231F20"/>
          <w:sz w:val="24"/>
          <w:szCs w:val="24"/>
        </w:rPr>
        <w:t>AML/KYC</w:t>
      </w:r>
      <w:r w:rsidRPr="00F7687B">
        <w:rPr>
          <w:rFonts w:ascii="Times New Roman" w:hAnsi="Times New Roman"/>
          <w:color w:val="231F20"/>
          <w:sz w:val="24"/>
          <w:szCs w:val="24"/>
        </w:rPr>
        <w:t xml:space="preserve"> procedūrās savākto un saglabāto informāciju. Tomēr tāda iepriekšpastāvējuša vienības konta gadījumā, kura konta bilance vai vērtība pārsniedz 1 000 000 USD, D punkta 2. apakšpunkta c) daļas ii) punktā paredzēts iegūt pašapliecinājumu no konta turētāja vai kontrolējošās personas, kas var būt sniegts tajā pašā pašapliecinājumā, kuru konta turētājs sniedzis, lai </w:t>
      </w:r>
      <w:r w:rsidRPr="00F7687B">
        <w:rPr>
          <w:rFonts w:ascii="Times New Roman" w:hAnsi="Times New Roman"/>
          <w:color w:val="231F20"/>
          <w:sz w:val="24"/>
          <w:szCs w:val="24"/>
        </w:rPr>
        <w:lastRenderedPageBreak/>
        <w:t>apliecinātu savu statusu. Pašapliecinājums attiecībā uz kontrolējošo personu ir derīgs vienīgi tad, ja to parakstījusi (vai citādi nepārprotami apstiprinājusi) kontrolējošā persona vai persona, kas pilnvarota to parakstīt konta turētāja vai kontrolējošās personas vārdā, un tas datēts ar datumu, kas nav vēlāks par tā saņemšanas dienu, un tajā norādīts katras kontrolējošās personas:</w:t>
      </w:r>
    </w:p>
    <w:p w14:paraId="445E632F" w14:textId="77777777" w:rsidR="00DB30B8" w:rsidRPr="00F7687B" w:rsidRDefault="00DB30B8" w:rsidP="00DB30B8">
      <w:pPr>
        <w:tabs>
          <w:tab w:val="left" w:pos="941"/>
        </w:tabs>
        <w:spacing w:before="120"/>
        <w:ind w:left="567" w:hanging="283"/>
        <w:rPr>
          <w:rFonts w:ascii="Times New Roman" w:hAnsi="Times New Roman" w:cs="Times New Roman"/>
          <w:noProof/>
          <w:color w:val="231F20"/>
          <w:sz w:val="24"/>
          <w:szCs w:val="24"/>
        </w:rPr>
      </w:pPr>
      <w:r w:rsidRPr="00F7687B">
        <w:rPr>
          <w:rFonts w:ascii="Times New Roman" w:hAnsi="Times New Roman"/>
          <w:sz w:val="24"/>
          <w:szCs w:val="24"/>
        </w:rPr>
        <w:t>a) vārds, uzvārds;</w:t>
      </w:r>
    </w:p>
    <w:p w14:paraId="740FDB16" w14:textId="77777777" w:rsidR="00DB30B8" w:rsidRPr="00F7687B" w:rsidRDefault="00DB30B8" w:rsidP="00DB30B8">
      <w:pPr>
        <w:tabs>
          <w:tab w:val="left" w:pos="941"/>
        </w:tabs>
        <w:spacing w:before="120"/>
        <w:ind w:left="567" w:hanging="283"/>
        <w:rPr>
          <w:rFonts w:ascii="Times New Roman" w:hAnsi="Times New Roman" w:cs="Times New Roman"/>
          <w:noProof/>
          <w:color w:val="231F20"/>
          <w:sz w:val="24"/>
          <w:szCs w:val="24"/>
        </w:rPr>
      </w:pPr>
      <w:r w:rsidRPr="00F7687B">
        <w:rPr>
          <w:rFonts w:ascii="Times New Roman" w:hAnsi="Times New Roman"/>
          <w:color w:val="231F20"/>
          <w:sz w:val="24"/>
          <w:szCs w:val="24"/>
        </w:rPr>
        <w:t>b) adrese;</w:t>
      </w:r>
    </w:p>
    <w:p w14:paraId="1F54D31B" w14:textId="77777777" w:rsidR="00DB30B8" w:rsidRPr="00F7687B" w:rsidRDefault="00DB30B8" w:rsidP="00DB30B8">
      <w:pPr>
        <w:tabs>
          <w:tab w:val="left" w:pos="942"/>
        </w:tabs>
        <w:spacing w:before="120"/>
        <w:ind w:left="567" w:hanging="283"/>
        <w:rPr>
          <w:rFonts w:ascii="Times New Roman" w:hAnsi="Times New Roman" w:cs="Times New Roman"/>
          <w:noProof/>
          <w:color w:val="231F20"/>
          <w:sz w:val="24"/>
          <w:szCs w:val="24"/>
        </w:rPr>
      </w:pPr>
      <w:r w:rsidRPr="00F7687B">
        <w:rPr>
          <w:rFonts w:ascii="Times New Roman" w:hAnsi="Times New Roman"/>
          <w:color w:val="231F20"/>
          <w:sz w:val="24"/>
          <w:szCs w:val="24"/>
        </w:rPr>
        <w:t>c) rezidences jursidikcija(-as) nodokļu aprēķina vajadzībām;</w:t>
      </w:r>
    </w:p>
    <w:p w14:paraId="14336CE2" w14:textId="77777777" w:rsidR="00DB30B8" w:rsidRPr="00F7687B"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 xml:space="preserve">d) </w:t>
      </w:r>
      <w:r w:rsidRPr="00F7687B">
        <w:rPr>
          <w:rFonts w:ascii="Times New Roman" w:hAnsi="Times New Roman"/>
          <w:i/>
          <w:iCs/>
          <w:color w:val="231F20"/>
          <w:sz w:val="24"/>
          <w:szCs w:val="24"/>
        </w:rPr>
        <w:t>TIN</w:t>
      </w:r>
      <w:r w:rsidRPr="00F7687B">
        <w:rPr>
          <w:rFonts w:ascii="Times New Roman" w:hAnsi="Times New Roman"/>
          <w:color w:val="231F20"/>
          <w:sz w:val="24"/>
          <w:szCs w:val="24"/>
        </w:rPr>
        <w:t xml:space="preserve"> attiecībā uz katru jursidikciju, par kuru jāsniedz ziņojums (skat. komentāru par IV pantu 8. punktu), un</w:t>
      </w:r>
    </w:p>
    <w:p w14:paraId="13E4C4D0" w14:textId="77777777" w:rsidR="00DB30B8" w:rsidRPr="00F7687B" w:rsidRDefault="00DB30B8" w:rsidP="00DB30B8">
      <w:pPr>
        <w:tabs>
          <w:tab w:val="left" w:pos="941"/>
        </w:tabs>
        <w:spacing w:before="120"/>
        <w:ind w:left="567" w:hanging="283"/>
        <w:rPr>
          <w:rFonts w:ascii="Times New Roman" w:hAnsi="Times New Roman" w:cs="Times New Roman"/>
          <w:noProof/>
          <w:color w:val="231F20"/>
          <w:sz w:val="24"/>
          <w:szCs w:val="24"/>
        </w:rPr>
      </w:pPr>
      <w:r w:rsidRPr="00F7687B">
        <w:rPr>
          <w:rFonts w:ascii="Times New Roman" w:hAnsi="Times New Roman"/>
          <w:color w:val="231F20"/>
          <w:sz w:val="24"/>
          <w:szCs w:val="24"/>
        </w:rPr>
        <w:t>e) dzimšanas datums (skat. komentāru par IV pantu 8. punktu).</w:t>
      </w:r>
    </w:p>
    <w:p w14:paraId="4A5F2791" w14:textId="77777777" w:rsidR="00DB30B8" w:rsidRPr="00F7687B" w:rsidRDefault="00DB30B8" w:rsidP="00DB30B8">
      <w:pPr>
        <w:spacing w:before="120"/>
        <w:ind w:firstLine="426"/>
        <w:jc w:val="both"/>
        <w:rPr>
          <w:rFonts w:ascii="Times New Roman" w:hAnsi="Times New Roman" w:cs="Times New Roman"/>
          <w:noProof/>
          <w:sz w:val="24"/>
          <w:szCs w:val="24"/>
        </w:rPr>
      </w:pPr>
      <w:r w:rsidRPr="00F7687B">
        <w:rPr>
          <w:rFonts w:ascii="Times New Roman" w:hAnsi="Times New Roman"/>
          <w:sz w:val="24"/>
          <w:szCs w:val="24"/>
        </w:rPr>
        <w:t>Pašapliecinājumu var būt iepriekš aizpildījusi finanšu iestāde, kas sniedz ziņojumus, norādot tajā kontrolējošās personas informāciju no saviem reģistrētajiem datiem, izņemot rezidences jurisdikciju(-as) nodokļu aprēķina vajadzībām.</w:t>
      </w:r>
    </w:p>
    <w:p w14:paraId="3F7DD4DF" w14:textId="77777777" w:rsidR="00DB30B8" w:rsidRPr="00F7687B" w:rsidRDefault="00DB30B8" w:rsidP="00DB30B8">
      <w:pPr>
        <w:tabs>
          <w:tab w:val="left" w:pos="940"/>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23. Pašapliecinājumu derīguma prasības, ko piemēro attiecībā uz jauniem fizisku personu kontiem, ir piemērojamas arī attiecībā uz tādu pašapliecinājumu derīgumu, ko izmanto, lai noteiktu, vai pasīvas nefinanšu vienības kontrolējošā persona ir persona, par kuru jāsniedz ziņojums (skat. komentāru par IV pantu 7.–16. punktu). Tas pats attiecas uz pašapliecinājuma kļūdu labošanu, prasību iegūt atsevišķu pašapliecinājumu par katru kontu un uz citu personu savāktu dokumentāciju (skat. komentāru par IV pantu 17.–21. punktu).</w:t>
      </w:r>
    </w:p>
    <w:p w14:paraId="595C37C4"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24. Ja ir jāiegūst pašapliecinājums, bet tas nav saņemts attiecībā uz pasīvas nefinanšu vienības kontrolējošo personu, finanšu iestādei, kas sniedz ziņojumus, tas, vai kontrolējošā persona ir persona, par kuru jāsniedz ziņojums, ir jānosaka, izmantojot III panta B punkta 2. apakšpunktā minētās pazīmes. Ja finanšu iestādei, kas sniedz ziņojumus, nav nevienas šādas pazīmes tās reģistrētajos datos, tad turpmāka rīcība nav nepieciešama līdz brīdim, kad mainās apstākļi, kā rezultātā viena vai vairākas pazīmes kļūst saistāmas ar kontrolējošo personu.</w:t>
      </w:r>
    </w:p>
    <w:p w14:paraId="41D4425B" w14:textId="77777777" w:rsidR="00DB30B8" w:rsidRPr="00F7687B" w:rsidRDefault="00DB30B8" w:rsidP="00DB30B8">
      <w:pPr>
        <w:spacing w:before="120"/>
        <w:ind w:left="567" w:hanging="283"/>
        <w:outlineLvl w:val="6"/>
        <w:rPr>
          <w:rFonts w:ascii="Times New Roman" w:hAnsi="Times New Roman" w:cs="Times New Roman"/>
          <w:b/>
          <w:bCs/>
          <w:i/>
          <w:iCs/>
          <w:noProof/>
          <w:sz w:val="24"/>
          <w:szCs w:val="24"/>
        </w:rPr>
      </w:pPr>
      <w:bookmarkStart w:id="100" w:name="Paragraph_E_–_Timing_of_review_and_addit"/>
      <w:bookmarkEnd w:id="100"/>
      <w:r w:rsidRPr="00F7687B">
        <w:rPr>
          <w:rFonts w:ascii="Times New Roman" w:hAnsi="Times New Roman"/>
          <w:b/>
          <w:i/>
          <w:sz w:val="24"/>
          <w:szCs w:val="24"/>
        </w:rPr>
        <w:t>E punkts. Pārbaudes īstenošanas laiks un papildu procedūras</w:t>
      </w:r>
    </w:p>
    <w:p w14:paraId="070262F8"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25. E punkta 1. un 2. apakšpunktā noteikts to pārbaudes procedūru īstenošanas laiks, kuras piemēro, lai noteiktu, kuri no iepriekšpastāvējušiem kontiem ir konti, par kuriem jāsniedz ziņojums. Šie noteikumi paredz šādus pārbaudes īstenošanas termiņus:</w:t>
      </w:r>
    </w:p>
    <w:p w14:paraId="019B89A2" w14:textId="77777777" w:rsidR="00DB30B8" w:rsidRPr="00F7687B"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a) līdz [xxxx]. gada 31. decembrim attiecībā uz kontiem, kuru bilance vai vērtība [xxxx]. gada 31. decembrī pārsniedz 250 000 USD, un</w:t>
      </w:r>
    </w:p>
    <w:p w14:paraId="46FBAE8B" w14:textId="77777777" w:rsidR="00DB30B8" w:rsidRPr="00F7687B"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F7687B">
        <w:rPr>
          <w:rFonts w:ascii="Times New Roman" w:hAnsi="Times New Roman"/>
          <w:color w:val="231F20"/>
          <w:sz w:val="24"/>
          <w:szCs w:val="24"/>
        </w:rPr>
        <w:t>b) tā kalendārā gada laikā, kas seko gadam, kurā kopējā konta bilance vai vērtība pārsniedza 250 000 USD, attiecībā uz kontiem, kuru bilance vai vērtība pārsniedza 250 000 USD nevis [xxxx]. gada 31. decembrī, bet gan nākamā gada 31. decembrī.</w:t>
      </w:r>
    </w:p>
    <w:p w14:paraId="4063E828"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26. Lai arī E punkta 1. un 2. apakšpunktā minētā gada izvēle ir atkarīga no tās jurisdikcijas lēmuma, kurā tiek īstenots Kopējās ziņošanas standarts, paredzēts, ka šim nolūkam tiks izraudzīti tie paši gadi, kas tiek izraudzīti saistībā ar terminu “iepriekšpastāvējis konts”. Tomēr E punkta 1. apakšpunktā minētā otrā gada gadījumā paredzēts, ka šim nolūkam izraudzītais gads nav agrāks kā otrais kalendārais gads, kas seko gadam, kurš izraudzīts saistībā ar terminu “iepriekšpastāvējis konts”.</w:t>
      </w:r>
    </w:p>
    <w:p w14:paraId="53CE2DC8" w14:textId="77777777" w:rsidR="00DB30B8" w:rsidRPr="00F7687B" w:rsidRDefault="00DB30B8" w:rsidP="00DB30B8">
      <w:pPr>
        <w:tabs>
          <w:tab w:val="left" w:pos="941"/>
        </w:tabs>
        <w:spacing w:before="120"/>
        <w:jc w:val="both"/>
        <w:rPr>
          <w:rFonts w:ascii="Times New Roman" w:hAnsi="Times New Roman" w:cs="Times New Roman"/>
          <w:noProof/>
          <w:color w:val="231F20"/>
          <w:sz w:val="24"/>
          <w:szCs w:val="24"/>
        </w:rPr>
      </w:pPr>
      <w:r w:rsidRPr="00F7687B">
        <w:rPr>
          <w:rFonts w:ascii="Times New Roman" w:hAnsi="Times New Roman"/>
          <w:color w:val="231F20"/>
          <w:sz w:val="24"/>
          <w:szCs w:val="24"/>
        </w:rPr>
        <w:t xml:space="preserve">27. E punkta 3. apakšpunktā paredzēta papildu procedūra, kas jāpiemēro attiecībā uz iepriekšpastāvējušiem vienību kontiem, proti, ja notiek apstākļu maiņa attiecībā uz iepriekšpastāvējušu vienības kontu un tādēļ finanšu iestāde, kas sniedz ziņojumus, zina vai tai ir pamats zināt, ka pašapliecinājums vai cita ar kontu saistīta dokumentācija ir nepareiza vai </w:t>
      </w:r>
      <w:r w:rsidRPr="00F7687B">
        <w:rPr>
          <w:rFonts w:ascii="Times New Roman" w:hAnsi="Times New Roman"/>
          <w:color w:val="231F20"/>
          <w:sz w:val="24"/>
          <w:szCs w:val="24"/>
        </w:rPr>
        <w:lastRenderedPageBreak/>
        <w:t>neuzticama, finanšu iestādei, kas sniedz ziņojumus, ir atkārtoti jānosaka konta statuss, piemērojot D punktā noteiktās procedūras. Zināšanu prasību standarti, kas piemērojami attiecībā uz dokumentārajiem pierādījumiem, ir piemērojami arī attiecībā uz jebkuru citu dokumentāciju, kas tiek izmantota atbilstīgi D punktā noteiktajām procedūrām (skat. komentāru par IV pantu 14. punktu un komentāru par VII pantu 2.–3. punktu). Šādā gadījumā finanšu iestādei, kas sniedz ziņojumus, ir jāpiemēro turpmāk minētās procedūras ne vēlāk kā attiecīgā kalendārā gada pēdējā dienā vai citā attiecīgā ziņošanas periodā, vai 90 kalendārās dienas pēc apstākļu maiņas paziņošanas vai konstatēšanas.</w:t>
      </w:r>
    </w:p>
    <w:p w14:paraId="27BF3709" w14:textId="77777777" w:rsidR="00DB30B8" w:rsidRPr="00F7687B" w:rsidRDefault="00DB30B8" w:rsidP="00DB30B8">
      <w:pPr>
        <w:numPr>
          <w:ilvl w:val="0"/>
          <w:numId w:val="38"/>
        </w:numPr>
        <w:tabs>
          <w:tab w:val="left" w:pos="1283"/>
        </w:tabs>
        <w:spacing w:before="120"/>
        <w:ind w:left="567" w:hanging="283"/>
        <w:jc w:val="both"/>
        <w:rPr>
          <w:rFonts w:ascii="Times New Roman" w:hAnsi="Times New Roman" w:cs="Times New Roman"/>
          <w:noProof/>
          <w:sz w:val="24"/>
          <w:szCs w:val="24"/>
        </w:rPr>
      </w:pPr>
      <w:r w:rsidRPr="00F7687B">
        <w:rPr>
          <w:rFonts w:ascii="Times New Roman" w:hAnsi="Times New Roman"/>
          <w:sz w:val="24"/>
          <w:szCs w:val="24"/>
        </w:rPr>
        <w:t>Lai noteiktu, vai konta turētājs ir persona, par kuru jāsniedz ziņojums, finanšu iestādei, kas sniedz ziņojumus, ir jāiegūst i) pašapliecinājums vai ii) pamatots paskaidrojums un dokumentācija (atbilstīgi vajadzībai), kas apliecina sākotnējā pašapliecinājuma vai dokumentācijas pamatotību (un jāsaglabā šāda paskaidrojuma un dokumentācijas kopija vai notācija). Ja finanšu iestāde neiegūst pašapliecinājumu vai neapstiprina sākotnējā pašapliecinājuma vai dokumentācijas pamatotību, tai ir jāuzskata, ka konta turētājs ir persona, par kuru jāsniedz ziņojums, attiecībā uz abām jurisdikcijām.</w:t>
      </w:r>
    </w:p>
    <w:p w14:paraId="6DAF24E4" w14:textId="77777777" w:rsidR="00DB30B8" w:rsidRPr="00F7687B" w:rsidRDefault="00DB30B8" w:rsidP="00DB30B8">
      <w:pPr>
        <w:numPr>
          <w:ilvl w:val="0"/>
          <w:numId w:val="38"/>
        </w:numPr>
        <w:tabs>
          <w:tab w:val="left" w:pos="1283"/>
        </w:tabs>
        <w:spacing w:before="120"/>
        <w:ind w:left="567" w:hanging="283"/>
        <w:jc w:val="both"/>
        <w:rPr>
          <w:rFonts w:ascii="Times New Roman" w:hAnsi="Times New Roman" w:cs="Times New Roman"/>
          <w:noProof/>
          <w:sz w:val="24"/>
          <w:szCs w:val="24"/>
        </w:rPr>
      </w:pPr>
      <w:r w:rsidRPr="00F7687B">
        <w:rPr>
          <w:rFonts w:ascii="Times New Roman" w:hAnsi="Times New Roman"/>
          <w:sz w:val="24"/>
          <w:szCs w:val="24"/>
        </w:rPr>
        <w:t>Lai noteiktu, vai konta turētājs ir finanšu iestāde, aktīva nefinanšu vienība vai pasīva nefinanšu vienība, finanšu iestādei, kas sniedz ziņojumus, ir jāiegūst papildu dokumentācija vai pašapliecinājums (atbilstīgi vajadzībai), lai noteiktu, vai konta turētājs ir aktīva nefinanšu vienība vai finanšu iestāde. Ja finanšu iestāde, kas sniedz ziņojumus, neiegūst šādu informāciju, tai jāuzskata, ka konta turētājs ir pasīva nefinanšu vienība.</w:t>
      </w:r>
    </w:p>
    <w:p w14:paraId="732729BF" w14:textId="77777777" w:rsidR="00DB30B8" w:rsidRPr="00F7687B" w:rsidRDefault="00DB30B8" w:rsidP="00DB30B8">
      <w:pPr>
        <w:numPr>
          <w:ilvl w:val="0"/>
          <w:numId w:val="38"/>
        </w:numPr>
        <w:tabs>
          <w:tab w:val="left" w:pos="1283"/>
        </w:tabs>
        <w:spacing w:before="120"/>
        <w:ind w:left="567" w:hanging="283"/>
        <w:jc w:val="both"/>
        <w:rPr>
          <w:rFonts w:ascii="Times New Roman" w:hAnsi="Times New Roman" w:cs="Times New Roman"/>
          <w:noProof/>
          <w:sz w:val="24"/>
          <w:szCs w:val="24"/>
        </w:rPr>
      </w:pPr>
      <w:r w:rsidRPr="00F7687B">
        <w:rPr>
          <w:rFonts w:ascii="Times New Roman" w:hAnsi="Times New Roman"/>
          <w:sz w:val="24"/>
          <w:szCs w:val="24"/>
        </w:rPr>
        <w:t>Lai noteiktu, vai pasīvas nefinanšu vienības kontrolējošā persona ir persona, par kuru jāsniedz ziņojums, finanšu iestādei, kas sniedz ziņojumus, ir jāiegūst i) pašapliecinājums vai ii) pamatots paskaidrojums un dokumentācija (atbilstīgi vajadzībai), kas apliecina sākotnējā pašapliecinājuma vai dokumentācijas pamatotību (un jāsaglabā šāda paskaidrojuma un dokumentācijas kopija vai notācija). Ja finanšu iestāde, kas sniedz ziņojumus, neiegūst ne pašapliecinājumu, ne arī apstiprina iepriekš saņemtā pašapliecinājuma vai dokumentācijas pamatotību, tai jāizmanto III panta B punkta 2. apakšpunktā minētās pazīmes, kas atrodamas tās reģistrētajos datos attiecībā uz šādu kontrolējošo personu, lai noteiktu, vai tā ir persona, par kuru jāsniedz ziņojums.</w:t>
      </w:r>
    </w:p>
    <w:p w14:paraId="40798C62" w14:textId="77777777" w:rsidR="00DB30B8" w:rsidRPr="00F7687B" w:rsidRDefault="00DB30B8" w:rsidP="00DB30B8">
      <w:pPr>
        <w:ind w:left="567" w:hanging="283"/>
        <w:rPr>
          <w:rFonts w:ascii="Times New Roman" w:hAnsi="Times New Roman" w:cs="Times New Roman"/>
          <w:b/>
          <w:bCs/>
          <w:noProof/>
          <w:color w:val="4E81BD"/>
          <w:sz w:val="24"/>
          <w:szCs w:val="24"/>
        </w:rPr>
      </w:pPr>
      <w:bookmarkStart w:id="101" w:name="Commentary_on_Section_VI_concerning_Due_"/>
      <w:bookmarkStart w:id="102" w:name="_bookmark18"/>
      <w:bookmarkEnd w:id="101"/>
      <w:bookmarkEnd w:id="102"/>
      <w:r w:rsidRPr="00F7687B">
        <w:rPr>
          <w:sz w:val="24"/>
          <w:szCs w:val="24"/>
        </w:rPr>
        <w:br w:type="page"/>
      </w:r>
    </w:p>
    <w:p w14:paraId="120B5928" w14:textId="77777777" w:rsidR="00DB30B8" w:rsidRPr="003B2EBA" w:rsidRDefault="00DB30B8" w:rsidP="00DB30B8">
      <w:pPr>
        <w:spacing w:before="120"/>
        <w:outlineLvl w:val="1"/>
        <w:rPr>
          <w:rFonts w:ascii="Times New Roman" w:hAnsi="Times New Roman" w:cs="Times New Roman"/>
          <w:b/>
          <w:bCs/>
          <w:noProof/>
          <w:color w:val="4E81BD"/>
          <w:sz w:val="56"/>
          <w:szCs w:val="56"/>
        </w:rPr>
      </w:pPr>
      <w:bookmarkStart w:id="103" w:name="_Toc241827499"/>
      <w:r>
        <w:rPr>
          <w:rFonts w:ascii="Times New Roman" w:hAnsi="Times New Roman"/>
          <w:b/>
          <w:color w:val="4E81BD"/>
          <w:sz w:val="56"/>
        </w:rPr>
        <w:lastRenderedPageBreak/>
        <w:t>Komentāri par VI pantu – par jaunu vienību kontu pienācīgu pārbaudi</w:t>
      </w:r>
      <w:bookmarkEnd w:id="103"/>
    </w:p>
    <w:p w14:paraId="586806EE" w14:textId="77777777" w:rsidR="00DB30B8" w:rsidRDefault="00DB30B8" w:rsidP="00DB30B8">
      <w:pPr>
        <w:tabs>
          <w:tab w:val="left" w:pos="941"/>
        </w:tabs>
        <w:spacing w:before="120"/>
        <w:jc w:val="both"/>
        <w:rPr>
          <w:rFonts w:ascii="Times New Roman" w:hAnsi="Times New Roman" w:cs="Times New Roman"/>
          <w:b/>
          <w:noProof/>
        </w:rPr>
      </w:pPr>
    </w:p>
    <w:p w14:paraId="29DEC988" w14:textId="77777777" w:rsidR="00DB30B8" w:rsidRPr="00C0366A" w:rsidRDefault="00DB30B8" w:rsidP="00DB30B8">
      <w:pPr>
        <w:tabs>
          <w:tab w:val="left" w:pos="941"/>
        </w:tabs>
        <w:spacing w:before="120"/>
        <w:jc w:val="both"/>
        <w:rPr>
          <w:rFonts w:ascii="Times New Roman" w:hAnsi="Times New Roman" w:cs="Times New Roman"/>
          <w:b/>
          <w:noProof/>
        </w:rPr>
      </w:pPr>
    </w:p>
    <w:p w14:paraId="62E61D8D"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 Šajā pantā izklāstītas pienācīgas pārbaudes procedūras, ko piemēro attiecībā uz jauniem vienību kontiem. Šīs procedūras daudzējādā ziņā atbilst procedūrām, ko piemēro attiecībā uz iepriekšpastāvējušiem vienību kontiem. Tomēr nav jāpiemēro 250 000 USD robežvērtība, jo attiecībā uz jauniem vienību kontiem ir vienkāršāk iegūt pašapliecinājumus.</w:t>
      </w:r>
    </w:p>
    <w:p w14:paraId="31089E70"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2. A punktā noteiktas pārbaudes procedūras, ko piemēro, lai noteiktu, kuri no jauniem vienību kontiem ir konti, par kuriem jāsniedz ziņojums. Šādās procedūrās finanšu iestādēm, kas sniedz ziņojumus, ir jānosaka:</w:t>
      </w:r>
    </w:p>
    <w:p w14:paraId="32B2FDF6"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vai jaunu vienības kontu tur viena vai vairākas vienības, kas ir personas, par kurām jāsniedz ziņojums, un</w:t>
      </w:r>
    </w:p>
    <w:p w14:paraId="17C5A6F4" w14:textId="77777777" w:rsidR="00DB30B8" w:rsidRPr="001B0491" w:rsidRDefault="00DB30B8" w:rsidP="00DB30B8">
      <w:pPr>
        <w:tabs>
          <w:tab w:val="left" w:pos="941"/>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b) vai jaunu vienības kontu tur viena vai vairākas vienības, kas ir pasīvas nefinanšu vienības ar vienu vai vairākām kontrolējošajām personām, kas ir personas, par kurām jāsniedz ziņojums.</w:t>
      </w:r>
    </w:p>
    <w:p w14:paraId="14A2974A" w14:textId="77777777" w:rsidR="00DB30B8" w:rsidRPr="001B0491" w:rsidRDefault="00DB30B8" w:rsidP="00DB30B8">
      <w:pPr>
        <w:spacing w:before="120"/>
        <w:ind w:left="567" w:hanging="283"/>
        <w:outlineLvl w:val="6"/>
        <w:rPr>
          <w:rFonts w:ascii="Times New Roman" w:hAnsi="Times New Roman" w:cs="Times New Roman"/>
          <w:b/>
          <w:bCs/>
          <w:i/>
          <w:iCs/>
          <w:noProof/>
          <w:sz w:val="24"/>
          <w:szCs w:val="24"/>
        </w:rPr>
      </w:pPr>
      <w:bookmarkStart w:id="104" w:name="Subparagraph_A(1)_–_Review_procedure_for"/>
      <w:bookmarkEnd w:id="104"/>
      <w:r w:rsidRPr="001B0491">
        <w:rPr>
          <w:rFonts w:ascii="Times New Roman" w:hAnsi="Times New Roman"/>
          <w:b/>
          <w:i/>
          <w:sz w:val="24"/>
          <w:szCs w:val="24"/>
        </w:rPr>
        <w:t>A punkta 1. apakšpunkts. Konta turētāju pārbaudes procedūra</w:t>
      </w:r>
    </w:p>
    <w:p w14:paraId="3C92B1A6"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 A punkta 1. apakšpunktā noteiktas pārbaudes procedūras, ko piemēro, lai noteiktu, vai jaunu vienības kontu tur viena vai vairākas vienības, kas ir personas, par kurām jāsniedz ziņojums. Ja kāda no vienībām ir persona, par kuru jāsniedz ziņojums, tad jāuzskata, ka konts ir konts, par kuru jāsniedz ziņojums.</w:t>
      </w:r>
    </w:p>
    <w:p w14:paraId="62B5F6E2"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4. Lai noteiktu, vai vienība ir persona, par kuru jāsniedz ziņojums, A punkta 1. apakšpunkta a) daļā ir noteikts, ka konta atvēršanas laikā finanšu iestādei, kas sniedz ziņojumus:</w:t>
      </w:r>
    </w:p>
    <w:p w14:paraId="79CD242C" w14:textId="77777777" w:rsidR="00DB30B8" w:rsidRPr="001B0491" w:rsidRDefault="00DB30B8" w:rsidP="00DB30B8">
      <w:pPr>
        <w:numPr>
          <w:ilvl w:val="0"/>
          <w:numId w:val="36"/>
        </w:numPr>
        <w:tabs>
          <w:tab w:val="left" w:pos="1283"/>
        </w:tabs>
        <w:spacing w:before="120"/>
        <w:ind w:left="709"/>
        <w:jc w:val="both"/>
        <w:rPr>
          <w:rFonts w:ascii="Times New Roman" w:hAnsi="Times New Roman" w:cs="Times New Roman"/>
          <w:noProof/>
          <w:sz w:val="24"/>
          <w:szCs w:val="24"/>
        </w:rPr>
      </w:pPr>
      <w:r w:rsidRPr="001B0491">
        <w:rPr>
          <w:rFonts w:ascii="Times New Roman" w:hAnsi="Times New Roman"/>
          <w:sz w:val="24"/>
          <w:szCs w:val="24"/>
        </w:rPr>
        <w:t>jāiegūst pašapliecinājums, kuru finanšu iestāde, kas sniedz ziņojumus, var izmantot tam, lai noteiktu konta turētāja rezidenci(-es) nodokļu aprēķina vajadzībām, un</w:t>
      </w:r>
    </w:p>
    <w:p w14:paraId="4DF1B7A6" w14:textId="77777777" w:rsidR="00DB30B8" w:rsidRPr="001B0491" w:rsidRDefault="00DB30B8" w:rsidP="00DB30B8">
      <w:pPr>
        <w:numPr>
          <w:ilvl w:val="0"/>
          <w:numId w:val="36"/>
        </w:numPr>
        <w:tabs>
          <w:tab w:val="left" w:pos="1283"/>
        </w:tabs>
        <w:spacing w:before="120"/>
        <w:ind w:left="709"/>
        <w:jc w:val="both"/>
        <w:rPr>
          <w:rFonts w:ascii="Times New Roman" w:hAnsi="Times New Roman" w:cs="Times New Roman"/>
          <w:noProof/>
          <w:sz w:val="24"/>
          <w:szCs w:val="24"/>
        </w:rPr>
      </w:pPr>
      <w:r w:rsidRPr="001B0491">
        <w:rPr>
          <w:rFonts w:ascii="Times New Roman" w:hAnsi="Times New Roman"/>
          <w:sz w:val="24"/>
          <w:szCs w:val="24"/>
        </w:rPr>
        <w:t xml:space="preserve">jāapstiprina šādu pašapliecinājumu pamatotība, pamatojoties uz informāciju, kuru finanšu iestāde, kas sniedz ziņojumus, ieguvusi saistībā ar konta atvēršanu, tostarp uz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procedūrās savākto dokumentāciju.</w:t>
      </w:r>
    </w:p>
    <w:p w14:paraId="4D1F4B52"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4.bis Atsevišķos gadījumos, ja pašapliecinājumu nevar iegūt vai tā derīgumu nevar pārbaudīt konta atvēršanas laikā, finanšu iestādei, kas sniedz ziņojumus, pašapliecinājums jāiegūst un tā derīgums jāpārbauda, cik drīz vien iespējams, un jebkurā gadījumā ne vēlāk kā 90 kalendāro dienu laikā, kā arī tādā termiņā, lai varētu izpildīt pienācīgas pārbaudes un ziņošanas pienākumus attiecībā uz ziņošanas periodu, kurā konts tika atvērts (skat. komentāru par IV pantu 2.bis punktu).</w:t>
      </w:r>
    </w:p>
    <w:p w14:paraId="449977D5"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 Ja pašapliecinājumā ir norādīts, ka konta turētājs ir rezidents jursidikcijā, par kuru jāsniedz ziņojums, tad, kā norādīts A punkta 1. apakšpunkta b) daļā, finanšu iestādei, kas sniedz ziņojumus, ir jāuzskata, ka konts ir konts, par kuru jāsniedz ziņojums, izņemot gadījumus, kad tā, pamatojoties uz tās rīcībā esošo informāciju vai publiski pieejamu informāciju (skat. komentāru par V pantu 12. punktu), pamatoti nosaka, ka konta turētājs nav persona, par kuru jāsniedz ziņojums, attiecībā uz šādu jursidikciju, par kuru jāsniedz ziņojums (piemēram, ir publiska akciju sabiedrība vai valdības iestāde).</w:t>
      </w:r>
    </w:p>
    <w:p w14:paraId="4E97078F" w14:textId="77777777" w:rsidR="00DB30B8" w:rsidRPr="001B0491" w:rsidRDefault="00DB30B8" w:rsidP="001B0491">
      <w:pPr>
        <w:keepNext/>
        <w:keepLines/>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6. Nosakot, vai jaunu vienības kontu tur viena vai vairākas vienības, kas ir personas, par kurām jāsniedz ziņojums, finanšu iestāde, kas sniedz ziņojumus, var rīkoties atbilstīgi tam, kā norādīts A punkta 1. apakšpunkta a) un b) daļā, apstākļiem vispiemērotākajā kārtībā. Tas ļautu finanšu iestādei, kas sniedz ziņojumus, piemēram, noteikt saskaņā ar A punkta 1. apakšpunkta b) daļu, ka jauna vienības konta turētājs ir vienība, kas nav persona, par kuru jāsniedz ziņojums (piemēram, publiska akciju sabiedrība), un līdz ar to konts nav konts, par kuru jāsniedz ziņojums.</w:t>
      </w:r>
    </w:p>
    <w:p w14:paraId="1309E958" w14:textId="77777777" w:rsidR="00DB30B8" w:rsidRPr="001B0491" w:rsidRDefault="00DB30B8" w:rsidP="00DB30B8">
      <w:pPr>
        <w:tabs>
          <w:tab w:val="left" w:pos="941"/>
        </w:tabs>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sz w:val="24"/>
          <w:szCs w:val="24"/>
        </w:rPr>
        <w:t xml:space="preserve">7. Pašapliecinājumam jānodrošina iespēja noteikt konta turētāja rezidenci(-es) nodokļu aprēķina vajadzībām. Praksē reti notiek tā, ka vienība tiks aplikta ar nodokli kā vairāku jurisdikciju rezidents, taču tas, protams, ir iespējams. </w:t>
      </w:r>
      <w:r w:rsidRPr="001B0491">
        <w:rPr>
          <w:rFonts w:ascii="Times New Roman" w:hAnsi="Times New Roman"/>
          <w:b/>
          <w:i/>
          <w:sz w:val="24"/>
          <w:szCs w:val="24"/>
          <w:u w:val="thick"/>
        </w:rPr>
        <w:t xml:space="preserve">Šādos apstākļos tiek gaidīts, ka pašapliecinājumā tiek norādītas visas rezidences jurisdikcijas un ka finanšu iestāde, kas sniedz ziņojumus, uzskata, ka tas ir konts, par kuru jāsniedz ziņojums, visās jurisdikcijās, par kurām jāsniedz ziņojums. </w:t>
      </w:r>
      <w:r w:rsidRPr="001B0491">
        <w:rPr>
          <w:rFonts w:ascii="Times New Roman" w:hAnsi="Times New Roman"/>
          <w:sz w:val="24"/>
          <w:szCs w:val="24"/>
        </w:rPr>
        <w:t xml:space="preserve">Dažādu jurisdikciju tiesību aktos ir noteikti nosacījumi, saskaņā ar kuriem vienība ir uzskatāma par nodokļu “rezidentu”. Tajos ietverta dažādu formu piesaiste jurisdikcijai, kura valsts tiesību aktos noteikta kā pamats nodokļu vispārējai piemērošanai (pilna apjoma nodokļu saistības). Lai risinātu dubultā rezidenta statusa gadījumus, nodokļu konvencijās iekļauti īpaši noteikumi, kas paredz, ka saistībā ar šīm konvencijām piesaiste vienai jurisdikcijai prevalē pār piesaisti otrai jurisdikcijai. Parasti vienība būs jurisdikcijas rezidents nodokļu aprēķina vajadzībām, ja saskaņā ar šīs jurisdikcijas tiesību aktiem (tostarp nodokļu konvencijām) tā maksā vai tai ir jāmaksā nodokļi šajā jurisdikcijā tādēļ, ka šajā jurisdikcijā atrodas tās juridiskā adrese, rezidence, vadības vieta vai reģistrācijas vieta vai tiek izpildīts kāds līdzīga rakstura kritērijs, nevis vienīgi tādēļ, ka šajā jurisdikcijā atrodas tās ienākumu avoti. Vienības ar dubultā rezidenta statusu var izmantot izšķirošos noteikumus, kas paredzēti nodokļu konvencijās (ja tie ir piemērojami), lai risinātu dubultā rezidenta statusa gadījumus un noteiktu, kurā jurisdikcijā persona ir rezidents nodokļu aprēķina vajadzībām (skat. turpmāk 13. punktu) </w:t>
      </w:r>
      <w:r w:rsidRPr="001B0491">
        <w:rPr>
          <w:rFonts w:ascii="Times New Roman" w:hAnsi="Times New Roman"/>
          <w:b/>
          <w:i/>
          <w:iCs/>
          <w:color w:val="231F20"/>
          <w:sz w:val="24"/>
          <w:szCs w:val="24"/>
          <w:u w:val="thick" w:color="231F20"/>
        </w:rPr>
        <w:t>līdz [pārskatītā CRS spēkā stāšanās datums]</w:t>
      </w:r>
      <w:r w:rsidRPr="001B0491">
        <w:rPr>
          <w:rFonts w:ascii="Times New Roman" w:hAnsi="Times New Roman"/>
          <w:sz w:val="24"/>
          <w:szCs w:val="24"/>
        </w:rPr>
        <w:t>.</w:t>
      </w:r>
      <w:r w:rsidRPr="001B0491">
        <w:rPr>
          <w:rFonts w:ascii="Times New Roman" w:hAnsi="Times New Roman"/>
          <w:b/>
          <w:i/>
          <w:color w:val="231F20"/>
          <w:sz w:val="24"/>
          <w:szCs w:val="24"/>
          <w:u w:val="thick" w:color="231F20"/>
        </w:rPr>
        <w:t xml:space="preserve"> Pēc </w:t>
      </w:r>
      <w:r w:rsidRPr="001B0491">
        <w:rPr>
          <w:rFonts w:ascii="Times New Roman" w:hAnsi="Times New Roman"/>
          <w:b/>
          <w:i/>
          <w:iCs/>
          <w:color w:val="231F20"/>
          <w:sz w:val="24"/>
          <w:szCs w:val="24"/>
          <w:u w:val="single" w:color="231F20"/>
        </w:rPr>
        <w:t>[pārskatītā</w:t>
      </w:r>
      <w:r w:rsidRPr="001B0491">
        <w:rPr>
          <w:rFonts w:ascii="Times New Roman" w:hAnsi="Times New Roman"/>
          <w:b/>
          <w:i/>
          <w:color w:val="231F20"/>
          <w:sz w:val="24"/>
          <w:szCs w:val="24"/>
          <w:u w:val="single" w:color="231F20"/>
        </w:rPr>
        <w:t xml:space="preserve"> CRS </w:t>
      </w:r>
      <w:r w:rsidRPr="001B0491">
        <w:rPr>
          <w:rFonts w:ascii="Times New Roman" w:hAnsi="Times New Roman"/>
          <w:b/>
          <w:i/>
          <w:iCs/>
          <w:color w:val="231F20"/>
          <w:sz w:val="24"/>
          <w:szCs w:val="24"/>
          <w:u w:val="single" w:color="231F20"/>
        </w:rPr>
        <w:t>spēkā stāšanās datums]</w:t>
      </w:r>
      <w:r w:rsidRPr="001B0491">
        <w:rPr>
          <w:rFonts w:ascii="Times New Roman" w:hAnsi="Times New Roman"/>
          <w:b/>
          <w:i/>
          <w:color w:val="231F20"/>
          <w:sz w:val="24"/>
          <w:szCs w:val="24"/>
          <w:u w:val="thick" w:color="231F20"/>
        </w:rPr>
        <w:t xml:space="preserve"> vienības, kas ir dubultrezidenti un ir (atkārtoti) reģistrētas, nevarēs paļauties uz izšķirošajiem noteikumiem un tām būs jādeklarē visas savas rezidences jurisdikcijas.</w:t>
      </w:r>
    </w:p>
    <w:p w14:paraId="7E499A20"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8. Turpmāk sniegti piemēri tam, kā iespējams noteikt vienības rezidenta statusu nodokļu aprēķina vajadzībām.</w:t>
      </w:r>
    </w:p>
    <w:p w14:paraId="68AAB090" w14:textId="77777777" w:rsidR="00DB30B8" w:rsidRPr="001B0491" w:rsidRDefault="00DB30B8" w:rsidP="00DB30B8">
      <w:pPr>
        <w:numPr>
          <w:ilvl w:val="0"/>
          <w:numId w:val="35"/>
        </w:numPr>
        <w:tabs>
          <w:tab w:val="left" w:pos="128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1. piemērs. Sabiedrība tiek dibināta jursidikcijā A, un tās faktiskā vadība atrodas jursidikcijā B. Saskaņā ar jursidikcijas A tiesību aktiem rezidenta statusu nodokļu aprēķina vajadzībām nosaka pēc reģistrācijas vietas. To pašu paredz arī jursidikcijas B noteikumi. Līdz ar to sabiedrība ir tikai jursidikcijas A rezidents.</w:t>
      </w:r>
    </w:p>
    <w:p w14:paraId="774476BA" w14:textId="77777777" w:rsidR="00DB30B8" w:rsidRPr="001B0491" w:rsidRDefault="00DB30B8" w:rsidP="00DB30B8">
      <w:pPr>
        <w:numPr>
          <w:ilvl w:val="0"/>
          <w:numId w:val="35"/>
        </w:numPr>
        <w:tabs>
          <w:tab w:val="left" w:pos="128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2. piemērs. Apstākļi ir tādi paši kā 1. piemērā, izņemot to, ka saskaņā ar jursidikcijas B tiesību aktiem rezidenta statusu nodokļu aprēķina vajadzībām nosaka pēc vietas, kur atrodas faktiskā vadība. Līdz ar to sabiedrība ir rezidents gan jursidikcijā A, gan jursidikcijā B.</w:t>
      </w:r>
    </w:p>
    <w:p w14:paraId="188BA56C" w14:textId="77777777" w:rsidR="00DB30B8" w:rsidRPr="001B0491" w:rsidRDefault="00DB30B8" w:rsidP="00DB30B8">
      <w:pPr>
        <w:numPr>
          <w:ilvl w:val="0"/>
          <w:numId w:val="35"/>
        </w:numPr>
        <w:tabs>
          <w:tab w:val="left" w:pos="128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3. piemērs. Apstākļi ir tādi paši kā 1. piemērā, izņemot to, ka saskaņā ar jursidikcijas A un jursidikcijas B tiesību aktiem rezidenta statusu nodokļu aprēķina vajadzībām nosaka pēc vietas, kur atrodas faktiskā vadība. Līdz ar to sabiedrība ir tikai jursidikcijas B rezidents.</w:t>
      </w:r>
    </w:p>
    <w:p w14:paraId="4055F0C8" w14:textId="77777777" w:rsidR="00DB30B8" w:rsidRPr="001B0491" w:rsidRDefault="00DB30B8" w:rsidP="00DB30B8">
      <w:pPr>
        <w:numPr>
          <w:ilvl w:val="0"/>
          <w:numId w:val="35"/>
        </w:numPr>
        <w:tabs>
          <w:tab w:val="left" w:pos="128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sz w:val="24"/>
          <w:szCs w:val="24"/>
        </w:rPr>
        <w:t>4. piemērs. Apstākļi ir tādi paši kā 1. piemērā, izņemot to, ka saskaņā ar jursidikcijas A tiesību aktiem rezidenta statusu nodokļu aprēķina vajadzībām nosaka pēc faktiskās vadības atrašanās vietas, bet saskaņā ar jursidikcijas B tiesību aktiem – pēc reģistrācijas vietas.</w:t>
      </w:r>
      <w:r w:rsidRPr="001B0491">
        <w:rPr>
          <w:rFonts w:ascii="Times New Roman" w:hAnsi="Times New Roman"/>
          <w:color w:val="231F20"/>
          <w:sz w:val="24"/>
          <w:szCs w:val="24"/>
        </w:rPr>
        <w:t xml:space="preserve"> Līdz ar to sabiedrība nav rezidents ne jursidikcijā A, ne jursidikcijā B.</w:t>
      </w:r>
    </w:p>
    <w:p w14:paraId="3C030C9C" w14:textId="77777777" w:rsidR="00DB30B8" w:rsidRPr="001B0491" w:rsidRDefault="00DB30B8" w:rsidP="001B0491">
      <w:pPr>
        <w:keepNext/>
        <w:keepLines/>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 xml:space="preserve">9. Iesaistītajām jurisdikcijām ir jāpalīdz nodokļu maksātājiem noteikt viņu rezidence(-es) nodokļu aprēķina vajadzībām un šajā saistībā jāsniedz viņiem informācija. To var nodrošināt, piemēram, ar dažādu pakalpojumu kanālu starpniecību, kas tiek izmantoti informācijas vai norādījumu sniegšanai nodokļu maksātājiem par nodokļu tiesību aktu piemērošanu (piemēram, pa tālruni, apmeklētāju pieņemšanas punktos, tiešsaistē). </w:t>
      </w:r>
      <w:r w:rsidRPr="001B0491">
        <w:rPr>
          <w:rFonts w:ascii="Times New Roman" w:hAnsi="Times New Roman"/>
          <w:i/>
          <w:iCs/>
          <w:color w:val="231F20"/>
          <w:sz w:val="24"/>
          <w:szCs w:val="24"/>
        </w:rPr>
        <w:t>OECD</w:t>
      </w:r>
      <w:r w:rsidRPr="001B0491">
        <w:rPr>
          <w:rFonts w:ascii="Times New Roman" w:hAnsi="Times New Roman"/>
          <w:color w:val="231F20"/>
          <w:sz w:val="24"/>
          <w:szCs w:val="24"/>
        </w:rPr>
        <w:t xml:space="preserve"> centīsies veicināt šādas informācijas izplatīšanu.</w:t>
      </w:r>
    </w:p>
    <w:p w14:paraId="5C07A259"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10. Kā noteikts termina “persona jursidikcijā, par kuru jāsniedz ziņojums” definīcijā, ja tādai vienībai kā personālsabiedrība, personālsabiedrība ar ierobežotu atbildību vai līdzīgam juridiskam veidojumam nav rezidences nodokļu aprēķina vajadzībām, to uzskata par tās jursidikcijas rezidentu, kurā atrodas tās faktiskā vadība (skat. komentāru par VIII pantu 109. punktu). Ja šādā gadījumā vienība apliecina, ka tai nav rezidences nodokļu aprēķina vajadzībām, A punkta 1. apakšpunkta b) daļā finanšu iestādei, kas sniedz ziņojumus, atļauts vienības rezidences noteikšanai kā tuvinājumu izmantot tās galvenā biroja adresi (skat. komentāru par VIII pantu 153. punktu). Vienības, kurām nav rezidences nodokļu aprēķina vajadzībām, ir, piemēram, tās, kuras tiek uzskatītas par fiskāli pārredzamām, un tās, kuras atbilst iepriekš 8. punkta 4. piemērā izklāstītajiem apstākļiem.</w:t>
      </w:r>
    </w:p>
    <w:p w14:paraId="2BEC1CD4"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05" w:name="Validity_of_self-certifications"/>
      <w:bookmarkEnd w:id="105"/>
      <w:r w:rsidRPr="001B0491">
        <w:rPr>
          <w:rFonts w:ascii="Times New Roman" w:hAnsi="Times New Roman"/>
          <w:i/>
          <w:color w:val="616161"/>
          <w:sz w:val="24"/>
          <w:szCs w:val="24"/>
        </w:rPr>
        <w:t>Pašapliecinājumu derīgums</w:t>
      </w:r>
    </w:p>
    <w:p w14:paraId="1C1ACB75"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11. Kā norādīts komentāru par IV pantu 7. punktā, “pašapliecinājums” ir konta turētāja apliecinājums, kurā norādīts konta turētāja statuss un cita informācija, kuru finanšu iestāde, kas sniedz ziņojumus, var pamatoti pieprasīt, lai izpildītu savas ziņošanas un pienācīgas pārbaudes saistības, piemēram, tas, vai konta turētājam ir rezidenta statuss nodokļu aprēķina vajadzībām jursidikcijā, par kuru jāsniedz ziņojums, un vai konta turētājs ir pasīva nefinanšu vienība. Jaunu vienību kontu gadījumā pašapliecinājums ir derīgs vienīgi tad, ja tas atbilst prasībām attiecībā uz iepriekšpastāvējušu vienību kontu derīgumu (skat. komentāru par V pantu 14.–18. punktu). Tas pats attiecas uz pašapliecinājuma kļūdu labošanu, prasību iegūt atsevišķu pašapliecinājumu par katru kontu un citu personu savāktu dokumentāciju.</w:t>
      </w:r>
    </w:p>
    <w:p w14:paraId="4AFC0432"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06" w:name="Reasonableness_of_self-certifications"/>
      <w:bookmarkEnd w:id="106"/>
      <w:r w:rsidRPr="001B0491">
        <w:rPr>
          <w:rFonts w:ascii="Times New Roman" w:hAnsi="Times New Roman"/>
          <w:i/>
          <w:color w:val="616161"/>
          <w:sz w:val="24"/>
          <w:szCs w:val="24"/>
        </w:rPr>
        <w:t>Pašapliecinājumu pamatotība</w:t>
      </w:r>
    </w:p>
    <w:p w14:paraId="4139D0F3"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12. Kā norādīts iepriekš 4. punktā, ja konta atvēršanas laikā finanšu iestāde, kas sniedz ziņojumus, ir ieguvusi pašapliecinājumu, kas ļauj noteikt konta turētāja rezidenci(-es) nodokļu aprēķina vajadzībām, finanšu iestādei, kas sniedz ziņojumus, ir jāapstiprina šāda pašapliecinājuma pamatotība, pamatojoties uz informāciju, kuru finanšu iestāde, kas sniedz ziņojumus, ieguvusi saistībā ar konta atvēršanu, tostarp uz jebkuru dokumentāciju, kura savākta </w:t>
      </w:r>
      <w:r w:rsidRPr="001B0491">
        <w:rPr>
          <w:rFonts w:ascii="Times New Roman" w:hAnsi="Times New Roman"/>
          <w:i/>
          <w:iCs/>
          <w:color w:val="231F20"/>
          <w:sz w:val="24"/>
          <w:szCs w:val="24"/>
        </w:rPr>
        <w:t>AML</w:t>
      </w:r>
      <w:r w:rsidRPr="001B0491">
        <w:rPr>
          <w:rFonts w:ascii="Times New Roman" w:hAnsi="Times New Roman"/>
          <w:color w:val="231F20"/>
          <w:sz w:val="24"/>
          <w:szCs w:val="24"/>
        </w:rPr>
        <w:t>/</w:t>
      </w:r>
      <w:r w:rsidRPr="001B0491">
        <w:rPr>
          <w:rFonts w:ascii="Times New Roman" w:hAnsi="Times New Roman"/>
          <w:i/>
          <w:iCs/>
          <w:color w:val="231F20"/>
          <w:sz w:val="24"/>
          <w:szCs w:val="24"/>
        </w:rPr>
        <w:t>KYC</w:t>
      </w:r>
      <w:r w:rsidRPr="001B0491">
        <w:rPr>
          <w:rFonts w:ascii="Times New Roman" w:hAnsi="Times New Roman"/>
          <w:color w:val="231F20"/>
          <w:sz w:val="24"/>
          <w:szCs w:val="24"/>
        </w:rPr>
        <w:t xml:space="preserve"> procedūrās (t. i., “pamatotības” pārbaude).</w:t>
      </w:r>
    </w:p>
    <w:p w14:paraId="6211CB7F"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13. Uzskata, ka finanšu iestāde, kas sniedz ziņojumus, ir apstiprinājusi pašapliecinājuma “pamatotību”, ja konta atvēršanas procedūrās un tādas informācijas pārbaudē, kas iegūta saistībā ar konta atvēršanu (tostarp </w:t>
      </w:r>
      <w:r w:rsidRPr="001B0491">
        <w:rPr>
          <w:rFonts w:ascii="Times New Roman" w:hAnsi="Times New Roman"/>
          <w:i/>
          <w:iCs/>
          <w:color w:val="231F20"/>
          <w:sz w:val="24"/>
          <w:szCs w:val="24"/>
        </w:rPr>
        <w:t>AML</w:t>
      </w:r>
      <w:r w:rsidRPr="001B0491">
        <w:rPr>
          <w:rFonts w:ascii="Times New Roman" w:hAnsi="Times New Roman"/>
          <w:color w:val="231F20"/>
          <w:sz w:val="24"/>
          <w:szCs w:val="24"/>
        </w:rPr>
        <w:t>/</w:t>
      </w:r>
      <w:r w:rsidRPr="001B0491">
        <w:rPr>
          <w:rFonts w:ascii="Times New Roman" w:hAnsi="Times New Roman"/>
          <w:i/>
          <w:iCs/>
          <w:color w:val="231F20"/>
          <w:sz w:val="24"/>
          <w:szCs w:val="24"/>
        </w:rPr>
        <w:t>KYC</w:t>
      </w:r>
      <w:r w:rsidRPr="001B0491">
        <w:rPr>
          <w:rFonts w:ascii="Times New Roman" w:hAnsi="Times New Roman"/>
          <w:color w:val="231F20"/>
          <w:sz w:val="24"/>
          <w:szCs w:val="24"/>
        </w:rPr>
        <w:t xml:space="preserve"> procedūrās savāktās dokumentācijas pārbaudē), tai nav zināms vai nav pamata zināt, ka pašapliecinājums ir nepareizs vai neuzticams (skat. komentāru par VII pantu 2.–3. punktu). Finanšu iestādēm, kas sniedz ziņojumus, nav pienākuma veikt attiecīgo nodokļu tiesību aktu neatkarīgu juridisko analīzi, lai apstiprinātu pašapliecinājuma pamatotību.</w:t>
      </w:r>
    </w:p>
    <w:p w14:paraId="5FB8C371"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14. Turpmākie piemēri parāda, kā piemērot “pamatotības” pārbaudi.</w:t>
      </w:r>
    </w:p>
    <w:p w14:paraId="4E2EAD00" w14:textId="77777777" w:rsidR="00DB30B8" w:rsidRPr="001B0491" w:rsidRDefault="00DB30B8" w:rsidP="00DB30B8">
      <w:pPr>
        <w:numPr>
          <w:ilvl w:val="0"/>
          <w:numId w:val="34"/>
        </w:numPr>
        <w:tabs>
          <w:tab w:val="left" w:pos="128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 xml:space="preserve">1. piemērs. Finanšu iestāde, kas sniedz ziņojumus, iegūst pašapliecinājumu no konta turētāja konta atvēršanas laikā. Pašapliecinājumā norādītā adrese nesakrīt ar adresi, kas norādīta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procedūrās savāktajā dokumentācijā. Pretrunīgas informācijas dēļ pašapliecinājums ir nepareizs vai neuzticams, tāpēc tas nav atzīstams par pamatotu.</w:t>
      </w:r>
    </w:p>
    <w:p w14:paraId="6FAFC8DE" w14:textId="77777777" w:rsidR="00DB30B8" w:rsidRPr="001B0491" w:rsidRDefault="00DB30B8" w:rsidP="00DB30B8">
      <w:pPr>
        <w:numPr>
          <w:ilvl w:val="0"/>
          <w:numId w:val="34"/>
        </w:numPr>
        <w:tabs>
          <w:tab w:val="left" w:pos="128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 xml:space="preserve">2. piemērs. Finanšu iestāde, kas sniedz ziņojumus, iegūst pašapliecinājumu no konta turētāja konta atvēršanas laikā. </w:t>
      </w:r>
      <w:r w:rsidRPr="001B0491">
        <w:rPr>
          <w:rFonts w:ascii="Times New Roman" w:hAnsi="Times New Roman"/>
          <w:i/>
          <w:iCs/>
          <w:sz w:val="24"/>
          <w:szCs w:val="24"/>
        </w:rPr>
        <w:t>AML/KYC</w:t>
      </w:r>
      <w:r w:rsidRPr="001B0491">
        <w:rPr>
          <w:rFonts w:ascii="Times New Roman" w:hAnsi="Times New Roman"/>
          <w:sz w:val="24"/>
          <w:szCs w:val="24"/>
        </w:rPr>
        <w:t xml:space="preserve"> procedūrās savāktajā dokumentācijā norādīta vienīgi konta turētāja reģistrācijas vieta. Pašapliecinājumā konta turētājs norādījis, ka </w:t>
      </w:r>
      <w:r w:rsidRPr="001B0491">
        <w:rPr>
          <w:rFonts w:ascii="Times New Roman" w:hAnsi="Times New Roman"/>
          <w:sz w:val="24"/>
          <w:szCs w:val="24"/>
        </w:rPr>
        <w:lastRenderedPageBreak/>
        <w:t>nodokļu aprēķina vajadzībām viņam ir rezidenta statuss citā jursidikcijā, kas nav reģistrācijas jursidikcija. Konta turētājs paskaidrojis finanšu iestādei, kas sniedz ziņojumus, ka saskaņā ar attiecīgajiem nodokļu tiesību aktiem tā rezidence nodokļu aprēķina vajadzībām ir noteikta pēc faktiskās vadības atrašanās vietas un ka tā faktiskā vadība atrodas jurisdikcijā, kas nav tā reģistrācijas jurisdikcija. Līdz ar to, ņemot vērā, ka saņemts pienācīgs paskaidrojums par pretrunīgo informāciju, pašapliecinājums nav nepareizs vai neuzticams, līdz ar to atzīstams par pamatotu.</w:t>
      </w:r>
    </w:p>
    <w:p w14:paraId="45B9CDC1"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15. Ja pašapliecinājums netiek atzīts par pamatotu, finanšu iestādei, kas sniedz ziņojumus, būtu jāiegūst derīgs pašapliecinājums konta atvēršanas procedūrās.</w:t>
      </w:r>
    </w:p>
    <w:p w14:paraId="04174E8B" w14:textId="77777777" w:rsidR="00DB30B8" w:rsidRPr="001B0491" w:rsidRDefault="00DB30B8" w:rsidP="00DB30B8">
      <w:pPr>
        <w:spacing w:before="120"/>
        <w:ind w:left="567" w:hanging="283"/>
        <w:outlineLvl w:val="6"/>
        <w:rPr>
          <w:rFonts w:ascii="Times New Roman" w:hAnsi="Times New Roman" w:cs="Times New Roman"/>
          <w:b/>
          <w:bCs/>
          <w:i/>
          <w:iCs/>
          <w:noProof/>
          <w:sz w:val="24"/>
          <w:szCs w:val="24"/>
        </w:rPr>
      </w:pPr>
      <w:bookmarkStart w:id="107" w:name="Subparagraph_A(2)_–_Review_procedure_for"/>
      <w:bookmarkEnd w:id="107"/>
      <w:r w:rsidRPr="001B0491">
        <w:rPr>
          <w:rFonts w:ascii="Times New Roman" w:hAnsi="Times New Roman"/>
          <w:b/>
          <w:i/>
          <w:sz w:val="24"/>
          <w:szCs w:val="24"/>
        </w:rPr>
        <w:t>A punkta 2. apakšpunkts. Kontrolējošo personu pārbaudes procedūra</w:t>
      </w:r>
    </w:p>
    <w:p w14:paraId="0D2CCD6B"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16. A punkta 2. apakšpunktā noteikta pārbaudes procedūra, ko piemēro, lai noteiktu, vai jaunu vienības kontu tur viena vai vairākas vienības, kas ir pasīvas nefinanšu vienības ar vienu vai vairākām kontrolējošajām personām, kas ir personas, par kurām jāsniedz ziņojums. Ja kāda no pasīvas nefinanšu vienības kontrolējošajām personām ir persona, par kuru jāsniedz ziņojums, tad jāuzskata, ka konts ir konts, par kuru jāsniedz ziņojums (pat ja kontrolējošā persona un pasīvā nefinanšu vienība ir vienas un tās pašas jursidikcijas rezidenti).</w:t>
      </w:r>
    </w:p>
    <w:p w14:paraId="0AD127B7"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17. Lai to noteiktu, finanšu iestādei, kas sniedz ziņojumus, ir jārīkojas saskaņā ar A punkta 2. apakšpunkta a)–c) daļā sniegtajiem norādījumiem apstākļiem vispiemērotākajā kārtībā. Šo apakšpunktu mērķis ir noteikt:</w:t>
      </w:r>
    </w:p>
    <w:p w14:paraId="14ED408B"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vai konta turētājs ir pasīva nefinanšu vienība;</w:t>
      </w:r>
    </w:p>
    <w:p w14:paraId="6CD1DCA6"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šādas pasīvas nefinanšu vienības kontrolējošās personas un</w:t>
      </w:r>
    </w:p>
    <w:p w14:paraId="4A0AC96F"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c) vai kāda no šīm kontrolējošajām personām ir persona, par kuru jāsniedz ziņojums.</w:t>
      </w:r>
    </w:p>
    <w:p w14:paraId="1ADE8E5A"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18. Lai noteiktu, vai konta turētājs ir pasīva nefinanšu vienība atbilstīgi A punkta 2. apakšpunkta a) daļai, finanšu iestādei, kas sniedz ziņojumus, konta turētāja statuss jānosaka, paļaujoties uz tā pašapliecinājumu, ja vien tās rīcībā nav informācijas vai nav publiski pieejama informācija (skat. komentāru par V pantu 12. punktu), pamatojoties uz kuru tā var pamatoti noteikt, ka konta turētājs ir aktīva nefinanšu vienība vai finanšu iestāde, kura nav neiesaistīta, profesionāli pārvaldīta ieguldījumu vienība (piemēram, VIII panta A punkta 6. apakšpunkta b) daļā minētā ieguldījumu vienība, kas nav iesaistītās jursidikcijas finanšu iestāde). Šādam pašapliecinājumam ir jāatbilst pašapliecinājuma derīguma prasībām attiecībā uz iepriekšpastāvējušiem vienību kontiem (skat. iepriekš 11. punktu). Tomēr, kā norādīts komentāru par IV pantu 18. punktā, finanšu iestāde, kas sniedz ziņojumus, var izmantot pašapliecinājumu, ko klients iesniedzis attiecībā uz citu kontu, ja abi konti tiek uzskatīti par vienu kontu saistībā ar VII panta A punktā noteikto zināšanu prasību standartu izpildi. Ja finanšu iestāde, kas sniedz ziņojumus, nevar piešķirt konta turētājam aktīvas nefinanšu vienības statusu vai tādas finanšu iestādes statusu, kas nav neiesaistīta, profesionāli pārvaldīta ieguldījumu vienība, tai jāpieņem, ka konta turētājs ir pasīva nefinanšu vienība.</w:t>
      </w:r>
    </w:p>
    <w:p w14:paraId="6707E32B"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color w:val="231F20"/>
          <w:sz w:val="24"/>
          <w:szCs w:val="24"/>
        </w:rPr>
        <w:t xml:space="preserve">19. Lai noteiktu konta turētāja kontrolējošās personas saskaņā ar A punkta 2. apakšpunkta b) daļu, finanšu iestāde, kas sniedz ziņojumus, var paļauties uz informāciju, kura savākta un saglabāta </w:t>
      </w:r>
      <w:r w:rsidRPr="001B0491">
        <w:rPr>
          <w:rFonts w:ascii="Times New Roman" w:hAnsi="Times New Roman"/>
          <w:i/>
          <w:iCs/>
          <w:color w:val="231F20"/>
          <w:sz w:val="24"/>
          <w:szCs w:val="24"/>
        </w:rPr>
        <w:t>AML</w:t>
      </w:r>
      <w:r w:rsidRPr="001B0491">
        <w:rPr>
          <w:rFonts w:ascii="Times New Roman" w:hAnsi="Times New Roman"/>
          <w:color w:val="231F20"/>
          <w:sz w:val="24"/>
          <w:szCs w:val="24"/>
        </w:rPr>
        <w:t>/</w:t>
      </w:r>
      <w:r w:rsidRPr="001B0491">
        <w:rPr>
          <w:rFonts w:ascii="Times New Roman" w:hAnsi="Times New Roman"/>
          <w:i/>
          <w:iCs/>
          <w:color w:val="231F20"/>
          <w:sz w:val="24"/>
          <w:szCs w:val="24"/>
        </w:rPr>
        <w:t>KYC</w:t>
      </w:r>
      <w:r w:rsidRPr="001B0491">
        <w:rPr>
          <w:rFonts w:ascii="Times New Roman" w:hAnsi="Times New Roman"/>
          <w:color w:val="231F20"/>
          <w:sz w:val="24"/>
          <w:szCs w:val="24"/>
        </w:rPr>
        <w:t xml:space="preserve"> procedūrās, </w:t>
      </w:r>
      <w:r w:rsidRPr="001B0491">
        <w:rPr>
          <w:rFonts w:ascii="Times New Roman" w:hAnsi="Times New Roman"/>
          <w:b/>
          <w:i/>
          <w:iCs/>
          <w:color w:val="231F20"/>
          <w:sz w:val="24"/>
          <w:szCs w:val="24"/>
          <w:u w:val="thick" w:color="231F20"/>
        </w:rPr>
        <w:t>ar nosacījumu, ka šīs procedūras atbilst</w:t>
      </w:r>
      <w:r w:rsidRPr="001B0491">
        <w:rPr>
          <w:rFonts w:ascii="Times New Roman" w:hAnsi="Times New Roman"/>
          <w:b/>
          <w:i/>
          <w:color w:val="231F20"/>
          <w:sz w:val="24"/>
          <w:szCs w:val="24"/>
          <w:u w:val="thick" w:color="231F20"/>
        </w:rPr>
        <w:t xml:space="preserve"> FATF </w:t>
      </w:r>
      <w:r w:rsidRPr="001B0491">
        <w:rPr>
          <w:rFonts w:ascii="Times New Roman" w:hAnsi="Times New Roman"/>
          <w:b/>
          <w:i/>
          <w:iCs/>
          <w:color w:val="231F20"/>
          <w:sz w:val="24"/>
          <w:szCs w:val="24"/>
          <w:u w:val="thick" w:color="231F20"/>
        </w:rPr>
        <w:t>10. un 25. ieteikumam (kas pieņemti 2012. gada februārī)</w:t>
      </w:r>
      <w:r w:rsidRPr="001B0491">
        <w:rPr>
          <w:rFonts w:ascii="Times New Roman" w:hAnsi="Times New Roman"/>
          <w:color w:val="231F20"/>
          <w:sz w:val="24"/>
          <w:szCs w:val="24"/>
        </w:rPr>
        <w:t>.</w:t>
      </w:r>
      <w:r w:rsidRPr="001B0491">
        <w:rPr>
          <w:rFonts w:ascii="Times New Roman" w:hAnsi="Times New Roman"/>
          <w:b/>
          <w:i/>
          <w:color w:val="231F20"/>
          <w:sz w:val="24"/>
          <w:szCs w:val="24"/>
          <w:u w:val="thick" w:color="231F20"/>
        </w:rPr>
        <w:t xml:space="preserve"> </w:t>
      </w:r>
      <w:r w:rsidRPr="001B0491">
        <w:rPr>
          <w:rFonts w:ascii="Times New Roman" w:hAnsi="Times New Roman"/>
          <w:b/>
          <w:i/>
          <w:color w:val="231F20"/>
          <w:sz w:val="24"/>
          <w:szCs w:val="24"/>
          <w:u w:val="single" w:color="231F20"/>
        </w:rPr>
        <w:t xml:space="preserve">Ja finanšu iestādei, kas sniedz ziņojumus, nav juridiski noteikts pienākums piemērot </w:t>
      </w:r>
      <w:r w:rsidRPr="001B0491">
        <w:rPr>
          <w:rFonts w:ascii="Times New Roman" w:hAnsi="Times New Roman"/>
          <w:b/>
          <w:i/>
          <w:color w:val="231F20"/>
          <w:sz w:val="24"/>
          <w:szCs w:val="24"/>
          <w:u w:val="thick" w:color="231F20"/>
        </w:rPr>
        <w:t>AML/KYC</w:t>
      </w:r>
      <w:r w:rsidRPr="001B0491">
        <w:rPr>
          <w:rFonts w:ascii="Times New Roman" w:hAnsi="Times New Roman"/>
          <w:b/>
          <w:i/>
          <w:color w:val="231F20"/>
          <w:sz w:val="24"/>
          <w:szCs w:val="24"/>
          <w:u w:val="single" w:color="231F20"/>
        </w:rPr>
        <w:t xml:space="preserve"> procedūras, kas saskan ar FATF 2012. gada ieteikumiem, tai kontrolējošo personu noteikšanai jāpiemēro pēc būtības līdzīgas procedūras.</w:t>
      </w:r>
      <w:r w:rsidRPr="001B0491">
        <w:rPr>
          <w:rFonts w:ascii="Times New Roman" w:hAnsi="Times New Roman"/>
          <w:b/>
          <w:i/>
          <w:color w:val="231F20"/>
          <w:sz w:val="24"/>
          <w:szCs w:val="24"/>
          <w:u w:val="thick" w:color="231F20"/>
        </w:rPr>
        <w:t xml:space="preserve"> </w:t>
      </w:r>
      <w:r w:rsidRPr="001B0491">
        <w:rPr>
          <w:rFonts w:ascii="Times New Roman" w:hAnsi="Times New Roman"/>
          <w:b/>
          <w:bCs/>
          <w:i/>
          <w:iCs/>
          <w:color w:val="231F20"/>
          <w:sz w:val="24"/>
          <w:szCs w:val="24"/>
          <w:u w:val="single"/>
        </w:rPr>
        <w:t>Saskaņā ar FATF 10. ieteikumu, ja publiski kotēts uzņēmums kontrolē konta turētāju, kas ir pasīva nefinanšu vienība, vairs netiek prasīts noteikt šāda uzņēmuma kontrolējošās personas, ja šim uzņēmumam jau piemēro informācijas atklāšanas prasības, nodrošinot pienācīgu informācijas pārredzamību par patiesā labuma guvējiem.</w:t>
      </w:r>
    </w:p>
    <w:p w14:paraId="34A2C59C" w14:textId="77777777" w:rsidR="00DB30B8" w:rsidRPr="001B0491" w:rsidRDefault="00DB30B8" w:rsidP="001B0491">
      <w:pPr>
        <w:keepNext/>
        <w:keepLines/>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20. Lai noteiktu, vai pasīvas nefinanšu vienības kontrolējošā persona ir persona, par kuru jāsniedz ziņojums, finanšu iestāde, kas sniedz ziņojumus, var paļauties tikai uz konta turētāja vai šādas kontrolējošās personas pašapliecinājumu (skat. komentāru par V pantu 22.–23. punktu).</w:t>
      </w:r>
    </w:p>
    <w:p w14:paraId="6383B51B"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21. Ja mainās ar jaunu vienības kontu saistītie apstākļi (skat. komentāru par III pantu 17. punktu) un tādēļ finanšu iestāde, kas sniedz ziņojumus, zina vai tai ir pamats zināt, ka pašapliecinājums vai cita ar kontu saistīta dokumentācija ir nepareiza vai neuzticama, finanšu iestādei, kas sniedz ziņojumus, atkārtoti jānosaka konta statuss saskaņā ar komentāru par V pantu 27. punktā izklāstītajām procedūrām.</w:t>
      </w:r>
    </w:p>
    <w:p w14:paraId="4EC7B8EE" w14:textId="77777777" w:rsidR="00DB30B8" w:rsidRPr="001B0491" w:rsidRDefault="00DB30B8" w:rsidP="00DB30B8">
      <w:pPr>
        <w:spacing w:before="120"/>
        <w:rPr>
          <w:rFonts w:ascii="Times New Roman" w:hAnsi="Times New Roman" w:cs="Times New Roman"/>
          <w:b/>
          <w:bCs/>
          <w:noProof/>
          <w:color w:val="4E81BD"/>
          <w:sz w:val="24"/>
          <w:szCs w:val="24"/>
        </w:rPr>
      </w:pPr>
      <w:bookmarkStart w:id="108" w:name="Commentary_on_Section_VII_concerning_Spe"/>
      <w:bookmarkStart w:id="109" w:name="_bookmark19"/>
      <w:bookmarkEnd w:id="108"/>
      <w:bookmarkEnd w:id="109"/>
      <w:r w:rsidRPr="001B0491">
        <w:rPr>
          <w:sz w:val="24"/>
          <w:szCs w:val="24"/>
        </w:rPr>
        <w:br w:type="page"/>
      </w:r>
    </w:p>
    <w:p w14:paraId="5F0E606B" w14:textId="77777777" w:rsidR="00DB30B8" w:rsidRPr="00B6081B" w:rsidRDefault="00DB30B8" w:rsidP="00DB30B8">
      <w:pPr>
        <w:spacing w:before="120"/>
        <w:outlineLvl w:val="1"/>
        <w:rPr>
          <w:rFonts w:ascii="Times New Roman" w:hAnsi="Times New Roman" w:cs="Times New Roman"/>
          <w:b/>
          <w:bCs/>
          <w:noProof/>
          <w:color w:val="4E81BD"/>
          <w:sz w:val="56"/>
          <w:szCs w:val="56"/>
        </w:rPr>
      </w:pPr>
      <w:bookmarkStart w:id="110" w:name="_Toc241827500"/>
      <w:r>
        <w:rPr>
          <w:rFonts w:ascii="Times New Roman" w:hAnsi="Times New Roman"/>
          <w:b/>
          <w:color w:val="4E81BD"/>
          <w:sz w:val="56"/>
        </w:rPr>
        <w:lastRenderedPageBreak/>
        <w:t>Komentāri par VII pantu – par īpašām pienācīgas pārbaudes prasībām</w:t>
      </w:r>
      <w:bookmarkEnd w:id="110"/>
    </w:p>
    <w:p w14:paraId="4595E088" w14:textId="77777777" w:rsidR="00DB30B8" w:rsidRDefault="00DB30B8" w:rsidP="00DB30B8">
      <w:pPr>
        <w:spacing w:before="120"/>
        <w:rPr>
          <w:rFonts w:ascii="Times New Roman" w:hAnsi="Times New Roman" w:cs="Times New Roman"/>
          <w:b/>
          <w:noProof/>
        </w:rPr>
      </w:pPr>
    </w:p>
    <w:p w14:paraId="21D39E52" w14:textId="77777777" w:rsidR="00DB30B8" w:rsidRPr="00C0366A" w:rsidRDefault="00DB30B8" w:rsidP="00DB30B8">
      <w:pPr>
        <w:spacing w:before="120"/>
        <w:rPr>
          <w:rFonts w:ascii="Times New Roman" w:hAnsi="Times New Roman" w:cs="Times New Roman"/>
          <w:b/>
          <w:noProof/>
        </w:rPr>
      </w:pPr>
    </w:p>
    <w:p w14:paraId="4E6D6C41"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 Šajā pantā izklāstīti īpaši pienācīgas pārbaudes noteikumi, kas finanšu iestādēm, kuras sniedz ziņojumus, ir jāpiemēro papildus II pantā noteiktajām vispārīgajām pienācīgas pārbaudes prasībām un jebkurām īpašām pienācīgas pārbaudes procedūrām, kas piemērojamas attiecībā uz to uzturētajiem kontiem. Šādi noteikumi ir zināšanu prasību standarti, kas piemērojami attiecībā uz pašapliecinājumu un dokumentāru pierādījumu, alternatīva pienācīgas pārbaudes procedūra apdrošināšanas līgumiem ar naudas vērtību un anuitātes līgumiem, kuru labuma guvēji ir fiziskas personas, un kontu apkopošanas un valūtas pārrēķināšanas noteikumi.</w:t>
      </w:r>
    </w:p>
    <w:p w14:paraId="56DEE9DB" w14:textId="77777777" w:rsidR="00DB30B8" w:rsidRPr="001B0491" w:rsidRDefault="00DB30B8" w:rsidP="00DB30B8">
      <w:pPr>
        <w:spacing w:before="120"/>
        <w:ind w:left="567" w:hanging="283"/>
        <w:outlineLvl w:val="6"/>
        <w:rPr>
          <w:rFonts w:ascii="Times New Roman" w:hAnsi="Times New Roman" w:cs="Times New Roman"/>
          <w:b/>
          <w:bCs/>
          <w:i/>
          <w:iCs/>
          <w:noProof/>
          <w:sz w:val="24"/>
          <w:szCs w:val="24"/>
        </w:rPr>
      </w:pPr>
      <w:bookmarkStart w:id="111" w:name="Paragraph_A_–_Reliance_on_Self-Certifica"/>
      <w:bookmarkEnd w:id="111"/>
      <w:r w:rsidRPr="001B0491">
        <w:rPr>
          <w:rFonts w:ascii="Times New Roman" w:hAnsi="Times New Roman"/>
          <w:b/>
          <w:i/>
          <w:sz w:val="24"/>
          <w:szCs w:val="24"/>
        </w:rPr>
        <w:t>A punkts. Paļaušanās uz pašapliecinājumu un dokumentāriem pierādījumiem</w:t>
      </w:r>
    </w:p>
    <w:p w14:paraId="40BE5425"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2. A punktā noteikti zināšanu prasību standarti, kas piemērojami attiecībā uz pašapliecinājumu vai dokumentāriem pierādījumiem. Tajā paredzēts, ka finanšu iestāde, kas sniedz ziņojumus, nevar paļauties uz pašapliecinājumu vai dokumentāriem pierādījumiem, ja tā zina (proti, tai ir faktiska informācija) vai tai ir pamats zināt, ka pašapliecinājums vai dokumentārie pierādījumi ir nepareizi vai neuzticami.</w:t>
      </w:r>
    </w:p>
    <w:p w14:paraId="60AEE442"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 Finanšu iestādei, kas sniedz ziņojumus, ir pamats zināt, ka pašapliecinājums vai dokumentārs pierādījums ir neuzticams vai nepareizs, ja tai ir zināmi tādi būtiski fakti vai informācija, kas sniegti pašapliecinājumā vai citā dokumentācijā, tostarp attiecīgajiem klientu apkalpošanas speciālistiem zināmā informācija, ja tāda pastāv (skat. komentāru par III pantu 38.–42. punktu un 50. punktu), kura pietiekami apdomīgai personai finanšu iestādes, kas sniedz ziņojumus, situācijā liktu apšaubīt sniegto apgalvojumu patiesumu. Finanšu iestādei, kas sniedz ziņojumus, ir pamats zināt, ka pašapliecinājums vai dokumentārs pierādījums ir neuzticams vai nepareizs arī tad, ja dokumentācijā vai finanšu iestādes, kas sniedz ziņojumus, kontu datnēs ir iekļauta informācija, kas ir pretrunā personas apgalvojumiem par tās statusu.</w:t>
      </w:r>
    </w:p>
    <w:p w14:paraId="3077A97F"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 xml:space="preserve">3.bis Apstiprinot pašapliecinājuma pamatotību, finanšu iestāde, kas sniedz ziņojumus, var sastapties ar gadījumiem, kad konta turētājs vai kontrolējošā persona ir sniegusi dokumentus, kuri izdoti saskaņā ar shēmu, kas paredz pilsonības vai pastāvīgās uzturēšanās statusa iegūšanu apmaiņā pret ieguldījumiem (CBI/RBI shēma), proti, tā ļauj ārvalstu fiziskām personām iegūt pilsonību vai pagaidu vai pastāvīgas uzturēšanās tiesības, pamatojoties uz vietējiem ieguldījumiem vai par noteiktu maksu. Noteiktas augsta riska CBI/RBI shēmas, iespējams, var tikt ļaunprātīgi izmantotas, lai apietu ziņošanu saskaņā ar CRS. Potenciāli augsta riska CBI/RBI shēmas ir tās, kas dod nodokļu maksātājam iespēju izmantot zemu iedzīvotāju ienākuma nodokļa likmi par ārzonas finanšu aktīviem un neprasa būtisku fizisku klātbūtni jurisdikcijā, kas piedāvā šo CBI/RBI shēmu. OECD cenšas publicēt informāciju par šādām potenciāli augsta riska CBI/RBI shēmām savā tīmekļvietnē. Finanšu iestādēm, kas sniedz ziņojumus, būtu jāpaļaujas uz OECD publicēto informāciju, nosakot, vai tām ir pamats uzskatīt, ka pašapliecinājums ir nepareizs vai neuzticams. Jo īpaši tad, ja finanšu iestādei, kas sniedz ziņojumus, ir šaubas par konta turētāja vai kontrolējošās personas nodokļu rezidenci(-ēm), jo šāda persona apgalvo, ka tai ir rezidence jurisdikcijā, kas piedāvā potenciāli augsta riska CBI/RBI shēmu, šī finanšu iestāde, kas sniedz ziņojumus, drīkst paļauties uz šādu pašapliecinājumu tikai tad, kad ir </w:t>
      </w:r>
      <w:r w:rsidRPr="001B0491">
        <w:rPr>
          <w:rFonts w:ascii="Times New Roman" w:hAnsi="Times New Roman"/>
          <w:b/>
          <w:i/>
          <w:sz w:val="24"/>
          <w:szCs w:val="24"/>
          <w:u w:val="thick"/>
        </w:rPr>
        <w:lastRenderedPageBreak/>
        <w:t>veikusi turpmākus pasākumus, lai noskaidrotu šo personu nodokļu rezidenci(-es), tostarp uzdodot papildu jautājumus. Jautājumi varētu būt, piemēram, šādi – vai konta turētājs 1) ir ieguvis rezidences tiesības saskaņā ar CBI/RBI shēmu, 2) vai tam ir rezidences tiesības kādā(-ās) citā(-ās) jurisdikcijā(-ās), 3) vai konta turētājs pagājušajā gadā ir pavadījis vairāk par 90 dienām kādā citā vienā vai vairākās jurisdikcijās, kā arī 4) kādās jurisdikcijās konta turētājs pagājušajā gadā ir iesniedzis iedzīvotāju ienākuma nodokļa deklarācijas. Atbildes uz šiem jautājumiem kopā ar attiecīgajiem apliecinošajiem dokumentiem, ja atbilstīgi, palīdzēs finanšu iestādei, kas sniedz ziņojumus, noskaidrot, vai pašapliecinājums ir pamatots.</w:t>
      </w:r>
    </w:p>
    <w:p w14:paraId="79AE27BA"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12" w:name="Standards_of_knowledge_applicable_to_sel"/>
      <w:bookmarkEnd w:id="112"/>
      <w:r w:rsidRPr="001B0491">
        <w:rPr>
          <w:rFonts w:ascii="Times New Roman" w:hAnsi="Times New Roman"/>
          <w:i/>
          <w:color w:val="616161"/>
          <w:sz w:val="24"/>
          <w:szCs w:val="24"/>
        </w:rPr>
        <w:t>Zināšanu prasību standarti attiecībā uz pašapliecinājumiem</w:t>
      </w:r>
    </w:p>
    <w:p w14:paraId="29370C6C"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4. Finanšu iestādei, kas sniedz ziņojumus, ir pamats zināt, ka personas sniegtais pašapliecinājums ir neuzticams vai nepareizs, ja pašapliecinājumā trūkst kāda elementa, kas ir būtisks personas apgalvojumu patiesuma noskaidrošanai, pašapliecinājumā iekļauta informācija, kas ir pretrunā personas apgalvojumam, vai finanšu iestādei, kas sniedz ziņojumus, ir pieejama cita konta informācija, kas ir pretrunā personas apgalvojumam. Ja finanšu iestāde, kas sniedz ziņojumus, pašapliecinājumu pārbaudīšanai un uzturēšanai izmanto pakalpojuma sniedzēju, ir uzskatāms, ka tā zina pakalpojuma sniedzēja rīcībā esošo informāciju vai tai ir pamats šādu informāciju zināt.</w:t>
      </w:r>
    </w:p>
    <w:p w14:paraId="3FE45CD5"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4.bis Finanšu iestādei, kas sniedz ziņojumus, ir iemesls uzskatīt, ka pašapliecinājums ir neuzticams vai nepareizs, ja pašapliecinājumā nav iekļauts TIN un OECD izplatītajā informācijā ir norādīts, ka jurisdikcija, par kuru jāsniedz ziņojums, izdod TIN visiem nodokļu rezidentiem. Kopējā ziņošanas standartā netiek prasīts finanšu iestādei, kas sniedz ziņojumus, apstiprināt TIN formātu un citas specifikācijas ar informāciju, ko izplata OECD. Tomēr finanšu iestādes, kas sniedz ziņojumus, var tomēr to darīt, lai uzlabotu savāktās informācijas kvalitāti un mazinātu administratīvo slogu saistībā ar turpmāko uzraudzību attiecībā uz nepareiza TIN ziņošanu. Šajā gadījumā tās var izmantot arī reģionālas vai valsts tīmekļvietnes, kurās sniegts TIN pārbaudes modulis, lai pārliecinātos par pašapliecinājumā sniegtā TIN precizitāti.</w:t>
      </w:r>
    </w:p>
    <w:p w14:paraId="36CA29CD"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4.ter Var būt gadījumi, ka mainās AML/KYC procedūras, ko piemēro finanšu iestādes, kas sniedz ziņojumus. Šajā saistībā VIII panta E punkta 2. apakšpunktā norādīts, ka “AML/KYC procedūras” ir klientu pienācīgas pārbaudes procedūras, kuras finanšu iestāde, kas sniedz ziņojumus, veic saskaņā ar prasībām par noziedzīgi iegūtu līdzekļu legalizācijas novēršanu vai līdzīgām prasībām, kuras jāievēro finanšu iestādei, kas sniedz ziņojumus. Attiecīgi, lai veiktu III–VII pantā noteiktās pienācīgas pārbaudes procedūras, piemērojamās AML/KYC procedūras ir tās, kuras finanšu iestādei, kas sniedz ziņojumus, ir piemērojamas konkrētajā brīdī, kamēr vien attiecībā uz jauniem kontiem šīs procedūras saskan ar FATF 2012. gada ieteikumiem. Ja piemērojamās AML/KYC procedūras ir grozītas (piemēram, kad jurisdikcija īsteno jaunus FATF ieteikumus), finanšu iestādēm, kas sniedz ziņojumus, šajā jurisdikcijā var tikt uzdots vākt un uzglabāt papildu informāciju AML/KYC nolūkos. Saistībā ar III–VII pantā noteiktajām pienācīgas pārbaudes procedūrām un saskaņā ar komentāru par III pantu 17. punktu papildu informācija, kas iegūta saskaņā ar šīm grozītajām AML/KYC procedūrām, ir jāizmanto, lai noteiktu, vai ir mainījušies apstākļi saistībā ar konta turētāju un/vai kontrolējošo personu identitāti un/vai ziņojamo statusu. Kā paskaidrots iepriekš 4. punktā, ja iegūtā papildu informācija nesaskan ar personas pašapliecinājumā sniegtajiem apgalvojumiem, ir notikusi apstākļu maiņa un finanšu iestādei, kas sniedz ziņojumus, ir iemesls uzskatīt, ka pašapliecinājums ir neuzticams vai nepareizs.</w:t>
      </w:r>
    </w:p>
    <w:p w14:paraId="04B26FD3" w14:textId="77777777" w:rsidR="00DB30B8" w:rsidRPr="001B0491" w:rsidRDefault="00DB30B8" w:rsidP="001B0491">
      <w:pPr>
        <w:keepNext/>
        <w:keepLines/>
        <w:spacing w:before="120"/>
        <w:ind w:left="284"/>
        <w:outlineLvl w:val="7"/>
        <w:rPr>
          <w:rFonts w:ascii="Times New Roman" w:hAnsi="Times New Roman" w:cs="Times New Roman"/>
          <w:i/>
          <w:iCs/>
          <w:noProof/>
          <w:color w:val="616161"/>
          <w:sz w:val="24"/>
          <w:szCs w:val="24"/>
        </w:rPr>
      </w:pPr>
      <w:bookmarkStart w:id="113" w:name="Standards_of_knowledge_applicable_to_Doc"/>
      <w:bookmarkEnd w:id="113"/>
      <w:r w:rsidRPr="001B0491">
        <w:rPr>
          <w:rFonts w:ascii="Times New Roman" w:hAnsi="Times New Roman"/>
          <w:i/>
          <w:color w:val="616161"/>
          <w:sz w:val="24"/>
          <w:szCs w:val="24"/>
        </w:rPr>
        <w:lastRenderedPageBreak/>
        <w:t>Zināšanu prasību standarti attiecībā uz dokumentāriem pierādījumiem</w:t>
      </w:r>
    </w:p>
    <w:p w14:paraId="4C7896AB" w14:textId="77777777" w:rsidR="00DB30B8" w:rsidRPr="001B0491" w:rsidRDefault="00DB30B8" w:rsidP="001B0491">
      <w:pPr>
        <w:keepNext/>
        <w:keepLines/>
        <w:tabs>
          <w:tab w:val="left" w:pos="943"/>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5. Finanšu iestāde, kas sniedz ziņojumus, nevar paļauties uz personas sniegtu dokumentāru pierādījumu, ja šis dokumentārais pierādījums nepietiekami apliecina to iesniegušās personas identitāti. Piemēram, dokumentārais pierādījums nav uzticams, ja to personīgi iesniedz persona, kuras ārējais izskats vai paraksts neatbilst dokumentārajā pierādījumā iekļautajai personas fotogrāfijai vai parakstam. Finanšu iestāde, kas sniedz ziņojumus, nevar paļauties uz dokumentāro pierādījumu, ja tajā iekļauta informācija, kas ir pretrunā personas apgalvojumam par tās statusu, finanšu iestādei, kas sniedz ziņojumus, ir cita konta informācija, kas ir pretrunā personas statusam, vai dokumentārajā pierādījumā nav sniegta informācija, kas nepieciešama personas statusa noskaidrošanai.</w:t>
      </w:r>
    </w:p>
    <w:p w14:paraId="4938ED9F"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6. Finanšu iestādei, kas sniedz ziņojumus, nav pienākuma izmantot revidētu finanšu pārskatu, lai noteiktu, vai konta turētājs atbilst noteiktai aktīvu robežvērtībai. Ja tomēr finanšu iestāde, kas sniedz ziņojumus, izvēlas to darīt, tai ir pamats zināt, ka apgalvojums par statusu ir neuzticams vai nepareizs vienīgi tad, ja revidētajā finanšu pārskatā norādītā konta turētāja aktīvu kopsumma neatbilst atļautajām robežvērtībām vai finanšu pārskata piezīmēs sniegtā informācija liecina par to, ka konta turētājs nav tiesīgs saņemt konkrēto statusu. Ja finanšu iestāde, kas sniedz ziņojumus, izvēlas izmantot revidētu finanšu pārskatu, lai noteiktu, vai konta turētājs ir aktīva nefinanšu vienība, tai būs jāpārbauda bilance un peļņas un zaudējumu aprēķins, lai noteiktu, vai konta turētājs atbilst VIII panta D punkta 9. apakšpunkta a) daļā noteiktajām ienākumu un aktīvu robežvērtībām, un finanšu pārskata piezīmēs sniegtā informācija, meklējot norādes, kas varētu liecināt, ka konta turētājs ir finanšu iestāde. Ja finanšu iestāde, kas sniedz ziņojumus, izvēlas izmantot revidētu finanšu pārskatu, lai noskaidrotu, vai konta turētājam ir tāds statuss, kurš atbrīvo konta turētāju no aktīvu vai ienākumu robežvērtības sasniegšanas, tai būs jāpārbauda vienīgi finanšu pārskata piezīmēs sniegtā informācija, lai noteiktu, vai finanšu pārskats apliecina apgalvojuma par statusu patiesumu. Ja finanšu iestāde, kas sniedz ziņojumus, izvēlas neizmantot revidētu finanšu pārskatu, lai noskaidrotu konta turētāja statusu (piemēram, tāpēc, ka tai ir cita dokumentācija, kurā noteikts konta turētāja statuss), finanšu iestādei, kas sniedz ziņojumus, nav pienākuma veikt šā finanšu pārskata neatkarīgu novērtēšanu vienīgi tādēļ, ka tā ir ieguvusi šādu revidētu finanšu pārskatu savās konta atvēršanas vai citās procedūrās.</w:t>
      </w:r>
    </w:p>
    <w:p w14:paraId="2800BBE3"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7. Finanšu iestādei, kas sniedz ziņojumus, nav pienākuma izmantot dibināšanas dokumentus, lai noskaidrotu, vai vienībai ir konkrēts statuss. Tomēr gadījumā, ja finanšu iestāde, kas sniedz ziņojumus, izvēlas šādi rīkoties, tai ir pienākums pārbaudīt dokumentu vienīgi tiktāl, cik tas nepieciešams, lai noteiktu, ka ir izpildītas prasības, kas piemērojamas attiecībā uz konkrētu statusu, un ka dokuments ir parakstīts, taču tai nav pienākuma pārbaudīt pārējo dokumentā sniegto informāciju.</w:t>
      </w:r>
    </w:p>
    <w:p w14:paraId="3F34C61C"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14" w:name="Limits_on_reason_to_know"/>
      <w:bookmarkEnd w:id="114"/>
      <w:r w:rsidRPr="001B0491">
        <w:rPr>
          <w:rFonts w:ascii="Times New Roman" w:hAnsi="Times New Roman"/>
          <w:i/>
          <w:color w:val="616161"/>
          <w:sz w:val="24"/>
          <w:szCs w:val="24"/>
        </w:rPr>
        <w:t>Ierobežojumi attiecībā uz pamatu zināt</w:t>
      </w:r>
    </w:p>
    <w:p w14:paraId="66A1076C"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8. Lai noteiktu, vai finanšu iestādei, kas sniedz ziņojumus un kas uztur iepriekšpastāvējušu vienības kontu, ir pamats zināt, ka vienībai piešķirtais statuss ir neuzticams vai nepareizs, finanšu iestādei, kas sniedz ziņojumus, ir pienākums pārbaudīt informāciju, kura ir pretrunā apgalvojumam par konkrēto statusu, vienīgi tad, ja šāda informācija ir iekļauta aktuālajā klienta pamatdatnē, jaunākajā pašapliecinājumā un dokumentārajā pierādījumā, kas iesniegts par personu, un jaunākajā konta atvēršanas līgumā, kā arī jaunākajā dokumentācijā, kuru finanšu iestāde, kas sniedz ziņojumus, ieguvusi saistībā ar </w:t>
      </w:r>
      <w:r w:rsidRPr="001B0491">
        <w:rPr>
          <w:rFonts w:ascii="Times New Roman" w:hAnsi="Times New Roman"/>
          <w:i/>
          <w:iCs/>
          <w:color w:val="231F20"/>
          <w:sz w:val="24"/>
          <w:szCs w:val="24"/>
        </w:rPr>
        <w:t>AML</w:t>
      </w:r>
      <w:r w:rsidRPr="001B0491">
        <w:rPr>
          <w:rFonts w:ascii="Times New Roman" w:hAnsi="Times New Roman"/>
          <w:color w:val="231F20"/>
          <w:sz w:val="24"/>
          <w:szCs w:val="24"/>
        </w:rPr>
        <w:t>/</w:t>
      </w:r>
      <w:r w:rsidRPr="001B0491">
        <w:rPr>
          <w:rFonts w:ascii="Times New Roman" w:hAnsi="Times New Roman"/>
          <w:i/>
          <w:iCs/>
          <w:color w:val="231F20"/>
          <w:sz w:val="24"/>
          <w:szCs w:val="24"/>
        </w:rPr>
        <w:t>KYC</w:t>
      </w:r>
      <w:r w:rsidRPr="001B0491">
        <w:rPr>
          <w:rFonts w:ascii="Times New Roman" w:hAnsi="Times New Roman"/>
          <w:color w:val="231F20"/>
          <w:sz w:val="24"/>
          <w:szCs w:val="24"/>
        </w:rPr>
        <w:t xml:space="preserve"> procedūrām vai citiem regulatīviem mērķiem.</w:t>
      </w:r>
    </w:p>
    <w:p w14:paraId="4AA69F9D" w14:textId="77777777" w:rsidR="00DB30B8" w:rsidRPr="001B0491" w:rsidRDefault="00DB30B8" w:rsidP="001B0491">
      <w:pPr>
        <w:widowControl/>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9. Finanšu iestādei, kas sniedz ziņojumus un kas uztur vairākus kontus uz vienas personas vārda, ir pamats zināt, ka personas statuss ir neatbilstīgs, pamatojoties uz informāciju par citu personas turētu kontu, vienīgi tiktāl, cik šādi konti ir jāapkopo saskaņā ar VII panta C punkta </w:t>
      </w:r>
      <w:r w:rsidRPr="001B0491">
        <w:rPr>
          <w:rFonts w:ascii="Times New Roman" w:hAnsi="Times New Roman"/>
          <w:color w:val="231F20"/>
          <w:sz w:val="24"/>
          <w:szCs w:val="24"/>
        </w:rPr>
        <w:lastRenderedPageBreak/>
        <w:t>noteikumiem par kontu apkopošanu vai jāuzskata par vienu finanšu kontu saistībā ar VII panta A punktā izklāstīto zināšanu prasību standartu izpildi.</w:t>
      </w:r>
    </w:p>
    <w:p w14:paraId="75461AA8"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10. Tas, ka mainījusies adrese tajā pašā jursidikcijā, kurā atradusies arī iepriekšējā adrese, nav pietiekams iemesls, lai uzskatītu, ka finanšu iestāde zina vai tai ir pamats zināt to, ka pašapliecinājums vai dokumentārs pierādījums ir neuzticams vai nepareizs. Turklāt arī tas, ka finanšu iestāde, kas sniedz ziņojumus, atklāj kādas no III panta B punkta 2. apakšpunkta c)–e) apakšpunktā minētajām pazīmēm un šādas pazīmes ir pretrunā pašapliecinājumā vai dokumentārā pierādījumā sniegtajai informācijai, nav pietiekams iemesls, lai uzskatītu, ka finanšu iestāde, kas sniedz ziņojumus, zina vai tai ir pamats zināt to, ka pašapliecinājums vai dokumentārais pierādījums ir neuzticams vai nepareizs. Turpmāk sniegti piemēri, kuros atspoguļota ierobežojumu piemērošana attiecībā uz zināšanu prasību standartiem.</w:t>
      </w:r>
    </w:p>
    <w:p w14:paraId="1D7989F5" w14:textId="77777777" w:rsidR="00DB30B8" w:rsidRPr="001B0491" w:rsidRDefault="00DB30B8" w:rsidP="00DB30B8">
      <w:pPr>
        <w:numPr>
          <w:ilvl w:val="1"/>
          <w:numId w:val="33"/>
        </w:numPr>
        <w:tabs>
          <w:tab w:val="left" w:pos="128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1. piemērs. Banka A, kura ir finanšu iestāde, kas sniedz ziņojumus, uztur individuālā konta turētāja P noguldījumu kontu. Noguldījumu konts ir iepriekšpastāvējis konts, un A, pamatojoties uz adresi, kas tās datos reģistrēta attiecībā uz P un ko apliecina P pase un rēķins par pakalpojumu, kurš iegūts konta atvēršanas procedūrā, ir noteikusi, ka P ir rezidenta statuss nodokļu aprēķina vajadzībām jurisdikcijā X (dzīvesvietas adreses pārbaude). Pēc pieciem gadiem P pilnvaro savu māsu, kura dzīvo jurisdikcijā Y, rīkoties ar viņa kontu. Tas, ka P ir izdevis šādu pilnvaru, nav pietiekams iemesls, lai A zinātu, ka dokumentārais pierādījums, uz kuru tā ir paļāvusies, uzskatot, ka P ir jurisdikcijas X rezidents, ir neuzticams vai nepareizs.</w:t>
      </w:r>
    </w:p>
    <w:p w14:paraId="5AAE3745" w14:textId="77777777" w:rsidR="00DB30B8" w:rsidRPr="001B0491" w:rsidRDefault="00DB30B8" w:rsidP="00DB30B8">
      <w:pPr>
        <w:numPr>
          <w:ilvl w:val="1"/>
          <w:numId w:val="33"/>
        </w:numPr>
        <w:tabs>
          <w:tab w:val="left" w:pos="128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 xml:space="preserve">2. piemērs. Apdrošināšanas sabiedrība B, kura ir finanšu iestāde, kas sniedz ziņojumus, ir noslēgusi apdrošināšanas līgumu ar naudas vērtību ar Q. Tā kā šāds līgums ir jauns fiziskas personas konts, B ir saņēmusi pašapliecinājumu no Q un apstiprinājusi tā pamatotību, pamatojoties uz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dokumentāciju, kas iegūta no Q. Pašapliecinājumā apstiprināts, ka Q ir rezidents nodokļu aprēķina vajadzībām jurisdikcijā V. Divus gadus pēc tam, kad B noslēdza līgumu ar Q, Q norāda B tālruņa numuru jurisdikcijā W. Lai arī datos, ko B reģistrējis attiecībā uz Q, šāds tālruņa numurs iepriekš nav bijis iekļauts, tomēr tas, ka saņemta informācija par šādu tālruņa numuru jurisdikcijā W, nav pietiekams iemesls, lai uzskatītu, ka B ir pamats zināt to, ka sākotnējais pašapliecinājums ir neuzticams vai nepareizs.</w:t>
      </w:r>
    </w:p>
    <w:p w14:paraId="688B45E7" w14:textId="77777777" w:rsidR="00DB30B8" w:rsidRPr="001B0491" w:rsidRDefault="00DB30B8" w:rsidP="00DB30B8">
      <w:pPr>
        <w:spacing w:before="120"/>
        <w:ind w:left="284"/>
        <w:outlineLvl w:val="6"/>
        <w:rPr>
          <w:rFonts w:ascii="Times New Roman" w:hAnsi="Times New Roman" w:cs="Times New Roman"/>
          <w:b/>
          <w:bCs/>
          <w:i/>
          <w:iCs/>
          <w:noProof/>
          <w:sz w:val="24"/>
          <w:szCs w:val="24"/>
          <w:u w:val="thick"/>
        </w:rPr>
      </w:pPr>
      <w:bookmarkStart w:id="115" w:name="Paragraph_Abis_–_Temporary_lack_of_Self-"/>
      <w:bookmarkEnd w:id="115"/>
      <w:r w:rsidRPr="001B0491">
        <w:rPr>
          <w:rFonts w:ascii="Times New Roman" w:hAnsi="Times New Roman"/>
          <w:b/>
          <w:i/>
          <w:sz w:val="24"/>
          <w:szCs w:val="24"/>
          <w:u w:val="thick"/>
        </w:rPr>
        <w:t>A bis punkts. Pašapliecinājuma īslaicīga neesība</w:t>
      </w:r>
    </w:p>
    <w:p w14:paraId="4205A814"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10.bis A bis punktā ir ietverta īpaša pienācīgas pārbaudes procedūra, kas īslaicīgi piemērojama izņēmuma apstākļos, ja finanšu iestāde, kas sniedz ziņojumus, nevar savlaicīgi iegūt pašapliecinājumu un pārbaudīt tā derīgumu attiecībā uz jaunu kontu, lai izpildītu pienācīgas pārbaudes un ziņošanas pienākumus attiecībā uz ziņošanas periodu, kurā konts tika atvērts. Ja pašapliecinājumu nevar iegūt un tā derīgumu nevar pārbaudīt attiecībā uz jaunu fiziskas personas kontu, finanšu iestādei, kas sniedz ziņojumus, īslaicīgi jāpiemēro iepriekšpastāvējušiem fizisku personu kontiem paredzētās pienācīgas pārbaudes procedūras saskaņā ar III pantu. Līdzīgi, ja pašapliecinājumu nevar iegūt un tā derīgumu nevar pārbaudīt attiecībā uz jaunu vienības kontu, finanšu iestādei, kas sniedz ziņojumus, īslaicīgi jāpiemēro iepriekšpastāvējušiem vienību kontiem paredzētās pienācīgas pārbaudes procedūras saskaņā ar V pantu.</w:t>
      </w:r>
    </w:p>
    <w:p w14:paraId="6E0DD616"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10.ter Atkāpjoties no iepriekš minētā, saistībā ar I panta A punkta 2. apakšpunktu par šādiem kontiem jāziņo kā par jauniem kontiem.</w:t>
      </w:r>
    </w:p>
    <w:p w14:paraId="23DB0D7E" w14:textId="77777777" w:rsidR="00DB30B8" w:rsidRPr="001B0491" w:rsidRDefault="00DB30B8" w:rsidP="00DB30B8">
      <w:pPr>
        <w:spacing w:before="120"/>
        <w:ind w:left="284"/>
        <w:outlineLvl w:val="6"/>
        <w:rPr>
          <w:rFonts w:ascii="Times New Roman" w:hAnsi="Times New Roman" w:cs="Times New Roman"/>
          <w:b/>
          <w:bCs/>
          <w:i/>
          <w:iCs/>
          <w:noProof/>
          <w:sz w:val="24"/>
          <w:szCs w:val="24"/>
        </w:rPr>
      </w:pPr>
      <w:bookmarkStart w:id="116" w:name="Paragraph_B_–_Alternative_Procedures_for"/>
      <w:bookmarkEnd w:id="116"/>
      <w:r w:rsidRPr="001B0491">
        <w:rPr>
          <w:rFonts w:ascii="Times New Roman" w:hAnsi="Times New Roman"/>
          <w:b/>
          <w:i/>
          <w:sz w:val="24"/>
          <w:szCs w:val="24"/>
        </w:rPr>
        <w:t>B punkts. Alternatīvas procedūras attiecībā uz apdrošināšanas līgumu ar naudas vērtību un anuitātes līgumu</w:t>
      </w:r>
    </w:p>
    <w:p w14:paraId="25A16C39"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11. B punktā noteikta alternatīva procedūra attiecībā uz apdrošināšanas līgumiem ar naudas vērtību un anuitātes līgumiem, kuru labuma guvēji ir fiziskas personas, un ar to tiek </w:t>
      </w:r>
      <w:r w:rsidRPr="001B0491">
        <w:rPr>
          <w:rFonts w:ascii="Times New Roman" w:hAnsi="Times New Roman"/>
          <w:sz w:val="24"/>
          <w:szCs w:val="24"/>
        </w:rPr>
        <w:lastRenderedPageBreak/>
        <w:t>vienkāršotas citkārt piemērojamās pienācīgas pārbaudes procedūras. Finanšu iestāde, kas sniedz ziņojumus, var pieņemt, ka apdrošināšanas līguma ar naudas vērtību vai anuitātes līguma labuma guvējs (izņemot īpašnieku), kurš ir fiziska persona un kurš saņem pabalstu nāves gadījumā, nav persona, par kuru jāsniedz ziņojums, un tā šādu finanšu kontu var uzskatīt par kontu, kas nav konts, par kuru jāsniedz ziņojums, izņemot gadījumus, kad finanšu iestāde, kas sniedz ziņojumus, faktiski zina vai tai ir pamats zināt, ka labuma guvējs ir persona, par kuru jāsniedz ziņojums.</w:t>
      </w:r>
    </w:p>
    <w:p w14:paraId="3CC18B31"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12. Finanšu iestādei, kas sniedz ziņojumus, ir pamats zināt, ka apdrošināšanas līguma ar naudas vērtību vai anuitātes līguma labuma guvējs ir persona, par kuru jāsniedz ziņojums, ja informācija, kuru savākusi finanšu iestāde, kas sniedz ziņojumus, un kura ir saistīta ar labuma guvēju, satur III panta B punktā minētās pazīmes. Ja finanšu iestāde, kas sniedz ziņojumus, faktiski zina vai tai ir pamats zināt, ka labuma guvējs ir persona, par kuru jāsniedz ziņojums, finanšu iestādei, kas sniedz ziņojumus, ir jāievēro III panta B punktā noteiktās procedūras.</w:t>
      </w:r>
    </w:p>
    <w:p w14:paraId="6805B163"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13. Alternatīva procedūra, kas līdzinās apspriestajai procedūrai, var būt nepieciešama atsevišķu darba devēja finansētu grupas apdrošināšanas līgumu vai anuitātes līgumu gadījumā. Ja darba devējam tiek izsniegts grupas apdrošināšanas līgums vai grupas anuitātes līgums un apdrošinātie / labuma guvēji ir individuāli darbinieki, apdrošināšanas sabiedrībai nav tiešas saistības ar darbiniekiem / polises turētājiem līguma spēkā stāšanās brīdī. Jurisdikcijas, kuras vēlas nodrošināt šādu procedūru, var iekļaut šādu noteikumu:</w:t>
      </w:r>
    </w:p>
    <w:p w14:paraId="3D7313F5" w14:textId="77777777" w:rsidR="00DB30B8" w:rsidRPr="001B0491" w:rsidRDefault="00DB30B8" w:rsidP="00DB30B8">
      <w:pPr>
        <w:spacing w:before="120"/>
        <w:jc w:val="both"/>
        <w:rPr>
          <w:rFonts w:ascii="Times New Roman" w:hAnsi="Times New Roman" w:cs="Times New Roman"/>
          <w:i/>
          <w:noProof/>
          <w:sz w:val="24"/>
          <w:szCs w:val="24"/>
        </w:rPr>
      </w:pPr>
      <w:r w:rsidRPr="001B0491">
        <w:rPr>
          <w:rFonts w:ascii="Times New Roman" w:hAnsi="Times New Roman"/>
          <w:i/>
          <w:sz w:val="24"/>
          <w:szCs w:val="24"/>
        </w:rPr>
        <w:t>“Finanšu iestāde, kas sniedz ziņojumus, var uzskatīt, ka finanšu konts, kas ir dalībnieka līdzdalības daļa grupas apdrošināšanas līgumā ar naudas vērtību vai grupas anuitātes līgumā, nav konts, par kuru jāsniedz ziņojums, līdz dienai, kad darbiniekam / polises turētājam vai labuma guvējam ir jāizmaksā summa, ja finanšu konts, kas ir dalībnieka līdzdalības daļa grupas apdrošināšanas līgumā ar naudas vērtību vai grupas anuitātes līgumā, atbilst šādiem kritērijiem:</w:t>
      </w:r>
    </w:p>
    <w:p w14:paraId="02D1748D"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i/>
          <w:noProof/>
          <w:sz w:val="24"/>
          <w:szCs w:val="24"/>
        </w:rPr>
      </w:pPr>
      <w:r w:rsidRPr="001B0491">
        <w:rPr>
          <w:rFonts w:ascii="Times New Roman" w:hAnsi="Times New Roman"/>
          <w:i/>
          <w:sz w:val="24"/>
          <w:szCs w:val="24"/>
        </w:rPr>
        <w:t>a) grupas apdrošināšanas līgums ar naudas vērtību vai grupas anuitātes līgums ir izsniegts darba devējam un ietver vismaz divdesmit piecus darbiniekus / polises turētājus;</w:t>
      </w:r>
    </w:p>
    <w:p w14:paraId="3870F0D5"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i/>
          <w:noProof/>
          <w:color w:val="231F20"/>
          <w:sz w:val="24"/>
          <w:szCs w:val="24"/>
        </w:rPr>
      </w:pPr>
      <w:r w:rsidRPr="001B0491">
        <w:rPr>
          <w:rFonts w:ascii="Times New Roman" w:hAnsi="Times New Roman"/>
          <w:i/>
          <w:color w:val="231F20"/>
          <w:sz w:val="24"/>
          <w:szCs w:val="24"/>
        </w:rPr>
        <w:t>b) darbiniekiem / polises turētājiem ir tiesības saņemt jebkādus līgumā paredzētus maksājumus atbilstīgi to līdzdalības daļai un norādīt labuma guvējus, kas būs tiesīgi saņemt izmaksājamo pabalstu darbinieka nāves gadījumā, un</w:t>
      </w:r>
    </w:p>
    <w:p w14:paraId="5FD3EA47" w14:textId="77777777" w:rsidR="00DB30B8" w:rsidRPr="001B0491" w:rsidRDefault="00DB30B8" w:rsidP="00DB30B8">
      <w:pPr>
        <w:tabs>
          <w:tab w:val="left" w:pos="943"/>
        </w:tabs>
        <w:spacing w:before="120"/>
        <w:ind w:left="567" w:hanging="283"/>
        <w:jc w:val="both"/>
        <w:rPr>
          <w:rFonts w:ascii="Times New Roman" w:hAnsi="Times New Roman" w:cs="Times New Roman"/>
          <w:i/>
          <w:noProof/>
          <w:color w:val="231F20"/>
          <w:sz w:val="24"/>
          <w:szCs w:val="24"/>
        </w:rPr>
      </w:pPr>
      <w:r w:rsidRPr="001B0491">
        <w:rPr>
          <w:rFonts w:ascii="Times New Roman" w:hAnsi="Times New Roman"/>
          <w:i/>
          <w:color w:val="231F20"/>
          <w:sz w:val="24"/>
          <w:szCs w:val="24"/>
        </w:rPr>
        <w:t>c) darbiniekam / polises turētājam vai labuma guvējam izmaksājamā kopsumma nepārsniedz 1 000 000 USD.</w:t>
      </w:r>
    </w:p>
    <w:p w14:paraId="5FCFA0E6" w14:textId="77777777" w:rsidR="00DB30B8" w:rsidRPr="001B0491" w:rsidRDefault="00DB30B8" w:rsidP="00DB30B8">
      <w:pPr>
        <w:spacing w:before="120"/>
        <w:jc w:val="both"/>
        <w:rPr>
          <w:rFonts w:ascii="Times New Roman" w:hAnsi="Times New Roman" w:cs="Times New Roman"/>
          <w:i/>
          <w:noProof/>
          <w:sz w:val="24"/>
          <w:szCs w:val="24"/>
        </w:rPr>
      </w:pPr>
      <w:r w:rsidRPr="001B0491">
        <w:rPr>
          <w:rFonts w:ascii="Times New Roman" w:hAnsi="Times New Roman"/>
          <w:i/>
          <w:sz w:val="24"/>
          <w:szCs w:val="24"/>
        </w:rPr>
        <w:t>“Grupas apdrošināšanas līgums ar naudas vērtību” ir apdrošināšanas līgums ar naudas vērtību, kas i) paredz segumu fiziskām personām, kuras ir iesaistītas ar darba devēja, aroda apvienības, arodbiedrības vai citas apvienības vai grupas starpniecību, un ii) kas paredz iekasēt prēmiju par katru grupas locekli (vai katru apakšgrupas locekli), kuru nosaka, ņemot vērā vienīgi tādus ar grupas locekļa (vai ar apakšgrupas locekļa) veselību saistītus aspektus kā vecums, dzimums un smēķēšanas paradumi. “Grupas anuitātes līgums” ir anuitātes līgums, saskaņā ar kuru tiesīgās personas ir fiziskas personas, kas ir iesaistītas ar darba devēja, aroda apvienības, arodbiedrības vai citas apvienības vai grupas starpniecību.”</w:t>
      </w:r>
    </w:p>
    <w:p w14:paraId="3B5C821A" w14:textId="77777777" w:rsidR="00DB30B8" w:rsidRPr="001B0491" w:rsidRDefault="00DB30B8" w:rsidP="00DB30B8">
      <w:pPr>
        <w:spacing w:before="120"/>
        <w:ind w:left="284"/>
        <w:outlineLvl w:val="6"/>
        <w:rPr>
          <w:rFonts w:ascii="Times New Roman" w:hAnsi="Times New Roman" w:cs="Times New Roman"/>
          <w:b/>
          <w:bCs/>
          <w:i/>
          <w:iCs/>
          <w:noProof/>
          <w:sz w:val="24"/>
          <w:szCs w:val="24"/>
        </w:rPr>
      </w:pPr>
      <w:bookmarkStart w:id="117" w:name="Paragraph_C_–_Account_Aggregation_and_Cu"/>
      <w:bookmarkEnd w:id="117"/>
      <w:r w:rsidRPr="001B0491">
        <w:rPr>
          <w:rFonts w:ascii="Times New Roman" w:hAnsi="Times New Roman"/>
          <w:b/>
          <w:i/>
          <w:sz w:val="24"/>
          <w:szCs w:val="24"/>
        </w:rPr>
        <w:t>C punkts. Kontu apkopošanas un valūtas pārrēķināšanas noteikumi</w:t>
      </w:r>
    </w:p>
    <w:p w14:paraId="66F80486"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18" w:name="Subparagraphs_C(1)_through_(3)_–_Account"/>
      <w:bookmarkEnd w:id="118"/>
      <w:r w:rsidRPr="001B0491">
        <w:rPr>
          <w:rFonts w:ascii="Times New Roman" w:hAnsi="Times New Roman"/>
          <w:i/>
          <w:color w:val="616161"/>
          <w:sz w:val="24"/>
          <w:szCs w:val="24"/>
        </w:rPr>
        <w:t>C punkta 1.–3. apakšpunkts. Kontu apkopošanas noteikumi</w:t>
      </w:r>
    </w:p>
    <w:p w14:paraId="53D263CB"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14. C punkta 1.–3. apakšpunktā iekļauti kontu apkopošanas noteikumi, kuri finanšu iestādēm, kas sniedz ziņojumus, ir jāievēro, lai noteiktu finanšu kontu kopējo bilanci vai vērtību.</w:t>
      </w:r>
    </w:p>
    <w:p w14:paraId="494B37CA" w14:textId="77777777" w:rsidR="00DB30B8" w:rsidRPr="001B0491" w:rsidRDefault="00DB30B8" w:rsidP="001B0491">
      <w:pPr>
        <w:keepNext/>
        <w:keepLines/>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15. Pirmais un otrais kontu apkopošanas noteikums ir identisks, izņemot to, ka pirmais noteikums ir piemērojams attiecībā uz fiziskas personas turētiem finanšu kontiem, bet otrais noteikums – uz vienības turētiem finanšu kontiem. Šie noteikumi paredz, ka:</w:t>
      </w:r>
    </w:p>
    <w:p w14:paraId="65A82070"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 xml:space="preserve">finanšu iestādei, kas sniedz ziņojumus, jāapkopo (vai jāņem vērā) visi finanšu konti, kurus uztur finanšu iestāde, kas sniedz ziņojumus, vai saistīta vienība, bet tikai tiktāl, cik šādas finanšu iestādes datorsistēmās finanšu konti ir saistīti, pamatojoties uz tādiem datu elementiem kā klienta numurs vai </w:t>
      </w:r>
      <w:r w:rsidRPr="001B0491">
        <w:rPr>
          <w:rFonts w:ascii="Times New Roman" w:hAnsi="Times New Roman"/>
          <w:i/>
          <w:iCs/>
          <w:sz w:val="24"/>
          <w:szCs w:val="24"/>
        </w:rPr>
        <w:t>TIN</w:t>
      </w:r>
      <w:r w:rsidRPr="001B0491">
        <w:rPr>
          <w:rFonts w:ascii="Times New Roman" w:hAnsi="Times New Roman"/>
          <w:sz w:val="24"/>
          <w:szCs w:val="24"/>
        </w:rPr>
        <w:t>, un tās ļauj apkopot kontu bilances vai vērtības;</w:t>
      </w:r>
    </w:p>
    <w:p w14:paraId="7DF163A4"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apkopošanas prasību piemērošanas nolūkā katram kopīgi turētā finanšu konta turētājam attiecīgi tiek pierēķināta kopīgi turētā finanšu konta kopējā bilance vai vērtība.</w:t>
      </w:r>
    </w:p>
    <w:p w14:paraId="30888D8E"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16. Trešais apkopošanas noteikums ir īpašs noteikums, ko piemēro, lai noteiktu, vai finanšu konts ir lielas vērtības konts. Šis noteikums paredz, ka finanšu iestādei, kas sniedz ziņojumus, papildus pārējiem kontu apkopošanas noteikumiem ir jāapkopo visi finanšu konti, par kuriem klientu apkalpošanas speciālistam ir zināms vai ir pamats zināt, ka tie tieši vai netieši pieder vienai un tai pašai personai vai ka tos kontrolē vai ir izveidojusi viena un tā pati persona (kas nav uzticības persona) (skat. iepriekš 3. punktu un komentāru par III pantu 38.–42. punktu). Šī prasība nozīmē to, ka ir jāapkopo visi konti, starp kuriem klientu apkalpošanas speciālists ir noteicis saistību, pamatojoties uz vārdu, uzvārdu, klienta kodu, klienta identifikācijas numuru, </w:t>
      </w:r>
      <w:r w:rsidRPr="001B0491">
        <w:rPr>
          <w:rFonts w:ascii="Times New Roman" w:hAnsi="Times New Roman"/>
          <w:i/>
          <w:iCs/>
          <w:sz w:val="24"/>
          <w:szCs w:val="24"/>
        </w:rPr>
        <w:t>TIN</w:t>
      </w:r>
      <w:r w:rsidRPr="001B0491">
        <w:rPr>
          <w:rFonts w:ascii="Times New Roman" w:hAnsi="Times New Roman"/>
          <w:sz w:val="24"/>
          <w:szCs w:val="24"/>
        </w:rPr>
        <w:t xml:space="preserve"> vai līdzīgu rādītāju, vai kurus klientu apkalpošanas speciālists parasti savstarpēji saistītu procedūrās, kas tiek piemērotas finanšu iestādē (vai struktūrvienībā, ar kuru klientu apkalpošanas speciālists ir saistīts).</w:t>
      </w:r>
    </w:p>
    <w:p w14:paraId="01AB478C"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17. Dažu jurisdikciju tiesību aktos nav atļauts piemērot C punkta 1.–3. apakšpunktā paredzētos kontu apkopošanas noteikumus. Piemēram, finanšu iestādes, kas sniedz ziņojumus, datorizētās sistēmas var spēt saistīt visus finanšu kontus, kurus uztur finanšu iestāde, kas sniedz ziņojumus, un tās saistītās vienības, taču valsts tiesību aktos var būt ierobežotas vienas vai vairāku šādu saistīto vienību tiesības izpaust konta turētāja personas datus finanšu iestādei, kas sniedz ziņojumus. Šādā gadījumā finanšu iestādei, kas sniedz ziņojumus, ir pienākums piemērot C punkta 1.–3. punktā noteiktos kontu apkopošanas noteikumus, bet vienīgi tiktāl, cik to atļauj valsts tiesību akti.</w:t>
      </w:r>
    </w:p>
    <w:p w14:paraId="22E479DD"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18. Turpmāk sniegti kontu apkopošanas noteikumu piemērošanas piemēri.</w:t>
      </w:r>
    </w:p>
    <w:p w14:paraId="3223C903"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1. piemērs (finanšu iestādei, kas sniedz ziņojumus, nav pienākuma apkopot kontus). Vienība U ir noguldījumu konta turētājs komercbankā AP, kura ir finanšu iestāde, kas sniedz ziņojumus. U konta vērtība 1. gada beigās ir 160 000 USD. Komercbankā AP U tur vēl vienu noguldījumu kontu, kura bilance 1. gada beigās ir 165 000 USD. AP uzņēmumiem, kas nodarbināti banku mazumtirdzniecības pakalpojumu nozarē, ir kopīgas datorizētas informācijas vadības sistēmas, taču U konti nav savstarpēji saistīti šajās datorizētajās informācijas sistēmās. Tā kā konti nav savstarpēji saistīti AP sistēmā, AP nav pienākuma apkopot kontus atbilstīgi C punkta 2. un 3. apakšpunktam un uz abiem kontiem var attiecināt V panta A punktā noteikto izņēmumu, jo neviens no tiem nepārsniedz 250 000 USD robežvērtību.</w:t>
      </w:r>
    </w:p>
    <w:p w14:paraId="21E34BA3"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 xml:space="preserve">2. piemērs (finanšu iestādei, kas sniedz ziņojumus, ir pienākums apkopot kontus). Apstākļi ir tādi paši kā 1. piemērā, izņemot to, ka abi U noguldījumu konti ir saistīti ar U un viens ar otru, pamatojoties uz AP iekšējo identifikācijas numuru. Sistēma uzrāda abu kontu bilances, un šādas bilances ir iespējams elektroniski apkopot, lai arī sistēma nerāda kontu apkopoto bilanci. Nosakot, vai šādi konti atbilst izņēmumam, kas V panta A punktā noteikts attiecībā uz kontiem, kuru apkopotā bilance vai vērtība nepārsniedz 250 000 USD, AP ir pienākums apkopot visu noguldījumu kontu bilances atbilstīgi kontu apkopošanas noteikumiem. Saskaņā ar šiem noteikumiem U uzskatāma par noguldījumu kontu turētāju AP, kuru apkopotā bilance ir 325 000 USD. Tāpēc </w:t>
      </w:r>
      <w:r w:rsidRPr="001B0491">
        <w:rPr>
          <w:rFonts w:ascii="Times New Roman" w:hAnsi="Times New Roman"/>
          <w:sz w:val="24"/>
          <w:szCs w:val="24"/>
        </w:rPr>
        <w:lastRenderedPageBreak/>
        <w:t>izņēmums nav attiecināms uz nevienu no šiem kontiem, jo kopā tie pārsniedz 250 000 USD robežvērtību.</w:t>
      </w:r>
    </w:p>
    <w:p w14:paraId="27D973FF"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3. piemērs (apkopošanas noteikumi attiecībā uz finanšu iestādes, kas sniedz ziņojumus, uzturētajiem kopīgajiem kontiem). Fiziska persona U 1. gadā tur turētāja kontu, kas ir iepriekšpastāvējis konts turētājiestādē SH, kura ir finanšu iestāde, kas sniedz ziņojumus. U turētāja konta bilance turētājiestādē SH 1. gada beigās ir 700 000 USD. U kopā ar savu māsu A tur arī kopīgu turētāja kontu, kas ir iepriekšpastāvējis konts citā turētājiestādē SH2. Kopīgā konta bilance 1. gada beigās ir 700 000 USD. SH un SH2 ir saistītas vienības, un tām ir kopīgas datorizētas informācijas vadības sistēmas. U turētāja konts SH un U un A turētāja konts SH2 ir saistīti ar U un viens ar otru, pamatojoties uz SH iekšējo identifikācijas numuru, un sistēma ļauj apkopot bilances.</w:t>
      </w:r>
      <w:r w:rsidRPr="001B0491">
        <w:rPr>
          <w:rFonts w:ascii="Times New Roman" w:hAnsi="Times New Roman"/>
          <w:color w:val="231F20"/>
          <w:sz w:val="24"/>
          <w:szCs w:val="24"/>
        </w:rPr>
        <w:t xml:space="preserve"> </w:t>
      </w:r>
      <w:r w:rsidRPr="001B0491">
        <w:rPr>
          <w:rFonts w:ascii="Times New Roman" w:hAnsi="Times New Roman"/>
          <w:sz w:val="24"/>
          <w:szCs w:val="24"/>
        </w:rPr>
        <w:t>Lai noteiktu, vai šādi konti atbilst “lielas vērtības konta” definīcijai, SH atbilstīgi kontu apkopošanas noteikumiem ir jāapkopo to kontu bilances, kurus pilnīgi vai daļēji tur viens un tas pats konta turētājs.</w:t>
      </w:r>
      <w:r w:rsidRPr="001B0491">
        <w:rPr>
          <w:rFonts w:ascii="Times New Roman" w:hAnsi="Times New Roman"/>
          <w:color w:val="231F20"/>
          <w:sz w:val="24"/>
          <w:szCs w:val="24"/>
        </w:rPr>
        <w:t xml:space="preserve"> Saskaņā ar šiem noteikumiem uzskatāms, ka U ir finanšu konti SH un SH2, un katra šā konta apkopotā bilance ir 1 400 000 USD. Līdz ar to abi U konti ir lielas vērtības konti. Savukārt attiecībā uz A tiek uzskatīts, ka viņai ir tikai finanšu konts SH2 ar 700 000 USD bilanci, jo viņa netur U turētāja kontu SH. Tāpēc A konts ir zemākas vērtības konts.</w:t>
      </w:r>
    </w:p>
    <w:p w14:paraId="5C43D7ED"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19. Turpmāk sniegti papildu piemēri tam, kā piemērojams īpašais apkopošanas noteikums attiecībā uz klientu apkalpošanas speciālistiem.</w:t>
      </w:r>
    </w:p>
    <w:p w14:paraId="31BF7438"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1. piemērs (konti, ko tur pasīva nefinanšu vienība un viena no tās kontrolējošajām personām). Pasīva nefinanšu vienība T ir noguldījumu konta turētājs komercbankā A, kura ir finanšu iestāde, kas sniedz ziņojumus. Viena no T kontrolējošajām personām N arī tur noguldījumu kontu komercbankā A. Abi konti ir saistīti ar N un viens ar otru, pamatojoties uz A iekšējo identifikācijas numuru. Turklāt A ir norīkojusi klientu apkalpošanas speciālistu N apkalpošanai. Tā kā konti ir saistīti A sistēmā un ar klientu apkalpošanas speciālistu, A ir pienākums apkopot kontus saskaņā ar C punkta 1.–3. apakšpunktu.</w:t>
      </w:r>
    </w:p>
    <w:p w14:paraId="18DA4902"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2. piemērs (konti, ko tur dažādas pasīvas nefinanšu vienības ar kopīgu kontrolējošo personu). Apstākļi ir tādi paši kā 1. piemērā. Turklāt vēl viena pasīva nefinanšu vienība I tur noguldījumu kontu komerciestādē A. N ir arī viena no I kontrolējošajām personām. I konts nav saistīts ne ar N, ne arī ar T un N kontiem, pamatojoties uz A iekšējo identifikācijas numuru. Tā kā konti ir saistīti ar klientu apkalpošanas speciālistu, A ir pienākums apkopot kontus saskaņā ar C punkta 1.–3. apakšpunktu.</w:t>
      </w:r>
    </w:p>
    <w:p w14:paraId="092FA234"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19" w:name="Subparagraph_C(4)_–_Currency_translation"/>
      <w:bookmarkEnd w:id="119"/>
      <w:r w:rsidRPr="001B0491">
        <w:rPr>
          <w:rFonts w:ascii="Times New Roman" w:hAnsi="Times New Roman"/>
          <w:i/>
          <w:color w:val="616161"/>
          <w:sz w:val="24"/>
          <w:szCs w:val="24"/>
        </w:rPr>
        <w:t>C punkta 4. apakšpunkts. Valūtas pārrēķināšanas noteikums</w:t>
      </w:r>
    </w:p>
    <w:p w14:paraId="036E5B84"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20. C punkta 4. apakšpunktā izklāstīts valūtas pārrēķināšanas noteikums, kurš paredz, ka visas dolāros izteiktās summas ir izteiktas ASV dolāros, un tas ietver visas ekvivalentas summas citās valūtās, kas noteiktas atbilstīgi valsts tiesību aktiem. Īstenojot Kopējo ziņošanas standartu, jurisdikcijām ir jāizmanto summas, kas to valūtā ir ekvivalentas ASV dolāros noteiktajām robežvērtību summām, kuras minētas standartā. Tomēr tām nav jāizmanto summas, kas precīzi atbilstu ASV dolāros noteiktajām robežvērtību summām; drīkst izmantot aptuvenas summas.</w:t>
      </w:r>
    </w:p>
    <w:p w14:paraId="3BB99A64"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21. Īstenojot Kopējo ziņošanas standartu, jurisdikcijas var atļaut finanšu iestādēm, kas sniedz ziņojumus, izmantot standartā minētās robežvērtības summas ASV dolāros kopā ar ekvivalentām summām citās valūtās. Tādējādi finanšu iestādes, kuras darbojas vairākās jurisdikcijās, varēs izmantot robežvērtību summas vienā un tajā pašā valūtā visās jurisdikcijās, kurās tās darbojas.</w:t>
      </w:r>
    </w:p>
    <w:p w14:paraId="5A64B416" w14:textId="77777777" w:rsidR="00DB30B8" w:rsidRPr="00C0366A" w:rsidRDefault="00DB30B8" w:rsidP="00DB30B8">
      <w:pPr>
        <w:spacing w:before="120"/>
        <w:rPr>
          <w:rFonts w:ascii="Times New Roman" w:hAnsi="Times New Roman" w:cs="Times New Roman"/>
          <w:b/>
          <w:bCs/>
          <w:noProof/>
          <w:color w:val="4E81BD"/>
        </w:rPr>
      </w:pPr>
      <w:bookmarkStart w:id="120" w:name="Commentary_on_Section_VIII_concerning_De"/>
      <w:bookmarkStart w:id="121" w:name="_bookmark20"/>
      <w:bookmarkEnd w:id="120"/>
      <w:bookmarkEnd w:id="121"/>
      <w:r>
        <w:br w:type="page"/>
      </w:r>
    </w:p>
    <w:p w14:paraId="645D8DF3" w14:textId="77777777" w:rsidR="00DB30B8" w:rsidRPr="009A2A85" w:rsidRDefault="00DB30B8" w:rsidP="00DB30B8">
      <w:pPr>
        <w:spacing w:before="120"/>
        <w:outlineLvl w:val="1"/>
        <w:rPr>
          <w:rFonts w:ascii="Times New Roman" w:hAnsi="Times New Roman" w:cs="Times New Roman"/>
          <w:b/>
          <w:bCs/>
          <w:noProof/>
          <w:color w:val="4E81BD"/>
          <w:sz w:val="56"/>
          <w:szCs w:val="56"/>
        </w:rPr>
      </w:pPr>
      <w:bookmarkStart w:id="122" w:name="_Toc241827501"/>
      <w:r>
        <w:rPr>
          <w:rFonts w:ascii="Times New Roman" w:hAnsi="Times New Roman"/>
          <w:b/>
          <w:color w:val="4E81BD"/>
          <w:sz w:val="56"/>
        </w:rPr>
        <w:lastRenderedPageBreak/>
        <w:t>Komentāri par VIII pantu – par terminu definīcijām</w:t>
      </w:r>
      <w:bookmarkEnd w:id="122"/>
    </w:p>
    <w:p w14:paraId="741B9AEF" w14:textId="77777777" w:rsidR="00DB30B8" w:rsidRDefault="00DB30B8" w:rsidP="00DB30B8">
      <w:pPr>
        <w:spacing w:before="120"/>
        <w:rPr>
          <w:rFonts w:ascii="Times New Roman" w:hAnsi="Times New Roman" w:cs="Times New Roman"/>
          <w:b/>
          <w:noProof/>
        </w:rPr>
      </w:pPr>
    </w:p>
    <w:p w14:paraId="6213C619" w14:textId="77777777" w:rsidR="00DB30B8" w:rsidRPr="00C0366A" w:rsidRDefault="00DB30B8" w:rsidP="00DB30B8">
      <w:pPr>
        <w:spacing w:before="120"/>
        <w:rPr>
          <w:rFonts w:ascii="Times New Roman" w:hAnsi="Times New Roman" w:cs="Times New Roman"/>
          <w:b/>
          <w:noProof/>
        </w:rPr>
      </w:pPr>
    </w:p>
    <w:p w14:paraId="2BA38FEA"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 VIII pantā sniegtas terminu definīcijas, kas iedalītas atbilstoši 5 tematiem: A) finanšu iestāde, kas sniedz ziņojumus, B) finanšu iestāde, kas nesniedz ziņojumus, C) finanšu konts, D) konts, par kuru jāsniedz ziņojums un E) dažādi.</w:t>
      </w:r>
    </w:p>
    <w:p w14:paraId="3CD4CDE3" w14:textId="77777777" w:rsidR="00DB30B8" w:rsidRPr="001B0491" w:rsidRDefault="00DB30B8" w:rsidP="00DB30B8">
      <w:pPr>
        <w:spacing w:before="120"/>
        <w:ind w:left="284"/>
        <w:outlineLvl w:val="6"/>
        <w:rPr>
          <w:rFonts w:ascii="Times New Roman" w:hAnsi="Times New Roman" w:cs="Times New Roman"/>
          <w:b/>
          <w:bCs/>
          <w:i/>
          <w:iCs/>
          <w:noProof/>
          <w:sz w:val="24"/>
          <w:szCs w:val="24"/>
        </w:rPr>
      </w:pPr>
      <w:r w:rsidRPr="001B0491">
        <w:rPr>
          <w:rFonts w:ascii="Times New Roman" w:hAnsi="Times New Roman"/>
          <w:b/>
          <w:i/>
          <w:sz w:val="24"/>
          <w:szCs w:val="24"/>
        </w:rPr>
        <w:t>A punkts. Finanšu iestāde, kas sniedz ziņojumus</w:t>
      </w:r>
    </w:p>
    <w:p w14:paraId="4AEB5B0D"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23" w:name="Subparagraphs_A(1)_and_(2)_–_Reporting_F"/>
      <w:bookmarkEnd w:id="123"/>
      <w:r w:rsidRPr="001B0491">
        <w:rPr>
          <w:rFonts w:ascii="Times New Roman" w:hAnsi="Times New Roman"/>
          <w:i/>
          <w:color w:val="616161"/>
          <w:sz w:val="24"/>
          <w:szCs w:val="24"/>
        </w:rPr>
        <w:t>A punkta 1. un 2. apakšpunkts. Finanšu iestāde, kas sniedz ziņojumus</w:t>
      </w:r>
    </w:p>
    <w:p w14:paraId="4210D68B" w14:textId="77777777" w:rsidR="00DB30B8" w:rsidRPr="001B0491" w:rsidRDefault="00DB30B8" w:rsidP="00DB30B8">
      <w:pPr>
        <w:spacing w:before="120"/>
        <w:ind w:left="284"/>
        <w:rPr>
          <w:rFonts w:ascii="Times New Roman" w:hAnsi="Times New Roman" w:cs="Times New Roman"/>
          <w:noProof/>
          <w:sz w:val="24"/>
          <w:szCs w:val="24"/>
        </w:rPr>
      </w:pPr>
      <w:bookmarkStart w:id="124" w:name="Reporting_Financial_Institution"/>
      <w:bookmarkEnd w:id="124"/>
      <w:r w:rsidRPr="001B0491">
        <w:rPr>
          <w:rFonts w:ascii="Times New Roman" w:hAnsi="Times New Roman"/>
          <w:sz w:val="24"/>
          <w:szCs w:val="24"/>
        </w:rPr>
        <w:t>Finanšu iestāde, kas sniedz ziņojumus</w:t>
      </w:r>
    </w:p>
    <w:p w14:paraId="1B035DA7"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2. A punkta 1. apakšpunktā noteikts, ka “finanšu iestāde, kas sniedz ziņojumus” ir jebkura iesaistītas jurisdikcijas finanšu iestāde, kura nav finanšu iestāde, kas nesniedz ziņojumus. Līdz ar to, lai finanšu iestādi varētu uzskatīt par finanšu iestādi, kas sniedz ziņojumus, tai, pirmkārt, jābūt iesaistītas jursidikcijas finanšu iestādei, un, otrkārt, tā nedrīkst būt finanšu iestāde, kas nesniedz ziņojumus. B punktā noteikta termina “finanšu iestāde, kas nesniedz ziņojumus” nozīme, šim nolūkam izmantojot vairākas definīcijas.</w:t>
      </w:r>
    </w:p>
    <w:p w14:paraId="6B2C8A42" w14:textId="77777777" w:rsidR="00DB30B8" w:rsidRPr="001B0491" w:rsidRDefault="00DB30B8" w:rsidP="00DB30B8">
      <w:pPr>
        <w:spacing w:before="120"/>
        <w:ind w:left="284"/>
        <w:rPr>
          <w:rFonts w:ascii="Times New Roman" w:hAnsi="Times New Roman" w:cs="Times New Roman"/>
          <w:noProof/>
          <w:sz w:val="24"/>
          <w:szCs w:val="24"/>
        </w:rPr>
      </w:pPr>
      <w:bookmarkStart w:id="125" w:name="Participating_Jurisdiction_Financial_Ins"/>
      <w:bookmarkEnd w:id="125"/>
      <w:r w:rsidRPr="001B0491">
        <w:rPr>
          <w:rFonts w:ascii="Times New Roman" w:hAnsi="Times New Roman"/>
          <w:sz w:val="24"/>
          <w:szCs w:val="24"/>
        </w:rPr>
        <w:t>Iesaistītās jurisdikcijas finanšu iestāde</w:t>
      </w:r>
    </w:p>
    <w:p w14:paraId="26C107D4"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 Saskaņā ar A punkta 2. apakšpunktā sniegto definīciju “iesaistītās jursidikcijas finanšu iestāde” ir:</w:t>
      </w:r>
    </w:p>
    <w:p w14:paraId="5656219D"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finanšu iestāde, kas ir iesaistītās jursidikcijas rezidents, izņemot šīs finanšu iestādes filiāles, kas atrodas ārpus šādas iesaistītās jursidikcijas, un</w:t>
      </w:r>
    </w:p>
    <w:p w14:paraId="41545675"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tādas finanšu iestādes filiāle iesaistītajā jursidikcijā, kura pati nav šādas iesaistītās jursidikcijas rezidents.</w:t>
      </w:r>
    </w:p>
    <w:p w14:paraId="5B8598D9"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4. Šajā saistībā finanšu iestāde ir iesaistītās jursidikcijas “rezidents”, ja tā atrodas šādas iesaistītās jursidikcijas pakļautībā (t. i., ja iesaistītā jursidikcija spēj piemērot finanšu iestādei ziņošanas prasību). Parasti, ja finanšu iestādei ir rezidenta statuss nodokļu aprēķina vajadzībām iesaistītajā jursidikcijā, tā atrodas šādas iesaistītās jursidikcijas pakļautībā. Ja finanšu iestāde ir trasts (neatkarīgi no tā, vai tam ir rezidenta statuss nodokļu aprēķina vajadzībām iesaistītajā jursidikcijā), tad uzskata, ka tas ir pakļauts iesaistītajai jursidikcijai, ja viena vai vairākas tā pilnvarotās personas ir šādas iesaistītās jursidikcijas rezidenti, izņemot gadījumus, kad trasts sniedz visu informāciju, kas saskaņā ar </w:t>
      </w:r>
      <w:r w:rsidRPr="001B0491">
        <w:rPr>
          <w:rFonts w:ascii="Times New Roman" w:hAnsi="Times New Roman"/>
          <w:i/>
          <w:iCs/>
          <w:color w:val="231F20"/>
          <w:sz w:val="24"/>
          <w:szCs w:val="24"/>
        </w:rPr>
        <w:t>CRS</w:t>
      </w:r>
      <w:r w:rsidRPr="001B0491">
        <w:rPr>
          <w:rFonts w:ascii="Times New Roman" w:hAnsi="Times New Roman"/>
          <w:color w:val="231F20"/>
          <w:sz w:val="24"/>
          <w:szCs w:val="24"/>
        </w:rPr>
        <w:t xml:space="preserve"> jāsniedz par trasta uzturētiem kontiem, par kuriem jāsniedz ziņojums, citai iesaistītajai jursidikcijai, jo tam ir rezidenta statuss nodokļu aprēķina vajadzībām šādā citā iesaistītajā jursidikcijā. Ja tomēr finanšu iestādei (kas nav trasts) nav rezidenta statusa nodokļu aprēķina vajadzībām (piemēram, tāpēc, ka tā tiek uzskatīta par fiskāli pārredzamu finanšu iestādi vai atrodas jurisdikcijā, kurā netiek piemērots ienākumu nodoklis), uzskata, ka tā ir pakļauta iesaistītajai jurisdikcijai un līdz ar to ir iesaistītās jurisdikcijas finanšu iestāde, ja:</w:t>
      </w:r>
    </w:p>
    <w:p w14:paraId="2F45AE93"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a) tā ir reģistrēta saskaņā ar iesaistītās jursidikcijas tiesību aktiem;</w:t>
      </w:r>
    </w:p>
    <w:p w14:paraId="1F470CE7" w14:textId="77777777" w:rsidR="00DB30B8" w:rsidRPr="001B0491" w:rsidRDefault="00DB30B8" w:rsidP="00DB30B8">
      <w:pPr>
        <w:tabs>
          <w:tab w:val="left" w:pos="941"/>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b) iesaistītajā jursidikcijā atrodas tās vadība (tostarp faktiskā vadība);</w:t>
      </w:r>
    </w:p>
    <w:p w14:paraId="03C6C90C" w14:textId="77777777" w:rsidR="00DB30B8" w:rsidRPr="001B0491" w:rsidRDefault="00DB30B8" w:rsidP="00DB30B8">
      <w:pPr>
        <w:tabs>
          <w:tab w:val="left" w:pos="942"/>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c) tā ir pakļauta iesaistītās jursidikcijas finanšu uzraudzībai.</w:t>
      </w:r>
    </w:p>
    <w:p w14:paraId="7C1B7DA3"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Šajā saistībā termins “iesaistītā jursidikcija” nozīmē jursidikciju, kura ir ieviesusi Kopējo ziņošanas standartu.</w:t>
      </w:r>
    </w:p>
    <w:p w14:paraId="45AFE3D4"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lastRenderedPageBreak/>
        <w:t>5. Ja finanšu iestāde, kas sniedz ziņojumus (izņemot trastu), ir divu vai vairāku iesaistīto jurisdikciju rezidents, tad uz šādu finanšu iestādi attieksies tās iesaistītās jurisdikcijas ziņošanas un pienācīgas pārbaudes prasības, kurā tā uztur finanšu kontu(-us).</w:t>
      </w:r>
    </w:p>
    <w:p w14:paraId="07C4218C"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6. “Filiāle” ir finanšu iestādes struktūrvienība, uzņēmums vai birojs, kas ir uzskatāma par filiāli saskaņā ar jurisdikcijas regulatīvo režīmu vai kas ir citādi reglamentēta jurisdikcijas tiesību aktos kā no citiem finanšu iestādes birojiem, struktūrvienībām un filiālēm atsevišķa vienība. Par filiāli var uzskatīt finanšu iestādes struktūrvienību, uzņēmumu vai biroju, kas atrodas jursidikcijā, kurā finanšu iestādei ir rezidenta statuss, un finanšu iestādes struktūrvienību, uzņēmumu vai biroju, kas atrodas jursidikcijā, kurā finanšu iestāde ir izveidota vai dibināta. Visas finanšu iestādes, kas sniedz ziņojumus, struktūrvienības, uzņēmumus un birojus vienā jurisdikcijā uzskata par vienu filiāli.</w:t>
      </w:r>
    </w:p>
    <w:p w14:paraId="0A47B00F" w14:textId="77777777" w:rsidR="00DB30B8" w:rsidRPr="001B0491" w:rsidRDefault="00DB30B8" w:rsidP="00DB30B8">
      <w:pPr>
        <w:spacing w:before="120"/>
        <w:ind w:left="284"/>
        <w:outlineLvl w:val="7"/>
        <w:rPr>
          <w:rFonts w:ascii="Times New Roman" w:hAnsi="Times New Roman" w:cs="Times New Roman"/>
          <w:i/>
          <w:iCs/>
          <w:noProof/>
          <w:sz w:val="24"/>
          <w:szCs w:val="24"/>
        </w:rPr>
      </w:pPr>
      <w:bookmarkStart w:id="126" w:name="Subparagraphs_A(3)_through_(811)_–_Finan"/>
      <w:bookmarkEnd w:id="126"/>
      <w:r w:rsidRPr="001B0491">
        <w:rPr>
          <w:rFonts w:ascii="Times New Roman" w:hAnsi="Times New Roman"/>
          <w:i/>
          <w:color w:val="616161"/>
          <w:sz w:val="24"/>
          <w:szCs w:val="24"/>
        </w:rPr>
        <w:t>A punkta 3.–</w:t>
      </w:r>
      <w:r w:rsidRPr="001B0491">
        <w:rPr>
          <w:rFonts w:ascii="Times New Roman" w:hAnsi="Times New Roman"/>
          <w:i/>
          <w:strike/>
          <w:color w:val="616161"/>
          <w:sz w:val="24"/>
          <w:szCs w:val="24"/>
        </w:rPr>
        <w:t>8</w:t>
      </w:r>
      <w:r w:rsidRPr="001B0491">
        <w:rPr>
          <w:rFonts w:ascii="Times New Roman" w:hAnsi="Times New Roman"/>
          <w:b/>
          <w:i/>
          <w:color w:val="616161"/>
          <w:sz w:val="24"/>
          <w:szCs w:val="24"/>
          <w:u w:val="thick" w:color="616161"/>
        </w:rPr>
        <w:t>11</w:t>
      </w:r>
      <w:r w:rsidRPr="001B0491">
        <w:rPr>
          <w:rFonts w:ascii="Times New Roman" w:hAnsi="Times New Roman"/>
          <w:i/>
          <w:color w:val="616161"/>
          <w:sz w:val="24"/>
          <w:szCs w:val="24"/>
        </w:rPr>
        <w:t>. apakšpunkts. Finanšu iestāde</w:t>
      </w:r>
    </w:p>
    <w:p w14:paraId="7B39EBC3"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7. Saskaņā ar A punkta 3. apakšpunktu “finanšu iestāde” ir turētājiestāde, noguldījumu iestāde, ieguldījumu vienība vai specializētā apdrošināšanas sabiedrība.</w:t>
      </w:r>
    </w:p>
    <w:p w14:paraId="7816A082"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8. Tas, vai uz vienību attiecas iesaistītās jursidikcijas finanšu jomas normatīvie akti un vai to uzrauga un pārbauda finanšu iestādes regulatīvās uzraudzības iestādes, ir būtisks (taču ne vienmēr izšķirošs) faktors, kas jāņem vērā, nosakot, vai vienība ir kvalificējama kā A punkta 3. apakšpunktā noteiktā finanšu iestāde.</w:t>
      </w:r>
    </w:p>
    <w:p w14:paraId="1718810F" w14:textId="77777777" w:rsidR="00DB30B8" w:rsidRPr="001B0491" w:rsidRDefault="00DB30B8" w:rsidP="00DB30B8">
      <w:pPr>
        <w:spacing w:before="120"/>
        <w:ind w:left="284"/>
        <w:rPr>
          <w:rFonts w:ascii="Times New Roman" w:hAnsi="Times New Roman" w:cs="Times New Roman"/>
          <w:noProof/>
          <w:sz w:val="24"/>
          <w:szCs w:val="24"/>
        </w:rPr>
      </w:pPr>
      <w:bookmarkStart w:id="127" w:name="Custodial_Institution"/>
      <w:bookmarkEnd w:id="127"/>
      <w:r w:rsidRPr="001B0491">
        <w:rPr>
          <w:rFonts w:ascii="Times New Roman" w:hAnsi="Times New Roman"/>
          <w:sz w:val="24"/>
          <w:szCs w:val="24"/>
        </w:rPr>
        <w:t>Turētājiestāde</w:t>
      </w:r>
    </w:p>
    <w:p w14:paraId="221BCA3C"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9. A punkta 4. apakšpunktā noteikts, ka “turētājiestāde” ir jebkura vienība, kas tur finanšu aktīvus citu uzdevumā, šādai darbībai veidojot tās darījumdarbības būtisku daļu.</w:t>
      </w:r>
    </w:p>
    <w:p w14:paraId="1F2A129A"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10. Papildus tajā noteikta arī “darījumdarbības būtiskas daļas” pārbaude. Finanšu aktīvu turēšana citu uzdevumā uzskatāma par vienības darījumdarbības būtisku daļu, ja vienības bruto ienākumi no finanšu aktīvu turēšanas un saistītiem finanšu pakalpojumiem ir vismaz 20 % no vienības bruto ienākumiem īsākajā no šiem laikposmiem:</w:t>
      </w:r>
    </w:p>
    <w:p w14:paraId="2C185744"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trīs gadu laika posmā, kurš beidzas 31. decembrī (vai arī tāda uzskaites perioda pēdējā dienā, kas nav kalendārais gads) pirms gada, kurā ir veikta noteikšana, vai</w:t>
      </w:r>
    </w:p>
    <w:p w14:paraId="3CD8A3D2" w14:textId="77777777" w:rsidR="00DB30B8" w:rsidRPr="001B0491" w:rsidRDefault="00DB30B8" w:rsidP="00DB30B8">
      <w:pPr>
        <w:numPr>
          <w:ilvl w:val="1"/>
          <w:numId w:val="33"/>
        </w:numPr>
        <w:tabs>
          <w:tab w:val="left" w:pos="18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vienības pastāvēšanas laikposmā.</w:t>
      </w:r>
    </w:p>
    <w:p w14:paraId="5E117A24" w14:textId="77777777" w:rsidR="00DB30B8" w:rsidRPr="001B0491" w:rsidRDefault="00DB30B8" w:rsidP="00DB30B8">
      <w:pPr>
        <w:spacing w:before="120"/>
        <w:jc w:val="both"/>
        <w:rPr>
          <w:rFonts w:ascii="Times New Roman" w:hAnsi="Times New Roman" w:cs="Times New Roman"/>
          <w:noProof/>
          <w:sz w:val="24"/>
          <w:szCs w:val="24"/>
        </w:rPr>
      </w:pPr>
      <w:r w:rsidRPr="001B0491">
        <w:rPr>
          <w:rFonts w:ascii="Times New Roman" w:hAnsi="Times New Roman"/>
          <w:sz w:val="24"/>
          <w:szCs w:val="24"/>
        </w:rPr>
        <w:t>“Ienākumi no finanšu aktīvu turēšanas un saistītiem finanšu pakalpojumiem” ir maksa par turēšanu, konta uzturēšanu un pārvedumiem; komisijas maksa un nodevas par vērtspapīru darījumu izpildi un vērtības noteikšanu attiecībā uz finanšu aktīviem, kas pieņemti turēšanā; ienākumi no kredīta piešķiršanas klientiem attiecībā uz finanšu aktīviem, kas pieņemti turēšanā (vai iegūti, piešķirot šādu kredītu); ienākumi no turēšanā pieņemto finanšu aktīvu piedāvātās cenas un pieprasītās cenas starpības; nodevas par finanšu konsultācijām attiecībā uz iestādes turēšanā pieņemtajiem (vai potenciāli pieņemtajiem) finanšu aktīviem; maksa par mijieskaita vai norēķinu pakalpojumiem.</w:t>
      </w:r>
    </w:p>
    <w:p w14:paraId="5F87A286"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10.bis Ienākumi no saistītiem finanšu pakalpojumiem ietver arī komisijas maksas un nodevas par turēšanā pieņemto attiecīgo kriptoaktīvu turēšanu, nodošanu un apmaiņu.</w:t>
      </w:r>
    </w:p>
    <w:p w14:paraId="7172DAA6"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 xml:space="preserve">10.ter Attiecībā uz bruto ienākumu kritēriju jāņem vērā visa atlīdzība par vienības attiecīgajām darbībām neatkarīgi no tā, vai šī atlīdzība ir samaksāta tieši vienībai, kurai piemēro šo kritēriju, vai kādai citai vienībai. Piemēram, noteiktos gadījumos profesionālā grāmatvedības vai juridiskā firma izveido trastu klientam un šajā procesā ieceļ uzņēmuma pilnvaroto personu. Klients tad maksā grāmatvedības vai juridiskajai firmai par visiem pakalpojumiem, kas sniegti saistībā ar trasta izveidi, tostarp par uzņēmuma pilnvarotās personas iecelšanu un citiem pilnvarotās personas pakalpojumiem. Tādējādi pati uzņēmuma pilnvarotā persona nesaņem tiešu atlīdzību par saviem pakalpojumiem, jo tie tiek samaksāti grāmatvedības vai juridiskajai firmai kā daļa no kopējās pakalpojumu </w:t>
      </w:r>
      <w:r w:rsidRPr="001B0491">
        <w:rPr>
          <w:rFonts w:ascii="Times New Roman" w:hAnsi="Times New Roman"/>
          <w:b/>
          <w:i/>
          <w:sz w:val="24"/>
          <w:szCs w:val="24"/>
          <w:u w:val="thick"/>
        </w:rPr>
        <w:lastRenderedPageBreak/>
        <w:t>paketes. Šis jautājums rodas arī saistībā ar vienībām, kas sniedz līdzekļu pārvaldīšanas pakalpojumus, ja maksas par šiem pakalpojumiem tiek maksātas citai vienībai. Abos gadījumos saistībā ar bruto ienākumu kritēriju šāda atlīdzība ir jāņem vērā.</w:t>
      </w:r>
    </w:p>
    <w:p w14:paraId="5E3B08B1"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11. Vienības, kas glabā finanšu aktīvus citu labā, piemēram, turētājbankas, mākleri un centrālie vērtspapīru depozitāriji, parasti tiks uzskatītas par turētājiestādēm. Vienības, kas netur finanšu aktīvus citu labā, piemēram, apdrošināšanas brokeri, netiks uzskatītas par turētājiestādēm.</w:t>
      </w:r>
    </w:p>
    <w:p w14:paraId="19C947D8" w14:textId="77777777" w:rsidR="00DB30B8" w:rsidRPr="001B0491" w:rsidRDefault="00DB30B8" w:rsidP="00DB30B8">
      <w:pPr>
        <w:spacing w:before="120"/>
        <w:jc w:val="both"/>
        <w:rPr>
          <w:rFonts w:ascii="Times New Roman" w:hAnsi="Times New Roman" w:cs="Times New Roman"/>
          <w:b/>
          <w:i/>
          <w:noProof/>
          <w:sz w:val="24"/>
          <w:szCs w:val="24"/>
        </w:rPr>
      </w:pPr>
      <w:r w:rsidRPr="001B0491">
        <w:rPr>
          <w:rFonts w:ascii="Times New Roman" w:hAnsi="Times New Roman"/>
          <w:b/>
          <w:i/>
          <w:sz w:val="24"/>
          <w:szCs w:val="24"/>
          <w:u w:val="thick"/>
        </w:rPr>
        <w:t xml:space="preserve">11.bis </w:t>
      </w:r>
      <w:r w:rsidRPr="001B0491">
        <w:rPr>
          <w:rFonts w:ascii="Times New Roman" w:hAnsi="Times New Roman"/>
          <w:b/>
          <w:i/>
          <w:sz w:val="24"/>
          <w:szCs w:val="24"/>
          <w:u w:val="single"/>
        </w:rPr>
        <w:t>Attiecībā uz finanšu aktīviem, kas emitēti attiecīgo kriptoaktīvu veidā, ar “drošu glabāšanu” saprot arī tādu instrumentu drošu glabāšanu vai administrēšanu, kas nodrošina šo aktīvu kontroli (piemēram, privātās atslēgas), ciktāl šai vienībai ir spēja pārvaldīt, tirgot vai nodot trešajām personām pamatā esošos finanšu aktīvus lietotāja vārdā. Tādējādi vienība, kas attiecībā uz šādiem finanšu aktīviem piedāvā tikai privāto atslēgu uzglabāšanas vai drošības pakalpojumus, nav uzskatāma par turētājiestādi.</w:t>
      </w:r>
    </w:p>
    <w:p w14:paraId="59D5DF44" w14:textId="77777777" w:rsidR="00DB30B8" w:rsidRPr="001B0491" w:rsidRDefault="00DB30B8" w:rsidP="00DB30B8">
      <w:pPr>
        <w:spacing w:before="120"/>
        <w:ind w:left="284"/>
        <w:rPr>
          <w:rFonts w:ascii="Times New Roman" w:hAnsi="Times New Roman" w:cs="Times New Roman"/>
          <w:noProof/>
          <w:sz w:val="24"/>
          <w:szCs w:val="24"/>
        </w:rPr>
      </w:pPr>
      <w:bookmarkStart w:id="128" w:name="Depository_Institution"/>
      <w:bookmarkEnd w:id="128"/>
      <w:r w:rsidRPr="001B0491">
        <w:rPr>
          <w:rFonts w:ascii="Times New Roman" w:hAnsi="Times New Roman"/>
          <w:sz w:val="24"/>
          <w:szCs w:val="24"/>
        </w:rPr>
        <w:t>Noguldījumu iestāde</w:t>
      </w:r>
    </w:p>
    <w:p w14:paraId="7CE31D93"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12. A punkta 5. apakšpunktā noteikts, ka “noguldījumu iestāde” ir jebkura vienība, kas a) pieņem noguldījumus, veicot parastu bankas darbību vai līdzīgu darījumdarbību, </w:t>
      </w:r>
      <w:r w:rsidRPr="001B0491">
        <w:rPr>
          <w:rFonts w:ascii="Times New Roman" w:hAnsi="Times New Roman"/>
          <w:b/>
          <w:bCs/>
          <w:i/>
          <w:iCs/>
          <w:sz w:val="24"/>
          <w:szCs w:val="24"/>
          <w:u w:val="single"/>
        </w:rPr>
        <w:t>vai b) tur noteiktos elektroniskās naudas produktus vai centrālās bankas digitālās valūtas klientu labā.</w:t>
      </w:r>
    </w:p>
    <w:p w14:paraId="2FF2837E"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13. Uzskatāms, ka vienība </w:t>
      </w:r>
      <w:r w:rsidRPr="001B0491">
        <w:rPr>
          <w:rFonts w:ascii="Times New Roman" w:hAnsi="Times New Roman"/>
          <w:strike/>
          <w:sz w:val="24"/>
          <w:szCs w:val="24"/>
        </w:rPr>
        <w:t>veic</w:t>
      </w:r>
      <w:r w:rsidRPr="001B0491">
        <w:rPr>
          <w:rFonts w:ascii="Times New Roman" w:hAnsi="Times New Roman"/>
          <w:sz w:val="24"/>
          <w:szCs w:val="24"/>
        </w:rPr>
        <w:t xml:space="preserve"> </w:t>
      </w:r>
      <w:r w:rsidRPr="001B0491">
        <w:rPr>
          <w:rFonts w:ascii="Times New Roman" w:hAnsi="Times New Roman"/>
          <w:b/>
          <w:i/>
          <w:iCs/>
          <w:sz w:val="24"/>
          <w:szCs w:val="24"/>
          <w:u w:val="thick"/>
        </w:rPr>
        <w:t>pieņem noguldījumus, veicot parastu</w:t>
      </w:r>
      <w:r w:rsidRPr="001B0491">
        <w:rPr>
          <w:rFonts w:ascii="Times New Roman" w:hAnsi="Times New Roman"/>
          <w:sz w:val="24"/>
          <w:szCs w:val="24"/>
        </w:rPr>
        <w:t xml:space="preserve"> “bankas darbību vai līdzīgu darījumdarbību”, ja savā parastajā darbā ar klientiem vienība pieņem noguldījumus vai citus līdzīgus finanšu līdzekļu ieguldījumus un regulāri iesaistās </w:t>
      </w:r>
      <w:r w:rsidRPr="001B0491">
        <w:rPr>
          <w:rFonts w:ascii="Times New Roman" w:hAnsi="Times New Roman"/>
          <w:b/>
          <w:i/>
          <w:iCs/>
          <w:sz w:val="24"/>
          <w:szCs w:val="24"/>
          <w:u w:val="thick" w:color="231F20"/>
        </w:rPr>
        <w:t>vai tai ir licence iesaistīties</w:t>
      </w:r>
      <w:r w:rsidRPr="001B0491">
        <w:rPr>
          <w:rFonts w:ascii="Times New Roman" w:hAnsi="Times New Roman"/>
          <w:sz w:val="24"/>
          <w:szCs w:val="24"/>
        </w:rPr>
        <w:t xml:space="preserve"> vienā vai vairākās šādās darbībās:</w:t>
      </w:r>
    </w:p>
    <w:p w14:paraId="05AB529E" w14:textId="77777777" w:rsidR="00DB30B8" w:rsidRPr="001B0491" w:rsidRDefault="00DB30B8" w:rsidP="00DB30B8">
      <w:pPr>
        <w:tabs>
          <w:tab w:val="left" w:pos="941"/>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a) izsniedz patēriņa aizdevumus, hipotekāros aizdevumus, aizdevumus uzņēmumiem un citus aizdevumus vai veic citus kredīta piešķīrumus;</w:t>
      </w:r>
    </w:p>
    <w:p w14:paraId="188D22B6"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b) pērk, pārdod, diskontē vai inkasē debitoru parādus, iemaksu saistības, banknotes, maksāšanas orderus, čekus, vekseļus, pārvedu vekseļus vai citus parādsaistību apliecinājumus;</w:t>
      </w:r>
    </w:p>
    <w:p w14:paraId="79795324" w14:textId="77777777" w:rsidR="00DB30B8" w:rsidRPr="001B0491" w:rsidRDefault="00DB30B8" w:rsidP="00DB30B8">
      <w:pPr>
        <w:tabs>
          <w:tab w:val="left" w:pos="942"/>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c) izsniedz akreditīvus un inkasē no tiem izrietošos maksāšanas orderus;</w:t>
      </w:r>
    </w:p>
    <w:p w14:paraId="3E7780AB" w14:textId="77777777" w:rsidR="00DB30B8" w:rsidRPr="001B0491" w:rsidRDefault="00DB30B8" w:rsidP="00DB30B8">
      <w:pPr>
        <w:tabs>
          <w:tab w:val="left" w:pos="941"/>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d) sniedz trasta vai uzticības personas pakalpojumus;</w:t>
      </w:r>
    </w:p>
    <w:p w14:paraId="098FEBE1" w14:textId="77777777" w:rsidR="00DB30B8" w:rsidRPr="001B0491" w:rsidRDefault="00DB30B8" w:rsidP="00DB30B8">
      <w:pPr>
        <w:tabs>
          <w:tab w:val="left" w:pos="941"/>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e) finansē ārvalstu valūtas maiņas darījumus vai</w:t>
      </w:r>
    </w:p>
    <w:p w14:paraId="7158BC59" w14:textId="77777777" w:rsidR="00DB30B8" w:rsidRPr="001B0491" w:rsidRDefault="00DB30B8" w:rsidP="00DB30B8">
      <w:pPr>
        <w:tabs>
          <w:tab w:val="left" w:pos="941"/>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f) slēdz vai pērk līgumus par finanšu nomu vai nomā nodotus aktīvus vai tos realizē.</w:t>
      </w:r>
    </w:p>
    <w:p w14:paraId="743EA993" w14:textId="77777777" w:rsidR="00DB30B8" w:rsidRPr="001B0491" w:rsidRDefault="00DB30B8" w:rsidP="00DB30B8">
      <w:pPr>
        <w:spacing w:before="120"/>
        <w:jc w:val="both"/>
        <w:rPr>
          <w:rFonts w:ascii="Times New Roman" w:hAnsi="Times New Roman" w:cs="Times New Roman"/>
          <w:noProof/>
          <w:sz w:val="24"/>
          <w:szCs w:val="24"/>
        </w:rPr>
      </w:pPr>
      <w:r w:rsidRPr="001B0491">
        <w:rPr>
          <w:rFonts w:ascii="Times New Roman" w:hAnsi="Times New Roman"/>
          <w:sz w:val="24"/>
          <w:szCs w:val="24"/>
        </w:rPr>
        <w:t xml:space="preserve">Ja vienība noguldījumus no personām pieņem tikai kā nodrošinājumu vai garantiju īpašuma pirkšanas vai nomas gadījumā vai saskaņā ar līdzīgu finansēšanas vienošanos starp šādu vienību un personu, kura tur noguldījumu šajā vienībā, tad šādu vienību nevar uzskatīt par tādu, kas </w:t>
      </w:r>
      <w:r w:rsidRPr="001B0491">
        <w:rPr>
          <w:rFonts w:ascii="Times New Roman" w:hAnsi="Times New Roman"/>
          <w:strike/>
          <w:sz w:val="24"/>
          <w:szCs w:val="24"/>
        </w:rPr>
        <w:t>veic</w:t>
      </w:r>
      <w:r w:rsidRPr="001B0491">
        <w:rPr>
          <w:rFonts w:ascii="Times New Roman" w:hAnsi="Times New Roman"/>
          <w:sz w:val="24"/>
          <w:szCs w:val="24"/>
        </w:rPr>
        <w:t xml:space="preserve"> </w:t>
      </w:r>
      <w:r w:rsidRPr="001B0491">
        <w:rPr>
          <w:rFonts w:ascii="Times New Roman" w:hAnsi="Times New Roman"/>
          <w:b/>
          <w:i/>
          <w:sz w:val="24"/>
          <w:szCs w:val="24"/>
          <w:u w:val="thick"/>
        </w:rPr>
        <w:t>pieņem noguldījumus, veicot parastu</w:t>
      </w:r>
      <w:r w:rsidRPr="001B0491">
        <w:rPr>
          <w:rFonts w:ascii="Times New Roman" w:hAnsi="Times New Roman"/>
          <w:sz w:val="24"/>
          <w:szCs w:val="24"/>
        </w:rPr>
        <w:t xml:space="preserve"> bankas darbību vai līdzīgu darījumdarbību.</w:t>
      </w:r>
    </w:p>
    <w:p w14:paraId="22FC675D" w14:textId="77777777" w:rsidR="00DB30B8" w:rsidRPr="001B0491" w:rsidRDefault="00DB30B8" w:rsidP="00DB30B8">
      <w:pPr>
        <w:tabs>
          <w:tab w:val="left" w:pos="941"/>
        </w:tabs>
        <w:spacing w:before="120"/>
        <w:jc w:val="both"/>
        <w:rPr>
          <w:rFonts w:ascii="Times New Roman" w:hAnsi="Times New Roman" w:cs="Times New Roman"/>
          <w:b/>
          <w:i/>
          <w:noProof/>
          <w:sz w:val="24"/>
          <w:szCs w:val="24"/>
          <w:u w:val="thick"/>
        </w:rPr>
      </w:pPr>
      <w:r w:rsidRPr="001B0491">
        <w:rPr>
          <w:rFonts w:ascii="Times New Roman" w:hAnsi="Times New Roman"/>
          <w:sz w:val="24"/>
          <w:szCs w:val="24"/>
          <w:u w:val="thick"/>
        </w:rPr>
        <w:t>14.</w:t>
      </w:r>
      <w:r w:rsidRPr="001B0491">
        <w:rPr>
          <w:rFonts w:ascii="Times New Roman" w:hAnsi="Times New Roman"/>
          <w:b/>
          <w:i/>
          <w:sz w:val="24"/>
          <w:szCs w:val="24"/>
          <w:u w:val="thick"/>
        </w:rPr>
        <w:t xml:space="preserve"> Vienība ir uzskatāma par noguldījumu iestādi arī tad, ja tā tur noteiktos elektroniskās naudas produktus vai centrālās bankas digitālās valūtas klientu labā. Vairumā gadījumu šāda vienība būs noteikto elektroniskās naudas produktu vai centrālās bankas digitālo valūtu emitents. Attiecībā uz noteiktajiem elektroniskās naudas produktiem, kas emitēti kriptoaktīva veidā, noguldījumu iestāde, kas tur šādu produktu, parasti būs uzraugošs kriptoaktīvu maiņas vai maka pakalpojumu sniedzējs.</w:t>
      </w:r>
    </w:p>
    <w:p w14:paraId="4816111C" w14:textId="77777777" w:rsidR="00DB30B8" w:rsidRPr="001B0491" w:rsidRDefault="00DB30B8" w:rsidP="00DB30B8">
      <w:pPr>
        <w:spacing w:before="120"/>
        <w:jc w:val="both"/>
        <w:rPr>
          <w:rFonts w:ascii="Times New Roman" w:hAnsi="Times New Roman" w:cs="Times New Roman"/>
          <w:strike/>
          <w:noProof/>
          <w:sz w:val="24"/>
          <w:szCs w:val="24"/>
        </w:rPr>
      </w:pPr>
      <w:r w:rsidRPr="001B0491">
        <w:rPr>
          <w:rFonts w:ascii="Times New Roman" w:hAnsi="Times New Roman"/>
          <w:strike/>
          <w:sz w:val="24"/>
          <w:szCs w:val="24"/>
        </w:rPr>
        <w:t>Krājbankas, komercbankas un krājaizdevu sabiedrības parasti ir jāuzskata par noguldījumu iestādēm. Tomēr tas, vai vienība veic banku darbību vai līdzīgu darījumdarbību, tiek noteikts, pamatojoties uz šādas vienības faktiskajām darbībām.</w:t>
      </w:r>
    </w:p>
    <w:p w14:paraId="119B2D1A" w14:textId="77777777" w:rsidR="00DB30B8" w:rsidRPr="001B0491" w:rsidRDefault="00DB30B8" w:rsidP="00DB30B8">
      <w:pPr>
        <w:spacing w:before="120"/>
        <w:rPr>
          <w:rFonts w:ascii="Times New Roman" w:hAnsi="Times New Roman" w:cs="Times New Roman"/>
          <w:noProof/>
          <w:sz w:val="24"/>
          <w:szCs w:val="24"/>
        </w:rPr>
      </w:pPr>
    </w:p>
    <w:p w14:paraId="091DEE54" w14:textId="77777777" w:rsidR="00DB30B8" w:rsidRPr="001B0491" w:rsidRDefault="00DB30B8" w:rsidP="00DB30B8">
      <w:pPr>
        <w:spacing w:before="120"/>
        <w:ind w:left="284"/>
        <w:rPr>
          <w:rFonts w:ascii="Times New Roman" w:hAnsi="Times New Roman" w:cs="Times New Roman"/>
          <w:noProof/>
          <w:sz w:val="24"/>
          <w:szCs w:val="24"/>
        </w:rPr>
      </w:pPr>
      <w:bookmarkStart w:id="129" w:name="Investment_Entity"/>
      <w:bookmarkEnd w:id="129"/>
      <w:r w:rsidRPr="001B0491">
        <w:rPr>
          <w:rFonts w:ascii="Times New Roman" w:hAnsi="Times New Roman"/>
          <w:sz w:val="24"/>
          <w:szCs w:val="24"/>
        </w:rPr>
        <w:t>Ieguldījumu vienība</w:t>
      </w:r>
    </w:p>
    <w:p w14:paraId="5C4CC29D"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15. Termins “ieguldījumu vienība” ietver divu veidu vienības: vienības, kas galvenokārt nodarbojas ar ieguldījumiem uzņēmējdarbībā citu personu vārdā, un vienības, kuras atrodas šādas vienības vai citu finanšu iestāžu pārvaldībā.</w:t>
      </w:r>
    </w:p>
    <w:p w14:paraId="07D2E06C"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16. A punkta 6. apakšpunkta a) daļā pirmā veida “ieguldījumu vienība” ir definēta kā vienība, kuras darījumdarbība galvenokārt ir veikt vienu vai vairākas šādas darbības vai operācijas klienta uzdevumā vai vārdā:</w:t>
      </w:r>
    </w:p>
    <w:p w14:paraId="3FF84B7A"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tirdzniecība ar naudas tirgus instrumentiem (čekiem, vekseļiem, noguldījumu sertifikātiem, atvasinātiem instrumentiem u. c.); ārvalstu valūtu; valūtas kursa, procentu likmju un indeksu instrumentiem; pārvedamiem vērtspapīriem vai regulētā tirgū tirgotiem preču nākotnes līgumiem;</w:t>
      </w:r>
    </w:p>
    <w:p w14:paraId="337462A9"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individuāla un kolektīva portfeļa pārvaldība vai</w:t>
      </w:r>
    </w:p>
    <w:p w14:paraId="12F9B0FC" w14:textId="77777777" w:rsidR="00DB30B8" w:rsidRPr="001B0491" w:rsidRDefault="00DB30B8" w:rsidP="00DB30B8">
      <w:pPr>
        <w:tabs>
          <w:tab w:val="left" w:pos="943"/>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 xml:space="preserve">c) citāda finanšu aktīvu, naudas </w:t>
      </w:r>
      <w:r w:rsidRPr="001B0491">
        <w:rPr>
          <w:rFonts w:ascii="Times New Roman" w:hAnsi="Times New Roman"/>
          <w:b/>
          <w:bCs/>
          <w:i/>
          <w:iCs/>
          <w:color w:val="231F20"/>
          <w:sz w:val="24"/>
          <w:szCs w:val="24"/>
          <w:u w:val="single"/>
        </w:rPr>
        <w:t>(tostarp centrālās bankas digitālo valūtu) vai attiecīgo kriptoaktīvu</w:t>
      </w:r>
      <w:r w:rsidRPr="001B0491">
        <w:rPr>
          <w:rFonts w:ascii="Times New Roman" w:hAnsi="Times New Roman"/>
          <w:color w:val="231F20"/>
          <w:sz w:val="24"/>
          <w:szCs w:val="24"/>
        </w:rPr>
        <w:t xml:space="preserve"> ieguldīšana, administrēšana vai pārvaldība citu personu vārdā.</w:t>
      </w:r>
    </w:p>
    <w:p w14:paraId="100760E2" w14:textId="77777777" w:rsidR="00DB30B8" w:rsidRPr="001B0491" w:rsidRDefault="00DB30B8" w:rsidP="00DB30B8">
      <w:pPr>
        <w:spacing w:before="120"/>
        <w:ind w:firstLine="284"/>
        <w:jc w:val="both"/>
        <w:rPr>
          <w:rFonts w:ascii="Times New Roman" w:hAnsi="Times New Roman" w:cs="Times New Roman"/>
          <w:b/>
          <w:i/>
          <w:noProof/>
          <w:sz w:val="24"/>
          <w:szCs w:val="24"/>
          <w:u w:val="thick"/>
        </w:rPr>
      </w:pPr>
      <w:r w:rsidRPr="001B0491">
        <w:rPr>
          <w:rFonts w:ascii="Times New Roman" w:hAnsi="Times New Roman"/>
          <w:sz w:val="24"/>
          <w:szCs w:val="24"/>
        </w:rPr>
        <w:t xml:space="preserve">Par šādiem pasākumiem vai operācijām nav uzskatāma nesaistošu ieguldījumu konsultāciju sniegšana klientam. </w:t>
      </w:r>
      <w:r w:rsidRPr="001B0491">
        <w:rPr>
          <w:rFonts w:ascii="Times New Roman" w:hAnsi="Times New Roman"/>
          <w:b/>
          <w:i/>
          <w:iCs/>
          <w:sz w:val="24"/>
          <w:szCs w:val="24"/>
          <w:u w:val="single"/>
        </w:rPr>
        <w:t>Attiecībā uz A punkta 6. apakšpunkta a) daļu termins “klients” ietver kolektīvo ieguldījumu instrumenta līdzdalības daļas turētāju, ja uzskatāms, ka kolektīvo ieguldījumu uzņēmums veic darbības vai operācijas kā darījumdarbību.</w:t>
      </w:r>
      <w:r w:rsidRPr="001B0491">
        <w:rPr>
          <w:rFonts w:ascii="Times New Roman" w:hAnsi="Times New Roman"/>
          <w:b/>
          <w:i/>
          <w:sz w:val="24"/>
          <w:szCs w:val="24"/>
          <w:u w:val="thick"/>
        </w:rPr>
        <w:t xml:space="preserve"> Attiecībā uz A punkta 6. apakšpunkta a) daļas iii) punktu termins “ieguldīšana, administrēšana vai tirdzniecība” neietver maiņas darījumu izpildes pakalpojumu klientiem vai to vārdā.</w:t>
      </w:r>
    </w:p>
    <w:p w14:paraId="061C6D76" w14:textId="77777777" w:rsidR="00DB30B8" w:rsidRPr="001B0491" w:rsidRDefault="00DB30B8" w:rsidP="00DB30B8">
      <w:pPr>
        <w:tabs>
          <w:tab w:val="left" w:pos="941"/>
        </w:tabs>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sz w:val="24"/>
          <w:szCs w:val="24"/>
        </w:rPr>
        <w:t xml:space="preserve">17. A punkta 6. apakšpunkta b) daļā otrā veida “ieguldījumu vienība” ir definēta kā vienība, kuras bruto ienākumi galvenokārt ir saistīti ar finanšu aktīvu </w:t>
      </w:r>
      <w:r w:rsidRPr="001B0491">
        <w:rPr>
          <w:rFonts w:ascii="Times New Roman" w:hAnsi="Times New Roman"/>
          <w:b/>
          <w:bCs/>
          <w:i/>
          <w:iCs/>
          <w:sz w:val="24"/>
          <w:szCs w:val="24"/>
          <w:u w:val="single"/>
        </w:rPr>
        <w:t>vai attiecīgo kriptoaktīvu</w:t>
      </w:r>
      <w:r w:rsidRPr="001B0491">
        <w:rPr>
          <w:rFonts w:ascii="Times New Roman" w:hAnsi="Times New Roman"/>
          <w:sz w:val="24"/>
          <w:szCs w:val="24"/>
        </w:rPr>
        <w:t xml:space="preserve"> ieguldīšanu, atkārtotu ieguldīšanu vai tirdzniecību, ja vienību pārvalda cita vienība, kas ir noguldījumu iestāde, turētājiestāde, specializētā apdrošināšanas sabiedrība vai ieguldījumu vienība, kas aprakstīta A punkta 6. apakšpunkta a) daļā. Cita vienība “pārvalda” vienību, ja tā tieši vai ar pakalpojuma sniedzēja starpniecību veic kādas A punkta 6 apakšpunkta a) daļā noteiktās darbības vai operācijas pārvaldītās vienības vārdā. Tomēr cita vienība nepārvalda vienību, ja tā nevar (pilnīgi vai daļēji) pārvaldīt vienības aktīvus pēc saviem ieskatiem. Ja vienību pārvalda jaukta finanšu iestāžu, nefinanšu iestāžu vai fizisku personu grupa, tad var uzskatīt, ka šo vienību pārvalda cita vienība, kas ir noguldījumu iestāde, turētājiestāde, specializētā apdrošināšanas sabiedrība vai ieguldījumu vienība, kura minēta A punkta 6. apakšpunkta a) daļā, ja kāda no pārvaldošajām vienībām ir šāda cita vienība. </w:t>
      </w:r>
      <w:r w:rsidRPr="001B0491">
        <w:rPr>
          <w:rFonts w:ascii="Times New Roman" w:hAnsi="Times New Roman"/>
          <w:b/>
          <w:i/>
          <w:color w:val="231F20"/>
          <w:sz w:val="24"/>
          <w:szCs w:val="24"/>
          <w:u w:val="single"/>
        </w:rPr>
        <w:t>Piemēram, privāts trasta uzņēmums, kas rīkojas kā reģistrēts trasta birojs vai reģistrēts trasta aģents vai veic administratīvus pakalpojumus, kas nav saistīti ar trasta finanšu aktīviem, attiecīgiem kriptoaktīviem vai naudu, neveic A punkta 6. apakšpunkta a) daļā aprakstītās darbības un operācijas trasta vārdā, tādējādi trastu “nepārvalda” privātais trasta uzņēmums A punkta 6. apakšpunkta b) daļas izpratnē.</w:t>
      </w:r>
      <w:r w:rsidRPr="001B0491">
        <w:rPr>
          <w:rFonts w:ascii="Times New Roman" w:hAnsi="Times New Roman"/>
          <w:b/>
          <w:i/>
          <w:color w:val="231F20"/>
          <w:sz w:val="24"/>
          <w:szCs w:val="24"/>
          <w:u w:val="thick" w:color="231F20"/>
        </w:rPr>
        <w:t xml:space="preserve"> </w:t>
      </w:r>
      <w:r w:rsidRPr="001B0491">
        <w:rPr>
          <w:rFonts w:ascii="Times New Roman" w:hAnsi="Times New Roman"/>
          <w:b/>
          <w:i/>
          <w:color w:val="231F20"/>
          <w:sz w:val="24"/>
          <w:szCs w:val="24"/>
          <w:u w:val="single"/>
        </w:rPr>
        <w:t>Ja vienība visus savus aktīvus vai to daļu iegulda kopieguldījumu fondā, biržā tirgotā fondā vai līdzīgā instrumentā, uzskatāms arī, ka to “nepārvalda” kopieguldījumu fonds, biržā tirgots fonds vai līdzīgs instruments.</w:t>
      </w:r>
      <w:r w:rsidRPr="001B0491">
        <w:rPr>
          <w:rFonts w:ascii="Times New Roman" w:hAnsi="Times New Roman"/>
          <w:b/>
          <w:i/>
          <w:color w:val="231F20"/>
          <w:sz w:val="24"/>
          <w:szCs w:val="24"/>
          <w:u w:val="thick" w:color="231F20"/>
        </w:rPr>
        <w:t xml:space="preserve"> Abos šajos piemēros ir jāprecizē, vai vienību pārvalda cita vienība, lai noskaidrotu, vai pirmā minētā vienība ietilpst A punkta 6. apakšpunkta b) daļā sniegtajā ieguldījumu vienības definīcijā.</w:t>
      </w:r>
    </w:p>
    <w:p w14:paraId="0B9FF38E"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color w:val="231F20"/>
          <w:sz w:val="24"/>
          <w:szCs w:val="24"/>
          <w:u w:color="231F20"/>
        </w:rPr>
        <w:t>18.</w:t>
      </w:r>
      <w:r w:rsidRPr="001B0491">
        <w:rPr>
          <w:rFonts w:ascii="Times New Roman" w:hAnsi="Times New Roman"/>
          <w:b/>
          <w:i/>
          <w:color w:val="231F20"/>
          <w:sz w:val="24"/>
          <w:szCs w:val="24"/>
          <w:u w:val="thick" w:color="231F20"/>
        </w:rPr>
        <w:t xml:space="preserve"> </w:t>
      </w:r>
      <w:r w:rsidRPr="001B0491">
        <w:rPr>
          <w:rFonts w:ascii="Times New Roman" w:hAnsi="Times New Roman"/>
          <w:sz w:val="24"/>
          <w:szCs w:val="24"/>
        </w:rPr>
        <w:t xml:space="preserve">Uzskata, ka vienības darījumdarbība galvenokārt ir viena vai vairākas A punkta 6. apakšpunkta a) daļā aprakstītās darbības vai ka vienības bruto ienākumi galvenokārt ir saistīti ar finanšu aktīvu </w:t>
      </w:r>
      <w:r w:rsidRPr="001B0491">
        <w:rPr>
          <w:rFonts w:ascii="Times New Roman" w:hAnsi="Times New Roman"/>
          <w:b/>
          <w:i/>
          <w:iCs/>
          <w:sz w:val="24"/>
          <w:szCs w:val="24"/>
          <w:u w:val="thick"/>
        </w:rPr>
        <w:t>vai attiecīgo kriptoaktīvu</w:t>
      </w:r>
      <w:r w:rsidRPr="001B0491">
        <w:rPr>
          <w:rFonts w:ascii="Times New Roman" w:hAnsi="Times New Roman"/>
          <w:sz w:val="24"/>
          <w:szCs w:val="24"/>
        </w:rPr>
        <w:t xml:space="preserve"> ieguldīšanu, atkārtotu ieguldīšanu vai tirdzniecību A punkta 6. apakšpunkta b) daļas vajadzībām, ja vienības bruto ienākumi, kas </w:t>
      </w:r>
      <w:r w:rsidRPr="001B0491">
        <w:rPr>
          <w:rFonts w:ascii="Times New Roman" w:hAnsi="Times New Roman"/>
          <w:sz w:val="24"/>
          <w:szCs w:val="24"/>
        </w:rPr>
        <w:lastRenderedPageBreak/>
        <w:t>saistīti ar attiecīgajām darbībām, ir vismaz 50 % no vienības bruto ienākumiem vai nu:</w:t>
      </w:r>
    </w:p>
    <w:p w14:paraId="124F3E18"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pēdējo trīs gadu laikposmā, kurš beidzas 31. decembrī gadā, kas ir pirms gada, kurā veikta noteikšana, vai</w:t>
      </w:r>
    </w:p>
    <w:p w14:paraId="050DD858"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vienības pastāvēšanas laikposmā.</w:t>
      </w:r>
    </w:p>
    <w:p w14:paraId="7F314F3A" w14:textId="77777777" w:rsidR="00DB30B8" w:rsidRPr="001B0491" w:rsidRDefault="00DB30B8" w:rsidP="00DB30B8">
      <w:pPr>
        <w:spacing w:before="120"/>
        <w:ind w:firstLine="426"/>
        <w:jc w:val="both"/>
        <w:rPr>
          <w:rFonts w:ascii="Times New Roman" w:hAnsi="Times New Roman" w:cs="Times New Roman"/>
          <w:b/>
          <w:i/>
          <w:noProof/>
          <w:sz w:val="24"/>
          <w:szCs w:val="24"/>
          <w:u w:val="thick"/>
        </w:rPr>
      </w:pPr>
      <w:r w:rsidRPr="001B0491">
        <w:rPr>
          <w:rFonts w:ascii="Times New Roman" w:hAnsi="Times New Roman"/>
          <w:b/>
          <w:i/>
          <w:sz w:val="24"/>
          <w:szCs w:val="24"/>
          <w:u w:val="thick"/>
        </w:rPr>
        <w:t>Kā precizēts iepriekš 10.ter apakšpunktā, attiecībā uz bruto ienākumu kritēriju jāņem vērā visa atlīdzība par vienības attiecīgajām darbībām neatkarīgi no tā, vai šī atlīdzība ir samaksāta tieši vienībai, kurai piemēro šo kritēriju, vai kādai citai vienībai.</w:t>
      </w:r>
    </w:p>
    <w:p w14:paraId="21B96B2B" w14:textId="77777777" w:rsidR="00DB30B8" w:rsidRPr="001B0491" w:rsidRDefault="00DB30B8" w:rsidP="00DB30B8">
      <w:pPr>
        <w:tabs>
          <w:tab w:val="left" w:pos="942"/>
        </w:tabs>
        <w:spacing w:before="120"/>
        <w:jc w:val="both"/>
        <w:rPr>
          <w:rFonts w:ascii="Times New Roman" w:hAnsi="Times New Roman" w:cs="Times New Roman"/>
          <w:noProof/>
          <w:sz w:val="24"/>
          <w:szCs w:val="24"/>
        </w:rPr>
      </w:pPr>
      <w:r w:rsidRPr="001B0491">
        <w:rPr>
          <w:rFonts w:ascii="Times New Roman" w:hAnsi="Times New Roman"/>
          <w:sz w:val="24"/>
          <w:szCs w:val="24"/>
        </w:rPr>
        <w:t>19. A punkta 6. apakšpunktā definētais termins “ieguldījumu vienība” neietver vienību, kas ir aktīva nefinanšu vienība, jo minētā vienība atbilst visiem D punkta 9. apakšpunkta d)–g) daļas kritērijiem (t. i., turētājas nefinanšu vienības un finanšu līdzekļu centri, kas ietilpst nefinanšu grupā, jaunuzņēmumi, kas ir nefinanšu vienības, un nefinanšu vienības, kas tiek likvidētas vai radītas bankrota procedūrā).</w:t>
      </w:r>
    </w:p>
    <w:p w14:paraId="61511747"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sz w:val="24"/>
          <w:szCs w:val="24"/>
        </w:rPr>
        <w:t xml:space="preserve">20. Parasti vienība tiek uzskatīta par ieguldījumu vienību, ja tā darbojas vai pasniedz sevi kā kolektīvu ieguldījumu instrumentu, kopieguldījumu fondu, biržā tirgotu fondu, privāta kapitāla fondu, riska ieguldījumu fondu, riska kapitāla fondu, fondu uzņēmumu iegādei, izmantojot aizdevumu, vai līdzīgu ieguldījumu instrumentu, kas izveidots, pamatojoties uz stratēģiju veikt ieguldījumus vai atkārtotus ieguldījumus finanšu aktīvos </w:t>
      </w:r>
      <w:r w:rsidRPr="001B0491">
        <w:rPr>
          <w:rFonts w:ascii="Times New Roman" w:hAnsi="Times New Roman"/>
          <w:b/>
          <w:bCs/>
          <w:i/>
          <w:iCs/>
          <w:sz w:val="24"/>
          <w:szCs w:val="24"/>
          <w:u w:val="single"/>
        </w:rPr>
        <w:t>vai attiecīgajos kriptoaktīvos</w:t>
      </w:r>
      <w:r w:rsidRPr="001B0491">
        <w:rPr>
          <w:rFonts w:ascii="Times New Roman" w:hAnsi="Times New Roman"/>
          <w:sz w:val="24"/>
          <w:szCs w:val="24"/>
        </w:rPr>
        <w:t xml:space="preserve"> vai tirgoties ar tiem.</w:t>
      </w:r>
      <w:r w:rsidRPr="001B0491">
        <w:rPr>
          <w:rFonts w:ascii="Times New Roman" w:hAnsi="Times New Roman"/>
          <w:color w:val="231F20"/>
          <w:sz w:val="24"/>
          <w:szCs w:val="24"/>
        </w:rPr>
        <w:t xml:space="preserve"> Par ieguldījumu vienību nav uzskatāma tāda vienība, kuras darījumdarbība galvenokārt ir ar parādfinansējumu nesaistītu tiešu līdzdalības daļu ieguldīšana nekustamajā īpašumā, to administrēšana un pārvaldīšana citu personu vārdā, piemēram, nekustamā īpašuma ieguldījumu trasts.</w:t>
      </w:r>
    </w:p>
    <w:p w14:paraId="7EF6E3A5"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21. A punkta 6. apakšpunktā arī noteikts, ka termina “ieguldījumu vienība” definīcija jāinterpretē atbilstīgi tai termina “finanšu iestāde” definīcijai, kas sniegta finanšu darījumu darba grupas ieteikumos.</w:t>
      </w:r>
      <w:r w:rsidRPr="001B0491">
        <w:rPr>
          <w:rStyle w:val="FootnoteReference"/>
          <w:rFonts w:ascii="Times New Roman" w:hAnsi="Times New Roman" w:cs="Times New Roman"/>
          <w:noProof/>
          <w:sz w:val="24"/>
          <w:szCs w:val="24"/>
        </w:rPr>
        <w:footnoteReference w:customMarkFollows="1" w:id="4"/>
        <w:t>4</w:t>
      </w:r>
    </w:p>
    <w:p w14:paraId="60881D83" w14:textId="77777777" w:rsidR="00DB30B8" w:rsidRPr="001B0491" w:rsidRDefault="00DB30B8" w:rsidP="00DB30B8">
      <w:pPr>
        <w:tabs>
          <w:tab w:val="left" w:pos="942"/>
        </w:tabs>
        <w:spacing w:before="120"/>
        <w:jc w:val="both"/>
        <w:rPr>
          <w:rFonts w:ascii="Times New Roman" w:hAnsi="Times New Roman" w:cs="Times New Roman"/>
          <w:noProof/>
          <w:sz w:val="24"/>
          <w:szCs w:val="24"/>
        </w:rPr>
      </w:pPr>
      <w:r w:rsidRPr="001B0491">
        <w:rPr>
          <w:rFonts w:ascii="Times New Roman" w:hAnsi="Times New Roman"/>
          <w:sz w:val="24"/>
          <w:szCs w:val="24"/>
        </w:rPr>
        <w:t>22. Turpmākajos piemēros atspoguļota A punkta 6. apakšpunkta piemērošana.</w:t>
      </w:r>
    </w:p>
    <w:p w14:paraId="60E10C12"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1. piemērs (ieguldījumu konsultants). Fonda pārvaldītājs ir ieguldījumu vienība A punkta 6. apakšpunkta a) daļas izpratnē. Fonda pārvaldītājs papildus citai saimnieciskajai darbībai dibina un pārvalda dažādus fondus, tostarp fondu A, kas galvenokārt iegulda akcijās. Fonda pārvaldītājs algo ieguldījumu konsultantu, kas ir vienība, lai tas sniegtu padomus un nodrošinātu fonda A turētās finanšu aktīvu daļas diskrecionāru pārvaldību.</w:t>
      </w:r>
    </w:p>
    <w:p w14:paraId="3498F471"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Iepriekšējos trīs gados ieguldījumu konsultants vairāk par 50 % no saviem bruto ienākumiem ir guvis, sniedzot līdzīgus pakalpojumus. Tā kā ieguldījumu konsultants galvenokārt nodarbojas ar finanšu aktīvu pārvaldību savu klientu vārdā, tas ir ieguldījumu vienība atbilstīgi A punkta 6. apakšpunkta a) daļai. Tomēr ir atzīts, ka par ziņošanas un pienācīgas pārbaudes pienākumu izpildi attiecībā uz finanšu kontiem ir jāatbild tikai ieguldījumu vienībai, kura uztur šos finanšu kontus (skat. komentāru par VIII pantu 57.–65. punktu).</w:t>
      </w:r>
    </w:p>
    <w:p w14:paraId="6AE66E16" w14:textId="77777777" w:rsidR="00DB30B8" w:rsidRPr="001B0491" w:rsidRDefault="00DB30B8" w:rsidP="004E2356">
      <w:pPr>
        <w:widowControl/>
        <w:numPr>
          <w:ilvl w:val="1"/>
          <w:numId w:val="33"/>
        </w:numPr>
        <w:tabs>
          <w:tab w:val="left" w:pos="1843"/>
        </w:tabs>
        <w:spacing w:before="120"/>
        <w:ind w:left="851" w:hanging="284"/>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2. piemērs (vienība, kuru pārvalda finanšu iestāde). Apstākļi ir tādi paši kā 1. piemērā. Papildus tiem katru gadu pēc tā dibināšanas fonds A vairāk nekā 50 % no saviem bruto ienākumiem gūst no ieguldījumiem finanšu aktīvos. Attiecīgi fonds A ir A punkta 6. apakšpunkta b) daļā minētā ieguldījumu vienība, jo to pārvalda fonda pārvaldītājs un ieguldījumu konsultants un tā bruto ienākumi galvenokārt tiek gūti no </w:t>
      </w:r>
      <w:r w:rsidRPr="001B0491">
        <w:rPr>
          <w:rFonts w:ascii="Times New Roman" w:hAnsi="Times New Roman"/>
          <w:color w:val="231F20"/>
          <w:sz w:val="24"/>
          <w:szCs w:val="24"/>
        </w:rPr>
        <w:lastRenderedPageBreak/>
        <w:t>ieguldījumiem vai atkārtotiem ieguldījumiem finanšu aktīvos vai no finanšu aktīvu tirdzniecības.</w:t>
      </w:r>
    </w:p>
    <w:p w14:paraId="251A366F"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3. piemērs (ieguldījumu pārvaldītājs). Ieguldījumu pārvaldītājs – jursidikcijas A vienība – ir ieguldījumu vienība A punkta 6. apakšpunkta a) daļas izpratnē. Ieguldījumu pārvaldītājs dibina un reģistrē fondu A jursidikcijā A. Ieguldījumu pārvaldītājs ir pilnvarots veicināt fonda A turēto finanšu aktīvu pirkšanu un pārdošanu saskaņā ar fonda A ieguldījumu stratēģiju. Katru gadu pēc tā dibināšanas fonds A vairāk nekā 50 % no saviem bruto ienākumiem gūst no ieguldījumiem vai atkārtotiem ieguldījumiem finanšu aktīvos, vai no finanšu aktīvu tirdzniecības. Attiecīgi fonds A ir A punkta 6. apakšpunkta b) daļā noteiktā ieguldījumu vienība.</w:t>
      </w:r>
    </w:p>
    <w:p w14:paraId="79A6FE49"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4. piemērs (nekustamā īpašuma ieguldījumu fonds, kuru pārvalda finanšu iestāde). Apstākļi ir tādi paši kā 3. piemērā, vienīgi fonda A aktīvi galvenokārt veidoti no tiešām, ar parādfinansējumu nesaistītām līdzdalības daļām nekustamajā īpašumā, kurš atrodas ārpus jursidikcijas B. Fonds A nav A punkta 6. apakšpunkta b) daļā noteiktā ieguldījumu vienība, lai arī to pārvalda ieguldījumu pārvaldītājs, jo no ieguldījumiem vai atkārtotiem ieguldījumiem finanšu aktīvos vai no finanšu aktīvu tirdzniecības tas gūst mazāk par 50 % no saviem bruto ienākumiem.</w:t>
      </w:r>
    </w:p>
    <w:p w14:paraId="16763F0B"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5. piemērs (privātpersonas pārvaldīts trasts). Privātpersona X izveido trastu A, kas ir neatsaucams trasts personas X bērnu Y un Z labā. Pilnvarotā persona A, kas ir privātpersona, rīkojas kā trasta A pilnvarotā persona. Trasta A aktīvi ir vienīgi finanšu aktīvi, un tā ienākumi tiek gūti vienīgi no šiem finanšu aktīviem. Atbilstīgi trasta instrumenta noteikumiem pilnvarotā persona A pārvalda un administrē trasta aktīvus. Pilnvarotā persona A nealgo nevienu vienību kā pakalpojumu sniedzēju kādas A punkta 6. apakšpunkta a) daļā minētās darbības izpildei. Trasts A nav A punkta 6. apakšpunkta b) daļā minētā ieguldījumu vienība, jo to pārvalda vienīgi pilnvarotā persona A, kas ir privātpersona.</w:t>
      </w:r>
    </w:p>
    <w:p w14:paraId="515D3AAC"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6. piemērs (mākleris, kas ir privātpersona). Mākleris B, kas ir privātpersona, galvenokārt nodarbojas ar klientu konsultēšanu; viņam ir tiesības pārvaldīt klientu aktīvus pēc saviem ieskatiem, un viņš izmanto vienības pakalpojumus tam, lai īstenotu un izpildītu darījumus savu klientu labā. B sniedz pakalpojumus kā sabiedrības E ieguldījumu konsultants un pārvaldītājs. Iepriekšējos trīs gados sabiedrība E vairāk nekā 50 % no saviem bruto ienākumiem ir guvusi, ieguldot vai atkārtoti ieguldot finanšu aktīvos vai tirgojoties ar finanšu aktīviem. Tā kā B ir privātpersona, tad neatkarīgi no tā, ka B galvenokārt nodarbojas ar noteiktām darbībām, kas saistītas ar ieguldījumiem, B nav A punkta 6. apakšpunkta a) daļā minētā ieguldījumu vienība. Turklāt E nav arī A punkta 6. apakšpunkta b) daļā minētā ieguldījumu vienība, jo to pārvalda vienīgi privātpersona B.</w:t>
      </w:r>
    </w:p>
    <w:p w14:paraId="00A0C2BD" w14:textId="77777777" w:rsidR="00DB30B8" w:rsidRPr="001B0491" w:rsidRDefault="00DB30B8" w:rsidP="00DB30B8">
      <w:pPr>
        <w:spacing w:before="120"/>
        <w:ind w:left="284"/>
        <w:rPr>
          <w:rFonts w:ascii="Times New Roman" w:hAnsi="Times New Roman" w:cs="Times New Roman"/>
          <w:noProof/>
          <w:sz w:val="24"/>
          <w:szCs w:val="24"/>
        </w:rPr>
      </w:pPr>
      <w:bookmarkStart w:id="130" w:name="Financial_Asset"/>
      <w:bookmarkEnd w:id="130"/>
      <w:r w:rsidRPr="001B0491">
        <w:rPr>
          <w:rFonts w:ascii="Times New Roman" w:hAnsi="Times New Roman"/>
          <w:sz w:val="24"/>
          <w:szCs w:val="24"/>
        </w:rPr>
        <w:t>Finanšu aktīvs</w:t>
      </w:r>
    </w:p>
    <w:p w14:paraId="325B6F81"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23. Termins “finanšu aktīvs” tiek izmantots terminu “turētājiestāde”, “ieguldījumu vienība”, “turētāja konts” un “izslēgtais konts” definīcijās. Lai arī šo terminu neattiecina uz visiem aktīvu veidiem, tas ietver visus aktīvus, kas var būt turēti finanšu iestādes uzturētā kontā, izņemot ar parādfinansējumu nesaistītas, tiešas līdzdalības daļas nekustamajā īpašumā.</w:t>
      </w:r>
    </w:p>
    <w:p w14:paraId="78D16D18"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24. Šajā saistībā A punkta 7. apakšpunktā ir noteikts, ka “finanšu aktīvs” ir vērtspapīri (piemēram, kapitāla daļas kapitālsabiedrībā, uzņēmējsabiedrības daļas vai faktisko īpašumtiesību daļas plaši turētā vai publiskā akciju sabiedrībā vai trastā, vekseļi, obligācijas, parādzīmes vai cita veida parādsaistību apliecinājumi), daļas uzņēmējsabiedrībā, preces, mijmaiņas līgumi (piemēram, procentu likmju mijmaiņas līgumi, valūtas mijmaiņas līgumi, bāzes mijmaiņas līgumi, procentu likmju maksimālo robežvērtību līgumi, procentu likmju minimālo robežvērtību līgumi, ar precēm saistīti mijmaiņas līgumi, akciju mijmaiņas līgumi, </w:t>
      </w:r>
      <w:r w:rsidRPr="001B0491">
        <w:rPr>
          <w:rFonts w:ascii="Times New Roman" w:hAnsi="Times New Roman"/>
          <w:sz w:val="24"/>
          <w:szCs w:val="24"/>
        </w:rPr>
        <w:lastRenderedPageBreak/>
        <w:t xml:space="preserve">akciju indeksu mijmaiņas līgumi un līdzīgas vienošanās), apdrošināšanas līgumi vai anuitātes līgumi, vai jebkāda līdzdalība (tostarp regulētā tirgū tirgoti un regulētā tirgū netirgoti nākotnes līgumi vai iespējas līgumi) vērtspapīros, </w:t>
      </w:r>
      <w:r w:rsidRPr="001B0491">
        <w:rPr>
          <w:rFonts w:ascii="Times New Roman" w:hAnsi="Times New Roman"/>
          <w:b/>
          <w:bCs/>
          <w:i/>
          <w:iCs/>
          <w:sz w:val="24"/>
          <w:szCs w:val="24"/>
          <w:u w:val="single"/>
        </w:rPr>
        <w:t>attiecīgajos kriptoaktīvos</w:t>
      </w:r>
      <w:r w:rsidRPr="001B0491">
        <w:rPr>
          <w:rFonts w:ascii="Times New Roman" w:hAnsi="Times New Roman"/>
          <w:b/>
          <w:bCs/>
          <w:sz w:val="24"/>
          <w:szCs w:val="24"/>
        </w:rPr>
        <w:t>,</w:t>
      </w:r>
      <w:r w:rsidRPr="001B0491">
        <w:rPr>
          <w:rFonts w:ascii="Times New Roman" w:hAnsi="Times New Roman"/>
          <w:sz w:val="24"/>
          <w:szCs w:val="24"/>
        </w:rPr>
        <w:t xml:space="preserve"> uzņēmējsabiedrības daļās, preču līgumos, mijmaiņas līgumos, apdrošināšanas līgumos vai anuitātes līgumos. Tomēr termins “finanšu aktīvs” neietver ar parādfinansējumu nesaistītu, tiešu līdzdalību nekustamajā īpašumā vai fiziskas preces, piemēram, kviešus.</w:t>
      </w:r>
    </w:p>
    <w:p w14:paraId="15533722"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sz w:val="24"/>
          <w:szCs w:val="24"/>
        </w:rPr>
        <w:t xml:space="preserve">25. </w:t>
      </w:r>
      <w:r w:rsidRPr="001B0491">
        <w:rPr>
          <w:rFonts w:ascii="Times New Roman" w:hAnsi="Times New Roman"/>
          <w:color w:val="231F20"/>
          <w:sz w:val="24"/>
          <w:szCs w:val="24"/>
        </w:rPr>
        <w:t>Apgrozāmi parāda instrumenti, kas tiek tirgoti regulētā tirgū vai ārpusbiržas tirgū un izplatīti un turēti ar finanšu iestāžu starpniecību, un daļas vai vienības nekustamā īpašuma ieguldījumu trastā parasti tiks uzskatīti par finanšu aktīviem.</w:t>
      </w:r>
    </w:p>
    <w:p w14:paraId="3476C388"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25.bis Katrā gadījumā to, vai aktīvs ir finanšu aktīvs, nosaka neatkarīgi no veida, kādā tas emitēts. Tāpēc, ja aktīvs emitēts kriptoaktīva veidā, tas vienlaikus var būt finanšu aktīvs.</w:t>
      </w:r>
    </w:p>
    <w:p w14:paraId="4B380A61" w14:textId="77777777" w:rsidR="00DB30B8" w:rsidRPr="001B0491" w:rsidRDefault="00DB30B8" w:rsidP="00DB30B8">
      <w:pPr>
        <w:spacing w:before="120"/>
        <w:ind w:left="284"/>
        <w:rPr>
          <w:rFonts w:ascii="Times New Roman" w:hAnsi="Times New Roman" w:cs="Times New Roman"/>
          <w:noProof/>
          <w:sz w:val="24"/>
          <w:szCs w:val="24"/>
        </w:rPr>
      </w:pPr>
      <w:bookmarkStart w:id="131" w:name="Specified_Insurance_Company"/>
      <w:bookmarkEnd w:id="131"/>
      <w:r w:rsidRPr="001B0491">
        <w:rPr>
          <w:rFonts w:ascii="Times New Roman" w:hAnsi="Times New Roman"/>
          <w:sz w:val="24"/>
          <w:szCs w:val="24"/>
        </w:rPr>
        <w:t>Specializētā apdrošināšanas sabiedrība</w:t>
      </w:r>
    </w:p>
    <w:p w14:paraId="3FF2FA23"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26. A punkta 8. apakšpunktā noteikts, ka “specializētā apdrošināšanas sabiedrība” ir vienība, kas ir apdrošināšanas sabiedrība (vai apdrošināšanas sabiedrības kontrolakciju sabiedrība), kura izsniedz apdrošināšanas līgumu ar naudas vērtību vai anuitātes līgumu vai kurai ir pienākums veikt maksājumus saistībā ar to.</w:t>
      </w:r>
    </w:p>
    <w:p w14:paraId="6772F4D1"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27. “Apdrošināšanas sabiedrība” ir vienība, i) kura tiek regulēta kā apdrošināšanas uzņēmums saskaņā ar jebkuras tādas jursidikcijas normatīvajiem aktiem vai praksi, kurā vienība veic uzņēmējdarbību; ii) kuras bruto ienākumi (piemēram, bruto prēmijas vai bruto ienākumi no ieguldījumiem) no apdrošināšanas, pārapdrošināšanas un anuitātes līgumiem iepriekšējā kalendārajā gadā pārsniedz 50 % no kopējiem bruto ienākumiem šajā gadā vai iii) kuras ar apdrošināšanu, pārapdrošināšanu un anuitātes līgumiem saistīto aktīvu kopējā vērtība jebkurā laikā iepriekšējā kalendārajā gadā pārsniedz 50 % no kopējiem aktīviem jebkurā laikā šajā gadā.</w:t>
      </w:r>
    </w:p>
    <w:p w14:paraId="4026E98A"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28. Vairums dzīvības apdrošināšanas sabiedrību parasti tiks uzskatītas par norādītām apdrošināšanas sabiedrībām. Par norādītām apdrošināšanas sabiedrībām netiks uzskatītas vienības, kuras neizdod apdrošināšanas līgumus ar naudas vērtību vai anuitātes līgumus un kurām nav pienākuma veikt maksājumus saistībā ar tiem, piemēram, lielākā daļa nedzīvības apdrošināšanas sabiedrību, lielākā daļa apdrošināšanas sabiedrību kontrolakciju sabiedrību un apdrošināšanas brokeri.</w:t>
      </w:r>
    </w:p>
    <w:p w14:paraId="2FDA3763"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29. Apdrošināšanas sabiedrības veiktie rezervācijas pasākumi nav iemesls, lai šādu sabiedrību uzskatītu par turētājiestādi, noguldījumu iestādi vai ieguldījumu vienību.</w:t>
      </w:r>
    </w:p>
    <w:p w14:paraId="618BAC27" w14:textId="77777777" w:rsidR="00DB30B8" w:rsidRPr="001B0491" w:rsidRDefault="00DB30B8" w:rsidP="00DB30B8">
      <w:pPr>
        <w:spacing w:before="120"/>
        <w:ind w:left="284"/>
        <w:rPr>
          <w:rFonts w:ascii="Times New Roman" w:hAnsi="Times New Roman" w:cs="Times New Roman"/>
          <w:b/>
          <w:i/>
          <w:noProof/>
          <w:sz w:val="24"/>
          <w:szCs w:val="24"/>
          <w:u w:val="thick"/>
        </w:rPr>
      </w:pPr>
      <w:bookmarkStart w:id="132" w:name="Specified_Electronic_Money_Product"/>
      <w:bookmarkEnd w:id="132"/>
      <w:r w:rsidRPr="001B0491">
        <w:rPr>
          <w:rFonts w:ascii="Times New Roman" w:hAnsi="Times New Roman"/>
          <w:b/>
          <w:i/>
          <w:sz w:val="24"/>
          <w:szCs w:val="24"/>
          <w:u w:val="thick"/>
        </w:rPr>
        <w:t>Noteikts elektroniskās naudas produkts</w:t>
      </w:r>
    </w:p>
    <w:p w14:paraId="4658302E"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29.bis A punkta 9. apakšpunktā termins “noteikts elektroniskās naudas produkts” ir definēts kā jebkurš produkts, kas ir:</w:t>
      </w:r>
    </w:p>
    <w:p w14:paraId="403D30A6" w14:textId="77777777" w:rsidR="00DB30B8" w:rsidRPr="001B0491" w:rsidRDefault="00DB30B8" w:rsidP="00DB30B8">
      <w:pPr>
        <w:tabs>
          <w:tab w:val="left" w:pos="1301"/>
        </w:tabs>
        <w:spacing w:before="120"/>
        <w:ind w:left="567" w:hanging="283"/>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a) vienotas bezseguma valūtas digitāls atveidojums;</w:t>
      </w:r>
    </w:p>
    <w:p w14:paraId="06802547" w14:textId="77777777" w:rsidR="00DB30B8" w:rsidRPr="001B0491" w:rsidRDefault="00DB30B8" w:rsidP="00DB30B8">
      <w:pPr>
        <w:tabs>
          <w:tab w:val="left" w:pos="1302"/>
        </w:tabs>
        <w:spacing w:before="120"/>
        <w:ind w:left="567" w:hanging="283"/>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b) izdots, saņemot līdzekļus maksājumu darījumu veikšanai;</w:t>
      </w:r>
    </w:p>
    <w:p w14:paraId="7D22C784" w14:textId="77777777" w:rsidR="00DB30B8" w:rsidRPr="001B0491" w:rsidRDefault="00DB30B8" w:rsidP="00DB30B8">
      <w:pPr>
        <w:tabs>
          <w:tab w:val="left" w:pos="1301"/>
        </w:tabs>
        <w:spacing w:before="120"/>
        <w:ind w:left="567" w:hanging="283"/>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c) pārstāvēts ar tajā pašā bezseguma valūtā denominētu prasījumu pret emitentu;</w:t>
      </w:r>
    </w:p>
    <w:p w14:paraId="3A4D1208" w14:textId="77777777" w:rsidR="00DB30B8" w:rsidRPr="001B0491" w:rsidRDefault="00DB30B8" w:rsidP="00DB30B8">
      <w:pPr>
        <w:tabs>
          <w:tab w:val="left" w:pos="1302"/>
        </w:tabs>
        <w:spacing w:before="120"/>
        <w:ind w:left="567" w:hanging="283"/>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d) saņemts kā maksājums, un to ir saņēmusi fiziska vai juridiska persona, kas nav emitents, un</w:t>
      </w:r>
    </w:p>
    <w:p w14:paraId="39B99925" w14:textId="77777777" w:rsidR="00DB30B8" w:rsidRPr="001B0491" w:rsidRDefault="00DB30B8" w:rsidP="00DB30B8">
      <w:pPr>
        <w:tabs>
          <w:tab w:val="left" w:pos="1301"/>
          <w:tab w:val="left" w:pos="1303"/>
        </w:tabs>
        <w:spacing w:before="120"/>
        <w:ind w:left="567" w:hanging="283"/>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e) dzēšams pēc produkta turētāja pieprasījuma jebkurā laikā saskaņā ar emitentam izvirzītajām regulatīvajām prasībām un par tādu pašu bezseguma valūtas nominālvērtību.</w:t>
      </w:r>
    </w:p>
    <w:p w14:paraId="2034EAEC"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single"/>
        </w:rPr>
        <w:t xml:space="preserve">Termins “noteikts elektroniskās naudas produkts” neietver produktu, kas radīts vienīgi nolūkā atvieglot naudas līdzekļu pārvešanu no klienta citai personai saskaņā ar klienta </w:t>
      </w:r>
      <w:r w:rsidRPr="001B0491">
        <w:rPr>
          <w:rFonts w:ascii="Times New Roman" w:hAnsi="Times New Roman"/>
          <w:b/>
          <w:i/>
          <w:color w:val="231F20"/>
          <w:sz w:val="24"/>
          <w:szCs w:val="24"/>
          <w:u w:val="single"/>
        </w:rPr>
        <w:lastRenderedPageBreak/>
        <w:t>norādījumiem.</w:t>
      </w:r>
      <w:r w:rsidRPr="001B0491">
        <w:rPr>
          <w:rFonts w:ascii="Times New Roman" w:hAnsi="Times New Roman"/>
          <w:b/>
          <w:i/>
          <w:color w:val="231F20"/>
          <w:sz w:val="24"/>
          <w:szCs w:val="24"/>
          <w:u w:val="thick" w:color="231F20"/>
        </w:rPr>
        <w:t xml:space="preserve"> Produkts nav radīts vienīgi nolūkā atvieglot naudas līdzekļu pārvešanu, ja vienība, kas veic pārvedumu, parastajā darījumdarbībā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29252857"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29.ter A punkta 9. apakšpunkta a) daļā ir prasīts, ka produktam jābūt vienotas bezseguma valūtas digitālam atveidojumam, lai tas būtu noteikts elektroniskās naudas produkts. Uzskatāms, ka produkts digitāli atveido un attēlo tās bezseguma valūtas vērtību, kurā tas ir denominēts. Attiecīgi, ja produkts attēlo vairāku valūtu vai aktīvu vērtību, tas nav noteikts elektroniskās naudas produkts.</w:t>
      </w:r>
    </w:p>
    <w:p w14:paraId="11896BD3"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29.quater A punkta 9. apakšpunkta b) daļā paredzēts, ka produktu izdod, saņemot līdzekļus. Šī definīcijas daļa nozīmē, ka noteikts elektroniskās naudas produkts ir priekšapmaksas produkts. Darbība “izdošana” ir interpretējama plaši un iekļauj darbību, ar kuru tiek darīta pieejama apmaksāta saglabātā vērtība un maksāšanas līdzekļi apmaiņā pret līdzekļiem. Šajā saistībā “izdot” var gan elektroniski, gan magnētiski uzglabātus produktus, tostarp tiešsaistes maksājumu kontus un fiziskas kartes, kas izmanto magnētiskās joslas tehnoloģiju. Turklāt šajā apakšpunktā ir paredzēts, ka produktu izdod maksājumu darījumu veikšanai.</w:t>
      </w:r>
    </w:p>
    <w:p w14:paraId="5FFA2570" w14:textId="77777777" w:rsidR="00DB30B8" w:rsidRPr="001B0491" w:rsidRDefault="00DB30B8" w:rsidP="00DB30B8">
      <w:pPr>
        <w:spacing w:before="120"/>
        <w:jc w:val="both"/>
        <w:rPr>
          <w:rFonts w:ascii="Times New Roman" w:hAnsi="Times New Roman" w:cs="Times New Roman"/>
          <w:b/>
          <w:i/>
          <w:noProof/>
          <w:sz w:val="24"/>
          <w:szCs w:val="24"/>
        </w:rPr>
      </w:pPr>
      <w:r w:rsidRPr="001B0491">
        <w:rPr>
          <w:rFonts w:ascii="Times New Roman" w:hAnsi="Times New Roman"/>
          <w:b/>
          <w:i/>
          <w:color w:val="231F20"/>
          <w:sz w:val="24"/>
          <w:szCs w:val="24"/>
          <w:u w:val="thick" w:color="231F20"/>
        </w:rPr>
        <w:t>29.quinquies A punkta 9. apakšpunkta c) daļā ir prasīts –, lai produkts būtu noteikts elektroniskās naudas produkts, tam ir jābūt pārstāvētam ar tajā pašā bezseguma valūtā denominētu prasījumu pret emitentu. Šajā saistībā “prasījums” ir jebkāds naudas prasījums pret emitentu, kas ataino tās bezseguma valūtas vērtību, ko pārstāv klientam izdots elektroniskās naudas produkts.</w:t>
      </w:r>
    </w:p>
    <w:p w14:paraId="1A7B24D6"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29.sexies Saskaņā ar A punkta 9. apakšpunkta d) daļu tamdēļ, lai produkts būtu noteikts elektroniskās naudas produkts, jānodrošina, ka produktu ir saņēmusi fiziska vai juridiska persona, kas nav emitents, savukārt šīm trešajām personām ir jāatzīst elektroniskās naudas produkts kā maksāšanas līdzeklis. Tādējādi par noteiktiem elektroniskās naudas produktiem nav uzskatāma monetārā vērtība, kas glabājas noteiktos priekšapmaksas instrumentos, kuri paredzēti konkrētu vajadzību apmierināšanai un var tikt izmantoti ierobežotā veidā, jo tie ļauj elektroniskās naudas turētājam iegādāties preces vai pakalpojumus tikai elektroniskās naudas emitenta telpās vai ierobežotā pakalpojumu sniedzēju tīklā saskaņā ar tiešu komerclīgumu ar profesionālu emitentu, vai arī tos var izmantot tikai tam, lai iegādātos ierobežota klāsta preces vai pakalpojumus.</w:t>
      </w:r>
    </w:p>
    <w:p w14:paraId="0140F5D8"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29.septies A punkta 9. apakšpunkta e) daļā paredzēts, ka produkta emitents ir jāuzrauga, lai nodrošinātu, ka produkts ir dzēšams pēc produkta turētāja pieprasījuma jebkurā laikā un par tādu pašu bezseguma valūtas nominālvērtību, lai tas būtu noteikts kā elektroniskās naudas produkts. Šajā saistībā formulējums “par tādu pašu” bezseguma valūtu attiecas uz bezseguma valūtu, kuras digitālais atveidojums ir elektroniskās naudas produkts. Kad veicama dzēšana, tiek atzīts, ka emitents var atskaitīt no dzēšanas summas jebkādas maksas vai darījuma izmaksas.</w:t>
      </w:r>
    </w:p>
    <w:p w14:paraId="3424199D"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29.octies Šajā definīcijā neietilpst tādi produkti, kuri radīti vienīgi tāpēc, lai veicinātu līdzekļu pārvešanu saskaņā ar klienta norādījumiem, un kurus nevar izmantot vērtības saglabāšanai. Piemēram, šādus produktus var izmantot tamdēļ, lai darba devējs varētu pārskaitīt mēnešalgas saviem darbiniekiem vai lai migrējošs darba ņēmējs varētu pārskaitīt līdzekļus radiniekiem, kas dzīvo citā valstī. Produkts nav radīts vienīgi nolūkā atvieglot naudas līdzekļu pārvešanu, ja vienība, kas veic pārvedumu, parastajā darījumdarbībā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67F77413" w14:textId="77777777" w:rsidR="00DB30B8" w:rsidRPr="001B0491" w:rsidRDefault="00DB30B8" w:rsidP="00DB30B8">
      <w:pPr>
        <w:spacing w:before="120"/>
        <w:ind w:left="284"/>
        <w:jc w:val="both"/>
        <w:rPr>
          <w:rFonts w:ascii="Times New Roman" w:hAnsi="Times New Roman" w:cs="Times New Roman"/>
          <w:b/>
          <w:i/>
          <w:noProof/>
          <w:sz w:val="24"/>
          <w:szCs w:val="24"/>
          <w:u w:val="thick"/>
        </w:rPr>
      </w:pPr>
      <w:bookmarkStart w:id="133" w:name="Central_Bank_Digital_Currency,_Fiat_Curr"/>
      <w:bookmarkEnd w:id="133"/>
      <w:r w:rsidRPr="001B0491">
        <w:rPr>
          <w:rFonts w:ascii="Times New Roman" w:hAnsi="Times New Roman"/>
          <w:b/>
          <w:i/>
          <w:sz w:val="24"/>
          <w:szCs w:val="24"/>
          <w:u w:val="thick"/>
        </w:rPr>
        <w:lastRenderedPageBreak/>
        <w:t>Centrālās bankas digitālā valūta, bezseguma valūta, kriptoaktīvs, attiecīgais kriptoaktīvs un maiņas darījums</w:t>
      </w:r>
    </w:p>
    <w:p w14:paraId="1B2CF2A8" w14:textId="77777777" w:rsidR="00DB30B8" w:rsidRPr="001B0491" w:rsidRDefault="00DB30B8" w:rsidP="00DB30B8">
      <w:pPr>
        <w:spacing w:before="120"/>
        <w:jc w:val="both"/>
        <w:rPr>
          <w:rFonts w:ascii="Times New Roman" w:hAnsi="Times New Roman" w:cs="Times New Roman"/>
          <w:b/>
          <w:i/>
          <w:noProof/>
          <w:sz w:val="24"/>
          <w:szCs w:val="24"/>
        </w:rPr>
      </w:pPr>
      <w:r w:rsidRPr="001B0491">
        <w:rPr>
          <w:rFonts w:ascii="Times New Roman" w:hAnsi="Times New Roman"/>
          <w:b/>
          <w:i/>
          <w:color w:val="231F20"/>
          <w:sz w:val="24"/>
          <w:szCs w:val="24"/>
          <w:u w:val="single" w:color="231F20"/>
        </w:rPr>
        <w:t xml:space="preserve">29nonies </w:t>
      </w:r>
      <w:r w:rsidRPr="001B0491">
        <w:rPr>
          <w:rFonts w:ascii="Times New Roman" w:hAnsi="Times New Roman"/>
          <w:b/>
          <w:i/>
          <w:color w:val="231F20"/>
          <w:sz w:val="24"/>
          <w:szCs w:val="24"/>
          <w:u w:val="thick" w:color="231F20"/>
        </w:rPr>
        <w:t>Termini “centrālās bankas digitālā valūta”, “bezseguma valūta”, “kriptoaktīvs”, “attiecīgais kriptoaktīvs” un “maiņas darījums” ir jāinterpretē saskanīgi ar komentāriem par kriptoaktīvu ziņošanas sistēmu.</w:t>
      </w:r>
    </w:p>
    <w:p w14:paraId="2665C87C" w14:textId="77777777" w:rsidR="00DB30B8" w:rsidRPr="001B0491" w:rsidRDefault="00DB30B8" w:rsidP="00DB30B8">
      <w:pPr>
        <w:spacing w:before="120"/>
        <w:ind w:left="284"/>
        <w:outlineLvl w:val="6"/>
        <w:rPr>
          <w:rFonts w:ascii="Times New Roman" w:hAnsi="Times New Roman" w:cs="Times New Roman"/>
          <w:b/>
          <w:bCs/>
          <w:i/>
          <w:iCs/>
          <w:noProof/>
          <w:sz w:val="24"/>
          <w:szCs w:val="24"/>
        </w:rPr>
      </w:pPr>
      <w:bookmarkStart w:id="134" w:name="Paragraph_B_–_Non-Reporting_Financial_In"/>
      <w:bookmarkEnd w:id="134"/>
      <w:r w:rsidRPr="001B0491">
        <w:rPr>
          <w:rFonts w:ascii="Times New Roman" w:hAnsi="Times New Roman"/>
          <w:b/>
          <w:i/>
          <w:sz w:val="24"/>
          <w:szCs w:val="24"/>
        </w:rPr>
        <w:t>B punkts. Finanšu iestāde, kas nesniedz ziņojumus</w:t>
      </w:r>
    </w:p>
    <w:p w14:paraId="29C91264"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35" w:name="Subparagraph_B(1)_–_In_general"/>
      <w:bookmarkEnd w:id="135"/>
      <w:r w:rsidRPr="001B0491">
        <w:rPr>
          <w:rFonts w:ascii="Times New Roman" w:hAnsi="Times New Roman"/>
          <w:i/>
          <w:color w:val="616161"/>
          <w:sz w:val="24"/>
          <w:szCs w:val="24"/>
        </w:rPr>
        <w:t>B punkta 1. apakšpunkts. Vispārīga informācija</w:t>
      </w:r>
    </w:p>
    <w:p w14:paraId="21D35BE6"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30. B punkta 1. apakšpunktā noteiktas dažādu kategoriju finanšu iestādes, kas nesniedz ziņojumus (t. i., finanšu iestādes, kuras ir atbrīvotas no pienākuma sniegt ziņojumus). “Finanšu iestāde, kas nesniedz ziņojumus” ir jebkura finanšu iestāde, kura ir:</w:t>
      </w:r>
    </w:p>
    <w:p w14:paraId="44794AAA"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valdības iestāde, starptautiska organizācija vai centrālā banka, izņemot</w:t>
      </w:r>
      <w:r w:rsidRPr="001B0491">
        <w:rPr>
          <w:rFonts w:ascii="Times New Roman" w:hAnsi="Times New Roman"/>
          <w:b/>
          <w:bCs/>
          <w:i/>
          <w:iCs/>
          <w:color w:val="231F20"/>
          <w:sz w:val="24"/>
          <w:szCs w:val="24"/>
          <w:u w:val="single"/>
        </w:rPr>
        <w:t>:</w:t>
      </w:r>
    </w:p>
    <w:p w14:paraId="7C3239DD" w14:textId="77777777" w:rsidR="00DB30B8" w:rsidRPr="001B0491" w:rsidRDefault="00DB30B8" w:rsidP="00DB30B8">
      <w:pPr>
        <w:tabs>
          <w:tab w:val="left" w:pos="1663"/>
        </w:tabs>
        <w:spacing w:before="120"/>
        <w:ind w:left="851" w:hanging="283"/>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i) attiecībā uz maksājumu, kas rodas tādu saistību rezultātā, kuras izriet no tādas komerciālas finanšu darbības, kas atbilst specializētās apdrošināšanas sabiedrības, turētājiestādes vai noguldījumu iestādes veiktām darbībām, </w:t>
      </w:r>
      <w:r w:rsidRPr="001B0491">
        <w:rPr>
          <w:rFonts w:ascii="Times New Roman" w:hAnsi="Times New Roman"/>
          <w:b/>
          <w:i/>
          <w:color w:val="231F20"/>
          <w:sz w:val="24"/>
          <w:szCs w:val="24"/>
          <w:u w:val="thick" w:color="231F20"/>
        </w:rPr>
        <w:t>vai</w:t>
      </w:r>
    </w:p>
    <w:p w14:paraId="2DE2D8E2" w14:textId="77777777" w:rsidR="00DB30B8" w:rsidRPr="001B0491" w:rsidRDefault="00DB30B8" w:rsidP="00DB30B8">
      <w:pPr>
        <w:tabs>
          <w:tab w:val="left" w:pos="1242"/>
          <w:tab w:val="left" w:pos="1642"/>
        </w:tabs>
        <w:spacing w:before="120"/>
        <w:ind w:left="851" w:hanging="283"/>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 xml:space="preserve">ii) </w:t>
      </w:r>
      <w:r w:rsidRPr="001B0491">
        <w:rPr>
          <w:rFonts w:ascii="Times New Roman" w:hAnsi="Times New Roman"/>
          <w:b/>
          <w:i/>
          <w:iCs/>
          <w:color w:val="231F20"/>
          <w:sz w:val="24"/>
          <w:szCs w:val="24"/>
          <w:u w:val="single" w:color="231F20"/>
        </w:rPr>
        <w:t>attiecībā uz centrālās bankas digitālo valūtu uzturēšanu tādiem konta turētājiem, kuri nav finanšu iestādes, valdības iestādes, starptautiskas organizācijas vai centrālās bankas;</w:t>
      </w:r>
    </w:p>
    <w:p w14:paraId="72A72AD8"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plašas līdzdalības pensiju fonds, ierobežotas līdzdalības pensiju fonds, valdības iestādes pensiju fonds, starptautiska organizācija vai centrālā banka, vai kvalificēts kredītkaršu izdevējs;</w:t>
      </w:r>
    </w:p>
    <w:p w14:paraId="12238B05"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jebkura cita vienība, attiecībā uz kuru pastāv zems risks, ka to varētu izmantot, lai izvairītos no nodokļu maksāšanas, un kurai būtībā ir līdzīgas iezīmes jebkurai B punkta 1. apakšpunkta a) un b) daļā minētajai vienībai un kura ir noteikta valsts tiesību aktos kā finanšu iestāde, kas nesniedz ziņojumus, ar nosacījumu, ka statusa “finanšu iestāde, kas nesniedz ziņojumus” piešķiršana šādai vienībai nav pretrunā Kopējā ziņošanas standarta mērķiem;</w:t>
      </w:r>
    </w:p>
    <w:p w14:paraId="7898FDAE"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d) atbrīvots kolektīvo ieguldījumu instruments;</w:t>
      </w:r>
    </w:p>
    <w:p w14:paraId="2048E543"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e) trasts, ciktāl trasta pilnvarotā persona ir finanšu iestāde, kas sniedz ziņojumus, un sniedz visu informāciju, kas jāsniedz saskaņā ar I pantu, attiecībā uz visiem trasta kontiem, par kuriem jāsniedz ziņojums.</w:t>
      </w:r>
    </w:p>
    <w:p w14:paraId="2790084B"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36" w:name="Subparagraphs_B(2)_through_(4)_–_Governm"/>
      <w:bookmarkEnd w:id="136"/>
      <w:r w:rsidRPr="001B0491">
        <w:rPr>
          <w:rFonts w:ascii="Times New Roman" w:hAnsi="Times New Roman"/>
          <w:i/>
          <w:color w:val="616161"/>
          <w:sz w:val="24"/>
          <w:szCs w:val="24"/>
        </w:rPr>
        <w:t>B punkta 2.–4. apakšpunkts. Valdības iestāde, starptautiska organizācija un centrālā banka</w:t>
      </w:r>
    </w:p>
    <w:p w14:paraId="5B9AEDA0" w14:textId="77777777" w:rsidR="00DB30B8" w:rsidRPr="001B0491" w:rsidRDefault="00DB30B8" w:rsidP="00DB30B8">
      <w:pPr>
        <w:tabs>
          <w:tab w:val="left" w:pos="941"/>
        </w:tabs>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 xml:space="preserve">31. Saskaņā ar B punkta 1. apakšpunkta a) daļu finanšu iestāde, kas ir valdības iestāde, starptautiska organizācija vai centrālā banka, ir finanšu iestāde, kas nesniedz ziņojumus. Tomēr saskaņā ar B punkta 1. apakšpunkta a) daļas i) punktu izņēmumu nepiemēro attiecībā uz maksājumu, kas rodas tādu saistību rezultātā, kuras izriet no tādas finanšu darbības, kas atbilst specializētās apdrošināšanas sabiedrības, turētājiestādes vai noguldījumu iestādes veiktām darbībām. Tieši tāpat saskaņā ar B punkta 1. apakšpunkta a) daļas ii) punktu izņēmumu nepiemēro attiecībā uz centrālās bankas digitālo valūtu uzturēšanu tādiem konta turētājiem, kuri nav finanšu iestādes, valdības iestādes, starptautiskas organizācijas vai centrālās bankas. </w:t>
      </w:r>
      <w:r w:rsidRPr="001B0491">
        <w:rPr>
          <w:rFonts w:ascii="Times New Roman" w:hAnsi="Times New Roman"/>
          <w:strike/>
          <w:sz w:val="24"/>
          <w:szCs w:val="24"/>
        </w:rPr>
        <w:t xml:space="preserve">Finanšu iestāde, kas ir valdības iestāde, starptautiska organizācija vai centrālā banka, ir finanšu iestāde, kas nesniedz ziņojumus, atbilstīgi B punkta 1. apakšpunkta a) daļai, izņemot attiecībā uz maksājumu, kas rodas tādu saistību rezultātā, kuras izriet no tādas komerciālas finanšu darbības, kas atbilst specializētās apdrošināšanas sabiedrības, turētājiestādes vai noguldījumu iestādes veiktām darbībām. </w:t>
      </w:r>
      <w:r w:rsidRPr="001B0491">
        <w:rPr>
          <w:rFonts w:ascii="Times New Roman" w:hAnsi="Times New Roman"/>
          <w:sz w:val="24"/>
          <w:szCs w:val="24"/>
        </w:rPr>
        <w:t xml:space="preserve">Tādējādi, piemēram, centrālā banka, kas veic komerciālu finanšu darbību, piemēram, darbojas </w:t>
      </w:r>
      <w:r w:rsidRPr="001B0491">
        <w:rPr>
          <w:rFonts w:ascii="Times New Roman" w:hAnsi="Times New Roman"/>
          <w:sz w:val="24"/>
          <w:szCs w:val="24"/>
        </w:rPr>
        <w:lastRenderedPageBreak/>
        <w:t xml:space="preserve">kā starpnieks personu vārdā, kas neietilpst centrālās bankas funkcijās, nav B punkta 1. apakšpunkta a) daļā noteiktā finanšu iestāde, kas nesniedz ziņojumus, attiecībā uz maksājumiem, kuri saņemti saistībā ar kontu, kas tiek turēts saistībā ar šādu darbību. </w:t>
      </w:r>
      <w:r w:rsidRPr="001B0491">
        <w:rPr>
          <w:rFonts w:ascii="Times New Roman" w:hAnsi="Times New Roman"/>
          <w:b/>
          <w:i/>
          <w:sz w:val="24"/>
          <w:szCs w:val="24"/>
          <w:u w:val="single"/>
        </w:rPr>
        <w:t>Tieši tāpat saskaņā ar B punkta 1. apakšpunkta a) daļas ii) punktu centrālās bankas digitālo valūtu uzturēšana tādiem konta turētājiem, kuri nav finanšu iestādes, valdības iestādes, starptautiskas organizācijas vai centrālās bankas, ir darbība, attiecībā uz kuru centrālā banka nav finanšu iestāde, kas nesniedz ziņojumus.</w:t>
      </w:r>
    </w:p>
    <w:p w14:paraId="619AFECC" w14:textId="77777777" w:rsidR="00DB30B8" w:rsidRPr="001B0491" w:rsidRDefault="00DB30B8" w:rsidP="00DB30B8">
      <w:pPr>
        <w:spacing w:before="120"/>
        <w:ind w:left="284"/>
        <w:rPr>
          <w:rFonts w:ascii="Times New Roman" w:hAnsi="Times New Roman" w:cs="Times New Roman"/>
          <w:noProof/>
          <w:sz w:val="24"/>
          <w:szCs w:val="24"/>
        </w:rPr>
      </w:pPr>
      <w:bookmarkStart w:id="137" w:name="Governmental_Entity"/>
      <w:bookmarkEnd w:id="137"/>
      <w:r w:rsidRPr="001B0491">
        <w:rPr>
          <w:rFonts w:ascii="Times New Roman" w:hAnsi="Times New Roman"/>
          <w:sz w:val="24"/>
          <w:szCs w:val="24"/>
        </w:rPr>
        <w:t>Valdības iestāde</w:t>
      </w:r>
    </w:p>
    <w:p w14:paraId="122DB2A0"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32. B punkta 2. apakšpunktā noteikts, ka “valdības iestāde” ir jursidikcijas valdība, jebkāds jursidikcijas administratīvi teritoriāls veidojums (kas skaidrības labad ietver pavalsti, provinci, novadu, municipalitāti vai vietējo pašvaldību) vai jursidikcijai vai vienam vai vairākiem administratīvi teritoriāliem veidojumiem pilnīgi piederoša aģentūra vai iestāde. Tajā ietvertas arī jursidikcijas sastāvdaļas, kontrolētās vienības un administratīvi teritoriālie veidojumi. Terminu “sastāvdaļa” un “kontrolēta vienība” definīcijas ir sniegtas B punkta 2. apakšpunkta a) un b) daļā, kas paredz, ka privātpersonas nedrīkst gūt labumu no nevienas to ienākumu daļas. Savukārt B punkta 2. apakšpunkta c) daļā precizēts, ka par šādiem gadījumiem tiek uzskatīts arī tas, ka privātpersonas gūst labumu no ienākumiem, izmantojot valdības iestādi kā starpnieku personīgu ieguldījumu veikšanai, vai novirza šādus ienākumus no to paredzētā mērķa, īstenojot ietekmi vai kontroli ar jurisdikcijas tieši vai netieši apstiprinātu līdzekļu starpniecību.</w:t>
      </w:r>
    </w:p>
    <w:p w14:paraId="7E2A67C8"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33. Lai veicinātu starptautisko tirdzniecību un attīstību, daudzas jurisdikcijas ir izveidojušas eksporta vai attīstības finansēšanas programmas vai aģentūras, kas var tieši sniegt aizdevumus vai apdrošināt komerciālu aizdevēju piešķirtus aizdevumus vai galvot par tiem. Šādas aģentūras parasti tiek uzskatītas par valdības iestādēm un līdz ar to par finanšu iestādēm, kas nesniedz ziņojumus (skat. iepriekš 31. punktu).</w:t>
      </w:r>
    </w:p>
    <w:p w14:paraId="3BDC64AF" w14:textId="77777777" w:rsidR="00DB30B8" w:rsidRPr="001B0491" w:rsidRDefault="00DB30B8" w:rsidP="00DB30B8">
      <w:pPr>
        <w:spacing w:before="120"/>
        <w:ind w:left="284"/>
        <w:rPr>
          <w:rFonts w:ascii="Times New Roman" w:hAnsi="Times New Roman" w:cs="Times New Roman"/>
          <w:noProof/>
          <w:sz w:val="24"/>
          <w:szCs w:val="24"/>
        </w:rPr>
      </w:pPr>
      <w:bookmarkStart w:id="138" w:name="International_Organisation"/>
      <w:bookmarkEnd w:id="138"/>
      <w:r w:rsidRPr="001B0491">
        <w:rPr>
          <w:rFonts w:ascii="Times New Roman" w:hAnsi="Times New Roman"/>
          <w:sz w:val="24"/>
          <w:szCs w:val="24"/>
        </w:rPr>
        <w:t>Starptautiska organizācija</w:t>
      </w:r>
    </w:p>
    <w:p w14:paraId="110F5F53"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34. B punkta 3. apakšpunktā noteikts, ka “starptautiska organizācija” ir jebkura starptautiska organizācija vai tai pilnīgi piederoša aģentūra vai iestāde. Tostarp tā ir starpvaldību organizācija (tostarp pārvalstiska organizācija), 1) kura sastāv galvenokārt no valdībām, 2) kurai ir spēkā esošs nolīgums ar jurisdikciju par galveno mītni vai pēc būtības līdzīgs nolīgums un 3) no kuras ienākumiem neviena privātpersona negūst labumu (atbilstīgi B punkta 2. apakšpunkta c) daļā noteiktajiem principiem). Vienošanās, kas pēc būtības ir līdzīga nolīgumam par galveno mītni, ir, piemēram, vienošanās, ar kuru organizācijas birojiem vai nodibinājumiem (piemēram, nodaļai vai vietējam vai reģionālajam birojam) jursidikcijā tiek piešķirtas privilēģijas un neaizskaramība.</w:t>
      </w:r>
    </w:p>
    <w:p w14:paraId="15C8AD26" w14:textId="77777777" w:rsidR="00DB30B8" w:rsidRPr="001B0491" w:rsidRDefault="00DB30B8" w:rsidP="00DB30B8">
      <w:pPr>
        <w:spacing w:before="120"/>
        <w:ind w:left="284"/>
        <w:rPr>
          <w:rFonts w:ascii="Times New Roman" w:hAnsi="Times New Roman" w:cs="Times New Roman"/>
          <w:noProof/>
          <w:sz w:val="24"/>
          <w:szCs w:val="24"/>
        </w:rPr>
      </w:pPr>
      <w:bookmarkStart w:id="139" w:name="Central_Bank"/>
      <w:bookmarkEnd w:id="139"/>
      <w:r w:rsidRPr="001B0491">
        <w:rPr>
          <w:rFonts w:ascii="Times New Roman" w:hAnsi="Times New Roman"/>
          <w:sz w:val="24"/>
          <w:szCs w:val="24"/>
        </w:rPr>
        <w:t>Centrālā banka</w:t>
      </w:r>
    </w:p>
    <w:p w14:paraId="4EA754E8"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35. Saskaņā ar B punkta 4. apakšpunktu “centrālā banka” ir iestāde, kas papildus pašai jurisdikcijas valdībai ar likumu vai valdības atļauju ir noteikta kā galvenā iestāde, kura izdod instrumentus, ko paredzēts izmantot kā valūtu. Šāda iestāde parasti ir tās jurisdikcijas banku rezervju turētāja, saskaņā ar kuras tiesību aktiem tā ir izveidota. Šo terminu var attiecināt arī uz iestādi, kas ir nošķirta no jurisdikcijas valdības, neatkarīgi no tā, vai tā pilnīgi vai daļēji pieder jurisdikcijai.</w:t>
      </w:r>
    </w:p>
    <w:p w14:paraId="04713AC7"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40" w:name="Subparagraphs_B(5)_through_(7)_–_Funds"/>
      <w:bookmarkEnd w:id="140"/>
      <w:r w:rsidRPr="001B0491">
        <w:rPr>
          <w:rFonts w:ascii="Times New Roman" w:hAnsi="Times New Roman"/>
          <w:i/>
          <w:color w:val="616161"/>
          <w:sz w:val="24"/>
          <w:szCs w:val="24"/>
        </w:rPr>
        <w:t>B punkta 5.–7. apakšpunkts. Fondi</w:t>
      </w:r>
    </w:p>
    <w:p w14:paraId="06E88664" w14:textId="77777777" w:rsidR="00DB30B8" w:rsidRPr="001B0491" w:rsidRDefault="00DB30B8" w:rsidP="00DB30B8">
      <w:pPr>
        <w:spacing w:before="120"/>
        <w:ind w:left="284"/>
        <w:rPr>
          <w:rFonts w:ascii="Times New Roman" w:hAnsi="Times New Roman" w:cs="Times New Roman"/>
          <w:noProof/>
          <w:sz w:val="24"/>
          <w:szCs w:val="24"/>
        </w:rPr>
      </w:pPr>
      <w:bookmarkStart w:id="141" w:name="Broad_Participation_Retirement_Fund"/>
      <w:bookmarkEnd w:id="141"/>
      <w:r w:rsidRPr="001B0491">
        <w:rPr>
          <w:rFonts w:ascii="Times New Roman" w:hAnsi="Times New Roman"/>
          <w:sz w:val="24"/>
          <w:szCs w:val="24"/>
        </w:rPr>
        <w:t>Plašas līdzdalības pensiju fonds</w:t>
      </w:r>
    </w:p>
    <w:p w14:paraId="2178503E" w14:textId="77777777" w:rsidR="00DB30B8" w:rsidRPr="001B0491" w:rsidRDefault="00DB30B8" w:rsidP="0038202A">
      <w:pPr>
        <w:widowControl/>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36. B punkta 5. apakšpunktā termins “plašas līdzdalības pensiju fonds” ir definēts kā fonds, kas nodibināts, lai sniegtu pensiju un invaliditātes pabalstus, kā arī pabalstus nāves gadījumā vai jebkādu to kombināciju, labuma guvējiem, kas ir vai ir bijuši viena vai vairāku darba </w:t>
      </w:r>
      <w:r w:rsidRPr="001B0491">
        <w:rPr>
          <w:rFonts w:ascii="Times New Roman" w:hAnsi="Times New Roman"/>
          <w:sz w:val="24"/>
          <w:szCs w:val="24"/>
        </w:rPr>
        <w:lastRenderedPageBreak/>
        <w:t>devēju darba ņēmēji (vai ir šādu darba ņēmēju norādītās personas), kā atlīdzinājumu par sniegtajiem pakalpojumiem, bet ar nosacījumu, ka:</w:t>
      </w:r>
    </w:p>
    <w:p w14:paraId="1FAB30EB"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nevienam fonda labuma guvējam nav tiesību uz vairāk nekā 5 % no fonda aktīviem;</w:t>
      </w:r>
    </w:p>
    <w:p w14:paraId="05806B69"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fonds ir pakļauts regulējumam un sniedz ziņojumus nodokļu iestādēm;</w:t>
      </w:r>
    </w:p>
    <w:p w14:paraId="2AA54BED"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fonds atbilst vismaz vienai no četrām B punkta 5. apakšpunkta c) daļā minētajām prasībām (t. i., attiecībā uz fondu tiek piemēroti nodokļu atvieglojumi; lielākā daļa maksājumu tiek saņemti no finansējošajiem darba devējiem; līdzekļu izmaksāšana vai izņemšana ir atļauta vienīgi noteiktos gadījumos un ir ierobežots darba ņēmēju veikto iemaksu apmērs).</w:t>
      </w:r>
    </w:p>
    <w:p w14:paraId="225E8017" w14:textId="77777777" w:rsidR="00DB30B8" w:rsidRPr="001B0491" w:rsidRDefault="00DB30B8" w:rsidP="00DB30B8">
      <w:pPr>
        <w:spacing w:before="120"/>
        <w:jc w:val="both"/>
        <w:rPr>
          <w:rFonts w:ascii="Times New Roman" w:hAnsi="Times New Roman" w:cs="Times New Roman"/>
          <w:b/>
          <w:i/>
          <w:noProof/>
          <w:sz w:val="24"/>
          <w:szCs w:val="24"/>
        </w:rPr>
      </w:pPr>
      <w:r w:rsidRPr="001B0491">
        <w:rPr>
          <w:rFonts w:ascii="Times New Roman" w:hAnsi="Times New Roman"/>
          <w:b/>
          <w:i/>
          <w:sz w:val="24"/>
          <w:szCs w:val="24"/>
          <w:u w:val="thick"/>
        </w:rPr>
        <w:t xml:space="preserve">36.bis </w:t>
      </w:r>
      <w:r w:rsidRPr="001B0491">
        <w:rPr>
          <w:rFonts w:ascii="Times New Roman" w:hAnsi="Times New Roman"/>
          <w:b/>
          <w:i/>
          <w:sz w:val="24"/>
          <w:szCs w:val="24"/>
          <w:u w:val="single"/>
        </w:rPr>
        <w:t>VIII panta B punkta 5. apakšpunkta a) daļā prasīts –, lai finanšu iestāde būtu kvalificējama kā finanšu iestāde, kas nesniedz ziņojumus, kategorijā “plašas līdzdalības pensiju fonds”, finanšu iestādei inter alia jānodrošina, ka tai nav neviena labuma guvēja, kuram ir tiesības uz vairāk nekā 5 % no fonda aktīviem. Ja fonds ir sadalīts apakšfondos, kas praksē darbojas kā nodalīti pensijas produkti, tostarp nošķirot aktīvus, riskus un ienākumus, kas attiecināmi uz šādiem apakšfondiem, pārbaude, vai nevienam labuma guvējam nav tiesību uz vairāk nekā 5 % fonda aktīvu, ir jāveic katra apakšfonda līmenī.</w:t>
      </w:r>
    </w:p>
    <w:p w14:paraId="1E64C6A7" w14:textId="77777777" w:rsidR="00DB30B8" w:rsidRPr="001B0491" w:rsidRDefault="00DB30B8" w:rsidP="00DB30B8">
      <w:pPr>
        <w:spacing w:before="120"/>
        <w:rPr>
          <w:rFonts w:ascii="Times New Roman" w:hAnsi="Times New Roman" w:cs="Times New Roman"/>
          <w:b/>
          <w:i/>
          <w:noProof/>
          <w:sz w:val="24"/>
          <w:szCs w:val="24"/>
        </w:rPr>
      </w:pPr>
    </w:p>
    <w:p w14:paraId="1B25B569" w14:textId="77777777" w:rsidR="00DB30B8" w:rsidRPr="001B0491" w:rsidRDefault="00DB30B8" w:rsidP="00DB30B8">
      <w:pPr>
        <w:spacing w:before="120"/>
        <w:ind w:left="284"/>
        <w:rPr>
          <w:rFonts w:ascii="Times New Roman" w:hAnsi="Times New Roman" w:cs="Times New Roman"/>
          <w:b/>
          <w:i/>
          <w:noProof/>
          <w:sz w:val="24"/>
          <w:szCs w:val="24"/>
          <w:u w:val="thick"/>
        </w:rPr>
      </w:pPr>
      <w:bookmarkStart w:id="142" w:name="Qualified_Non-Profit_Entity"/>
      <w:bookmarkEnd w:id="142"/>
      <w:r w:rsidRPr="001B0491">
        <w:rPr>
          <w:rFonts w:ascii="Times New Roman" w:hAnsi="Times New Roman"/>
          <w:b/>
          <w:i/>
          <w:sz w:val="24"/>
          <w:szCs w:val="24"/>
          <w:u w:val="thick"/>
        </w:rPr>
        <w:t>Kvalificēta bezpeļņas vienība</w:t>
      </w:r>
    </w:p>
    <w:p w14:paraId="10AD2E3A" w14:textId="77777777" w:rsidR="00DB30B8" w:rsidRPr="001B0491" w:rsidRDefault="00DB30B8" w:rsidP="00DB30B8">
      <w:pPr>
        <w:spacing w:before="120"/>
        <w:jc w:val="both"/>
        <w:rPr>
          <w:rFonts w:ascii="Times New Roman" w:hAnsi="Times New Roman" w:cs="Times New Roman"/>
          <w:b/>
          <w:i/>
          <w:noProof/>
          <w:sz w:val="24"/>
          <w:szCs w:val="24"/>
        </w:rPr>
      </w:pPr>
      <w:r w:rsidRPr="001B0491">
        <w:rPr>
          <w:rFonts w:ascii="Times New Roman" w:hAnsi="Times New Roman"/>
          <w:b/>
          <w:i/>
          <w:sz w:val="24"/>
          <w:szCs w:val="24"/>
          <w:u w:val="thick"/>
        </w:rPr>
        <w:t xml:space="preserve">36.ter </w:t>
      </w:r>
      <w:r w:rsidRPr="001B0491">
        <w:rPr>
          <w:rFonts w:ascii="Times New Roman" w:hAnsi="Times New Roman"/>
          <w:b/>
          <w:i/>
          <w:sz w:val="24"/>
          <w:szCs w:val="24"/>
          <w:u w:val="single"/>
        </w:rPr>
        <w:t>B punkta 2.–9. apakšpunktā ir norādītas kategorijas, kādās iedala finanšu iestādes, kas nesniedz ziņojumus: “valdības iestāde”, “starptautiska organizācija”, “centrālā banka”, “plašas līdzdalības pensiju fonds”, “ierobežotas līdzdalības pensiju fonds”, “valdības iestādes pensiju fonds”, “starptautiska organizācija vai centrālā banka”, “kvalificēts kredītkaršu izdevējs” un “atbrīvots kolektīvo ieguldījumu instruments”.</w:t>
      </w:r>
    </w:p>
    <w:p w14:paraId="5ED31992"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36.quater Papildus šīm kategorijām jurisdikcijas par finanšu iestādēm, kas nesniedz ziņojumus, var uzskatīt arī kvalificētas bezpeļņas vienības. Jurisdikcijā, kas pieņem šo fakultatīvo noteikumu, jābūt ieviestiem atbilstošiem tiesiskiem un administratīviem mehānismiem, lai nodrošinātu, ka vienību, kas pretendē uz kvalificētas bezpeļņas vienības statusu, var uzskatīt par finanšu iestādi, kas nesniedz ziņojumus, tikai tad, ja ir saņemts apstiprinājums, ka tā izpilda VIII panta D punkta 9. apakšpunkta h) daļā noteiktos nosacījumus.</w:t>
      </w:r>
    </w:p>
    <w:p w14:paraId="6388E036"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36.quinquies Atbilstoši mehānismi ir, piemēram, sīki izstrādāts regulatīvais režīms, kas norāda, ar kādiem nosacījumiem vienību var uzskatīt par kvalificētu bezpeļņas vienību, ja valsts iestāde ir pārbaudījusi, ka vienība izpilda šos nosacījumus. Mehānisms varētu būt atbilstīgs arī tad, ja kvalificētai bezpeļņas vienībai jāsaņem labvēlīgs valdības vai tiesu iestādes nolēmums par to, vai vienība ir kvalificēta bezpeļņas vienība. Līdzīgi, biržas kotācijas mehānisms varētu būt prasība, ka kvalificētām bezpeļņas vienībām ir jāpieprasa tikt iekļautām valsts reģistrā (piemēram, lai vienība valsts līmenī tiktu kvalificēta kā vienība, kas atbrīvota no aplikšanas ar nodokli, vai lai apstiprinātu nodokļu atskaitījumus no ziedojumiem labdarībai). Katrā ziņā vispirms ir jāiegūst apstiprinājums saskaņā ar šādu mehānismu, ka vienība izpilda VIII panta D punkta 9. apakšpunkta h) daļas nosacījumus, lai vienību varētu uzskatīt par kvalificētu bezpeļņas vienību un tātad par finanšu iestādi, kas nesniedz ziņojumus.</w:t>
      </w:r>
    </w:p>
    <w:p w14:paraId="150E6038" w14:textId="77777777" w:rsidR="00DB30B8" w:rsidRPr="001B0491" w:rsidRDefault="00DB30B8" w:rsidP="0038202A">
      <w:pPr>
        <w:widowControl/>
        <w:spacing w:before="120"/>
        <w:jc w:val="both"/>
        <w:rPr>
          <w:rFonts w:ascii="Times New Roman" w:hAnsi="Times New Roman" w:cs="Times New Roman"/>
          <w:b/>
          <w:i/>
          <w:noProof/>
          <w:sz w:val="24"/>
          <w:szCs w:val="24"/>
        </w:rPr>
      </w:pPr>
      <w:r w:rsidRPr="001B0491">
        <w:rPr>
          <w:rFonts w:ascii="Times New Roman" w:hAnsi="Times New Roman"/>
          <w:b/>
          <w:i/>
          <w:sz w:val="24"/>
          <w:szCs w:val="24"/>
          <w:u w:val="thick"/>
        </w:rPr>
        <w:t xml:space="preserve">36.sexies </w:t>
      </w:r>
      <w:r w:rsidRPr="001B0491">
        <w:rPr>
          <w:rFonts w:ascii="Times New Roman" w:hAnsi="Times New Roman"/>
          <w:b/>
          <w:i/>
          <w:sz w:val="24"/>
          <w:szCs w:val="24"/>
          <w:u w:val="single"/>
        </w:rPr>
        <w:t xml:space="preserve">Ja īstenošanas jurisdikcija vēlas iekļaut kvalificētas bezpeļņas vienības kategoriju un tai ir ieviesti vai plānots, ka būs ieviesti, prasītie atbilstošie tiesiskie un administratīvie verificēšanas mehānismi, šāda jurisdikcija var pārveidot pantu par finanšu iestādēm, kas nesniedz ziņojumus, B punkta 1. apakšpunkta f) daļā un B punkta 10. apakšpunktā pievienojot papildu terminu “kvalificēta bezpeļņas vienība”, kas ietver B punkta </w:t>
      </w:r>
      <w:r w:rsidRPr="001B0491">
        <w:rPr>
          <w:rFonts w:ascii="Times New Roman" w:hAnsi="Times New Roman"/>
          <w:b/>
          <w:i/>
          <w:sz w:val="24"/>
          <w:szCs w:val="24"/>
          <w:u w:val="single"/>
        </w:rPr>
        <w:lastRenderedPageBreak/>
        <w:t>10. apakšpunkta nosacījumiem atbilstošu vietējo vienību kategoriju sarakstu vai kas kopumā izskaidro nosacījumus, kā minēts turpmāk.</w:t>
      </w:r>
    </w:p>
    <w:p w14:paraId="638E0DB2" w14:textId="77777777" w:rsidR="00DB30B8" w:rsidRPr="001B0491" w:rsidRDefault="00DB30B8" w:rsidP="00DB30B8">
      <w:pPr>
        <w:tabs>
          <w:tab w:val="left" w:pos="1142"/>
        </w:tabs>
        <w:spacing w:before="120"/>
        <w:ind w:left="284"/>
        <w:jc w:val="both"/>
        <w:rPr>
          <w:rFonts w:ascii="Times New Roman" w:hAnsi="Times New Roman" w:cs="Times New Roman"/>
          <w:b/>
          <w:i/>
          <w:noProof/>
          <w:sz w:val="24"/>
          <w:szCs w:val="24"/>
          <w:u w:val="thick"/>
        </w:rPr>
      </w:pPr>
      <w:r w:rsidRPr="001B0491">
        <w:rPr>
          <w:rFonts w:ascii="Times New Roman" w:hAnsi="Times New Roman"/>
          <w:b/>
          <w:i/>
          <w:sz w:val="24"/>
          <w:szCs w:val="24"/>
          <w:u w:val="thick"/>
        </w:rPr>
        <w:t>B. Finanšu iestāde, kas nesniedz ziņojumus</w:t>
      </w:r>
    </w:p>
    <w:p w14:paraId="5BB05F32" w14:textId="77777777" w:rsidR="00DB30B8" w:rsidRPr="001B0491" w:rsidRDefault="00DB30B8" w:rsidP="00DB30B8">
      <w:pPr>
        <w:tabs>
          <w:tab w:val="left" w:pos="1663"/>
        </w:tabs>
        <w:spacing w:before="120"/>
        <w:ind w:left="284"/>
        <w:rPr>
          <w:rFonts w:ascii="Times New Roman" w:hAnsi="Times New Roman" w:cs="Times New Roman"/>
          <w:b/>
          <w:i/>
          <w:noProof/>
          <w:sz w:val="24"/>
          <w:szCs w:val="24"/>
          <w:u w:val="thick"/>
        </w:rPr>
      </w:pPr>
      <w:r w:rsidRPr="001B0491">
        <w:rPr>
          <w:rFonts w:ascii="Times New Roman" w:hAnsi="Times New Roman"/>
          <w:b/>
          <w:i/>
          <w:sz w:val="24"/>
          <w:szCs w:val="24"/>
          <w:u w:val="thick"/>
        </w:rPr>
        <w:t>1. “Finanšu iestāde, kas nesniedz ziņojumus” ir jebkura finanšu iestāde, kas ir:</w:t>
      </w:r>
    </w:p>
    <w:p w14:paraId="1840F2D5" w14:textId="77777777" w:rsidR="00DB30B8" w:rsidRPr="001B0491" w:rsidRDefault="00DB30B8" w:rsidP="00DB30B8">
      <w:pPr>
        <w:spacing w:before="120"/>
        <w:ind w:left="567"/>
        <w:rPr>
          <w:rFonts w:ascii="Times New Roman" w:hAnsi="Times New Roman" w:cs="Times New Roman"/>
          <w:b/>
          <w:i/>
          <w:noProof/>
          <w:sz w:val="24"/>
          <w:szCs w:val="24"/>
          <w:u w:val="single"/>
        </w:rPr>
      </w:pPr>
      <w:r w:rsidRPr="001B0491">
        <w:rPr>
          <w:rFonts w:ascii="Times New Roman" w:hAnsi="Times New Roman"/>
          <w:b/>
          <w:i/>
          <w:sz w:val="24"/>
          <w:szCs w:val="24"/>
          <w:u w:val="single"/>
        </w:rPr>
        <w:t>(..)</w:t>
      </w:r>
    </w:p>
    <w:p w14:paraId="0EB09DEA" w14:textId="77777777" w:rsidR="00DB30B8" w:rsidRPr="001B0491" w:rsidRDefault="00DB30B8" w:rsidP="00DB30B8">
      <w:pPr>
        <w:tabs>
          <w:tab w:val="left" w:pos="2018"/>
        </w:tabs>
        <w:spacing w:before="120"/>
        <w:ind w:left="567"/>
        <w:rPr>
          <w:rFonts w:ascii="Times New Roman" w:hAnsi="Times New Roman" w:cs="Times New Roman"/>
          <w:b/>
          <w:i/>
          <w:noProof/>
          <w:sz w:val="24"/>
          <w:szCs w:val="24"/>
          <w:u w:val="thick"/>
        </w:rPr>
      </w:pPr>
      <w:r w:rsidRPr="001B0491">
        <w:rPr>
          <w:rFonts w:ascii="Times New Roman" w:hAnsi="Times New Roman"/>
          <w:b/>
          <w:i/>
          <w:sz w:val="24"/>
          <w:szCs w:val="24"/>
          <w:u w:val="thick"/>
        </w:rPr>
        <w:t>f) kvalificēta bezpeļņas vienība.</w:t>
      </w:r>
    </w:p>
    <w:p w14:paraId="28A6C6E4" w14:textId="77777777" w:rsidR="00DB30B8" w:rsidRPr="001B0491" w:rsidRDefault="00DB30B8" w:rsidP="00DB30B8">
      <w:pPr>
        <w:spacing w:before="120"/>
        <w:ind w:left="567"/>
        <w:rPr>
          <w:rFonts w:ascii="Times New Roman" w:hAnsi="Times New Roman" w:cs="Times New Roman"/>
          <w:b/>
          <w:i/>
          <w:noProof/>
          <w:sz w:val="24"/>
          <w:szCs w:val="24"/>
          <w:u w:val="single"/>
        </w:rPr>
      </w:pPr>
      <w:r w:rsidRPr="001B0491">
        <w:rPr>
          <w:rFonts w:ascii="Times New Roman" w:hAnsi="Times New Roman"/>
          <w:b/>
          <w:i/>
          <w:sz w:val="24"/>
          <w:szCs w:val="24"/>
          <w:u w:val="single"/>
        </w:rPr>
        <w:t>(..)</w:t>
      </w:r>
    </w:p>
    <w:p w14:paraId="2128EB1A" w14:textId="77777777" w:rsidR="00DB30B8" w:rsidRPr="001B0491" w:rsidRDefault="00DB30B8" w:rsidP="00DB30B8">
      <w:pPr>
        <w:tabs>
          <w:tab w:val="left" w:pos="1217"/>
        </w:tabs>
        <w:spacing w:before="120"/>
        <w:ind w:left="284"/>
        <w:jc w:val="both"/>
        <w:rPr>
          <w:rFonts w:ascii="Times New Roman" w:hAnsi="Times New Roman" w:cs="Times New Roman"/>
          <w:b/>
          <w:i/>
          <w:noProof/>
          <w:sz w:val="24"/>
          <w:szCs w:val="24"/>
          <w:u w:val="thick"/>
        </w:rPr>
      </w:pPr>
      <w:r w:rsidRPr="001B0491">
        <w:rPr>
          <w:rFonts w:ascii="Times New Roman" w:hAnsi="Times New Roman"/>
          <w:b/>
          <w:i/>
          <w:sz w:val="24"/>
          <w:szCs w:val="24"/>
          <w:u w:val="thick"/>
        </w:rPr>
        <w:t>10. “Kvalificēta bezpeļņas vienība” ir vienība, kas ir rezidents [jurisdikcijā] un ir ieguvusi [jurisdikcijas] nodokļu administrācijas [vai citas valdības iestādes] apstiprinājumu, ka tā atbilst visiem šādiem nosacījumiem:</w:t>
      </w:r>
    </w:p>
    <w:p w14:paraId="39D008DB" w14:textId="77777777" w:rsidR="00DB30B8" w:rsidRPr="001B0491" w:rsidRDefault="00DB30B8" w:rsidP="00DB30B8">
      <w:pPr>
        <w:tabs>
          <w:tab w:val="left" w:pos="2066"/>
        </w:tabs>
        <w:spacing w:before="120"/>
        <w:ind w:left="851" w:hanging="283"/>
        <w:jc w:val="both"/>
        <w:rPr>
          <w:rFonts w:ascii="Times New Roman" w:hAnsi="Times New Roman" w:cs="Times New Roman"/>
          <w:b/>
          <w:i/>
          <w:noProof/>
          <w:sz w:val="24"/>
          <w:szCs w:val="24"/>
          <w:u w:val="thick"/>
        </w:rPr>
      </w:pPr>
      <w:r w:rsidRPr="001B0491">
        <w:rPr>
          <w:rFonts w:ascii="Times New Roman" w:hAnsi="Times New Roman"/>
          <w:b/>
          <w:i/>
          <w:sz w:val="24"/>
          <w:szCs w:val="24"/>
          <w:u w:val="thick"/>
        </w:rPr>
        <w:t>i) tā ir izveidota un darbojas [jurisdikcijā] vienīgi ar reliģiju, labdarību, zinātni, mākslu, kultūru, sportu vai izglītību saistītiem mērķiem vai tā ir izveidota un darbojas [jurisdikcijā] un ir profesionāla organizācija, biznesa savienība, tirdzniecības kamera, arodorganizācija, lauksaimniecības vai dārzkopības organizācija, pilsoniska savienība vai organizācija, kas darbojas vienīgi sociālās labklājības veicināšanai;</w:t>
      </w:r>
    </w:p>
    <w:p w14:paraId="7CF08D2D" w14:textId="77777777" w:rsidR="00DB30B8" w:rsidRPr="001B0491" w:rsidRDefault="00DB30B8" w:rsidP="00DB30B8">
      <w:pPr>
        <w:tabs>
          <w:tab w:val="left" w:pos="2065"/>
        </w:tabs>
        <w:spacing w:before="120"/>
        <w:ind w:left="851" w:hanging="283"/>
        <w:jc w:val="both"/>
        <w:rPr>
          <w:rFonts w:ascii="Times New Roman" w:hAnsi="Times New Roman" w:cs="Times New Roman"/>
          <w:b/>
          <w:i/>
          <w:noProof/>
          <w:sz w:val="24"/>
          <w:szCs w:val="24"/>
          <w:u w:val="thick"/>
        </w:rPr>
      </w:pPr>
      <w:r w:rsidRPr="001B0491">
        <w:rPr>
          <w:rFonts w:ascii="Times New Roman" w:hAnsi="Times New Roman"/>
          <w:b/>
          <w:i/>
          <w:sz w:val="24"/>
          <w:szCs w:val="24"/>
          <w:u w:val="thick"/>
        </w:rPr>
        <w:t>ii) tā ir atbrīvota no ienākuma nodokļa [jurisdikcijā];</w:t>
      </w:r>
    </w:p>
    <w:p w14:paraId="3364EC76" w14:textId="77777777" w:rsidR="00DB30B8" w:rsidRPr="001B0491" w:rsidRDefault="00DB30B8" w:rsidP="00DB30B8">
      <w:pPr>
        <w:tabs>
          <w:tab w:val="left" w:pos="2063"/>
          <w:tab w:val="left" w:pos="2066"/>
        </w:tabs>
        <w:spacing w:before="120"/>
        <w:ind w:left="851" w:hanging="283"/>
        <w:jc w:val="both"/>
        <w:rPr>
          <w:rFonts w:ascii="Times New Roman" w:hAnsi="Times New Roman" w:cs="Times New Roman"/>
          <w:b/>
          <w:i/>
          <w:noProof/>
          <w:sz w:val="24"/>
          <w:szCs w:val="24"/>
          <w:u w:val="thick"/>
        </w:rPr>
      </w:pPr>
      <w:r w:rsidRPr="001B0491">
        <w:rPr>
          <w:rFonts w:ascii="Times New Roman" w:hAnsi="Times New Roman"/>
          <w:b/>
          <w:i/>
          <w:sz w:val="24"/>
          <w:szCs w:val="24"/>
          <w:u w:val="thick"/>
        </w:rPr>
        <w:t>iii) tai nav akcionāru vai dalībnieku, kam būtu īpašumtiesības vai labuma gūšanas intereses attiecībā uz tās ienākumiem vai aktīviem;</w:t>
      </w:r>
    </w:p>
    <w:p w14:paraId="41D0411C" w14:textId="77777777" w:rsidR="00DB30B8" w:rsidRPr="001B0491" w:rsidRDefault="00DB30B8" w:rsidP="00DB30B8">
      <w:pPr>
        <w:tabs>
          <w:tab w:val="left" w:pos="2063"/>
          <w:tab w:val="left" w:pos="2066"/>
        </w:tabs>
        <w:spacing w:before="120"/>
        <w:ind w:left="851" w:hanging="283"/>
        <w:jc w:val="both"/>
        <w:rPr>
          <w:rFonts w:ascii="Times New Roman" w:hAnsi="Times New Roman" w:cs="Times New Roman"/>
          <w:b/>
          <w:i/>
          <w:noProof/>
          <w:sz w:val="24"/>
          <w:szCs w:val="24"/>
        </w:rPr>
      </w:pPr>
      <w:r w:rsidRPr="001B0491">
        <w:rPr>
          <w:rFonts w:ascii="Times New Roman" w:hAnsi="Times New Roman"/>
          <w:b/>
          <w:i/>
          <w:sz w:val="24"/>
          <w:szCs w:val="24"/>
          <w:u w:val="single"/>
        </w:rPr>
        <w:t>iv) saskaņā ar [jurisdikcijas] piemērojamajiem tiesību aktiem vai vienības dibināšanas dokumentiem vienības ienākumus vai aktīvus nedrīkst sadalīt vai izmantot par labu privātpersonai vai vienībai, kas nav labdarības organizācija, ja šāda sadalīšana vai izmantošana nav saistīta ar vienības veiktajām labdarības darbībām, vai izmantot, lai veiktu pamatotas kompensācijas maksājumu par saņemtajiem pakalpojumiem vai maksājumu, kas atbilst vienības iegādāta īpašuma patiesajai tirgus vērtībai, un</w:t>
      </w:r>
    </w:p>
    <w:p w14:paraId="6D5EABA2" w14:textId="77777777" w:rsidR="00DB30B8" w:rsidRPr="001B0491" w:rsidRDefault="00DB30B8" w:rsidP="00DB30B8">
      <w:pPr>
        <w:tabs>
          <w:tab w:val="left" w:pos="2064"/>
          <w:tab w:val="left" w:pos="2066"/>
        </w:tabs>
        <w:spacing w:before="120"/>
        <w:ind w:left="851" w:hanging="283"/>
        <w:jc w:val="both"/>
        <w:rPr>
          <w:rFonts w:ascii="Times New Roman" w:hAnsi="Times New Roman" w:cs="Times New Roman"/>
          <w:b/>
          <w:i/>
          <w:noProof/>
          <w:sz w:val="24"/>
          <w:szCs w:val="24"/>
        </w:rPr>
      </w:pPr>
      <w:r w:rsidRPr="001B0491">
        <w:rPr>
          <w:rFonts w:ascii="Times New Roman" w:hAnsi="Times New Roman"/>
          <w:b/>
          <w:i/>
          <w:sz w:val="24"/>
          <w:szCs w:val="24"/>
          <w:u w:val="single"/>
        </w:rPr>
        <w:t>v) saskaņā ar [jurisdikcijas] piemērojamajiem tiesību aktiem vai vienības dibināšanas dokumentiem tad, ja vienība tiek likvidēta vai beidz pastāvēt, visi tās aktīvi tiek sadalīti valdības iestādei vai citai vienībai, kas atbilst i)–v) punkta nosacījumiem, vai pāriet [jurisdikcijas] valdības vai kāda tās administratīvi teritoriālā veidojuma īpašumā.</w:t>
      </w:r>
    </w:p>
    <w:p w14:paraId="63EB453C"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37. B punkta 5. apakšpunkta b) daļā paredzētā informācijas sniegšana dažādās jurisdikcijās var atšķirties. Vienā jurisdikcijā var būt noteikts, ka fonds vienu reizi gadā sniedz informāciju par tā labuma guvējiem, savukārt citā jurisdikcijā fondam var būt noteikts pienākums sniegt ikmēneša informāciju par iemaksām un saistīto nodokļu atvieglojumu un ikgadēju informāciju par tā labuma guvējiem un finansējošo darba devēju kopējām iemaksām. Tomēr tas, vai fonds izpilda šajā apakšpunktā noteikto prasību, ir atkarīgs no tā, vai fonds sniedz informāciju attiecīgajām nodokļu iestādēm jurisdikcijā, kurā fonds ir izveidots vai darbojas.</w:t>
      </w:r>
    </w:p>
    <w:p w14:paraId="53CBF17A" w14:textId="77777777" w:rsidR="00DB30B8" w:rsidRPr="001B0491" w:rsidRDefault="00DB30B8" w:rsidP="00DB30B8">
      <w:pPr>
        <w:spacing w:before="120"/>
        <w:ind w:left="284"/>
        <w:rPr>
          <w:rFonts w:ascii="Times New Roman" w:hAnsi="Times New Roman" w:cs="Times New Roman"/>
          <w:noProof/>
          <w:sz w:val="24"/>
          <w:szCs w:val="24"/>
        </w:rPr>
      </w:pPr>
      <w:bookmarkStart w:id="143" w:name="Narrow_Participation_Retirement_Fund"/>
      <w:bookmarkEnd w:id="143"/>
      <w:r w:rsidRPr="001B0491">
        <w:rPr>
          <w:rFonts w:ascii="Times New Roman" w:hAnsi="Times New Roman"/>
          <w:sz w:val="24"/>
          <w:szCs w:val="24"/>
        </w:rPr>
        <w:t>Ierobežotas līdzdalības pensiju fonds</w:t>
      </w:r>
    </w:p>
    <w:p w14:paraId="51FBB7A0"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38. Termins “ierobežotas līdzdalības pensiju fonds” saskaņā ar B punkta 6. apakšpunktu ir fonds, kas izveidots, lai sniegtu pensiju un invaliditātes pabalstus, kā arī pabalstus nāves gadījumā labuma guvējiem, kas ir vai ir bijuši viena vai vairāku darba devēju darba ņēmēji (vai ir šādu darba ņēmēju norādītās personas), kā atlīdzinājumu par sniegtajiem pakalpojumiem, ar nosacījumu, ka ir izpildītas visas šajā apakšpunktā minētās prasības.</w:t>
      </w:r>
    </w:p>
    <w:p w14:paraId="40C05AF4" w14:textId="77777777" w:rsidR="00DB30B8" w:rsidRPr="001B0491" w:rsidRDefault="00DB30B8" w:rsidP="0038202A">
      <w:pPr>
        <w:keepNext/>
        <w:keepLines/>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39. B punkta 6. apakšpunkta c) daļā noteikts, ka darba ņēmēja un darba devēja iemaksas fondā ir ierobežotas, pamatojoties attiecīgi uz darba ienākumiem un darba ņēmēja atalgojumu. Šajā apakšpunktā no minētā ierobežojuma ir izslēgti noteikti aktīvu pārvedumi (piemēram, pārvedumi no pensiju kontiem, kas minēti C punkta 17. apakšpunkta a) daļā), un papildus var tikt izslēgti arī citi aktīvu pārvedumi, piemēram, citos plānos, kas minēti B punkta 5.–7. apakšpunktā, iekļautie pārvedumi.</w:t>
      </w:r>
    </w:p>
    <w:p w14:paraId="2E6E16B6"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40. Informācijas sniegšanas prasība, kas paredzēta B punkta 6. apakšpunkta e) daļā, dažādās jursidikcijās var atšķirties. Tomēr atbilstīgi tam, kā norādīts iepriekš 37. punktā, tas, vai fonds izpilda šajā apakšpunktā noteikto prasību, ir atkarīgs no tā, vai fonds sniedz informāciju attiecīgajām nodokļu iestādēm jursidikcijā, kurā šis fonds ir izveidots vai darbojas.</w:t>
      </w:r>
    </w:p>
    <w:p w14:paraId="506A1650" w14:textId="77777777" w:rsidR="00DB30B8" w:rsidRPr="001B0491" w:rsidRDefault="00DB30B8" w:rsidP="00DB30B8">
      <w:pPr>
        <w:spacing w:before="120"/>
        <w:ind w:left="284"/>
        <w:rPr>
          <w:rFonts w:ascii="Times New Roman" w:hAnsi="Times New Roman" w:cs="Times New Roman"/>
          <w:noProof/>
          <w:sz w:val="24"/>
          <w:szCs w:val="24"/>
        </w:rPr>
      </w:pPr>
      <w:bookmarkStart w:id="144" w:name="Pension_Fund_of_a_Governmental_Entity,_I"/>
      <w:bookmarkEnd w:id="144"/>
      <w:r w:rsidRPr="001B0491">
        <w:rPr>
          <w:rFonts w:ascii="Times New Roman" w:hAnsi="Times New Roman"/>
          <w:sz w:val="24"/>
          <w:szCs w:val="24"/>
        </w:rPr>
        <w:t>Valdības iestādes, starptautiskas organizācijas vai centrālās bankas pensiju fonds</w:t>
      </w:r>
    </w:p>
    <w:p w14:paraId="10E6DEDF"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41. Saskaņā ar B punkta 7. apakšpunktu “valdības iestādes, starptautiskas organizācijas vai centrālās bankas pensiju fonds” ir fonds, ko nodibinājusi valdības iestāde, starptautiska organizācija vai centrālā banka, lai sniegtu pensiju un invaliditātes pabalstus, kā arī pabalstus nāves gadījumā labuma guvējiem, kas ir vai ir bijuši darba ņēmēji (vai ir šādu darba ņēmēju norādītās personas) vai kas nav vai nav bijuši darba ņēmēji, ja pabalsti, ko sniedz šādiem labuma guvējiem vai dalībniekiem, ir atlīdzinājums par individuālajiem pakalpojumiem, kuri sniegti valdības iestādei, starptautiskai organizācijai vai centrālajai bankai.</w:t>
      </w:r>
    </w:p>
    <w:p w14:paraId="0400C265"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45" w:name="Subparagraph_B(8)_–_Qualified_Credit_Car"/>
      <w:bookmarkEnd w:id="145"/>
      <w:r w:rsidRPr="001B0491">
        <w:rPr>
          <w:rFonts w:ascii="Times New Roman" w:hAnsi="Times New Roman"/>
          <w:i/>
          <w:color w:val="616161"/>
          <w:sz w:val="24"/>
          <w:szCs w:val="24"/>
        </w:rPr>
        <w:t>B punkta 8. apakšpunkts. Kvalificēts kredītkaršu izdevējs</w:t>
      </w:r>
    </w:p>
    <w:p w14:paraId="2C2E44B4"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42. B punkta 8. apakšpunktā noteikts, ka “kvalificēts kredītkaršu izdevējs” ir finanšu iestāde, kas atbilst šādām prasībām:</w:t>
      </w:r>
    </w:p>
    <w:p w14:paraId="060E8715"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finanšu iestādei ir finanšu iestādes statuss vienīgi tādēļ, ka tā izsniedz kredītkartes un pieņem noguldījumus tikai tad, ja klients veic maksājumu, kas pārsniedz atlikušo summu, kura jāapmaksā attiecībā uz karti, un pārmaksa uzreiz netiek atmaksāta klientam, un</w:t>
      </w:r>
    </w:p>
    <w:p w14:paraId="7660F45C"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no [xx.xx.xxxx.] vai pirms tam finanšu iestāde ir īstenojusi pasākumus un procedūras, lai novērstu to, ka klients veic pārmaksu, kas pārsniedz 50 000 USD, vai lai nodrošinātu, ka jebkura klienta pārmaksa, kas pārsniedz 50 000 USD (un atlikušo summu, kas jāapmaksā attiecībā uz karti), klientam tiek atmaksāta 60 kalendāro dienu laikā; abos gadījumos piemērojot VII panta C punktā izklāstītos noteikumus par kontu apkopošanu un valūtas pārrēķināšanu. Šajā saistībā klienta pārmaksa neattiecas uz kredīta atlikumiem apstrīdēto maksājumu apmērā, bet tā ietver kredīta atlikumus, kas radušies preču atgriešanas rezultātā.</w:t>
      </w:r>
    </w:p>
    <w:p w14:paraId="008B756C"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43. Lai gan B punkta 8. apakšpunkta b) daļā noteikto datumu izvēlas jursidikcija, kas ievieš Kopējo ziņošanas standartu, paredzams, ka šajā nolūkā tiks izraudzīts tas pats datums, kas izraudzīts saistībā ar terminu “jauns konts”. Tādēļ finanšu iestādei, kas ir izveidota vai dibināta pēc izraudzītā datuma, ir jānodrošina atbilstība B punkta 8. apakšpunkta b) daļā noteiktajai prasībai sešu mēnešu laikā pēc šīs finanšu iestādes izveides vai dibināšanas dienas.</w:t>
      </w:r>
    </w:p>
    <w:p w14:paraId="0124576D"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44. Finanšu iestāde, kas sniedz ziņojumus un kas neatbilst prasībām, kuras jāizpilda, lai to varētu uzskatīt par kvalificētu kredītkaršu izdevēju, taču kas pieņem noguldījumus gadījumā, ja klients pārmaksā atlikušo summu, kura jāmaksā attiecībā uz kredītkarti vai citu atjaunojamu kredītlīniju, var nesniegt ziņojumu par noguldījumu kontu, ja to iespējams kvalificēt kā izslēgto kontu atbilstīgi C punkta 17. apakšpunkta f) daļai.</w:t>
      </w:r>
    </w:p>
    <w:p w14:paraId="6A3AA3FF"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46" w:name="Subparagraph_B(1)(c)_–_Low-risk_Non-Repo"/>
      <w:bookmarkEnd w:id="146"/>
      <w:r w:rsidRPr="001B0491">
        <w:rPr>
          <w:rFonts w:ascii="Times New Roman" w:hAnsi="Times New Roman"/>
          <w:i/>
          <w:color w:val="616161"/>
          <w:sz w:val="24"/>
          <w:szCs w:val="24"/>
        </w:rPr>
        <w:t>B punkta 1. apakšpunkta c) daļa. Zema riska finanšu iestādes, kas nesniedz ziņojumus</w:t>
      </w:r>
    </w:p>
    <w:p w14:paraId="66B26A33"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45. Atbilstīgi B punkta 1. apakšpunkta c) daļai finanšu iestāde var būt arī finanšu iestāde, kas nesniedz ziņojumus, ja:</w:t>
      </w:r>
    </w:p>
    <w:p w14:paraId="65A12215" w14:textId="77777777" w:rsidR="00DB30B8" w:rsidRPr="001B0491" w:rsidRDefault="00DB30B8" w:rsidP="0038202A">
      <w:pPr>
        <w:keepNext/>
        <w:keepLines/>
        <w:tabs>
          <w:tab w:val="left" w:pos="941"/>
        </w:tabs>
        <w:spacing w:before="120"/>
        <w:ind w:left="568" w:hanging="284"/>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a) attiecībā uz finanšu iestādi pastāv zems risks, ka tā tiks izmantota, lai izvairītos no nodokļu maksāšanas;</w:t>
      </w:r>
    </w:p>
    <w:p w14:paraId="71A56D9F"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finanšu iestādes īpašības pēc būtības līdzinās jebkuras tādas finanšu iestādes īpašībām, kas minēta B punkta 1. apakšpunkta a) un b) daļā;</w:t>
      </w:r>
    </w:p>
    <w:p w14:paraId="726B5F79" w14:textId="77777777" w:rsidR="00DB30B8" w:rsidRPr="001B0491" w:rsidRDefault="00DB30B8" w:rsidP="00DB30B8">
      <w:pPr>
        <w:tabs>
          <w:tab w:val="left" w:pos="942"/>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c) finanšu iestāde saskaņā ar valsts tiesību aktiem ir finanšu iestāde, kas nesniedz ziņojumus;</w:t>
      </w:r>
    </w:p>
    <w:p w14:paraId="1C3AA8C2"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d) tas, ka finanšu iestādei piešķirts statuss “finanšu iestāde, kas nesniedz ziņojumus”, nav pretrunā Kopējā ziņošanas standarta mērķiem.</w:t>
      </w:r>
    </w:p>
    <w:p w14:paraId="1168E170"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46. Šī “atvērtā” finanšu iestāžu, kas nesniedz ziņojumus, kategorija ir paredzēta ar mērķi ietvert tos atsevišķām jursidikcijām raksturīgos finanšu iestāžu veidus, kas atbilst B punkta 1. apakšpunkta c) daļas prasībām, tādējādi izvairoties no nepieciešamības vienoties par finanšu iestāžu, kas nesniedz ziņojumus, klasēm, kad tiek slēgti nolīgumi par finanšu kontu informācijas automātisku apmaiņu.</w:t>
      </w:r>
    </w:p>
    <w:p w14:paraId="7F9D39AF" w14:textId="77777777" w:rsidR="00DB30B8" w:rsidRPr="001B0491" w:rsidRDefault="00DB30B8" w:rsidP="00DB30B8">
      <w:pPr>
        <w:tabs>
          <w:tab w:val="left" w:pos="943"/>
        </w:tabs>
        <w:spacing w:before="120"/>
        <w:rPr>
          <w:rFonts w:ascii="Times New Roman" w:hAnsi="Times New Roman" w:cs="Times New Roman"/>
          <w:noProof/>
          <w:sz w:val="24"/>
          <w:szCs w:val="24"/>
        </w:rPr>
      </w:pPr>
      <w:r w:rsidRPr="001B0491">
        <w:rPr>
          <w:rFonts w:ascii="Times New Roman" w:hAnsi="Times New Roman"/>
          <w:sz w:val="24"/>
          <w:szCs w:val="24"/>
        </w:rPr>
        <w:t>47. Pirmā B punkta 1. apakšpunkta c) daļā noteiktā prasība paredz, ka attiecībā uz finanšu iestādi pastāv zems risks, ka tā tiks izmantota, lai izvairītos no nodokļu maksāšanas. Faktori, ko var ņemt vērā, lai noteiktu šādu risku:</w:t>
      </w:r>
    </w:p>
    <w:p w14:paraId="4DBAF106"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a) zema riska faktori:</w:t>
      </w:r>
    </w:p>
    <w:p w14:paraId="17BD562A"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1) finanšu iestāde ir pakļauta regulējumam;</w:t>
      </w:r>
    </w:p>
    <w:p w14:paraId="559F3AB6" w14:textId="77777777" w:rsidR="00DB30B8" w:rsidRPr="001B0491" w:rsidRDefault="00DB30B8" w:rsidP="00DB30B8">
      <w:pPr>
        <w:tabs>
          <w:tab w:val="left" w:pos="1302"/>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2) finanšu iestādei noteikts pienākums sniegt informāciju nodokļu iestādēm;</w:t>
      </w:r>
    </w:p>
    <w:p w14:paraId="589C2D76"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b) augsta riska faktori:</w:t>
      </w:r>
    </w:p>
    <w:p w14:paraId="7A88DD6F"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 xml:space="preserve">1) attiecībā uz konkrēto finanšu iestāžu veidu netiek piemērotas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procedūras;</w:t>
      </w:r>
    </w:p>
    <w:p w14:paraId="6FA3D5CB" w14:textId="77777777" w:rsidR="00DB30B8" w:rsidRPr="001B0491" w:rsidRDefault="00DB30B8" w:rsidP="00DB30B8">
      <w:pPr>
        <w:tabs>
          <w:tab w:val="left" w:pos="1301"/>
          <w:tab w:val="left" w:pos="1303"/>
        </w:tabs>
        <w:spacing w:before="120"/>
        <w:ind w:left="851" w:hanging="283"/>
        <w:jc w:val="both"/>
        <w:rPr>
          <w:rFonts w:ascii="Times New Roman" w:hAnsi="Times New Roman" w:cs="Times New Roman"/>
          <w:noProof/>
          <w:sz w:val="24"/>
          <w:szCs w:val="24"/>
        </w:rPr>
      </w:pPr>
      <w:r w:rsidRPr="001B0491">
        <w:rPr>
          <w:rFonts w:ascii="Times New Roman" w:hAnsi="Times New Roman"/>
          <w:sz w:val="24"/>
          <w:szCs w:val="24"/>
        </w:rPr>
        <w:t xml:space="preserve">2) konkrētā veida finanšu iestādēm ir atļauts izsniegt uzrādītāja akcijas, un attiecībā uz tām netiek piemēroti efektīvi pasākumi, ar kuriem tiek īstenoti </w:t>
      </w:r>
      <w:r w:rsidRPr="001B0491">
        <w:rPr>
          <w:rFonts w:ascii="Times New Roman" w:hAnsi="Times New Roman"/>
          <w:i/>
          <w:iCs/>
          <w:sz w:val="24"/>
          <w:szCs w:val="24"/>
        </w:rPr>
        <w:t>FATF</w:t>
      </w:r>
      <w:r w:rsidRPr="001B0491">
        <w:rPr>
          <w:rFonts w:ascii="Times New Roman" w:hAnsi="Times New Roman"/>
          <w:sz w:val="24"/>
          <w:szCs w:val="24"/>
        </w:rPr>
        <w:t xml:space="preserve"> ieteikumi attiecībā uz juridisku personu pārskatāmību un faktiskajām īpašumtiesībām;</w:t>
      </w:r>
      <w:r w:rsidRPr="001B0491">
        <w:rPr>
          <w:rStyle w:val="FootnoteReference"/>
          <w:rFonts w:ascii="Times New Roman" w:hAnsi="Times New Roman" w:cs="Times New Roman"/>
          <w:noProof/>
          <w:sz w:val="24"/>
          <w:szCs w:val="24"/>
        </w:rPr>
        <w:footnoteReference w:customMarkFollows="1" w:id="5"/>
        <w:t>5</w:t>
      </w:r>
    </w:p>
    <w:p w14:paraId="7B4DD14A"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3)</w:t>
      </w:r>
      <w:r w:rsidRPr="001B0491">
        <w:rPr>
          <w:rFonts w:ascii="Times New Roman" w:hAnsi="Times New Roman"/>
          <w:b/>
          <w:bCs/>
          <w:sz w:val="24"/>
          <w:szCs w:val="24"/>
        </w:rPr>
        <w:t xml:space="preserve"> </w:t>
      </w:r>
      <w:r w:rsidRPr="001B0491">
        <w:rPr>
          <w:rFonts w:ascii="Times New Roman" w:hAnsi="Times New Roman"/>
          <w:sz w:val="24"/>
          <w:szCs w:val="24"/>
        </w:rPr>
        <w:t>konkrētais finanšu iestāžu veids tiek popularizēts kā nodokļu samazināšanas instruments.</w:t>
      </w:r>
    </w:p>
    <w:p w14:paraId="73631085"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sz w:val="24"/>
          <w:szCs w:val="24"/>
        </w:rPr>
        <w:t>48. Otrā prasība, kas izklāstīta B punkta 1. apakšpunkta c) daļā, nosaka, ka finanšu iestādes īpašībām pēc būtības jālīdzinās jebkuru B punkta 1. apakšpunkta a) un b) daļā minēto finanšu iestāžu īpašībām.</w:t>
      </w:r>
      <w:r w:rsidRPr="001B0491">
        <w:rPr>
          <w:rFonts w:ascii="Times New Roman" w:hAnsi="Times New Roman"/>
          <w:color w:val="231F20"/>
          <w:sz w:val="24"/>
          <w:szCs w:val="24"/>
        </w:rPr>
        <w:t xml:space="preserve"> Šo prasību nevar izmantot tikai tam, lai izslēgtu konkrētu apraksta elementu. Katra jursidikcija var izvērtēt šīs prasības piemērošanu attiecībā uz finanšu iestāžu veidu, kurš neatbilst visām konkrētā apraksta prasībām, kas minētas B punkta 1. apakšpunkta a) vai b) daļā. Šādā izvērtēšanā jursidikcijai ir jānoskaidro, kuras prasības ir izpildītas un kuras nav izpildītas, un saistībā ar neizpildītajām prasībām jānoskaidro, vai pastāv alternatīvas prasības, kas līdzvērtīgā līmenī nodrošina, ka attiecībā uz konkrēto finanšu iestādes veidu pastāv izvairīšanās no nodokļu maksāšanas risks.</w:t>
      </w:r>
    </w:p>
    <w:p w14:paraId="3A7DBC46"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49. Trešā prasība, kas noteikta B punkta 1. apakšpunkta c) daļā, paredz, ka finanšu iestādei ir jābūt noteiktai valsts tiesību aktos kā finanšu iestādei, kas nesniedz ziņojumus. Šī prasība tiek izpildīta, ja jursidikcija konkrētam finanšu iestāžu veidam piešķir statusu “finanšu iestāde, kas nesniedz ziņojumus” un ja valsts tiesību aktos tiek iekļauta šādu iestāžu definīcija. Šim mērķim jursidikcija parasti ievēros finanšu iestāžu veidus, kas noteikti kā “no ieturēšanas atbrīvoti patiesā labuma guvēji” vai “par atbilstošām uzskatītas ĀFI” starpvaldību nolīgumā, kas noslēgts starp šādu jursidikciju un Amerikas Savienotajām Valstīm ar mērķi uzlabot </w:t>
      </w:r>
      <w:r w:rsidRPr="001B0491">
        <w:rPr>
          <w:rFonts w:ascii="Times New Roman" w:hAnsi="Times New Roman"/>
          <w:color w:val="231F20"/>
          <w:sz w:val="24"/>
          <w:szCs w:val="24"/>
        </w:rPr>
        <w:lastRenderedPageBreak/>
        <w:t xml:space="preserve">nodokļu saistību izpildi starptautiskā līmenī, tostarp attiecībā uz </w:t>
      </w:r>
      <w:r w:rsidRPr="001B0491">
        <w:rPr>
          <w:rFonts w:ascii="Times New Roman" w:hAnsi="Times New Roman"/>
          <w:i/>
          <w:iCs/>
          <w:color w:val="231F20"/>
          <w:sz w:val="24"/>
          <w:szCs w:val="24"/>
        </w:rPr>
        <w:t>FATCA</w:t>
      </w:r>
      <w:r w:rsidRPr="001B0491">
        <w:rPr>
          <w:rFonts w:ascii="Times New Roman" w:hAnsi="Times New Roman"/>
          <w:color w:val="231F20"/>
          <w:sz w:val="24"/>
          <w:szCs w:val="24"/>
        </w:rPr>
        <w:t>, ar nosacījumu, ka šādi finanšu iestāžu veidi atbilst visām B punkta 1. apakšpunkta c) daļā minētajām prasībām. Tiek sagaidīts, ka katrai jursidikcijai būs tikai viens saraksts ar valsts līmenī noteiktām finanšu iestādēm, kas nesniedz ziņojumus (nevis dažādi saraksti attiecībā uz dažādām iesaistītajām jursidikcijām), un ka tās darīs šādus sarakstus publiski pieejamus.</w:t>
      </w:r>
    </w:p>
    <w:p w14:paraId="04AC89F2"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50. Ceturtā prasība, kas noteikta B punkta 1. apakšpunkta c) daļā, paredz, ka tas, ka finanšu iestādei piešķirts statuss “finanšu iestāde, kas nesniedz ziņojumus”, nedrīkst būt pretrunā Kopējā ziņošanas standarta mērķiem. Paredzēts, ka šīs prasības izpilde tiks uzraudzīta, tostarp izmantojot šādus līdzekļus:</w:t>
      </w:r>
    </w:p>
    <w:p w14:paraId="6A34CB73" w14:textId="77777777" w:rsidR="00DB30B8" w:rsidRPr="001B0491" w:rsidRDefault="00DB30B8" w:rsidP="00DB30B8">
      <w:pPr>
        <w:tabs>
          <w:tab w:val="left" w:pos="142"/>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administratīvās procedūras, kurām jābūt ieviestām jursidikcijā, lai nodrošinātu, ka finanšu iestāde, kura valsts tiesību aktos noteikta kā finanšu iestāde, kas nesniedz ziņojumus, joprojām ir saistīta ar zemu risku, ka tā tiks izmantota, lai izvairītos no nodokļu maksāšanas (skat. IX panta A punkta 4. apakšpunktu);</w:t>
      </w:r>
    </w:p>
    <w:p w14:paraId="066DE002" w14:textId="77777777" w:rsidR="00DB30B8" w:rsidRPr="001B0491" w:rsidRDefault="00DB30B8" w:rsidP="00DB30B8">
      <w:pPr>
        <w:tabs>
          <w:tab w:val="left" w:pos="142"/>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Kompetento iestāžu nolīguma iespējamu apturēšanu, ja kompetentā iestāde ir noteikusi statusu “finanšu iestāde, kas nesniedz ziņojumus” tādā veidā, kas ir pretrunā Kopējā ziņošanas standarta mērķiem (skat. Kompetento iestāžu nolīguma parauga 7. panta 2. punktu);</w:t>
      </w:r>
    </w:p>
    <w:p w14:paraId="40376F6A" w14:textId="77777777" w:rsidR="00DB30B8" w:rsidRPr="001B0491" w:rsidRDefault="00DB30B8" w:rsidP="00DB30B8">
      <w:pPr>
        <w:tabs>
          <w:tab w:val="left" w:pos="142"/>
          <w:tab w:val="left" w:pos="943"/>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c) mehānisms, kurš paredzēts Kopējā ziņošanas standarta ieviešanas pārskatīšanai un kuru G20 uzdevusi Pasaules forumam par pārredzamības un informācijas apmaiņas jautājumiem nodokļu jomā (skat. 2013. gada 5.–6. septembrī Sanktpēterburgas samitā pieņemtās G20 Valstu vadītāju deklarācijas 51. punktu).</w:t>
      </w:r>
      <w:r w:rsidRPr="001B0491">
        <w:rPr>
          <w:rStyle w:val="FootnoteReference"/>
          <w:rFonts w:ascii="Times New Roman" w:hAnsi="Times New Roman" w:cs="Times New Roman"/>
          <w:noProof/>
          <w:color w:val="231F20"/>
          <w:sz w:val="24"/>
          <w:szCs w:val="24"/>
        </w:rPr>
        <w:footnoteReference w:customMarkFollows="1" w:id="6"/>
        <w:t>6</w:t>
      </w:r>
    </w:p>
    <w:p w14:paraId="29BA0250"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51. Turpmākajos piemēros atspoguļota B punkta 1. apakšpunkta c) daļas piemērošana.</w:t>
      </w:r>
    </w:p>
    <w:p w14:paraId="5FF77181"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1. piemērs (bezpeļņas organizācija). Bezpeļņas organizācija, kas ir finanšu iestāde, neatbilst pilnīgi neviena konkrēta apraksta prasībām, kas izklāstītas B punkta 1. apakšpunkta a) vai b) daļā. Šāda veida finanšu iestādi, kas nesniedz ziņojumus, valsts tiesību aktos nedrīkst noteikt kā finanšu iestādi, kas nesniedz ziņojumus, pamatojoties vienīgi uz to, ka tā ir bezpeļņas organizācija.</w:t>
      </w:r>
    </w:p>
    <w:p w14:paraId="32CA55C7"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2. piemērs (pensiju fonds, kas paredzēts arī pašnodarbinātām personām). Pensiju fonds, kas ir finanšu iestāde, atbilst visām B punkta 5. apakšpunktā noteiktajām prasībām.</w:t>
      </w:r>
    </w:p>
    <w:p w14:paraId="17498D0F"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 Tomēr saskaņā ar tās jurisdikcijas tiesību aktiem, kurā fonds ir izveidots vai darbojas, tam ir jānodrošina pabalsti arī tādiem saņēmējiem, kas ir pašnodarbinātas personas. Tā kā pastāv vispārēja, alternatīva prasība, kas nodrošina līdzvērtīgu pārliecību, ka saistībā ar fondu pastāv zems izvairīšanās no nodokļu maksāšanas risks, valsts tiesību aktos šādām finanšu iestādēm var piešķirt statusu “finanšu iestāde, kas nesniedz ziņojumus”.</w:t>
      </w:r>
    </w:p>
    <w:p w14:paraId="7BB54326"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3. piemērs (neierobežots pensiju fonds). Pensiju fonds, kas ir finanšu iestāde, atbilst visām prasībām, kas minētas B punkta 6 apakšpunktā, izņemot B punkta 6. apakšpunkta c) daļā noteiktajai prasībai (t. i., darba ņēmēja un darba devēja iemaksas nav ierobežotas). Tomēr ar darba ņēmēja un darba devēja iemaksām saistītie nodokļu atvieglojumi ir ierobežoti, pamatojoties attiecīgi uz darba ienākumiem un darba ņēmēja atalgojumu. Tā kā pastāv alternatīva prasība, kas nodrošina līdzvērtīgu pārliecību, ka saistībā ar fondu pastāv zems izvairīšanās no nodokļu maksāšanas risks, valsts tiesību aktos šādām finanšu iestādēm var tikt piešķirts statuss “finanšu iestāde, kas nesniedz ziņojumus”.</w:t>
      </w:r>
    </w:p>
    <w:p w14:paraId="73DE0CAD" w14:textId="77777777" w:rsidR="00DB30B8" w:rsidRPr="001B0491" w:rsidRDefault="00DB30B8" w:rsidP="0038202A">
      <w:pPr>
        <w:keepNext/>
        <w:keepLines/>
        <w:numPr>
          <w:ilvl w:val="1"/>
          <w:numId w:val="33"/>
        </w:numPr>
        <w:tabs>
          <w:tab w:val="left" w:pos="1843"/>
        </w:tabs>
        <w:spacing w:before="120"/>
        <w:ind w:left="851" w:hanging="284"/>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4. piemērs (ieguldījumu instruments, kas paredzēts vienīgi pensiju fondiem). Ieguldījumu instruments, kas ir finanšu iestāde un izveidots vienīgi ar nolūku nest peļņu vienam vai vairākiem atvaļināšanas vai pensiju fondiem, kuri minēti B punkta 5.–7. apakšpunktā, vai C punkta 17. apakšpunkta a) daļā minētajiem pensionēšanās vai pensiju kontiem. Tā kā visi ieguldījumu instrumenta ienākumi ir paredzēti finanšu iestādēm, kas nesniedz ziņojumus, vai izslēgtiem kontiem, un pastāv vispārēja, alternatīva prasība, kas nodrošina līdzvērtīgu pārliecību, ka saistībā ar instrumentu pastāv zems izvairīšanās no nodokļu maksāšanas risks, valsts tiesību aktos šādām finanšu iestādēm var tikt piešķirts statuss “finanšu iestāde, kas nesniedz ziņojumus”.</w:t>
      </w:r>
    </w:p>
    <w:p w14:paraId="28993D10"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47" w:name="Subparagraph_B(9)_–_Exempt_Collective_In"/>
      <w:bookmarkEnd w:id="147"/>
      <w:r w:rsidRPr="001B0491">
        <w:rPr>
          <w:rFonts w:ascii="Times New Roman" w:hAnsi="Times New Roman"/>
          <w:i/>
          <w:color w:val="616161"/>
          <w:sz w:val="24"/>
          <w:szCs w:val="24"/>
        </w:rPr>
        <w:t>B punkta 9. apakšpunkts. Atbrīvots kolektīvo ieguldījumu instruments</w:t>
      </w:r>
    </w:p>
    <w:p w14:paraId="19C85E2A"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52. B punkta 9. apakšpunktā noteiktais “atbrīvots kolektīvo ieguldījumu instruments” ir ieguldījumu vienība, kas tiek regulēta kā kolektīvo ieguldījumu instruments, ar nosacījumu, ka visas kolektīvo ieguldījumu instrumenta daļas tur tādas privātpersonas vai vienības vai tās tiek turētas ar tādu privātpersonu vai vienību starpniecību, kas nav personas, par kurām jāsniedz ziņojums (piemēram, tādēļ, ka tās ir finanšu iestādes), izņemot pasīvu nefinanšu vienību, kuras kontrolējošās personas ir personas, par kurām jāsniedz ziņojums.</w:t>
      </w:r>
    </w:p>
    <w:p w14:paraId="36D13272"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53. Ieguldījumu vienībai, kurā visas daļas tur personas, par kurām nav jāsniedz ziņojums, vai tiek turētas ar šādu personu starpniecību, parasti nebūs ziņošanas pienākumu neatkarīgi no tā, vai tā ir kvalificējama kā atbrīvots kolektīvo ieguldījumu instruments atbilstīgi B punkta 9. apakšpunktam. Tomēr šāda kvalifikācija var būt būtiska saistībā ar citiem ieguldījumu vienībai noteiktiem pienākumiem, piemēram, tādiem kā nulles paziņojuma iesniegšana gadījumā, ja nav kontu, par kuriem jāsniedz ziņojums (ja tas paredzēts valsts tiesību aktos).</w:t>
      </w:r>
    </w:p>
    <w:p w14:paraId="12891A4E"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54. Noteikums, kas jāpiemēro gadījumā, ja jursidikcija iepriekš atļāvusi kolektīvo ieguldījumu instrumentam izdot uzrādītāja akcijas, ir noteikts B punkta 9. apakšpunktā. Tas, ka kolektīvo ieguldījumu instruments ir izdevis fiziskas uzrādītāja akcijas, nav pietiekams iemesls, lai ieguldījumu vienību, kas tiek regulēta kā kolektīvo ieguldījumu instruments, nevarētu kvalificēt kā atbrīvotu kolektīvo ieguldījumu instrumentu, ar nosacījumu, ka:</w:t>
      </w:r>
    </w:p>
    <w:p w14:paraId="30C2E27A"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kolektīvo ieguldījumu instruments nav izdevis un neizdod fiziskas uzrādītāja akcijas pēc [xx.xx.xxxx.];</w:t>
      </w:r>
    </w:p>
    <w:p w14:paraId="3F772861"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atpirkuma gadījumā kolektīvo ieguldījumu instruments visas šādas akcijas noraksta;</w:t>
      </w:r>
    </w:p>
    <w:p w14:paraId="5954E4B5"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kolektīvo ieguldījumu instruments veic II–VII pantā izklāstītās pienācīgas pārbaudes procedūras un sniedz jebkādu informāciju, kas tiek pieprasīta saistībā ar šādām akcijām, ja šādas akcijas tiek sniegtas dzēšanai vai cita veida maksājumam, un</w:t>
      </w:r>
    </w:p>
    <w:p w14:paraId="28D6DAEF"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d) kolektīvo ieguldījumu instruments īsteno atbilstošu politiku un procedūras, lai nodrošinātu, ka šādas akcijas pēc iespējas drīz un jebkurā gadījumā pirms [xx.xx.xxxx.] tiek atpirktas vai izņemtas no apgrozības.</w:t>
      </w:r>
    </w:p>
    <w:p w14:paraId="5599BADF"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48" w:name="Subparagraph_B(1)(e)_–_Trustee-Documente"/>
      <w:bookmarkEnd w:id="148"/>
      <w:r w:rsidRPr="001B0491">
        <w:rPr>
          <w:rFonts w:ascii="Times New Roman" w:hAnsi="Times New Roman"/>
          <w:i/>
          <w:color w:val="616161"/>
          <w:sz w:val="24"/>
          <w:szCs w:val="24"/>
        </w:rPr>
        <w:t>B punkta 1. apakšpunkta e) daļa. Pilnvarotās personas dokumentēts trasts</w:t>
      </w:r>
    </w:p>
    <w:p w14:paraId="05A2D1C2"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55. Trasts, kas ir finanšu iestāde (jo, piemēram, tas ir ieguldījumu vienība), atbilstīgi B punkta 1. apakšpunkta e) daļai ir finanšu iestāde, kas nesniedz ziņojumus, ciktāl trasta pilnvarotā persona ir finanšu iestāde, kas sniedz ziņojumus, un tā sniedz visu informāciju, kas jāsniedz saskaņā ar I pantu, attiecībā uz visiem trasta kontiem, par kuriem jāsniedz ziņojums.</w:t>
      </w:r>
    </w:p>
    <w:p w14:paraId="5255C3A9"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56. Rezultāts, kurš tiek iegūts attiecībā uz šo finanšu iestādes, kas nesniedz ziņojumus, kategoriju, līdzinās tam, kas izriet no II panta D apakšpunkta, kurš paredz, ka finanšu iestādēm, kas sniedz ziņojumus, var atļaut izmantot pakalpojuma sniedzējus ziņošanas un pienācīgas pārbaudes saistību izpildei. Vienīgā atšķirība starp minētajā apakšpunktā noteikto un šo kategoriju ir tā, ka par pakalpojuma sniedzēju izpildītajām ziņošanas un pienācīgas </w:t>
      </w:r>
      <w:r w:rsidRPr="001B0491">
        <w:rPr>
          <w:rFonts w:ascii="Times New Roman" w:hAnsi="Times New Roman"/>
          <w:sz w:val="24"/>
          <w:szCs w:val="24"/>
        </w:rPr>
        <w:lastRenderedPageBreak/>
        <w:t xml:space="preserve">pārbaudes saistībām atbildību uzņemas finanšu iestāde, kas sniedz ziņojumus, savukārt atbildību par saistībām, ko izpildījusi pilnvarotās personas dokumentēta trasta pilnvarotā persona, trasts ir nodevis savai pilnvarotajai personai. Tomēr saistībā ar šo kategoriju ziņošanas un pienācīgas pārbaudes saistību izpildes laiks un veids nemainās – tas paliek tāds pats kā gadījumā, ja atbildību par to izpildi uzņemtos trasts. Piemēram, pilnvarotā persona nedrīkst sniegt informāciju par pilnvarotās personas dokumentēta trasta kontu, par kuru jāsniedz ziņojums, tā, it kā tas būtu šīs pilnvarotās personas konts, par kuru jāsniedz ziņojums. Pilnvarotajai personai šāda informācija jāsniedz tā, it kā šo informāciju sniegtu pilnvarotās personas dokumentēts trasts (piemēram, tai pašai jursidikcijai), un jānorāda pilnvarotās personas dokumentētais trasts, attiecībā uz kuru tā izpilda ziņošanas un pienācīgas pārbaudes saistības. Šo finanšu iestādes, kas nesniedz ziņojumus, kategoriju var attiecināt arī uz juridiskiem veidojumiem, kas līdzvērtīgi vai līdzīgi trastam, piemēram uz </w:t>
      </w:r>
      <w:r w:rsidRPr="001B0491">
        <w:rPr>
          <w:rFonts w:ascii="Times New Roman" w:hAnsi="Times New Roman"/>
          <w:i/>
          <w:sz w:val="24"/>
          <w:szCs w:val="24"/>
        </w:rPr>
        <w:t>fideicomiso</w:t>
      </w:r>
      <w:r w:rsidRPr="001B0491">
        <w:rPr>
          <w:rFonts w:ascii="Times New Roman" w:hAnsi="Times New Roman"/>
          <w:sz w:val="24"/>
          <w:szCs w:val="24"/>
        </w:rPr>
        <w:t>.</w:t>
      </w:r>
    </w:p>
    <w:p w14:paraId="3F400F79" w14:textId="77777777" w:rsidR="00DB30B8" w:rsidRPr="001B0491" w:rsidRDefault="00DB30B8" w:rsidP="00DB30B8">
      <w:pPr>
        <w:spacing w:before="120"/>
        <w:ind w:left="284"/>
        <w:outlineLvl w:val="6"/>
        <w:rPr>
          <w:rFonts w:ascii="Times New Roman" w:hAnsi="Times New Roman" w:cs="Times New Roman"/>
          <w:b/>
          <w:bCs/>
          <w:i/>
          <w:iCs/>
          <w:noProof/>
          <w:sz w:val="24"/>
          <w:szCs w:val="24"/>
        </w:rPr>
      </w:pPr>
      <w:bookmarkStart w:id="149" w:name="Paragraph_C_–_Financial_Account"/>
      <w:bookmarkEnd w:id="149"/>
      <w:r w:rsidRPr="001B0491">
        <w:rPr>
          <w:rFonts w:ascii="Times New Roman" w:hAnsi="Times New Roman"/>
          <w:b/>
          <w:i/>
          <w:sz w:val="24"/>
          <w:szCs w:val="24"/>
        </w:rPr>
        <w:t>C punkts. Finanšu konts</w:t>
      </w:r>
    </w:p>
    <w:p w14:paraId="179E7013"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50" w:name="Subparagraph_C(1)_–_In_general"/>
      <w:bookmarkEnd w:id="150"/>
      <w:r w:rsidRPr="001B0491">
        <w:rPr>
          <w:rFonts w:ascii="Times New Roman" w:hAnsi="Times New Roman"/>
          <w:i/>
          <w:color w:val="616161"/>
          <w:sz w:val="24"/>
          <w:szCs w:val="24"/>
        </w:rPr>
        <w:t>C punkta 1. apakšpunkts. Vispārīga informācija</w:t>
      </w:r>
    </w:p>
    <w:p w14:paraId="343E3795"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57. C punkta 1. apakšpunktā noteikts, ka “finanšu konts” ir finanšu iestādes uzturēts konts un ka šis termins ietver:</w:t>
      </w:r>
    </w:p>
    <w:p w14:paraId="51E72F30"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noguldījumu kontus;</w:t>
      </w:r>
    </w:p>
    <w:p w14:paraId="2D0A1908"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turētāja kontus;</w:t>
      </w:r>
    </w:p>
    <w:p w14:paraId="776F2484"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līdzdalības daļas noteiktu ieguldījumu sabiedrību kapitālā un parādkapitālā;</w:t>
      </w:r>
    </w:p>
    <w:p w14:paraId="7DD8C945"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apdrošināšanas līgumus ar naudas vērtību;</w:t>
      </w:r>
    </w:p>
    <w:p w14:paraId="00AE5CDF"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anuitātes līgumus.</w:t>
      </w:r>
    </w:p>
    <w:p w14:paraId="3C2D93C7"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58. Tomēr termins “finanšu konts” neietver nevienu kontu, kas ir izslēgtais konts un uz ko līdz ar to neattiecas pienācīgas pārbaudes procedūras, kuras piemēro ar mērķi identificēt, kuri no finanšu kontiem ir konti, par kuriem jāsniedz ziņojums (tādas kā pašapliecinājuma iegūšana). Turklāt termins “finanšu konts” neietver noteiktus anuitātes līgumus, kas minēti C punkta 1. apakšpunkta c) daļā: ar ieguldījumiem nesaistīta, nenododama, tūlītēja anuitāte, kura izsniegta privātpersonai un kura paredz pensijas vai invaliditātes pabalsta izmaksu saskaņā ar kontu, kas ir izslēgtais konts. Pensijas vai invaliditātes pabalsti ietver arī atvaļināšanas pabalstu un pabalstu nāves gadījumā, ja piemērojams.</w:t>
      </w:r>
    </w:p>
    <w:p w14:paraId="3B8B1F0C"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59. “Ar ieguldījumiem nesaistīta, nenododama, tūlītēja anuitāte” ir nenododams anuitātes līgums, kas i) nav ar ieguldījumiem saistīts anuitātes līgums, ii) ir tūlītēja anuitāte un iii) ir anuitātes līgums. “Ar ieguldījumiem saistīts anuitātes līgums” ir anuitātes līgums, kurā paredzētie pabalsti vai prēmijas tiek koriģētas, atspoguļojot ieguldījumu peļņu no aktīviem, kas saistīti ar līgumu, vai aktīvu tirgus vērtību. “Tūlītēja anuitāte” nozīmē anuitātes līgumu, kurš i) tiek nopirkts, samaksājot vienreizēju prēmiju vai anuitātes maksājumu, un no kura ii) ne vēlāk kā vienu gadu pēc līguma iegādes dienas tiek sākta ikgadēja vai biežāka periodisku un aptuveni vienādu maksājumu izmaksa. “Anuitātes līgums” ir anuitātes līgums, kas paredz maksājumus viena vai vairāku privātpersonu mūža ilgumā.</w:t>
      </w:r>
    </w:p>
    <w:p w14:paraId="6332E7EC"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60. Saskaņā ar C punkta 1. apakšpunkta a) daļu līdzdalības daļa ieguldījumu vienības kapitālā vai parādkapitālā ir uzskatāma par finanšu kontu. Tomēr par finanšu kontu netiek uzskatīta līdzdalības daļa tādas vienības kapitālā vai parādkapitālā, kura tiek uzskatīta par ieguldījumu vienību vienīgi tāpēc, ka tā ir ieguldījumu konsultants vai ieguldījumu pārvaldītājs. Līdz ar to līdzdalības daļas kapitālā vai parādkapitālā, kas kopumā tiktu uzskatītas par finanšu kontiem, ietver līdzdalības daļas tādas ieguldījumu vienības kapitālā vai parādkapitālā, i) kas ir profesionāli pārvaldīta ieguldījumu vienība vai ii) kas darbojas vai pasniedz sevi kā kolektīvu ieguldījumu instrumentu, kopieguldījumu fondu, biržā tirgotu fondu, privāta kapitāla fondu, riska ieguldījumu fondu, riska kapitāla fondu, fondu, kas veic pirkšanas darījumus, izmantojot </w:t>
      </w:r>
      <w:r w:rsidRPr="001B0491">
        <w:rPr>
          <w:rFonts w:ascii="Times New Roman" w:hAnsi="Times New Roman"/>
          <w:sz w:val="24"/>
          <w:szCs w:val="24"/>
        </w:rPr>
        <w:lastRenderedPageBreak/>
        <w:t>aizņemtus līdzekļus, vai līdzīgu ieguldījumu instrumentu, kas izveidots, pamatojoties uz ieguldījumu stratēģiju, kura paredz veikt ieguldījumus vai atkārtotus ieguldījumus finanšu aktīvos vai tirgoties ar finanšu aktīviem.</w:t>
      </w:r>
    </w:p>
    <w:p w14:paraId="32F83D66"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61. </w:t>
      </w:r>
      <w:r w:rsidRPr="001B0491">
        <w:rPr>
          <w:rFonts w:ascii="Times New Roman" w:hAnsi="Times New Roman"/>
          <w:sz w:val="24"/>
          <w:szCs w:val="24"/>
        </w:rPr>
        <w:t>Saskaņā ar C punkta 1. apakšpunkta b) daļu līdzdalības daļa finanšu iestādes kapitālā vai parādkapitālā, kas nav minēta C punkta 1. apakšpunkta a) daļā, tiek uzskatīta par finanšu kontu vienīgi tad, ja ir noteikta līdzdalības daļas klase, lai izvairītos no ziņojumu sniegšanas atbilstīgi I pantam. Līdz ar to par finanšu kontiem tiks uzskatītas tādas līdzdalības daļas turētājiestādes, noguldījumu iestādes, ieguldījumu vienības (izņemot C punkta 1. apakšpunkta a) daļā minēto ieguldījumu konsultantu vai ieguldījumu pārvaldītāju) vai specializētās apdrošināšanas sabiedrības kapitālā vai parādkapitālā, kas izveidotas ar mērķi izvairīties no ziņojumu sniegšanas.</w:t>
      </w:r>
    </w:p>
    <w:p w14:paraId="785844C6"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62. Parasti konts tiks uzskatīts par tādu, kuru uztur finanšu iestāde, atbilstīgi tam, kā norādīts turpmāk:</w:t>
      </w:r>
    </w:p>
    <w:p w14:paraId="6D534E26"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turētāja konta gadījumā kontu uztur finanšu iestāde, kas ir konta aktīvu turētāja (tostarp finanšu iestāde, kas konta turētāja labā tur aktīvus brokera darījumu kontā šādā iestādē);</w:t>
      </w:r>
    </w:p>
    <w:p w14:paraId="2FE9E923"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noguldījumu konta gadījumā kontu uztur finanšu iestāde, kuras pienākums ir veikt maksājumus attiecībā uz kontu (izņemot finanšu iestādes pārstāvi, neatkarīgi no tā, vai šāds aģents ir finanšu iestāde);</w:t>
      </w:r>
    </w:p>
    <w:p w14:paraId="3BA1BBC2"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finanšu iestāde uztur kontu gadījumā, ja pastāv jebkādas līdzdalības daļas kapitālā vai parādkapitālā šajā finanšu iestādē, kuras veido finanšu kontu;</w:t>
      </w:r>
    </w:p>
    <w:p w14:paraId="46ACC55D"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apdrošināšanas līguma ar naudas vērtību vai anuitātes līguma gadījumā kontu uztur finanšu iestāde, kuras pienākums ir veikt maksājumus attiecībā uz līgumu.</w:t>
      </w:r>
    </w:p>
    <w:p w14:paraId="6D1C49FD"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63. Tomēr jursidikcijām ir dažādi tiesiskie, administratīvie un darbības regulējumi un atšķirīgas finanšu sistēmas, un termins “konta uzturēšana” dažādās jursidikcijās var tikt interpretēts atšķirīgi atkarībā no tā, kā ir strukturēta konkrētā finanšu nozare. Dažkārt finanšu iestādes, kas sniedz ziņojumus, rīcībā var nebūt visa informācija, kas jāsniedz attiecībā uz kontu, un šajā saistībā var būt nepieciešami vietējie norādījumi. Pieņemot šādus norādījumus, uzmanība jāpievērš jebkurai neatbilstībai, kas var rasties pārrobežu līmenī, jo īpaši attiecībā uz jursidikcijām, kuras nav iesaistītās jursidikcijas, vai finanšu iestādēm, kuras nav iesaistītās jursidikcijas finanšu iestādes, lai šādi norādījumi nebūtu pretrunā Kopējā ziņošanas standarta mērķiem (skat. komentāru par IX pantu 5. punktu).</w:t>
      </w:r>
    </w:p>
    <w:p w14:paraId="714F5A81"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64. Piemēram, dažās iesaistītajās jursidikcijās vērtspapīri var būt turēti īpašnieku reģistrētos kontos, kurus uztur centrālais vērtspapīru depozitārijs un apkalpo citas finanšu iestādes. Principā saistībā ar kontiem centrālais vērtspapīru depozitārijs varētu tikt uzskatīts par finanšu iestādi, kas sniedz ziņojumus, un tāpēc tas būs atbildīgs par visu pienācīgas pārbaudes un ziņošanas saistību izpildi. Tomēr, ņemot vērā, ka klientus apkalpo un pienācīgas pārbaudes procedūras piemēro citas finanšu iestādes, veicot savas konta apkalpotāja funkcijas, centrālais vērtspapīru depozitārijs var nespēt izpildīt šādas saistības. Iesaistītās jursidikcijas šādu situāciju var risināt, piemēram, pieņemot, ka attiecīgos turētāja kontus tur šādas citas finanšu iestādes un ka šādas citas finanšu iestādes atbild par ziņojumu sniegšanu, kas jānodrošina saistībā ar šādiem turētāja kontiem. Tomēr gadījumos, kad atbilstīgi II panta D punktam tiek uzskatīts, ka attiecīgos turētāja kontus tur šādas citas finanšu iestādes, centrālais vērtspapīru depozitārijs var sniegt informāciju šādu citu finanšu iestāžu vārdā.</w:t>
      </w:r>
    </w:p>
    <w:p w14:paraId="0C5000C6"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65. Līdzīgs gadījums var pastāvēt dažās iesaistītajās jursidikcijās, ja mākleri tirgo līdzdalības daļas biržā tirgota fonda kapitālā un piemēro pienācīgas pārbaudes procedūras, taču gala ieguldītāji ir tieši reģistrēti fonda līdzdalības daļu reģistrā. Principā šāds fonds varētu tikt uzskatīts par finanšu iestādi, kas sniedz ziņojumus, attiecībā uz līdzdalības daļām kapitālā, </w:t>
      </w:r>
      <w:r w:rsidRPr="001B0491">
        <w:rPr>
          <w:rFonts w:ascii="Times New Roman" w:hAnsi="Times New Roman"/>
          <w:sz w:val="24"/>
          <w:szCs w:val="24"/>
        </w:rPr>
        <w:lastRenderedPageBreak/>
        <w:t>taču tam nebūtu pieejama informācija, kas nepieciešama tā ziņošanas saistību izpildei. Iesaistītās jursidikcijas šādu situāciju var risināt, piemēram, pieprasot mākleriem sniegt fondam visu nepieciešamo informāciju, lai tas varētu izpildīt savas ziņošanas saistības.</w:t>
      </w:r>
    </w:p>
    <w:p w14:paraId="743A73C8"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51" w:name="Subparagraph_C(2)_–_Depository_Account"/>
      <w:bookmarkEnd w:id="151"/>
      <w:r w:rsidRPr="001B0491">
        <w:rPr>
          <w:rFonts w:ascii="Times New Roman" w:hAnsi="Times New Roman"/>
          <w:i/>
          <w:color w:val="616161"/>
          <w:sz w:val="24"/>
          <w:szCs w:val="24"/>
        </w:rPr>
        <w:t>C punkta 2. apakšpunkts. Noguldījumu konts</w:t>
      </w:r>
    </w:p>
    <w:p w14:paraId="0178C748"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noProof/>
          <w:sz w:val="24"/>
          <w:szCs w:val="24"/>
        </w:rPr>
        <mc:AlternateContent>
          <mc:Choice Requires="wps">
            <w:drawing>
              <wp:anchor distT="0" distB="0" distL="0" distR="0" simplePos="0" relativeHeight="251658240" behindDoc="0" locked="0" layoutInCell="1" allowOverlap="1" wp14:anchorId="481DA09C" wp14:editId="2494FCDB">
                <wp:simplePos x="0" y="0"/>
                <wp:positionH relativeFrom="page">
                  <wp:posOffset>2826130</wp:posOffset>
                </wp:positionH>
                <wp:positionV relativeFrom="paragraph">
                  <wp:posOffset>932283</wp:posOffset>
                </wp:positionV>
                <wp:extent cx="41275" cy="139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3970"/>
                        </a:xfrm>
                        <a:custGeom>
                          <a:avLst/>
                          <a:gdLst/>
                          <a:ahLst/>
                          <a:cxnLst/>
                          <a:rect l="l" t="t" r="r" b="b"/>
                          <a:pathLst>
                            <a:path w="41275" h="13970">
                              <a:moveTo>
                                <a:pt x="41148" y="0"/>
                              </a:moveTo>
                              <a:lnTo>
                                <a:pt x="0" y="0"/>
                              </a:lnTo>
                              <a:lnTo>
                                <a:pt x="0" y="13716"/>
                              </a:lnTo>
                              <a:lnTo>
                                <a:pt x="41148" y="13716"/>
                              </a:lnTo>
                              <a:lnTo>
                                <a:pt x="41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416A88" id="Graphic 40" o:spid="_x0000_s1026" style="position:absolute;margin-left:222.55pt;margin-top:73.4pt;width:3.25pt;height:1.1pt;z-index:251658240;visibility:visible;mso-wrap-style:square;mso-wrap-distance-left:0;mso-wrap-distance-top:0;mso-wrap-distance-right:0;mso-wrap-distance-bottom:0;mso-position-horizontal:absolute;mso-position-horizontal-relative:page;mso-position-vertical:absolute;mso-position-vertical-relative:text;v-text-anchor:top" coordsize="4127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" path="m41148,l,,,13716r41148,l41148,xe" fillcolor="black" stroked="f">
                <v:path arrowok="t"/>
                <w10:wrap anchorx="page"/>
              </v:shape>
            </w:pict>
          </mc:Fallback>
        </mc:AlternateContent>
      </w:r>
      <w:r w:rsidRPr="001B0491">
        <w:rPr>
          <w:rFonts w:ascii="Times New Roman" w:hAnsi="Times New Roman"/>
          <w:sz w:val="24"/>
          <w:szCs w:val="24"/>
        </w:rPr>
        <w:t xml:space="preserve">66. C punkta 2. apakšpunktā noteiktais “noguldījumu fonds” ir jebkurš komerckonts, norēķinu konts, krājkonts, termiņa konts vai krājaizdevuma konts, vai konts, kuru apliecina noguldījuma sertifikāts, krājaizdevuma sertifikāts, ieguldījuma sertifikāts, parāda sertifikāts vai cits līdzīgs instruments, kuru uztur </w:t>
      </w:r>
      <w:r w:rsidRPr="001B0491">
        <w:rPr>
          <w:rFonts w:ascii="Times New Roman" w:hAnsi="Times New Roman"/>
          <w:b/>
          <w:i/>
          <w:sz w:val="24"/>
          <w:szCs w:val="24"/>
          <w:u w:val="thick"/>
        </w:rPr>
        <w:t>noguldījumu iestāde</w:t>
      </w:r>
      <w:r w:rsidRPr="001B0491">
        <w:rPr>
          <w:rFonts w:ascii="Times New Roman" w:hAnsi="Times New Roman"/>
          <w:sz w:val="24"/>
          <w:szCs w:val="24"/>
        </w:rPr>
        <w:t xml:space="preserve"> </w:t>
      </w:r>
      <w:r w:rsidRPr="001B0491">
        <w:rPr>
          <w:rFonts w:ascii="Times New Roman" w:hAnsi="Times New Roman"/>
          <w:strike/>
          <w:sz w:val="24"/>
          <w:szCs w:val="24"/>
        </w:rPr>
        <w:t>finanšu iestāde, veicot parastu bankas darbību vai līdzīgu darījumdarbību</w:t>
      </w:r>
      <w:r w:rsidRPr="001B0491">
        <w:rPr>
          <w:rFonts w:ascii="Times New Roman" w:hAnsi="Times New Roman"/>
          <w:sz w:val="24"/>
          <w:szCs w:val="24"/>
        </w:rPr>
        <w:t>. Noguldījumu konts ir arī</w:t>
      </w:r>
      <w:r w:rsidRPr="001B0491">
        <w:rPr>
          <w:rFonts w:ascii="Times New Roman" w:hAnsi="Times New Roman"/>
          <w:b/>
          <w:i/>
          <w:sz w:val="24"/>
          <w:szCs w:val="24"/>
        </w:rPr>
        <w:t>:</w:t>
      </w:r>
    </w:p>
    <w:p w14:paraId="1181BFF2" w14:textId="77777777" w:rsidR="00DB30B8" w:rsidRPr="001B0491" w:rsidRDefault="00DB30B8" w:rsidP="00DB30B8">
      <w:pPr>
        <w:tabs>
          <w:tab w:val="left" w:pos="1134"/>
        </w:tabs>
        <w:spacing w:before="120"/>
        <w:ind w:left="567" w:hanging="283"/>
        <w:rPr>
          <w:rFonts w:ascii="Times New Roman" w:hAnsi="Times New Roman" w:cs="Times New Roman"/>
          <w:b/>
          <w:i/>
          <w:noProof/>
          <w:sz w:val="24"/>
          <w:szCs w:val="24"/>
        </w:rPr>
      </w:pPr>
      <w:r w:rsidRPr="001B0491">
        <w:rPr>
          <w:rFonts w:ascii="Times New Roman" w:hAnsi="Times New Roman"/>
          <w:b/>
          <w:i/>
          <w:noProof/>
          <w:sz w:val="24"/>
          <w:szCs w:val="24"/>
        </w:rPr>
        <mc:AlternateContent>
          <mc:Choice Requires="wps">
            <w:drawing>
              <wp:anchor distT="0" distB="0" distL="0" distR="0" simplePos="0" relativeHeight="251662336" behindDoc="1" locked="0" layoutInCell="1" allowOverlap="1" wp14:anchorId="35B2C2FE" wp14:editId="02B51502">
                <wp:simplePos x="0" y="0"/>
                <wp:positionH relativeFrom="page">
                  <wp:posOffset>3530219</wp:posOffset>
                </wp:positionH>
                <wp:positionV relativeFrom="paragraph">
                  <wp:posOffset>376664</wp:posOffset>
                </wp:positionV>
                <wp:extent cx="35560" cy="139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3970"/>
                        </a:xfrm>
                        <a:custGeom>
                          <a:avLst/>
                          <a:gdLst/>
                          <a:ahLst/>
                          <a:cxnLst/>
                          <a:rect l="l" t="t" r="r" b="b"/>
                          <a:pathLst>
                            <a:path w="35560" h="13970">
                              <a:moveTo>
                                <a:pt x="35051" y="0"/>
                              </a:moveTo>
                              <a:lnTo>
                                <a:pt x="0" y="0"/>
                              </a:lnTo>
                              <a:lnTo>
                                <a:pt x="0" y="13716"/>
                              </a:lnTo>
                              <a:lnTo>
                                <a:pt x="35051" y="13716"/>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CAB5E9" id="Graphic 41" o:spid="_x0000_s1026" style="position:absolute;margin-left:277.95pt;margin-top:29.65pt;width:2.8pt;height:1.1pt;z-index:-251654144;visibility:visible;mso-wrap-style:square;mso-wrap-distance-left:0;mso-wrap-distance-top:0;mso-wrap-distance-right:0;mso-wrap-distance-bottom:0;mso-position-horizontal:absolute;mso-position-horizontal-relative:page;mso-position-vertical:absolute;mso-position-vertical-relative:text;v-text-anchor:top" coordsize="3556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" path="m35051,l,,,13716r35051,l35051,xe" fillcolor="black" stroked="f">
                <v:path arrowok="t"/>
                <w10:wrap anchorx="page"/>
              </v:shape>
            </w:pict>
          </mc:Fallback>
        </mc:AlternateContent>
      </w:r>
      <w:r w:rsidRPr="001B0491">
        <w:rPr>
          <w:rFonts w:ascii="Times New Roman" w:hAnsi="Times New Roman"/>
          <w:b/>
          <w:i/>
          <w:noProof/>
          <w:sz w:val="24"/>
          <w:szCs w:val="24"/>
        </w:rPr>
        <mc:AlternateContent>
          <mc:Choice Requires="wps">
            <w:drawing>
              <wp:anchor distT="0" distB="0" distL="0" distR="0" simplePos="0" relativeHeight="251665408" behindDoc="1" locked="0" layoutInCell="1" allowOverlap="1" wp14:anchorId="68120A0C" wp14:editId="77F3B116">
                <wp:simplePos x="0" y="0"/>
                <wp:positionH relativeFrom="page">
                  <wp:posOffset>3705478</wp:posOffset>
                </wp:positionH>
                <wp:positionV relativeFrom="paragraph">
                  <wp:posOffset>376664</wp:posOffset>
                </wp:positionV>
                <wp:extent cx="44450" cy="139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13970"/>
                        </a:xfrm>
                        <a:custGeom>
                          <a:avLst/>
                          <a:gdLst/>
                          <a:ahLst/>
                          <a:cxnLst/>
                          <a:rect l="l" t="t" r="r" b="b"/>
                          <a:pathLst>
                            <a:path w="44450" h="13970">
                              <a:moveTo>
                                <a:pt x="44196" y="0"/>
                              </a:moveTo>
                              <a:lnTo>
                                <a:pt x="0" y="0"/>
                              </a:lnTo>
                              <a:lnTo>
                                <a:pt x="0" y="13716"/>
                              </a:lnTo>
                              <a:lnTo>
                                <a:pt x="44196" y="13716"/>
                              </a:lnTo>
                              <a:lnTo>
                                <a:pt x="44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CE9FF1" id="Graphic 42" o:spid="_x0000_s1026" style="position:absolute;margin-left:291.75pt;margin-top:29.65pt;width:3.5pt;height:1.1pt;z-index:-251651072;visibility:visible;mso-wrap-style:square;mso-wrap-distance-left:0;mso-wrap-distance-top:0;mso-wrap-distance-right:0;mso-wrap-distance-bottom:0;mso-position-horizontal:absolute;mso-position-horizontal-relative:page;mso-position-vertical:absolute;mso-position-vertical-relative:text;v-text-anchor:top" coordsize="4445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" path="m44196,l,,,13716r44196,l44196,xe" fillcolor="black" stroked="f">
                <v:path arrowok="t"/>
                <w10:wrap anchorx="page"/>
              </v:shape>
            </w:pict>
          </mc:Fallback>
        </mc:AlternateContent>
      </w:r>
      <w:r w:rsidRPr="001B0491">
        <w:rPr>
          <w:rFonts w:ascii="Times New Roman" w:hAnsi="Times New Roman"/>
          <w:b/>
          <w:bCs/>
          <w:i/>
          <w:iCs/>
          <w:sz w:val="24"/>
          <w:szCs w:val="24"/>
        </w:rPr>
        <w:t>a)</w:t>
      </w:r>
      <w:r w:rsidRPr="001B0491">
        <w:rPr>
          <w:rFonts w:ascii="Times New Roman" w:hAnsi="Times New Roman"/>
          <w:sz w:val="24"/>
          <w:szCs w:val="24"/>
        </w:rPr>
        <w:t xml:space="preserve"> summa, kuru tur apdrošināšanas sabiedrība saskaņā ar garantētu ieguldījumu līgumu vai līdzīgu līgumu, lai iemaksātu vai ieskaitītu tajā par šo summu pienākošos procentus</w:t>
      </w:r>
      <w:r w:rsidRPr="001B0491">
        <w:rPr>
          <w:rFonts w:ascii="Times New Roman" w:hAnsi="Times New Roman"/>
          <w:b/>
          <w:i/>
          <w:sz w:val="24"/>
          <w:szCs w:val="24"/>
        </w:rPr>
        <w:t>;</w:t>
      </w:r>
    </w:p>
    <w:p w14:paraId="39AD4F87" w14:textId="77777777" w:rsidR="00DB30B8" w:rsidRPr="001B0491" w:rsidRDefault="00DB30B8" w:rsidP="00DB30B8">
      <w:pPr>
        <w:tabs>
          <w:tab w:val="left" w:pos="1134"/>
        </w:tabs>
        <w:spacing w:before="120"/>
        <w:ind w:left="567" w:hanging="283"/>
        <w:rPr>
          <w:rFonts w:ascii="Times New Roman" w:hAnsi="Times New Roman" w:cs="Times New Roman"/>
          <w:b/>
          <w:i/>
          <w:noProof/>
          <w:sz w:val="24"/>
          <w:szCs w:val="24"/>
          <w:u w:val="thick"/>
        </w:rPr>
      </w:pPr>
      <w:r w:rsidRPr="001B0491">
        <w:rPr>
          <w:rFonts w:ascii="Times New Roman" w:hAnsi="Times New Roman"/>
          <w:b/>
          <w:i/>
          <w:sz w:val="24"/>
          <w:szCs w:val="24"/>
          <w:u w:val="thick"/>
        </w:rPr>
        <w:t>b) konts vai nosacīts konts, kas pārstāv visus noteiktos elektroniskās naudas produktus, kuri tiek turēti klienta labā, un</w:t>
      </w:r>
    </w:p>
    <w:p w14:paraId="48D0BE41" w14:textId="77777777" w:rsidR="00DB30B8" w:rsidRPr="001B0491" w:rsidRDefault="00DB30B8" w:rsidP="00DB30B8">
      <w:pPr>
        <w:tabs>
          <w:tab w:val="left" w:pos="1134"/>
        </w:tabs>
        <w:spacing w:before="120"/>
        <w:ind w:left="567" w:hanging="283"/>
        <w:rPr>
          <w:rFonts w:ascii="Times New Roman" w:hAnsi="Times New Roman" w:cs="Times New Roman"/>
          <w:b/>
          <w:i/>
          <w:noProof/>
          <w:sz w:val="24"/>
          <w:szCs w:val="24"/>
          <w:u w:val="thick"/>
        </w:rPr>
      </w:pPr>
      <w:r w:rsidRPr="001B0491">
        <w:rPr>
          <w:rFonts w:ascii="Times New Roman" w:hAnsi="Times New Roman"/>
          <w:b/>
          <w:i/>
          <w:sz w:val="24"/>
          <w:szCs w:val="24"/>
          <w:u w:val="thick"/>
        </w:rPr>
        <w:t>c) konts, kurā tur vienu vai vairākas centrālās bankas digitālās valūtas klientu labā.</w:t>
      </w:r>
    </w:p>
    <w:p w14:paraId="0B1F9B6F"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67. Par noguldījumu kontu parasti tiek uzskatīts arī tāds konts, kurš ir apliecināts ar krājgrāmatiņu. Atbilstīgi tam, kā minēts iepriekš 25. punktā, apgrozāmi parāda instrumenti, kas tiek tirgoti regulētā tirgū vai ārpusbiržas tirgū un kas tiek izplatīti un turēti ar finanšu iestāžu starpniecību, parasti uzskatāmi nevis par noguldījumu kontiem, bet gan par finanšu aktīviem.</w:t>
      </w:r>
    </w:p>
    <w:p w14:paraId="569AA04E"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67.bis Visi noteiktie elektroniskās naudas produkti, ko vienība tur klienta labā, kopā ir uzskatāmi par šā klienta noguldījumu kontu. Lai noteiktu šāda noguldījumu konta vērtību, finanšu iestādei, kas sniedz ziņojumus, ir jāsummē visu to noteikto elektroniskās naudas produktu vērtība, kurus konta turētājs tur finanšu iestādē, kas sniedz ziņojumus. Līdzīgi, par noguldījumu kontu uzskatāms jebkāds veidojums, ar kura starpniecību vienība tur centrālās bankas digitālo valūtu klienta labā. Ja noteiktais elektroniskās naudas produkts vai centrālās bankas digitālā valūta ir emitēti kā kriptoaktīvs, uzskatāms, ka vienība tur šādu aktīvu klienta labā, ciktāl tā droši glabā vai administrē instrumentus, kas nodrošina aktīva kontroli (piemēram, privātās atslēgas), un vienība spēj pārvaldīt, tirgot vai nodot trešajām personām pamatā esošo aktīvu šāda klienta vārdā.</w:t>
      </w:r>
    </w:p>
    <w:p w14:paraId="0504A5E8"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52" w:name="Subparagraph_C(3)_–_Custodial_Account"/>
      <w:bookmarkEnd w:id="152"/>
      <w:r w:rsidRPr="001B0491">
        <w:rPr>
          <w:rFonts w:ascii="Times New Roman" w:hAnsi="Times New Roman"/>
          <w:i/>
          <w:color w:val="616161"/>
          <w:sz w:val="24"/>
          <w:szCs w:val="24"/>
        </w:rPr>
        <w:t>C punkta 3. apakšpunkts. Turētāja konts</w:t>
      </w:r>
    </w:p>
    <w:p w14:paraId="1E5D7965"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68. C punkta 3. apakšpunktā noteikts, ka “turētāja konts” ir konts (kas nav apdrošināšanas līgums vai anuitātes līgums), kurā par labu citai personai tiek turēts viens vai vairāki finanšu aktīvi.</w:t>
      </w:r>
    </w:p>
    <w:p w14:paraId="0306CF71"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68.bis Veidojums, kas paredzēts, lai droši turētu vai administrētu instrumentu, kurš nodrošina kontroli pār finanšu aktīviem, kas izdoti kriptoaktīva veidā citas personas labā, arī ir turētāja konts, ciktāl vienība spēj pārvaldīt, tirgot vai nodot trešajām personām pamatā esošos aktīvus šāda klienta vārdā.</w:t>
      </w:r>
    </w:p>
    <w:p w14:paraId="3750DAEC"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53" w:name="Subparagraph_C(4)_–_Equity_Interest"/>
      <w:bookmarkEnd w:id="153"/>
      <w:r w:rsidRPr="001B0491">
        <w:rPr>
          <w:rFonts w:ascii="Times New Roman" w:hAnsi="Times New Roman"/>
          <w:i/>
          <w:color w:val="616161"/>
          <w:sz w:val="24"/>
          <w:szCs w:val="24"/>
        </w:rPr>
        <w:t>C punkta 4. apakšpunkts. Līdzdalības daļa kapitālā</w:t>
      </w:r>
    </w:p>
    <w:p w14:paraId="33EB6468"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69. Termins “līdzdalības daļa kapitālā” īpaši attiecas uz līdzdalības daļām personālsabiedrībās un trastos. Attiecībā uz personālsabiedrību, kas ir finanšu iestāde, “līdzdalības daļa kapitālā” ir līdzdalības daļa personālsabiedrības kapitālā vai peļņā. Attiecībā uz trastu, kas ir finanšu iestāde, tiek uzskatīts, ka “līdzdalības daļu kapitālā” tur jebkura persona, kas tiek uzskatīta par dibinātāju vai labuma guvēju saistībā ar visu trastu vai tā daļu, vai cita fiziskā persona, kas īsteno galīgo faktisko kontroli pār trastu. Tāpat kā attiecībā uz trastu, kas ir finanšu iestāde, to pašu var attiecināt uz trastam līdzvērtīgu vai līdzīgu juridisku veidojumu vai uz fondu, kas ir finanšu iestāde.</w:t>
      </w:r>
    </w:p>
    <w:p w14:paraId="6877BE00"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sz w:val="24"/>
          <w:szCs w:val="24"/>
        </w:rPr>
        <w:lastRenderedPageBreak/>
        <w:t>70. Atbilstīgi C punkta 4. apakšpunktam persona, par kuru jāsniedz ziņojums, uzskatāma par trasta labuma guvēju, ja šādai personai, par kuru jāsniedz ziņojums, ir tiesības tieši vai netieši (piemēram, ar nominālā finanšu aktīvu turētāja starpniecību) saņemt obligātās peļņas sadales daļu vai ja šāda persona no trasta var tieši vai netieši saņemt peļņas daļu diskrecionārajā sadalē.</w:t>
      </w:r>
      <w:r w:rsidRPr="001B0491">
        <w:rPr>
          <w:rFonts w:ascii="Times New Roman" w:hAnsi="Times New Roman"/>
          <w:color w:val="231F20"/>
          <w:sz w:val="24"/>
          <w:szCs w:val="24"/>
        </w:rPr>
        <w:t xml:space="preserve"> </w:t>
      </w:r>
      <w:r w:rsidRPr="001B0491">
        <w:rPr>
          <w:rFonts w:ascii="Times New Roman" w:hAnsi="Times New Roman"/>
          <w:b/>
          <w:i/>
          <w:color w:val="231F20"/>
          <w:sz w:val="24"/>
          <w:szCs w:val="24"/>
          <w:u w:val="thick" w:color="231F20"/>
        </w:rPr>
        <w:t xml:space="preserve">Netieša sadale, ko veic trasts, var notikt tad, ja trasts veic maksājumus trešajai personai citas personas labā. Piemēram, par netiešu sadali, ko veic trasts, ir uzskatāmi gadījumi, kad trasts samaksā mācību maksas vai atmaksā aizdevumu, ko paņēmusi cita persona. Netieša sadale ir arī gadījumi, kad trasts piešķir aizdevumu bez procentiem vai ar procentu likmi, kas ir mazāka par tirgus procentu likmi, vai ar citiem nosacījumiem, kas neatbilst nesaistītu pušu darījuma principam. Turklāt netieša sadale ir arī tad, kad trasts noraksta savam labuma guvējam piešķirto aizdevumu, un šī sadale attiecināma uz gadu, kurā aizdevums ir norakstīts. Visos minētajos gadījumos persona, par kuru jāsniedz ziņojums, ir persona, kas ir trasta labuma guvējs un saņem netiešo sadali (t. i., minētajos piemēros mācību maksu debitors vai ar labvēlīgiem nosacījumiem piešķirta aizdevuma saņēmējs). </w:t>
      </w:r>
      <w:r w:rsidRPr="001B0491">
        <w:rPr>
          <w:rFonts w:ascii="Times New Roman" w:hAnsi="Times New Roman"/>
          <w:strike/>
          <w:color w:val="231F20"/>
          <w:sz w:val="24"/>
          <w:szCs w:val="24"/>
        </w:rPr>
        <w:t>Šajā saistībā</w:t>
      </w:r>
      <w:r w:rsidRPr="001B0491">
        <w:rPr>
          <w:rFonts w:ascii="Times New Roman" w:hAnsi="Times New Roman"/>
          <w:color w:val="231F20"/>
          <w:sz w:val="24"/>
          <w:szCs w:val="24"/>
        </w:rPr>
        <w:t xml:space="preserve"> </w:t>
      </w:r>
      <w:r w:rsidRPr="001B0491">
        <w:rPr>
          <w:rFonts w:ascii="Times New Roman" w:hAnsi="Times New Roman"/>
          <w:b/>
          <w:i/>
          <w:color w:val="231F20"/>
          <w:sz w:val="24"/>
          <w:szCs w:val="24"/>
          <w:u w:val="thick" w:color="231F20"/>
        </w:rPr>
        <w:t>L</w:t>
      </w:r>
      <w:r w:rsidRPr="001B0491">
        <w:rPr>
          <w:rFonts w:ascii="Times New Roman" w:hAnsi="Times New Roman"/>
          <w:color w:val="231F20"/>
          <w:sz w:val="24"/>
          <w:szCs w:val="24"/>
        </w:rPr>
        <w:t>abuma guvējs, kurš var saņemt maksājumu diskrecionārajā peļņas sadalē no trasta, tiks uzskatīts par trasta labuma guvēju tikai tad, ja šāda persona saņem peļņas daļu kalendārajā gadā vai citā attiecīgā ziņošanas periodā (t. i., peļņas daļa ir izmaksāta vai padarīta izmaksājama). Tas attiecas arī uz gadījumiem, kad persona, par kuru jāsniedz ziņojums, tiek uzskatīta par trastam līdzvērtīga vai līdzīga juridiska veidojuma labuma guvēju vai fonda labuma guvēju.</w:t>
      </w:r>
    </w:p>
    <w:p w14:paraId="54C0E622"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71. Ja līdzdalības daļas kapitālā tiek turētas ar turētājiestādes starpniecību, tad par informācijas sniegšanu ir atbildīga nevis ieguldījumu vienība, bet turētājiestāde. Turpmākajā piemērā atspoguļots tas, kā jāsniedz šāda informācija. Persona A, par kuru jāsniedz ziņojums, tur daļas ieguldījumu fondā L. A daļas tur turētājs Y. Ieguldījumu fonds L ir ieguldījumu vienība, un no tās skatpunkta tās daļas ir finanšu konti (t. i. līdzdalības daļas ieguldījumu vienības kapitālā). L jāuzskata, ka turētājs Y ir tā konta turētājs. Tā kā Y ir finanšu iestāde (t. i., turētājiestāde) un finanšu iestādes nav personas, par kurām jāsniedz ziņojums, tad ieguldījumu fondam L nav jāsniedz ziņojums par šādām daļām. Turētājam Y daļas, ko tas tur personas A vārdā, ir finanšu aktīvi, kuri tiek turēti turētāja kontā. Turētājam Y kā turētājiestādei ir pienākums sniegt informāciju par daļām, ko tas tur personas A vārdā.</w:t>
      </w:r>
    </w:p>
    <w:p w14:paraId="074981EB"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54" w:name="Subparagraphs_C(5)_through_(8)_–_Insuran"/>
      <w:bookmarkEnd w:id="154"/>
      <w:r w:rsidRPr="001B0491">
        <w:rPr>
          <w:rFonts w:ascii="Times New Roman" w:hAnsi="Times New Roman"/>
          <w:i/>
          <w:color w:val="616161"/>
          <w:sz w:val="24"/>
          <w:szCs w:val="24"/>
        </w:rPr>
        <w:t>C punkta 5.–8. apakšpunkts. Apdrošināšanas un anuitātes līgumi</w:t>
      </w:r>
    </w:p>
    <w:p w14:paraId="2A09C680"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72. C punkta 5.–8. apakšpunktā sniegtas dažādas ar apdrošināšanas produktiem saistītas definīcijas: “apdrošināšanas līgums”, “anuitātes līgums”, “apdrošināšanas līgums ar naudas vērtību” un “naudas vērtība”. Lai gan termini “apdrošināšanas līgums” un “naudas vērtība” ir nepieciešami, lai noteiktu termina “apdrošināšanas līgums ar naudas vērtību” tvērumu, par finanšu kontu var uzskatīt vienīgi tādu līgumu, kas ir apdrošināšanas līgums ar naudas vērtību vai anuitātes līgums.</w:t>
      </w:r>
    </w:p>
    <w:p w14:paraId="5410E3D5"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73. C punkta 6. apakšpunktā noteikts, ka “anuitātes līgums” ir līgums, saskaņā ar kuru līguma devējs piekrīt veikt maksājumus tādā laika posmā, kuru pilnīgi vai daļēji nosaka, ņemot vērā viena vai vairāku privātpersonu paredzamo dzīves ilgumu. Termins ietver arī līgumu, ko uzskata par anuitātes līgumu atbilstīgi tās jursidikcijas normatīvajiem aktiem vai praksei, kurā līgums izdots, un saskaņā ar ko devējs piekrīt veikt maksājumus noteiktā vairāku gadu laika posmā.</w:t>
      </w:r>
    </w:p>
    <w:p w14:paraId="27013939"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74. Saskaņā ar C punkta 5. apakšpunktu “apdrošināšanas līgums” ir līgums (kas nav anuitātes līgums), saskaņā ar kuru līguma devējs piekrīt maksāt noteiktu summu, ja iestājas konkrēti apstākļi, kas ir saistīti ar mirstības, saslimstības, nelaimes gadījuma, atbildības vai īpašuma risku. C punkta 7. apakšpunktā noteikts, ka “apdrošināšanas līgums ar naudas vērtību” ir apdrošināšanas līgums (izņemot divu apdrošināšanas sabiedrību zaudējumu atlīdzināšanas pārapdrošināšanas līgumu), kuram ir naudas vērtība.</w:t>
      </w:r>
    </w:p>
    <w:p w14:paraId="74FD0730"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lastRenderedPageBreak/>
        <w:t>75. C punkta 8. apakšpunktā noteikts, ka “naudas vērtība” ir i) summa, ko polises turētājs ir tiesīgs saņemt atpirkuma vai līguma izbeigšanas gadījumā (to nosaka, neatskaitot samazinājumu par jebkādu atpirkuma nodevu vai aizdevumu saistībā ar polisi) vai ii) summa, ko polises turētājs var aizņemties saskaņā vai saistībā ar līgumu (piemēram, ieķīlājot to kā nodrošinājumu), piemērojot lielāko no šīm summām. Tomēr termins “naudas vērtība” neietver summu, kas maksājama saskaņā ar apdrošināšanas līgumu:</w:t>
      </w:r>
    </w:p>
    <w:p w14:paraId="2A09A138"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vienīgi pamatojoties uz saskaņā ar dzīvības apdrošināšanas līgumu apdrošinātās privātpersonas nāvi;</w:t>
      </w:r>
    </w:p>
    <w:p w14:paraId="4E7AA0A8"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kā pabalsts personai savainojuma vai slimības gadījumā vai cits pabalsts, ar kuru tiek kompensēts ekonomisks zaudējums, kas rodas, iestājoties apdrošināšanas gadījumam;</w:t>
      </w:r>
    </w:p>
    <w:p w14:paraId="51723987"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kā iepriekš samaksātas prēmijas atmaksa (atskaitot apdrošināšanas nodevas neatkarīgi no tā, vai tās ir faktiski piemērotas) saskaņā ar apdrošināšanas līgumu (izņemot ar ieguldījumiem saistītu dzīvības apdrošināšanas līgumu vai anuitātes līgumu) saistībā ar līguma anulēšanu vai izbeigšanu, riska pozīcijas samazināšanos apdrošināšanas līguma darbības laikā vai tad, ja līguma prēmijas tiek labotas ieraksta kļūdas vai citas līdzīgas kļūdas dēļ;</w:t>
      </w:r>
    </w:p>
    <w:p w14:paraId="2615CA7C"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d) kā dividendes polises turētājam (izņemot līguma izbeigšanas dividendes) ar nosacījumu, ka dividendes ir saistītas ar apdrošināšanas līgumu, saskaņā ar kuru vienīgie maksājamie pabalsti ir tie, kas minēti C punkta 8. apakšpunkta b) daļā, vai</w:t>
      </w:r>
    </w:p>
    <w:p w14:paraId="2D05B3BE"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e) kā iepriekš iemaksātu prēmiju vai prēmiju depozīta atmaksa attiecībā uz tādu apdrošināšanas līgumu, par kuru prēmijas ir jāmaksā vismaz reizi gadā, ja iepriekš iemaksātu prēmiju vai prēmiju depozīta summa nepārsniedz nākamā gada prēmiju, kas būs jāmaksā saskaņā ar līgumu.</w:t>
      </w:r>
    </w:p>
    <w:p w14:paraId="4ECD3872"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76. C punkta 8. apakšpunkta b) daļā termins “naudas vērtība” neietver summu, kas maksājama saskaņā ar apdrošināšanas līgumu kā pabalsts personai savainojuma vai slimības gadījumā vai cits pabalsts, ar kuru tiek kompensēts ekonomisks zaudējums, kas rodas, iestājoties apdrošināšanas gadījumam. Par šādu “citu pabalstu” nav uzskatāms pabalsts, kas jāmaksā atbilstīgi ar ieguldījumiem saistītam apdrošināšanas līgumam. “Ar ieguldījumiem saistīts apdrošināšanas līgums” ir apdrošināšanas līgums, saskaņā ar kuru pabalstus, prēmijas vai seguma periodu var koriģēt, atspoguļojot ar līgumu saistīto ieguldījumu peļņu vai aktīvu tirgus vērtību.</w:t>
      </w:r>
    </w:p>
    <w:p w14:paraId="31FB3EA3"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77. C punkta 8. apakšpunkta a) un c) daļā minētie izņēmumi ir summas, kas jāmaksā atbilstīgi ar ieguldījumiem saistītam apdrošināšanas līgumam un C punkta 8. apakšpunkta c) daļas gadījumā arī atbilstīgi ar ieguldījumiem saistītam anuitātes līgumam. “Ar ieguldījumiem saistīts dzīvības apdrošināšanas līgums” ir apdrošināšanas līgums, i) kas ir ar ieguldījumiem saistīts apdrošināšanas līgums (skat. iepriekš 76. punktu) un ii) kas ir dzīvības apdrošināšanas līgums (skat. iepriekš 78. punktu). “Ar ieguldījumiem saistīts anuitātes līgums” ir apdrošināšanas līgums, i) kas ir ar ieguldījumiem saistīts anuitātes līgums un ii) kas ir anuitātes līgums (skat. iepriekš 59. punktu).</w:t>
      </w:r>
    </w:p>
    <w:p w14:paraId="0E9EC929"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78. “Dzīvības apdrošināšanas līgums” ir apdrošināšanas līgums, saskaņā ar kuru devējs apmaiņā pret atlīdzību piekrīt izmaksāt summu vienas vai vairāku privātpersonu nāves gadījumā. Tas, ka līgums paredz vienu vai vairākus maksājumus (piemēram, noteiktam mērķim paredzētus pabalstus vai invaliditātes pabalstus) papildus pabalstam nāves gadījumā, nav pietiekams iemesls tam, lai līgums tiktu uzskatīts par ko citu, nevis par dzīvības apdrošināšanas līgumu.</w:t>
      </w:r>
    </w:p>
    <w:p w14:paraId="7C97EA7B"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79. Termins “naudas vērtība” neietver polises turētāja dividendi, kas atbilst visām C punkta 8. apakšpunkta d) daļā minētajām prasībām. “Polises turētāja dividende” ir jebkura dividende vai līdzīgs maksājums polises turētājam šādā statusā, tostarp:</w:t>
      </w:r>
    </w:p>
    <w:p w14:paraId="6B0B608D"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a) samaksāta vai kreditēta summa (tostarp kā pabalstu palielinājums), ja summa nav noteikta līgumā, bet ir atkarīga no apdrošināšanas sabiedrības pieredzes vai vadības ieskatiem;</w:t>
      </w:r>
    </w:p>
    <w:p w14:paraId="2E83E268"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maksājamās prēmijas samazinājums;</w:t>
      </w:r>
    </w:p>
    <w:p w14:paraId="149179E3"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pieredzē balstīts atmaksājums vai kredīts, pamatojoties vienīgi uz pieredzi ar atlīdzībām, kas saistīta ar attiecīgo līgumu vai grupu.</w:t>
      </w:r>
    </w:p>
    <w:p w14:paraId="2BFDC598"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Polises turētāja dividende nevar pārsniegt prēmijas, kas iepriekš samaksātas saistībā ar līgumu, atskaitot apdrošināšanas izmaksu un izdevumu izmaiņu summu (neatkarīgi no tā, vai tā ir faktiski piemērota) līguma darbības termiņā un visu to dividenžu kopsummu, kas iepriekš izmaksātas vai kreditētas saistībā ar līgumu.</w:t>
      </w:r>
    </w:p>
    <w:p w14:paraId="419220AD"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Polises turētāja dividendē neietilpst neviena summa procentu veidā, kas ir izmaksāta vai kreditēta līguma izpildītājam, ciktāl šāda summa pārsniedz minimālo procentu likmi, kas jākreditē attiecībā uz līguma vērtībām atbilstīgi valsts tiesību aktiem.</w:t>
      </w:r>
    </w:p>
    <w:p w14:paraId="1DFC5921"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80. Mikroapdrošināšanas līgumi, kuriem nav naudas vērtības (tostarp tie, kuru naudas vērtība ir vienāda ar nulli), netiek uzskatīti par apdrošināšanas līgumiem ar naudas vērtību. Produkti ar apdrošināšanas aspektu, piemēram, privāto ieguldījumu dzīvības apdrošināšanas līgumi, parasti tiek uzskatīti par apdrošināšanas līgumiem ar naudas vērtību. “Produkts ar apdrošināšanas aspektu” ir apdrošināšanas līgums, kura aktīvi tiek i) turēti finanšu iestādes uzturētā kontā un ii) pārvaldīti saskaņā ar konkrētai personai izstrādātu ieguldījumu stratēģiju vai atrodas polises turētāja, īpašnieka vai līguma labuma guvēja kontrolē vai ietekmē.</w:t>
      </w:r>
    </w:p>
    <w:p w14:paraId="74F3F704"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55" w:name="Subparagraphs_C(9)_through_(16)_–_Preexi"/>
      <w:bookmarkEnd w:id="155"/>
      <w:r w:rsidRPr="001B0491">
        <w:rPr>
          <w:rFonts w:ascii="Times New Roman" w:hAnsi="Times New Roman"/>
          <w:i/>
          <w:color w:val="616161"/>
          <w:sz w:val="24"/>
          <w:szCs w:val="24"/>
        </w:rPr>
        <w:t>C punkta 9.–16. apakšpunkts. Iepriekšpastāvējuši un jauni fizisku personu un vienību konti</w:t>
      </w:r>
    </w:p>
    <w:p w14:paraId="4E583EDA"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81. C punkta 9.–16. apakšpunktā noteiktas dažādas finanšu kontu kategorijas, kas klasificētas, pamatojoties uz konta atvēršanas datumu, konta turētāju un bilanci vai vērtību: “iepriekšpastāvējis konts”, “jauns konts”, “iepriekšpastāvējis fiziskas personas konts”, “jauns fiziskas personas konts”, “iepriekšpastāvējis vienības konts”, “zemākas vērtības konts”, “lielas vērtības konts” un “jauns vienības konts”.</w:t>
      </w:r>
    </w:p>
    <w:p w14:paraId="2A700857"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82. Pirmkārt, finanšu konts tiek klasificēts, pamatojoties uz tā atvēršanas datumu. Tādējādi finanšu konts var būt “iepriekšpastāvējis konts” vai “jauns konts”. C punkta 9. un 10. apakšpunktā šie termini ir definēti kā finanšu konts, kuru finanšu iestāde, kas sniedz ziņojumus, uzturējusi [xx.xx.xxxx] un kurš ir atvērts, sākot no [xx.xx.xxxx], </w:t>
      </w:r>
      <w:r w:rsidRPr="001B0491">
        <w:rPr>
          <w:rFonts w:ascii="Times New Roman" w:hAnsi="Times New Roman"/>
          <w:b/>
          <w:i/>
          <w:iCs/>
          <w:color w:val="231F20"/>
          <w:sz w:val="24"/>
          <w:szCs w:val="24"/>
          <w:u w:val="thick" w:color="231F20"/>
        </w:rPr>
        <w:t xml:space="preserve">vai, ja kontu uzskata par finanšu kontu, tikai pamatojoties uz Kopējā ziņošanas standarta grozījumiem, </w:t>
      </w:r>
      <w:r w:rsidRPr="001B0491">
        <w:rPr>
          <w:rFonts w:ascii="Times New Roman" w:hAnsi="Times New Roman"/>
          <w:b/>
          <w:i/>
          <w:color w:val="231F20"/>
          <w:sz w:val="24"/>
          <w:szCs w:val="24"/>
          <w:u w:val="thick" w:color="231F20"/>
        </w:rPr>
        <w:t xml:space="preserve">konts, ko tā uzturējusi </w:t>
      </w:r>
      <w:r w:rsidRPr="001B0491">
        <w:rPr>
          <w:rFonts w:ascii="Times New Roman" w:hAnsi="Times New Roman"/>
          <w:b/>
          <w:i/>
          <w:iCs/>
          <w:color w:val="231F20"/>
          <w:sz w:val="24"/>
          <w:szCs w:val="24"/>
          <w:u w:val="single" w:color="231F20"/>
        </w:rPr>
        <w:t xml:space="preserve"> [pārskatītā </w:t>
      </w:r>
      <w:r w:rsidRPr="001B0491">
        <w:rPr>
          <w:rFonts w:ascii="Times New Roman" w:hAnsi="Times New Roman"/>
          <w:b/>
          <w:i/>
          <w:color w:val="231F20"/>
          <w:sz w:val="24"/>
          <w:szCs w:val="24"/>
          <w:u w:val="thick" w:color="231F20"/>
        </w:rPr>
        <w:t>CRS</w:t>
      </w:r>
      <w:r w:rsidRPr="001B0491">
        <w:rPr>
          <w:rFonts w:ascii="Times New Roman" w:hAnsi="Times New Roman"/>
          <w:b/>
          <w:i/>
          <w:iCs/>
          <w:color w:val="231F20"/>
          <w:sz w:val="24"/>
          <w:szCs w:val="24"/>
          <w:u w:val="single" w:color="231F20"/>
        </w:rPr>
        <w:t xml:space="preserve"> spēkā stāšanās datums mīnus viena diena] vai tas atvērts, sākot no [pārskatītā </w:t>
      </w:r>
      <w:r w:rsidRPr="001B0491">
        <w:rPr>
          <w:rFonts w:ascii="Times New Roman" w:hAnsi="Times New Roman"/>
          <w:b/>
          <w:i/>
          <w:color w:val="231F20"/>
          <w:sz w:val="24"/>
          <w:szCs w:val="24"/>
          <w:u w:val="single" w:color="231F20"/>
        </w:rPr>
        <w:t>CRS</w:t>
      </w:r>
      <w:r w:rsidRPr="001B0491">
        <w:rPr>
          <w:rFonts w:ascii="Times New Roman" w:hAnsi="Times New Roman"/>
          <w:b/>
          <w:i/>
          <w:iCs/>
          <w:color w:val="231F20"/>
          <w:sz w:val="24"/>
          <w:szCs w:val="24"/>
          <w:u w:val="thick" w:color="231F20"/>
        </w:rPr>
        <w:t xml:space="preserve"> spēkā stāšanās datums].</w:t>
      </w:r>
      <w:r w:rsidRPr="001B0491">
        <w:rPr>
          <w:rFonts w:ascii="Times New Roman" w:hAnsi="Times New Roman"/>
          <w:sz w:val="24"/>
          <w:szCs w:val="24"/>
        </w:rPr>
        <w:t xml:space="preserve"> Tomēr, ieviešot Kopējo ziņošanas standartu, jurisdikcijām ir tiesības grozīt C punkta 9. apakšpunktu, lai iekļautu arī atsevišķus jaunus iepriekšpastāvējušu klientu kontus. Šādā gadījumā C punkta 9. apakšpunkta redakcija jāaizstāj ar turpmāko redakciju.</w:t>
      </w:r>
    </w:p>
    <w:p w14:paraId="26FCAE99" w14:textId="77777777" w:rsidR="00DB30B8" w:rsidRPr="001B0491" w:rsidRDefault="00DB30B8" w:rsidP="00DB30B8">
      <w:pPr>
        <w:tabs>
          <w:tab w:val="left" w:pos="1276"/>
        </w:tabs>
        <w:spacing w:before="120"/>
        <w:ind w:left="567" w:hanging="283"/>
        <w:jc w:val="both"/>
        <w:rPr>
          <w:rFonts w:ascii="Times New Roman" w:hAnsi="Times New Roman" w:cs="Times New Roman"/>
          <w:i/>
          <w:noProof/>
          <w:sz w:val="24"/>
          <w:szCs w:val="24"/>
        </w:rPr>
      </w:pPr>
      <w:r w:rsidRPr="001B0491">
        <w:rPr>
          <w:rFonts w:ascii="Times New Roman" w:hAnsi="Times New Roman"/>
          <w:i/>
          <w:sz w:val="24"/>
          <w:szCs w:val="24"/>
        </w:rPr>
        <w:t>9. “Iepriekšpastāvējis konts” ir:</w:t>
      </w:r>
    </w:p>
    <w:p w14:paraId="46C2F7E0" w14:textId="77777777" w:rsidR="00DB30B8" w:rsidRPr="001B0491" w:rsidRDefault="00DB30B8" w:rsidP="00DB30B8">
      <w:pPr>
        <w:tabs>
          <w:tab w:val="left" w:pos="1276"/>
          <w:tab w:val="left" w:pos="1565"/>
          <w:tab w:val="left" w:pos="1567"/>
        </w:tabs>
        <w:spacing w:before="120"/>
        <w:ind w:left="851" w:hanging="283"/>
        <w:jc w:val="both"/>
        <w:rPr>
          <w:rFonts w:ascii="Times New Roman" w:hAnsi="Times New Roman" w:cs="Times New Roman"/>
          <w:b/>
          <w:i/>
          <w:noProof/>
          <w:sz w:val="24"/>
          <w:szCs w:val="24"/>
        </w:rPr>
      </w:pPr>
      <w:r w:rsidRPr="001B0491">
        <w:rPr>
          <w:rFonts w:ascii="Times New Roman" w:hAnsi="Times New Roman"/>
          <w:i/>
          <w:sz w:val="24"/>
          <w:szCs w:val="24"/>
        </w:rPr>
        <w:t xml:space="preserve">a) finanšu konts, kuru finanšu iestāde, kas sniedz ziņojumus, uzturējusi [xx.xx.xxxx], </w:t>
      </w:r>
      <w:r w:rsidRPr="001B0491">
        <w:rPr>
          <w:rFonts w:ascii="Times New Roman" w:hAnsi="Times New Roman"/>
          <w:b/>
          <w:i/>
          <w:iCs/>
          <w:sz w:val="24"/>
          <w:szCs w:val="24"/>
          <w:u w:val="thick"/>
        </w:rPr>
        <w:t xml:space="preserve">vai, ja kontu uzskata par finanšu kontu, pamatojoties tikai uz Kopējā ziņošanas standarta grozījumiem, konts, ko tā uzturējusi [pārskatītā </w:t>
      </w:r>
      <w:r w:rsidRPr="001B0491">
        <w:rPr>
          <w:rFonts w:ascii="Times New Roman" w:hAnsi="Times New Roman"/>
          <w:b/>
          <w:i/>
          <w:sz w:val="24"/>
          <w:szCs w:val="24"/>
          <w:u w:val="single"/>
        </w:rPr>
        <w:t>CRS</w:t>
      </w:r>
      <w:r w:rsidRPr="001B0491">
        <w:rPr>
          <w:rFonts w:ascii="Times New Roman" w:hAnsi="Times New Roman"/>
          <w:b/>
          <w:i/>
          <w:iCs/>
          <w:sz w:val="24"/>
          <w:szCs w:val="24"/>
          <w:u w:val="single"/>
        </w:rPr>
        <w:t xml:space="preserve"> spēkā stāšanās datums mīnus viena diena];</w:t>
      </w:r>
    </w:p>
    <w:p w14:paraId="40AC337A" w14:textId="77777777" w:rsidR="00DB30B8" w:rsidRPr="001B0491" w:rsidRDefault="00DB30B8" w:rsidP="00DB30B8">
      <w:pPr>
        <w:tabs>
          <w:tab w:val="left" w:pos="1276"/>
          <w:tab w:val="left" w:pos="1565"/>
          <w:tab w:val="left" w:pos="1567"/>
        </w:tabs>
        <w:spacing w:before="120"/>
        <w:ind w:left="851" w:hanging="283"/>
        <w:jc w:val="both"/>
        <w:rPr>
          <w:rFonts w:ascii="Times New Roman" w:hAnsi="Times New Roman" w:cs="Times New Roman"/>
          <w:i/>
          <w:noProof/>
          <w:sz w:val="24"/>
          <w:szCs w:val="24"/>
        </w:rPr>
      </w:pPr>
      <w:r w:rsidRPr="001B0491">
        <w:rPr>
          <w:rFonts w:ascii="Times New Roman" w:hAnsi="Times New Roman"/>
          <w:i/>
          <w:sz w:val="24"/>
          <w:szCs w:val="24"/>
        </w:rPr>
        <w:t>b) jebkurš konta turētāja finanšu konts neatkarīgi no šāda finanšu konta atvēršanas datuma, ja:</w:t>
      </w:r>
    </w:p>
    <w:p w14:paraId="293FA6C3" w14:textId="77777777" w:rsidR="00DB30B8" w:rsidRPr="001B0491" w:rsidRDefault="00DB30B8" w:rsidP="00DB30B8">
      <w:pPr>
        <w:tabs>
          <w:tab w:val="left" w:pos="1276"/>
          <w:tab w:val="left" w:pos="1922"/>
          <w:tab w:val="left" w:pos="1925"/>
        </w:tabs>
        <w:spacing w:before="120"/>
        <w:ind w:left="1134" w:hanging="283"/>
        <w:jc w:val="both"/>
        <w:rPr>
          <w:rFonts w:ascii="Times New Roman" w:hAnsi="Times New Roman" w:cs="Times New Roman"/>
          <w:i/>
          <w:noProof/>
          <w:sz w:val="24"/>
          <w:szCs w:val="24"/>
        </w:rPr>
      </w:pPr>
      <w:r w:rsidRPr="001B0491">
        <w:rPr>
          <w:rFonts w:ascii="Times New Roman" w:hAnsi="Times New Roman"/>
          <w:i/>
          <w:sz w:val="24"/>
          <w:szCs w:val="24"/>
        </w:rPr>
        <w:t>i) konta turētājs finanšu iestādē, kas sniedz ziņojumus (vai saistītajā vienībā tajā pašā jurisdikcijā, kurā atrodas finanšu iestāde, kas sniedz ziņojumus), tur arī finanšu kontu, kas saskaņā ar C punkta 9. apakšpunkta a) daļu ir iepriekšpastāvējis konts;</w:t>
      </w:r>
    </w:p>
    <w:p w14:paraId="09ED5FB5" w14:textId="77777777" w:rsidR="00DB30B8" w:rsidRPr="001B0491" w:rsidRDefault="00DB30B8" w:rsidP="00DB30B8">
      <w:pPr>
        <w:tabs>
          <w:tab w:val="left" w:pos="1276"/>
          <w:tab w:val="left" w:pos="1922"/>
          <w:tab w:val="left" w:pos="1925"/>
        </w:tabs>
        <w:spacing w:before="120"/>
        <w:ind w:left="1134" w:hanging="283"/>
        <w:jc w:val="both"/>
        <w:rPr>
          <w:rFonts w:ascii="Times New Roman" w:hAnsi="Times New Roman" w:cs="Times New Roman"/>
          <w:i/>
          <w:noProof/>
          <w:sz w:val="24"/>
          <w:szCs w:val="24"/>
        </w:rPr>
      </w:pPr>
      <w:r w:rsidRPr="001B0491">
        <w:rPr>
          <w:rFonts w:ascii="Times New Roman" w:hAnsi="Times New Roman"/>
          <w:i/>
          <w:sz w:val="24"/>
          <w:szCs w:val="24"/>
        </w:rPr>
        <w:lastRenderedPageBreak/>
        <w:t>ii) finanšu iestāde, kas sniedz ziņojumus (un ja piemērojams – saistītā vienība tajā pašā jurisdikcijā, kurā atrodas finanšu iestāde, kas sniedz ziņojumus), abus iepriekš minētos finanšu kontus un jebkādus citus konta turētāja finanšu kontus, kas saskaņā ar C punkta 9. apakšpunkta b) daļu tiek uzskatīti par iepriekšpastāvējušiem kontiem, uzskata par vienu finanšu kontu saistībā ar VII panta A punktā izklāstīto zināšanu prasību standartu izpildi un saistībā ar bilances vai vērtības noteikšanu jebkuram no finanšu kontiem, piemērojot jebkuras konta robežvērtības;</w:t>
      </w:r>
    </w:p>
    <w:p w14:paraId="727D6690" w14:textId="77777777" w:rsidR="00DB30B8" w:rsidRPr="001B0491" w:rsidRDefault="00DB30B8" w:rsidP="00DB30B8">
      <w:pPr>
        <w:tabs>
          <w:tab w:val="left" w:pos="1276"/>
          <w:tab w:val="left" w:pos="1921"/>
          <w:tab w:val="left" w:pos="1925"/>
        </w:tabs>
        <w:spacing w:before="120"/>
        <w:ind w:left="1134" w:hanging="283"/>
        <w:jc w:val="both"/>
        <w:rPr>
          <w:rFonts w:ascii="Times New Roman" w:hAnsi="Times New Roman" w:cs="Times New Roman"/>
          <w:i/>
          <w:noProof/>
          <w:sz w:val="24"/>
          <w:szCs w:val="24"/>
        </w:rPr>
      </w:pPr>
      <w:r w:rsidRPr="001B0491">
        <w:rPr>
          <w:rFonts w:ascii="Times New Roman" w:hAnsi="Times New Roman"/>
          <w:i/>
          <w:sz w:val="24"/>
          <w:szCs w:val="24"/>
        </w:rPr>
        <w:t>iii) attiecībā uz finanšu kontu, uz kuru attiecas AML/KYC procedūras, finanšu iestādei, kas sniedz ziņojumus, ir atļauts izpildīt šādas finanšu kontam piemērojamas AML/KYC procedūras, pamatojoties uz AML/KYC procedūrām, kuras tiek piemērotas C punkta 9. apakšpunkta a) daļā noteiktajiem iepriekšpastāvējušajiem kontiem, un</w:t>
      </w:r>
    </w:p>
    <w:p w14:paraId="4FD48AE9" w14:textId="77777777" w:rsidR="00DB30B8" w:rsidRPr="001B0491" w:rsidRDefault="00DB30B8" w:rsidP="00DB30B8">
      <w:pPr>
        <w:tabs>
          <w:tab w:val="left" w:pos="1276"/>
          <w:tab w:val="left" w:pos="1923"/>
          <w:tab w:val="left" w:pos="1925"/>
        </w:tabs>
        <w:spacing w:before="120"/>
        <w:ind w:left="1134" w:hanging="283"/>
        <w:jc w:val="both"/>
        <w:rPr>
          <w:rFonts w:ascii="Times New Roman" w:hAnsi="Times New Roman" w:cs="Times New Roman"/>
          <w:i/>
          <w:noProof/>
          <w:sz w:val="24"/>
          <w:szCs w:val="24"/>
        </w:rPr>
      </w:pPr>
      <w:r w:rsidRPr="001B0491">
        <w:rPr>
          <w:rFonts w:ascii="Times New Roman" w:hAnsi="Times New Roman"/>
          <w:i/>
          <w:sz w:val="24"/>
          <w:szCs w:val="24"/>
        </w:rPr>
        <w:t>iv) lai atvērtu finanšu kontu, konta turētajam nav jāsniedz jauna, papildu vai grozīta klienta informācija, izņemot informāciju, kas nepieciešama Kopējā ziņošanas standarta vajadzībām.</w:t>
      </w:r>
    </w:p>
    <w:p w14:paraId="27E1FC5D"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Jauna, papildu vai grozīta klienta informācija, visticamāk, būs nepieciešama gadījumos, kad konta turētājs, kas līdz tam ir turējis vienīgi noguldījumu kontu, atver turētāja kontu (ņemot vērā, ka konta turētājam bieži vien būs jāsniedz informācija par tā riska profilu) vai kad konta turētājs noslēdz jaunu apdrošināšanas līgumu. Līguma noteikumu pieņemšana vai kredītvērtējuma apstiprināšana attiecībā uz finanšu kontu nav uzskatāma par klienta informāciju.</w:t>
      </w:r>
    </w:p>
    <w:p w14:paraId="239B4EF5"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Attiecībā uz C punkta 9. apakšpunkta b) daļas ii) punktu, ja, piemēram, finanšu iestādei, kas sniedz ziņojumus, ir pamats zināt, ka statuss, kas piešķirts konta turētājam, kurš tur vienu no finanšu kontiem, ir nepareizs, tai ir pamats zināt, ka nepareizs ir arī statuss, kas piešķirts par visiem pārējiem konta turētāja finanšu kontiem. Līdzīgi, ciktāl konta bilancei vai vērtībai ir nozīme saistībā ar konta robežvērtības piemērošanu vienam vai vairākiem finanšu kontiem, finanšu iestādei, kas sniedz ziņojumus, ir jāapkopo visu šādu finanšu kontu bilance vai vērtība.</w:t>
      </w:r>
    </w:p>
    <w:p w14:paraId="1830D84F"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Fonds, visticamāk, netiks kvalificēts kā cita fonda saistītā vienība atbilstīgi E punkta 4. apakšpunktam, tāpēc termina “iepriekšpastāvējis konts” alternatīvā definīcija nebūs piemērojama jaunām līdzdalības daļām kapitālā vai parādkapitālā, kuras tur gala ieguldītāji, kas ir tieši reģistrēti fonda līdzdalības daļu reģistrā. Jurisdikcijām, kuras vēlas risināt šādu situāciju, E punkta 4. apakšpunkta redakcija jāaizstāj ar turpmāko redakciju.</w:t>
      </w:r>
    </w:p>
    <w:p w14:paraId="24E7173B" w14:textId="77777777" w:rsidR="00DB30B8" w:rsidRPr="001B0491" w:rsidRDefault="00DB30B8" w:rsidP="00DB30B8">
      <w:pPr>
        <w:spacing w:before="120"/>
        <w:ind w:firstLine="567"/>
        <w:jc w:val="both"/>
        <w:rPr>
          <w:rFonts w:ascii="Times New Roman" w:hAnsi="Times New Roman" w:cs="Times New Roman"/>
          <w:i/>
          <w:noProof/>
          <w:sz w:val="24"/>
          <w:szCs w:val="24"/>
        </w:rPr>
      </w:pPr>
      <w:r w:rsidRPr="001B0491">
        <w:rPr>
          <w:rFonts w:ascii="Times New Roman" w:hAnsi="Times New Roman"/>
          <w:i/>
          <w:sz w:val="24"/>
          <w:szCs w:val="24"/>
        </w:rPr>
        <w:t>4. Vienība ir citas vienības “saistītā vienība”, ja a) viena vienība kontrolē otru vienību, b) abas vienības tiek kontrolētas kopīgi vai c) abas vienības ir A punkta 6. apakšpunkta b) daļā minētās ieguldījumu vienības, tiek pārvaldītas kopīgi, un šāda kopīga pārvaldība nodrošina šādu ieguldījumu vienību pienācīgas pārbaudes saistību izpildi. Šajā nolūkā kontrole nozīmē tiešas vai netiešas īpašumtiesības uz vairāk nekā 50 % no vienības balsstiesībām vai vērtības.</w:t>
      </w:r>
    </w:p>
    <w:p w14:paraId="507305AE"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83. Iepriekšpastāvējis konts un jauns konts tiek klasificēts atbilstīgi konta turētāja veidam. Līdz ar to iepriekšpastāvējis konts var būt “iepriekšpastāvējis fiziskas personas konts” vai “iepriekšpastāvējis vienības konts”, un jauns konts var būt “jauns fiziskas personas konts” vai “jauns vienības konts”. Šo terminu definīcijas sniegtas attiecīgi C punkta 11.–13. un 16. punktā.</w:t>
      </w:r>
    </w:p>
    <w:p w14:paraId="67ADB67B" w14:textId="77777777" w:rsidR="00DB30B8" w:rsidRPr="001B0491" w:rsidRDefault="00DB30B8" w:rsidP="0038202A">
      <w:pPr>
        <w:widowControl/>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84. Visbeidzot, iepriekšpastāvējušu fiziskas personas kontu klasificē, pamatojoties uz to, vai tā bilance vai vērtība pārsniedz 1 000 000 USD. Tādējādi iepriekšpastāvējis fiziskas personas </w:t>
      </w:r>
      <w:r w:rsidRPr="001B0491">
        <w:rPr>
          <w:rFonts w:ascii="Times New Roman" w:hAnsi="Times New Roman"/>
          <w:sz w:val="24"/>
          <w:szCs w:val="24"/>
        </w:rPr>
        <w:lastRenderedPageBreak/>
        <w:t>konts var būt “zemākas vērtības konts” vai “lielas vērtības konts”. C punkta 14.–15. punktā šie termini definēti šādi:</w:t>
      </w:r>
    </w:p>
    <w:p w14:paraId="0E3E7776"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“zemākas vērtības konts” ir iepriekšpastāvējis fiziskas personas konts, kura bilance vai vērtība [xxxx.] gada 31. decembrī nepārsniedz 1 000 000 USD.</w:t>
      </w:r>
    </w:p>
    <w:p w14:paraId="0D799721"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“Lielas vērtības konts” ir iepriekšpastāvējis fiziskas personas konts, kura bilance vai vērtība [xxxx.] gada 31. decembrī vai jebkura nākamā gada 31. decembrī pārsniedz 1 000 000 USD.</w:t>
      </w:r>
    </w:p>
    <w:p w14:paraId="0CA77561"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Kad konts kļūst par lielas vērtības kontu, tas saglabā šādu statusu līdz konta slēgšanas dienai, un tāpēc to vairs nevar uzskatīt par zemākas vērtības kontu.</w:t>
      </w:r>
    </w:p>
    <w:p w14:paraId="0F4EBA0C"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85. Lai arī lēmumu par datumiem, kad finanšu konts jāklasificē kā “iepriekšpastāvējis konts” vai “jauns konts”, pieņem jursidikcija, kura ievieš Kopējo ziņošanas standartu, paredzams, ka termina “jauns konts” gadījumā tā būs nākamā diena pēc dienas, kas izraudzīta attiecībā uz terminu “iepriekšpastāvējis konts” (skat. 5. pielikumu – Plašāka pieeja Kopējajam ziņošanas standartam). Attiecībā uz tā gada izvēli, pēc kura finanšu konts tiks klasificēts kā “zemākas vērtības konts” vai “lielas vērtības konts”, paredzams, ka abu terminu gadījumā tiks izraudzīts viens un tas pats gads.</w:t>
      </w:r>
    </w:p>
    <w:p w14:paraId="5A440D7D"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56" w:name="Subparagraph_C(17)_–_Excluded_Account"/>
      <w:bookmarkEnd w:id="156"/>
      <w:r w:rsidRPr="001B0491">
        <w:rPr>
          <w:rFonts w:ascii="Times New Roman" w:hAnsi="Times New Roman"/>
          <w:i/>
          <w:color w:val="616161"/>
          <w:sz w:val="24"/>
          <w:szCs w:val="24"/>
        </w:rPr>
        <w:t>C punkta 17. apakšpunkts. Izslēgtais konts</w:t>
      </w:r>
    </w:p>
    <w:p w14:paraId="7FC657E9"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86. C punkta 17. apakšpunktā noteiktas dažādas izslēgto kontu kategorijas (t. i., konti, kuri nav finanšu konti un par kuriem tādēļ nav jāsniedz ziņojumi):</w:t>
      </w:r>
    </w:p>
    <w:p w14:paraId="77278E3C"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a) pensiju konti;</w:t>
      </w:r>
    </w:p>
    <w:p w14:paraId="43889918"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b) ar atvaļināšanu nesaistīti konti, attiecībā uz kuriem tiek piemēroti nodokļu atvieglojumi;</w:t>
      </w:r>
    </w:p>
    <w:p w14:paraId="6A660CF3" w14:textId="77777777" w:rsidR="00DB30B8" w:rsidRPr="001B0491" w:rsidRDefault="00DB30B8" w:rsidP="00DB30B8">
      <w:pPr>
        <w:tabs>
          <w:tab w:val="left" w:pos="942"/>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c) terminēti dzīvības apdrošināšanas līgumi;</w:t>
      </w:r>
    </w:p>
    <w:p w14:paraId="680BC14F"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d) mantojuma konti;</w:t>
      </w:r>
    </w:p>
    <w:p w14:paraId="2603D748"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e) darījuma konti;</w:t>
      </w:r>
    </w:p>
    <w:p w14:paraId="7C66A7FD" w14:textId="77777777" w:rsidR="00DB30B8" w:rsidRPr="001B0491" w:rsidRDefault="00DB30B8" w:rsidP="00DB30B8">
      <w:pPr>
        <w:spacing w:before="120"/>
        <w:ind w:left="567" w:hanging="283"/>
        <w:rPr>
          <w:rFonts w:ascii="Times New Roman" w:hAnsi="Times New Roman" w:cs="Times New Roman"/>
          <w:b/>
          <w:i/>
          <w:noProof/>
          <w:sz w:val="24"/>
          <w:szCs w:val="24"/>
          <w:u w:val="thick"/>
        </w:rPr>
      </w:pPr>
      <w:r w:rsidRPr="001B0491">
        <w:rPr>
          <w:rFonts w:ascii="Times New Roman" w:hAnsi="Times New Roman"/>
          <w:b/>
          <w:i/>
          <w:sz w:val="24"/>
          <w:szCs w:val="24"/>
          <w:u w:val="thick"/>
        </w:rPr>
        <w:t>e bis) zemas vērtības noteikti elektroniskās naudas produkti;</w:t>
      </w:r>
    </w:p>
    <w:p w14:paraId="09479604" w14:textId="77777777" w:rsidR="00DB30B8" w:rsidRPr="001B0491" w:rsidRDefault="00DB30B8" w:rsidP="00DB30B8">
      <w:pPr>
        <w:tabs>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f) noguldījumu konti, kas pastāv neatmaksātas pārmaksas dēļ, un</w:t>
      </w:r>
    </w:p>
    <w:p w14:paraId="1A52C9BC"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g) zema riska izslēgtie konti.</w:t>
      </w:r>
    </w:p>
    <w:p w14:paraId="7511E033"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 xml:space="preserve">Šīs kategorijas parasti atbildīs to kontu veidiem, kuri nav ietverti termina “finanšu konti” definīcijā starpvaldību nolīgumā, kas noslēgts starp šādu jurisdikciju un Amerikas Savienotajām Valstīm ar mērķi uzlabot nodokļu saistību izpildi starptautiskā līmenī, tostarp attiecībā uz </w:t>
      </w:r>
      <w:r w:rsidRPr="001B0491">
        <w:rPr>
          <w:rFonts w:ascii="Times New Roman" w:hAnsi="Times New Roman"/>
          <w:i/>
          <w:iCs/>
          <w:sz w:val="24"/>
          <w:szCs w:val="24"/>
        </w:rPr>
        <w:t>FATCA</w:t>
      </w:r>
      <w:r w:rsidRPr="001B0491">
        <w:rPr>
          <w:rFonts w:ascii="Times New Roman" w:hAnsi="Times New Roman"/>
          <w:sz w:val="24"/>
          <w:szCs w:val="24"/>
        </w:rPr>
        <w:t>, ar nosacījumu, ka šādi kontu veidi atbildīs visām būtiskajām C punkta 17. apakšpunktā minētajām prasībām.</w:t>
      </w:r>
    </w:p>
    <w:p w14:paraId="49D2F97D"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87. Lai noteiktu, vai konts atbilst visām konkrētā izslēgtā konta kategorijas prasībām, finanšu iestāde, kas sniedz ziņojumus, var paļauties uz tās rīcībā esošo informāciju (tostarp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procedūrās savākto informāciju) vai publiski pieejamu informāciju, ko tā var izmantot, lai pamatoti noteiktu, ka konts ir izslēgtais konts (skat. komentāru par V pantu 12. punktu). Finanšu iestādei, kas sniedz ziņojumus un uztur tikai kontus, kuri ir izslēgtie konti, praksē nav nekādu ziņošanas pienākumu. Tomēr šādai finanšu iestādei, kas sniedz ziņojumus, var būt noteikti citi pienākumi, piemēram, nulles paziņojuma iesniegšana gadījumā, ja nav kontu, par kuriem jāsniedz ziņojums (ja tas paredzēts valsts tiesību aktos).</w:t>
      </w:r>
    </w:p>
    <w:p w14:paraId="284726F9" w14:textId="77777777" w:rsidR="00DB30B8" w:rsidRPr="001B0491" w:rsidRDefault="00DB30B8" w:rsidP="00DB30B8">
      <w:pPr>
        <w:spacing w:before="120"/>
        <w:ind w:left="284"/>
        <w:rPr>
          <w:rFonts w:ascii="Times New Roman" w:hAnsi="Times New Roman" w:cs="Times New Roman"/>
          <w:noProof/>
          <w:sz w:val="24"/>
          <w:szCs w:val="24"/>
        </w:rPr>
      </w:pPr>
      <w:bookmarkStart w:id="157" w:name="Retirement_and_pension_accounts"/>
      <w:bookmarkEnd w:id="157"/>
      <w:r w:rsidRPr="001B0491">
        <w:rPr>
          <w:rFonts w:ascii="Times New Roman" w:hAnsi="Times New Roman"/>
          <w:sz w:val="24"/>
          <w:szCs w:val="24"/>
        </w:rPr>
        <w:t>Pensiju konti</w:t>
      </w:r>
    </w:p>
    <w:p w14:paraId="4CAED6BA"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88. Pensiju konts var būt izslēgtais konts, ja tas atbilst visām C punkta 17. apakšpunkta a) daļā minētajām prasībām. Šīs prasības ir jāizpilda saskaņā ar tās jursidikcijas tiesību aktiem, kurā konts tiek uzturēts. Kopumā jābūt izpildītām šādām prasībām:</w:t>
      </w:r>
    </w:p>
    <w:p w14:paraId="6A708738"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a) konts ir pakļauts regulējumam;</w:t>
      </w:r>
    </w:p>
    <w:p w14:paraId="7A004D87"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attiecībā uz kontu ir piemēroti nodokļu atvieglojumi;</w:t>
      </w:r>
    </w:p>
    <w:p w14:paraId="78AB1A3E" w14:textId="77777777" w:rsidR="00DB30B8" w:rsidRPr="001B0491" w:rsidRDefault="00DB30B8" w:rsidP="00DB30B8">
      <w:pPr>
        <w:tabs>
          <w:tab w:val="left" w:pos="942"/>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par kontu jāsniedz informācija nodokļu iestādēm;</w:t>
      </w:r>
    </w:p>
    <w:p w14:paraId="571AB36F"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d) līdzekļus var izņemt, ja sasniegts noteikts pensionēšanās vecums, vai invaliditātes vai nāves gadījumā, savukārt, ja līdzekļi tiek izņemti pirms šādu gadījumu iestāšanās, tiek piemēroti sodi, un</w:t>
      </w:r>
    </w:p>
    <w:p w14:paraId="36628D5B"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e) ikgadējās iemaksas nepārsniedz 50 000 USD vai ii) maksimālā summa, kas tiek iemaksāta kontā visas dzīves laikā, nepārsniedz 1 000 000 USD, neieskaitot pārceltās iemaksas.</w:t>
      </w:r>
    </w:p>
    <w:p w14:paraId="7DD5A256"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89. C punkta 17. apakšpunkta a) daļas iii) punktā noteiktā informācijas sniegšana var atšķirties dažādās jursidikcijās. Vienā jursidikcijā var būt noteikts, ka informācija par kontu jāsniedz reizi gadā, savukārt citā jursidikcijā informācija par iemaksām kontā un saistītajiem nodokļu atvieglojumiem var būt jāsniedz katru mēnesi un informācija par konta turētājiem un kopējām iemaksām kontā var būt jāsniedz katru gadu. Līdz ar to, ja jursidikcijā, kurā tiek uzturēts konts, ir noteikta prasība sniegt informāciju attiecīgajām nodokļu iestādēm, tas, vai konts atbilst C punkta 17. apakšpunkta a) daļas iii) punktā noteiktajām prasībām, nav atkarīgs no tā, kad un kā notiek šāda informācijas sniegšana.</w:t>
      </w:r>
    </w:p>
    <w:p w14:paraId="07C1CBFC" w14:textId="77777777" w:rsidR="00DB30B8" w:rsidRPr="001B0491" w:rsidRDefault="00DB30B8" w:rsidP="00DB30B8">
      <w:pPr>
        <w:spacing w:before="120"/>
        <w:ind w:left="284"/>
        <w:rPr>
          <w:rFonts w:ascii="Times New Roman" w:hAnsi="Times New Roman" w:cs="Times New Roman"/>
          <w:noProof/>
          <w:sz w:val="24"/>
          <w:szCs w:val="24"/>
        </w:rPr>
      </w:pPr>
      <w:bookmarkStart w:id="158" w:name="Non-retirement_tax-favoured_accounts"/>
      <w:bookmarkEnd w:id="158"/>
      <w:r w:rsidRPr="001B0491">
        <w:rPr>
          <w:rFonts w:ascii="Times New Roman" w:hAnsi="Times New Roman"/>
          <w:sz w:val="24"/>
          <w:szCs w:val="24"/>
        </w:rPr>
        <w:t>Ar pensionēšanos nesaistīti konti, attiecībā uz kuriem tiek piemēroti nodokļu atvieglojumi</w:t>
      </w:r>
    </w:p>
    <w:p w14:paraId="30BB3713"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90. Ar pensionēšanos nesaistīts konts var būt izslēgtais konts, ja tas atbilst visām C punkta 17. apakšpunkta b) daļā minētajām prasībām. Šīs prasības ir jāizpilda saskaņā ar tās jursidikcijas tiesību aktiem, kurā konts tiek uzturēts. Kopumā jābūt izpildītām šādām prasībām:</w:t>
      </w:r>
    </w:p>
    <w:p w14:paraId="193C940B"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konts ir pakļauts regulējumam un ieguldījumu instrumenta gadījumā tiek regulāri tirgots vispāratzītā vērtspapīru tirgū (skat. turpmāk 112. punktu);</w:t>
      </w:r>
    </w:p>
    <w:p w14:paraId="4408300E"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attiecībā uz kontu ir piemēroti nodokļu atvieglojumi;</w:t>
      </w:r>
    </w:p>
    <w:p w14:paraId="09285C8F"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līdzekļus var izņemt, ja ir izpildīti noteikti kritēriji, savukārt attiecībā uz līdzekļu izņemšanu pirms šādu kritēriju izpildes tiek piemēroti sodi;</w:t>
      </w:r>
    </w:p>
    <w:p w14:paraId="6C739AC3" w14:textId="77777777" w:rsidR="00DB30B8" w:rsidRPr="001B0491" w:rsidRDefault="00DB30B8" w:rsidP="00DB30B8">
      <w:pPr>
        <w:tabs>
          <w:tab w:val="left" w:pos="941"/>
          <w:tab w:val="left" w:pos="1075"/>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 xml:space="preserve">d) ikgadējās iemaksas nepārsniedz 50 000 USD, neieskaitot pārceltās iemaksas. </w:t>
      </w:r>
      <w:bookmarkStart w:id="159" w:name="Term_life_insurance_contracts"/>
      <w:bookmarkEnd w:id="159"/>
      <w:r w:rsidRPr="001B0491">
        <w:rPr>
          <w:rFonts w:ascii="Times New Roman" w:hAnsi="Times New Roman"/>
          <w:sz w:val="24"/>
          <w:szCs w:val="24"/>
        </w:rPr>
        <w:t>Terminēti dzīvības apdrošināšanas līgumi</w:t>
      </w:r>
    </w:p>
    <w:p w14:paraId="2A050940"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91. Dzīvības apdrošināšanas līgums ar seguma periodu, kas beidzas, pirms apdrošinātā persona sasniedz 90 gadu vecumu, var būt izslēgtais konts, ja līgums atbilst visām C punkta 17. apakšpunkta c) daļā minētajām prasībām. Kā norādīts iepriekš 77. punktā, “dzīvības apdrošināšanas līgums” ir apdrošināšanas līgums, saskaņā ar kuru devējs apmaiņā pret atlīdzību piekrīt izmaksāt summu vienas vai vairāku privātpersonu nāves gadījumā.</w:t>
      </w:r>
    </w:p>
    <w:p w14:paraId="1E40B0FF" w14:textId="77777777" w:rsidR="00DB30B8" w:rsidRPr="001B0491" w:rsidRDefault="00DB30B8" w:rsidP="00DB30B8">
      <w:pPr>
        <w:spacing w:before="120"/>
        <w:ind w:left="284"/>
        <w:rPr>
          <w:rFonts w:ascii="Times New Roman" w:hAnsi="Times New Roman" w:cs="Times New Roman"/>
          <w:noProof/>
          <w:sz w:val="24"/>
          <w:szCs w:val="24"/>
        </w:rPr>
      </w:pPr>
      <w:bookmarkStart w:id="160" w:name="Estate_accounts"/>
      <w:bookmarkEnd w:id="160"/>
      <w:r w:rsidRPr="001B0491">
        <w:rPr>
          <w:rFonts w:ascii="Times New Roman" w:hAnsi="Times New Roman"/>
          <w:sz w:val="24"/>
          <w:szCs w:val="24"/>
        </w:rPr>
        <w:t>Mantojuma konti</w:t>
      </w:r>
    </w:p>
    <w:p w14:paraId="32D2EAD3"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92. Saskaņā ar C punkta 17. apakšpunkta d) daļu konts, kas tiek turēts vienīgi saistībā ar mantojumu, var būt izslēgtais konts, ja šāda konta dokumentācijā ir iekļauta mirušās personas testamenta vai miršanas apliecības kopija. Šajā saistībā finanšu iestādei, kas sniedz ziņojumus, līdz šādas kopijas saņemšanas dienai ir jāuzskata, ka kontam ir tāds pats statuss, kāds tam bija pirms konta turētāja nāves. Nosakot termina “mantojums” nozīmi, jāņem vērā katras jurisdikcijas noteikumi par tiesību un saistību nodošanu vai mantošanu nāves gadījumā (piemēram, noteikumi par vispārējo tiesību pēctecību).</w:t>
      </w:r>
    </w:p>
    <w:p w14:paraId="60875F5E" w14:textId="77777777" w:rsidR="00DB30B8" w:rsidRPr="001B0491" w:rsidRDefault="00DB30B8" w:rsidP="0038202A">
      <w:pPr>
        <w:keepNext/>
        <w:keepLines/>
        <w:spacing w:before="120"/>
        <w:ind w:left="284"/>
        <w:rPr>
          <w:rFonts w:ascii="Times New Roman" w:hAnsi="Times New Roman" w:cs="Times New Roman"/>
          <w:noProof/>
          <w:sz w:val="24"/>
          <w:szCs w:val="24"/>
        </w:rPr>
      </w:pPr>
      <w:bookmarkStart w:id="161" w:name="Escrow_accounts"/>
      <w:bookmarkEnd w:id="161"/>
      <w:r w:rsidRPr="001B0491">
        <w:rPr>
          <w:rFonts w:ascii="Times New Roman" w:hAnsi="Times New Roman"/>
          <w:sz w:val="24"/>
          <w:szCs w:val="24"/>
        </w:rPr>
        <w:lastRenderedPageBreak/>
        <w:t>Darījuma konti</w:t>
      </w:r>
    </w:p>
    <w:p w14:paraId="44627443" w14:textId="77777777" w:rsidR="00DB30B8" w:rsidRPr="001B0491" w:rsidRDefault="00DB30B8" w:rsidP="0038202A">
      <w:pPr>
        <w:keepNext/>
        <w:keepLines/>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93. C punkta 17. apakšpunkta e) daļa pamatā attiecas uz kontiem, kuros trešās personas tur naudu darījumā iesaistīto pušu vārdā (t. i., darījuma konti). Šie konti var būt izslēgtie konti, ja tie ir izveidoti saistībā ar:</w:t>
      </w:r>
    </w:p>
    <w:p w14:paraId="10130363"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tiesas rīkojumu vai spriedumu;</w:t>
      </w:r>
    </w:p>
    <w:p w14:paraId="4475A6A9"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nekustamā īpašuma vai personīgās mantas pārdošanu, apmaiņu vai iznomāšanu, ja konts atbilst visām C punkta 17. apakšpunkta e) daļas ii) punkta prasībām;</w:t>
      </w:r>
    </w:p>
    <w:p w14:paraId="708775FC"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finanšu iestādes, kas sniedz ziņojumus un apkalpo ar nekustamo īpašumu nodrošinātu aizdevumu, pienākumu atlikt maksājuma daļu vienīgi tāpēc, lai veicinātu vēlāku ar nekustamo īpašumu saistīto nodokļu vai apdrošināšanas nomaksu;</w:t>
      </w:r>
    </w:p>
    <w:p w14:paraId="17C64786"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d) finanšu iestādes, kas sniedz ziņojumus, pienākumu veicināt vēlāku nodokļu nomaksu;</w:t>
      </w:r>
    </w:p>
    <w:p w14:paraId="2CB2A6A3" w14:textId="77777777" w:rsidR="00DB30B8" w:rsidRPr="001B0491" w:rsidRDefault="00DB30B8" w:rsidP="00DB30B8">
      <w:pPr>
        <w:tabs>
          <w:tab w:val="left" w:pos="760"/>
          <w:tab w:val="left" w:pos="931"/>
        </w:tabs>
        <w:spacing w:before="120"/>
        <w:ind w:left="567" w:hanging="283"/>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e) uzņēmuma nodibināšanu vai tā kapitāla palielināšanu ar nosacījumu, ka konts atbilst visām prasībām, kas uzskaitītas C punkta 17. apakšpunkta e) daļas v) punktā.</w:t>
      </w:r>
    </w:p>
    <w:p w14:paraId="5CAF9594"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color w:val="231F20"/>
          <w:sz w:val="24"/>
          <w:szCs w:val="24"/>
        </w:rPr>
        <w:t>94. Atbilstīgi tam, kā noteikts C punkta 17. apakšpunkta e) daļas ii) punktā, izslēgtajam kontam jābūt izveidotam saistībā ar nekustamā īpašuma vai personīgās mantas pārdošanu, apmaiņu vai iznomāšanu. Nosakot nekustamā īpašuma vai personīgās mantas jēdziena nozīmi, pamatojoties uz tās jurisdikcijas tiesību aktiem, kurā konts tiek uzturēts, ir iespējams izvairīties no interpretācijas sarežģījumiem jautājumā par to, vai aktīvs vai tiesības ir uzskatāmas par nekustamo īpašumu (t. i., par nekustamo mantu), personīgo mantu vai nevienu no tiem.</w:t>
      </w:r>
    </w:p>
    <w:p w14:paraId="570A2ADA" w14:textId="77777777" w:rsidR="00DB30B8" w:rsidRPr="001B0491" w:rsidRDefault="00DB30B8" w:rsidP="00DB30B8">
      <w:pPr>
        <w:spacing w:before="120"/>
        <w:jc w:val="both"/>
        <w:rPr>
          <w:rFonts w:ascii="Times New Roman" w:hAnsi="Times New Roman" w:cs="Times New Roman"/>
          <w:b/>
          <w:i/>
          <w:noProof/>
          <w:sz w:val="24"/>
          <w:szCs w:val="24"/>
        </w:rPr>
      </w:pPr>
      <w:r w:rsidRPr="001B0491">
        <w:rPr>
          <w:rFonts w:ascii="Times New Roman" w:hAnsi="Times New Roman"/>
          <w:b/>
          <w:i/>
          <w:color w:val="231F20"/>
          <w:sz w:val="24"/>
          <w:szCs w:val="24"/>
          <w:u w:val="single" w:color="231F20"/>
        </w:rPr>
        <w:t xml:space="preserve">94.bis </w:t>
      </w:r>
      <w:r w:rsidRPr="001B0491">
        <w:rPr>
          <w:rFonts w:ascii="Times New Roman" w:hAnsi="Times New Roman"/>
          <w:b/>
          <w:i/>
          <w:color w:val="231F20"/>
          <w:sz w:val="24"/>
          <w:szCs w:val="24"/>
          <w:u w:val="single"/>
        </w:rPr>
        <w:t>“Neatkarīgs apstiprinājums” saistībā ar C punkta 17. apakšpunkta e) daļas v) punkta ii) ievilkumu ir rakstisks apstiprinājums, kas apliecina uzņēmuma dibināšanu vai kapitāla palielinājumu, piemēram, izraksts no komercreģistra vai apstiprinājums, ko sniedzis advokāts, notārs vai cits pakalpojuma sniedzējs, kurš sekmē darījuma izpildi saskaņā ar attiecīgo tiesību aktu.</w:t>
      </w:r>
    </w:p>
    <w:p w14:paraId="3C1AD01A"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94.ter C punkta 17. apakšpunkta e) daļas v) punkta iv) ievilkumā ir atzīts, ka dažos gadījumos, ja uzņēmums netiek nodibināts, šim nolūkam izveidoto kontu var izmantot arī tamdēļ, lai veiktu maksājumus uzņēmuma reģistrēšanas procesā iesaistītajiem pakalpojuma sniedzējiem. Tādējādi personām, kas iemaksājušas summas, tās var atmaksāt, no iemaksātās summas atrēķinot pakalpojuma sniedzēja un līdzīgas maksas, kas saistībā ar C punkta 17. apakšpunkta e) daļas v) punkta iv) ievilkumu ir summas, kas samaksātas advokātiem, notāriem, uzņēmuma reģistratoriem, kā arī citus maksājumus, kas nepieciešami, lai sekmētu uzņēmuma reģistrēšanu vai kapitālieguldījumus.</w:t>
      </w:r>
    </w:p>
    <w:p w14:paraId="6BAE464A" w14:textId="77777777" w:rsidR="00DB30B8" w:rsidRPr="001B0491" w:rsidRDefault="00DB30B8" w:rsidP="00DB30B8">
      <w:pPr>
        <w:spacing w:before="120"/>
        <w:ind w:left="284"/>
        <w:rPr>
          <w:rFonts w:ascii="Times New Roman" w:hAnsi="Times New Roman" w:cs="Times New Roman"/>
          <w:b/>
          <w:i/>
          <w:noProof/>
          <w:color w:val="231F20"/>
          <w:sz w:val="24"/>
          <w:szCs w:val="24"/>
          <w:u w:val="thick" w:color="231F20"/>
        </w:rPr>
      </w:pPr>
      <w:bookmarkStart w:id="162" w:name="Low-value_Specified_Electronic_Money_Pro"/>
      <w:bookmarkEnd w:id="162"/>
      <w:r w:rsidRPr="001B0491">
        <w:rPr>
          <w:rFonts w:ascii="Times New Roman" w:hAnsi="Times New Roman"/>
          <w:b/>
          <w:i/>
          <w:color w:val="231F20"/>
          <w:sz w:val="24"/>
          <w:szCs w:val="24"/>
          <w:u w:val="thick" w:color="231F20"/>
        </w:rPr>
        <w:t>Zemas vērtības noteikti elektroniskās naudas produkti</w:t>
      </w:r>
    </w:p>
    <w:p w14:paraId="17CB84B7" w14:textId="77777777" w:rsidR="00DB30B8" w:rsidRPr="001B0491" w:rsidRDefault="00DB30B8" w:rsidP="00DB30B8">
      <w:pPr>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94.quater C punkta 17. apakšpunkta e.bis daļā ir paredzēts, ka noguldījumu konts, kas pārstāv visus noteiktos elektroniskās naudas produktus, kuri tiek turēti turētāja kontā, ja apkopotās konta bilances vai vērtības slīdošais vidējais rādītājs dienas beigās jebkurā 90 secīgu dienu periodā nepārsniedz 10 000 USD jebkurā dienā kalendārajā gadā vai citā atbilstošā pārskata periodā, ir izslēgtais konts. Konta bilances vai vērtības 90 dienu slīdošais vidējais rādītājs dienas beigās jebkurā 90 secīgu dienu periodā ir jānosaka katrai dienai, un to iegūst par katru konkrētu dienu, pieskaitot katras dienas konta bilanci dienas beigās pēdējo 90 secīgu dienu periodā, tad iegūto summu dalot ar 90, kā parādīts turpmākajā piemērā.</w:t>
      </w:r>
    </w:p>
    <w:p w14:paraId="75AF0F75" w14:textId="77777777" w:rsidR="00DB30B8" w:rsidRPr="001B0491" w:rsidRDefault="00DB30B8" w:rsidP="00DB30B8">
      <w:pPr>
        <w:numPr>
          <w:ilvl w:val="1"/>
          <w:numId w:val="31"/>
        </w:numPr>
        <w:tabs>
          <w:tab w:val="left" w:pos="1276"/>
        </w:tabs>
        <w:spacing w:before="120"/>
        <w:ind w:left="709" w:hanging="425"/>
        <w:jc w:val="both"/>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 xml:space="preserve">Noguldījumu konts, kas pārstāv visus noteiktos elektroniskās naudas produktus, ko tur konta turētājs, ir izveidots N gada 12. oktobrī. Konta bilance vai vērtība dienas beigās pēdējās N gada 81 dienas periodā (t. i., no 12. oktobra līdz 31. decembrim) ir 10 USD, un N+1 gada pirmajās 9 dienās (t. i., no 1. janvāra līdz 9. janvārim) ir </w:t>
      </w:r>
      <w:r w:rsidRPr="001B0491">
        <w:rPr>
          <w:rFonts w:ascii="Times New Roman" w:hAnsi="Times New Roman"/>
          <w:b/>
          <w:i/>
          <w:color w:val="231F20"/>
          <w:sz w:val="24"/>
          <w:szCs w:val="24"/>
          <w:u w:val="thick" w:color="231F20"/>
        </w:rPr>
        <w:lastRenderedPageBreak/>
        <w:t>100 000 USD, tātad konta bilances vai vērtības 90 dienu slīdošais vidējais rādītājs dienas beigās 90 secīgu dienu periodā ir (10*81)+(100 000*9)=900 810/90, t. i., 10 009 USD. Tāpēc N+1 gada 9. janvārī robežvērtība ir pārsniegta, un, sākot no tās dienas, noguldījumu konts nav izslēgtais konts. Tāpēc attiecībā uz N+1 gadu tam piemērojamas CRS ziņošanas prasības. Attiecībā uz N gadu noguldījumu konts ir izslēgtais konts.</w:t>
      </w:r>
    </w:p>
    <w:p w14:paraId="57F0F76F" w14:textId="77777777" w:rsidR="00DB30B8" w:rsidRPr="001B0491" w:rsidRDefault="00DB30B8" w:rsidP="00DB30B8">
      <w:pPr>
        <w:spacing w:before="120"/>
        <w:ind w:left="284"/>
        <w:rPr>
          <w:rFonts w:ascii="Times New Roman" w:hAnsi="Times New Roman" w:cs="Times New Roman"/>
          <w:noProof/>
          <w:sz w:val="24"/>
          <w:szCs w:val="24"/>
        </w:rPr>
      </w:pPr>
      <w:bookmarkStart w:id="163" w:name="Depository_Accounts_due_to_not-returned_"/>
      <w:bookmarkEnd w:id="163"/>
      <w:r w:rsidRPr="001B0491">
        <w:rPr>
          <w:rFonts w:ascii="Times New Roman" w:hAnsi="Times New Roman"/>
          <w:sz w:val="24"/>
          <w:szCs w:val="24"/>
        </w:rPr>
        <w:t>Noguldījumu konti, kas pastāv neatmaksātas pārmaksas dēļ</w:t>
      </w:r>
    </w:p>
    <w:p w14:paraId="525147F2" w14:textId="77777777" w:rsidR="00DB30B8" w:rsidRPr="001B0491" w:rsidRDefault="00DB30B8" w:rsidP="00DB30B8">
      <w:pPr>
        <w:tabs>
          <w:tab w:val="left" w:pos="941"/>
        </w:tabs>
        <w:spacing w:before="120"/>
        <w:jc w:val="both"/>
        <w:rPr>
          <w:rFonts w:ascii="Times New Roman" w:hAnsi="Times New Roman" w:cs="Times New Roman"/>
          <w:noProof/>
          <w:color w:val="231F20"/>
          <w:sz w:val="24"/>
          <w:szCs w:val="24"/>
        </w:rPr>
      </w:pPr>
      <w:r w:rsidRPr="001B0491">
        <w:rPr>
          <w:rFonts w:ascii="Times New Roman" w:hAnsi="Times New Roman"/>
          <w:sz w:val="24"/>
          <w:szCs w:val="24"/>
        </w:rPr>
        <w:t>95. Kā minēts iepriekš 44. punktā, finanšu iestāde, kas sniedz ziņojumus un kas neatbilst prasībām, kuras jāizpilda, lai to varētu uzskatīt par kvalificētu kredītkaršu izdevēju, taču kas pieņem noguldījumus gadījumā, ja klients pārmaksā atlikušo summu, kura jāmaksā attiecībā uz kredītkarti vai atjaunojamu kredītlīniju, var nesniegt ziņojumus par noguldījumu kontu, ja to iespējams kvalificēt kā izslēgto kontu atbilstīgi C punkta 17. apakšpunkta f) daļai.</w:t>
      </w:r>
      <w:r w:rsidRPr="001B0491">
        <w:rPr>
          <w:rFonts w:ascii="Times New Roman" w:hAnsi="Times New Roman"/>
          <w:color w:val="231F20"/>
          <w:sz w:val="24"/>
          <w:szCs w:val="24"/>
        </w:rPr>
        <w:t xml:space="preserve"> Šajā apakšpunktā noteiktas šādas prasības:</w:t>
      </w:r>
    </w:p>
    <w:p w14:paraId="1341FAF7" w14:textId="77777777" w:rsidR="00DB30B8" w:rsidRPr="001B0491" w:rsidRDefault="00DB30B8" w:rsidP="00DB30B8">
      <w:pPr>
        <w:tabs>
          <w:tab w:val="left" w:pos="1134"/>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konts pastāv vienīgi tādēļ, ka klients veic maksājumu, kurš pārsniedz summu, kas jāmaksā saistībā ar kredītkarti vai citu atjaunojamu kredīta pakalpojumu, un pārmaksa uzreiz netiek atmaksāta klientam, un</w:t>
      </w:r>
    </w:p>
    <w:p w14:paraId="6545865B" w14:textId="77777777" w:rsidR="00DB30B8" w:rsidRPr="001B0491" w:rsidRDefault="00DB30B8" w:rsidP="00DB30B8">
      <w:pPr>
        <w:tabs>
          <w:tab w:val="left" w:pos="1134"/>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no [xx.xx.xxxx.] vai pirms tam finanšu iestāde īsteno pasākumus un procedūras, lai novērstu, ka klients veic pārmaksu, kas pārsniedz 50 000 USD, vai lai nodrošinātu, ka jebkura klienta pārmaksa, kas pārsniedz 50 000 USD (un atlikusī summa, kas jāmaksā attiecībā uz karti vai kredītlīniju), klientam tiek atmaksāta 60 kalendāro dienu laikā, abos gadījumos piemērojot VII panta C punktā izklāstītos noteikumus par valūtas pārrēķināšanu. Šajā saistībā klienta pārmaksa neattiecas uz kredīta atlikumiem apstrīdēto maksājumu apmērā, bet tā ietver kredīta atlikumus, kas radušies preču atgriešanas rezultātā.</w:t>
      </w:r>
    </w:p>
    <w:p w14:paraId="37404CD7"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96. Lai arī C punkta 17. apakšpunkta f) daļas ii) punktā noteikto datumu izvēlas jursidikcija, kas ievieš Kopējo ziņošanas standartu, paredzams, ka šajā nolūkā tiks izraudzīts tas pats datums, kas izraudzīts saistībā ar terminu “jauns konts”. Šim mērķim finanšu iestādei, kas ir izveidota vai dibināta pēc izraudzītā datuma, ir jānodrošina atbilstība C punkta 17. apakšpunkta f) daļas ii) punktā noteiktajai prasībai sešu mēnešu laikā pēc šīs finanšu iestādes izveides vai dibināšanas datuma.</w:t>
      </w:r>
    </w:p>
    <w:p w14:paraId="38D0B0A5" w14:textId="77777777" w:rsidR="00DB30B8" w:rsidRPr="001B0491" w:rsidRDefault="00DB30B8" w:rsidP="00DB30B8">
      <w:pPr>
        <w:spacing w:before="120"/>
        <w:ind w:left="284"/>
        <w:rPr>
          <w:rFonts w:ascii="Times New Roman" w:hAnsi="Times New Roman" w:cs="Times New Roman"/>
          <w:noProof/>
          <w:sz w:val="24"/>
          <w:szCs w:val="24"/>
        </w:rPr>
      </w:pPr>
      <w:bookmarkStart w:id="164" w:name="Low-risk_Excluded_Accounts"/>
      <w:bookmarkEnd w:id="164"/>
      <w:r w:rsidRPr="001B0491">
        <w:rPr>
          <w:rFonts w:ascii="Times New Roman" w:hAnsi="Times New Roman"/>
          <w:sz w:val="24"/>
          <w:szCs w:val="24"/>
        </w:rPr>
        <w:t>Zema riska izslēgtie konti</w:t>
      </w:r>
    </w:p>
    <w:p w14:paraId="391569EE"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97. Saskaņā ar C punkta 17. apakšpunkta g) daļu konts var būt izslēgtais konts arī tad, ja izpildītas šādas prasības:</w:t>
      </w:r>
    </w:p>
    <w:p w14:paraId="058DADF3" w14:textId="77777777" w:rsidR="00DB30B8" w:rsidRPr="001B0491" w:rsidRDefault="00DB30B8" w:rsidP="00DB30B8">
      <w:pPr>
        <w:tabs>
          <w:tab w:val="left" w:pos="942"/>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attiecībā uz kontu pastāv zems risks, ka tas tiks izmantots, lai izvairītos no nodokļu maksāšanas;</w:t>
      </w:r>
    </w:p>
    <w:p w14:paraId="2756F8A1"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konta īpašības pēc būtības līdzinās jebkura C punkta 17. apakšpunkta a)–f) daļā minētā konta īpašībām;</w:t>
      </w:r>
    </w:p>
    <w:p w14:paraId="4E8CF88D"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konts valsts tiesību aktos ir noteikts kā izslēgtais konts;</w:t>
      </w:r>
    </w:p>
    <w:p w14:paraId="11281EAE"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d) tas, ka kontam piešķirts izslēgtā konta statuss, nav pretrunā Kopējā ziņošanas standarta mērķiem.</w:t>
      </w:r>
    </w:p>
    <w:p w14:paraId="4B2DAA70" w14:textId="77777777" w:rsidR="00DB30B8" w:rsidRPr="001B0491" w:rsidRDefault="00DB30B8" w:rsidP="00DB30B8">
      <w:pPr>
        <w:tabs>
          <w:tab w:val="left" w:pos="941"/>
        </w:tabs>
        <w:spacing w:before="120"/>
        <w:jc w:val="both"/>
        <w:rPr>
          <w:rFonts w:ascii="Times New Roman" w:hAnsi="Times New Roman" w:cs="Times New Roman"/>
          <w:noProof/>
          <w:sz w:val="24"/>
          <w:szCs w:val="24"/>
        </w:rPr>
      </w:pPr>
      <w:r w:rsidRPr="001B0491">
        <w:rPr>
          <w:rFonts w:ascii="Times New Roman" w:hAnsi="Times New Roman"/>
          <w:sz w:val="24"/>
          <w:szCs w:val="24"/>
        </w:rPr>
        <w:t>98. Šī “atvērtā” izslēgto kontu kategorija ir paredzēta, lai ietvertu tos atsevišķām jursidikcijām raksturīgos kontu veidus, kas atbilst C punkta 17. apakšpunkta g) daļas prasībām, tādējādi izvairoties no nepieciešamības vienoties par izslēgto kontu klasēm nolīgumu par finanšu kontu informācijas automātisku apmaiņu slēgšanas laikā.</w:t>
      </w:r>
    </w:p>
    <w:p w14:paraId="31F0717E" w14:textId="77777777" w:rsidR="00DB30B8" w:rsidRPr="001B0491" w:rsidRDefault="00DB30B8" w:rsidP="0038202A">
      <w:pPr>
        <w:keepNext/>
        <w:keepLines/>
        <w:tabs>
          <w:tab w:val="left" w:pos="943"/>
        </w:tabs>
        <w:spacing w:before="120"/>
        <w:rPr>
          <w:rFonts w:ascii="Times New Roman" w:hAnsi="Times New Roman" w:cs="Times New Roman"/>
          <w:noProof/>
          <w:sz w:val="24"/>
          <w:szCs w:val="24"/>
        </w:rPr>
      </w:pPr>
      <w:r w:rsidRPr="001B0491">
        <w:rPr>
          <w:rFonts w:ascii="Times New Roman" w:hAnsi="Times New Roman"/>
          <w:sz w:val="24"/>
          <w:szCs w:val="24"/>
        </w:rPr>
        <w:lastRenderedPageBreak/>
        <w:t>99. Pirmā prasība, kas noteikta C punkta 17. apakšpunkta g) daļā, paredz, ka riskam, ka konts tiks izmantots, lai izvairītos no nodokļu maksāšanas, ir jābūt zemam. Faktori, ko var ņemt vērā, lai noteiktu šādu risku:</w:t>
      </w:r>
    </w:p>
    <w:p w14:paraId="703EAA57"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a) zema riska faktori:</w:t>
      </w:r>
    </w:p>
    <w:p w14:paraId="2F19B4F5"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1) konts ir pakļauts regulējumam;</w:t>
      </w:r>
    </w:p>
    <w:p w14:paraId="083FDD78"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2) attiecībā uz kontu ir piemēroti nodokļu atvieglojumi;</w:t>
      </w:r>
    </w:p>
    <w:p w14:paraId="151FFC7E"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3) par kontu ir jāsniedz informācija nodokļu iestādēm;</w:t>
      </w:r>
    </w:p>
    <w:p w14:paraId="07263496"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4) noteikti ierobežojumi attiecībā uz iemaksām vai saistītajiem nodokļu atvieglojumiem;</w:t>
      </w:r>
    </w:p>
    <w:p w14:paraId="5FBC048E" w14:textId="77777777" w:rsidR="00DB30B8" w:rsidRPr="001B0491" w:rsidRDefault="00DB30B8" w:rsidP="00DB30B8">
      <w:pPr>
        <w:tabs>
          <w:tab w:val="left" w:pos="1301"/>
          <w:tab w:val="left" w:pos="1303"/>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5) konta veids nodrošina pienācīgi noteiktus un ierobežotus pakalpojumus noteiktu veidu klientiem, lai palielinātu piekļuvi finansiālās integrācijas nolūkā;</w:t>
      </w:r>
    </w:p>
    <w:p w14:paraId="4B079FEA"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b) augsta riska faktori:</w:t>
      </w:r>
    </w:p>
    <w:p w14:paraId="7E8EB629"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 xml:space="preserve">1) attiecībā uz konta veidu netiek piemērotas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procedūras;</w:t>
      </w:r>
    </w:p>
    <w:p w14:paraId="43EF4126" w14:textId="77777777" w:rsidR="00DB30B8" w:rsidRPr="001B0491" w:rsidRDefault="00DB30B8" w:rsidP="00DB30B8">
      <w:pPr>
        <w:tabs>
          <w:tab w:val="left" w:pos="1301"/>
        </w:tabs>
        <w:spacing w:before="120"/>
        <w:ind w:left="851" w:hanging="283"/>
        <w:rPr>
          <w:rFonts w:ascii="Times New Roman" w:hAnsi="Times New Roman" w:cs="Times New Roman"/>
          <w:noProof/>
          <w:sz w:val="24"/>
          <w:szCs w:val="24"/>
        </w:rPr>
      </w:pPr>
      <w:r w:rsidRPr="001B0491">
        <w:rPr>
          <w:rFonts w:ascii="Times New Roman" w:hAnsi="Times New Roman"/>
          <w:sz w:val="24"/>
          <w:szCs w:val="24"/>
        </w:rPr>
        <w:t>2) konta veids tiek popularizēts kā nodokļu samazināšanas instruments.</w:t>
      </w:r>
    </w:p>
    <w:p w14:paraId="4CA32B31"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100. Otrā prasība, kas minēta C punkta 17. apakšpunkta g) daļā, nosaka, ka konta īpašībām pēc būtības jālīdzinās jebkuru C punkta 17. apakšpunkta a)–f) daļā minēto kontu īpašībām. Šo prasību nevar izmantot tikai tam, lai izslēgtu konkrētu apraksta elementu. Katra jursidikcija var izvērtēt šīs prasības piemērošanu attiecībā uz konta veidu, kas neatbilst visām konkrētā apraksta prasībām, kuras minētas C punkta 17. apakšpunkta a)–f) daļā. Šādā izvērtēšanā jursidikcijai ir jānoskaidro, kuras prasības ir izpildītas un kuras nav izpildītas, un saistībā ar neizpildītajām prasībām jānoskaidro, vai pastāv alternatīvas prasības, kas nodrošina līdzvērtīgu pārliecību, ka saistībā ar kontu pastāv zems izvairīšanās no nodokļu maksāšanas risks.</w:t>
      </w:r>
    </w:p>
    <w:p w14:paraId="2ABCCF38"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101. Trešā prasība, kas noteikta C punkta 17. apakšpunkta g) daļā, paredz, ka kontam ir jābūt noteiktam valsts tiesību aktos kā izslēgtajam kontam. Šī prasība tiek izpildīta, ja jursidikcija nosaka, ka konkrēta veida konti ir izslēgtie konti un ja šī definīcija tiek iekļauta valsts tiesību aktos. Šajā saistībā jursidikcijā noteiktie kontu veidi parasti atbildīs kontu veidiem, kuri nav ietverti “finanšu kontu” definīcijā starpvaldību nolīgumā, kas noslēgts starp šādu jursidikciju un Amerikas Savienotajām Valstīm ar mērķi uzlabot nodokļu saistību izpildi starptautiskā līmenī, tostarp attiecībā uz </w:t>
      </w:r>
      <w:r w:rsidRPr="001B0491">
        <w:rPr>
          <w:rFonts w:ascii="Times New Roman" w:hAnsi="Times New Roman"/>
          <w:i/>
          <w:iCs/>
          <w:sz w:val="24"/>
          <w:szCs w:val="24"/>
        </w:rPr>
        <w:t>FATCA</w:t>
      </w:r>
      <w:r w:rsidRPr="001B0491">
        <w:rPr>
          <w:rFonts w:ascii="Times New Roman" w:hAnsi="Times New Roman"/>
          <w:sz w:val="24"/>
          <w:szCs w:val="24"/>
        </w:rPr>
        <w:t xml:space="preserve"> (piemēram, krājkonti, kas jau nav izslēgtie konti), ar nosacījumu, ka šādi kontu veidi atbilst visām C punkta 17. apakšpunkta g) daļā minētajām prasībām. Tiek sagaidīts, ka katrai jursidikcijai būs tikai viens saraksts ar valsts līmenī noteiktiem izslēgtajiem kontiem (nevis atšķirīgi saraksti attiecībā uz dažādām iesaistītajām jursidikcijām) un ka tās darīs šādus sarakstus publiski pieejamus.</w:t>
      </w:r>
    </w:p>
    <w:p w14:paraId="286657B5"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102. Ceturtā prasība, kas noteikta C punkta 17. apakšpunkta g) daļā, paredz, ka izslēgtā konta statusa piešķiršana kontam nedrīkst būt pretrunā Kopējā ziņošanas standarta mērķiem. Paredzēts, ka šīs prasības izpilde tiks uzraudzīta, tostarp izmantojot šādus līdzekļus:</w:t>
      </w:r>
    </w:p>
    <w:p w14:paraId="793F95B7"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administratīvās procedūras, kurām jābūt ieviestām jursidikcijā, lai nodrošinātu, ka saistībā ar kontiem, kuri valsts tiesību aktos noteikti kā izslēgtie konti, turpina pastāvēt zems risks, ka tie tiks izmantoti, lai izvairītos no nodokļu maksāšanas (skat. IX panta A punkta 4. apakšpunktu);</w:t>
      </w:r>
    </w:p>
    <w:p w14:paraId="175F7AF4"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Kompetento iestāžu nolīguma iespējama apturēšana, ja otra kompetentā iestāde ir noteikusi kontam izslēgtā konta statusu tādā veidā, kas ir pretrunā Kopējā ziņošanas standarta mērķiem (skat. Kompetento iestāžu nolīguma parauga 7. panta 2. punktu);</w:t>
      </w:r>
    </w:p>
    <w:p w14:paraId="44FCA4A7" w14:textId="77777777" w:rsidR="00DB30B8" w:rsidRPr="001B0491" w:rsidRDefault="00DB30B8" w:rsidP="00DB30B8">
      <w:pPr>
        <w:tabs>
          <w:tab w:val="left" w:pos="943"/>
        </w:tabs>
        <w:spacing w:before="120"/>
        <w:ind w:left="567" w:hanging="283"/>
        <w:jc w:val="both"/>
        <w:rPr>
          <w:rFonts w:ascii="Times New Roman" w:hAnsi="Times New Roman" w:cs="Times New Roman"/>
          <w:noProof/>
          <w:sz w:val="24"/>
          <w:szCs w:val="24"/>
        </w:rPr>
      </w:pPr>
      <w:r w:rsidRPr="001B0491">
        <w:rPr>
          <w:rFonts w:ascii="Times New Roman" w:hAnsi="Times New Roman"/>
          <w:color w:val="231F20"/>
          <w:sz w:val="24"/>
          <w:szCs w:val="24"/>
        </w:rPr>
        <w:t xml:space="preserve">c) mehānisms, kurš paredzēts Kopējā ziņošanas standarta ieviešanas pārskatīšanai un kuru G20 uzdevusi Pasaules forumam par pārredzamības un informācijas apmaiņas </w:t>
      </w:r>
      <w:r w:rsidRPr="001B0491">
        <w:rPr>
          <w:rFonts w:ascii="Times New Roman" w:hAnsi="Times New Roman"/>
          <w:color w:val="231F20"/>
          <w:sz w:val="24"/>
          <w:szCs w:val="24"/>
        </w:rPr>
        <w:lastRenderedPageBreak/>
        <w:t>jautājumiem nodokļu jomā (skat. 2013. gada 5.–6. septembrī Sanktpēterburgas samitā pieņemtās G20 Valstu vadītāju deklarācijas 51. punktu).</w:t>
      </w:r>
      <w:r w:rsidRPr="001B0491">
        <w:rPr>
          <w:rStyle w:val="FootnoteReference"/>
          <w:rFonts w:ascii="Times New Roman" w:hAnsi="Times New Roman" w:cs="Times New Roman"/>
          <w:noProof/>
          <w:color w:val="231F20"/>
          <w:sz w:val="24"/>
          <w:szCs w:val="24"/>
        </w:rPr>
        <w:footnoteReference w:customMarkFollows="1" w:id="7"/>
        <w:t>7</w:t>
      </w:r>
    </w:p>
    <w:p w14:paraId="2B45757C" w14:textId="77777777" w:rsidR="00DB30B8" w:rsidRPr="001B0491" w:rsidRDefault="00DB30B8" w:rsidP="00DB30B8">
      <w:pPr>
        <w:tabs>
          <w:tab w:val="left" w:pos="943"/>
        </w:tabs>
        <w:spacing w:before="120"/>
        <w:rPr>
          <w:rFonts w:ascii="Times New Roman" w:hAnsi="Times New Roman" w:cs="Times New Roman"/>
          <w:noProof/>
          <w:sz w:val="24"/>
          <w:szCs w:val="24"/>
        </w:rPr>
      </w:pPr>
      <w:r w:rsidRPr="001B0491">
        <w:rPr>
          <w:rFonts w:ascii="Times New Roman" w:hAnsi="Times New Roman"/>
          <w:sz w:val="24"/>
          <w:szCs w:val="24"/>
        </w:rPr>
        <w:t>103. Turpmākajos piemēros atspoguļota C punkta 17. apakšpunkta g) daļas piemērošana.</w:t>
      </w:r>
    </w:p>
    <w:p w14:paraId="22B8CF38"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1. piemērs (neierobežots anuitātes līgums). Anuitātes līguma veids, kas atbilst visām C punkta 17. apakšpunkta a) daļā minētajām prasībām, izņemot C punkta 17. apakšpunkta a) daļas v) punktā noteikto prasību (t. i., iemaksas nav ierobežotas). Tomēr piemērojamie sodi ir piemērojami visos gadījumos, kad līdzekļi ir izņemti pirms noteiktā pensionēšanās vecuma sasniegšanas, un ietver to iemaksu aplikšanu ar augstas pamatlikmes papildnodokli (piemēram, 60 %), uz kurām iepriekš attiecināti nodokļu atvieglojumi. Tā kā pastāv alternatīva prasība, kas nodrošina līdzvērtīgu pārliecību, ka saistībā ar kontu pastāv zems izvairīšanās no nodokļu maksāšanas risks, valsts tiesību aktos var noteikt, ka šāda veida konti ir izslēgtie konti.</w:t>
      </w:r>
    </w:p>
    <w:p w14:paraId="26F26186"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2. piemērs (neierobežots krājkonts). Krājkonta veids, kas atbilst visām C punkta 17. apakšpunkta b) daļā minētajām prasībām, izņemot C punkta 17. apakšpunkta b) daļas iv) punktā noteikto prasību (t. i., iemaksas nav ierobežotas). Tomēr ar iemaksām saistītais nodokļu atvieglojums ir ierobežots atbilstīgi indeksētajai summai. Tā kā pastāv alternatīva prasība, kas nodrošina līdzvērtīgu pārliecību, ka saistībā ar kontu pastāv zems izvairīšanās no nodokļu maksāšanas risks, valsts tiesību aktos var noteikt, ka šāda veida konti ir izslēgtie konti.</w:t>
      </w:r>
    </w:p>
    <w:p w14:paraId="3B9424C7"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3. piemērs (mikroapdrošināšanas līgums ar naudas vērtību). Mikroapdrošināšanas līguma ar naudas vērtību veids, kas atbilst vienīgi C punkta 17. apakšpunkta b) daļas i) punktā noteiktajai prasībai (proti, tas ir reglamentēts kā krājinstruments citām vajadzībām, kas nav pensionēšanās). Tomēr saskaņā ar iesaistītās jursidikcijas mikroapdrošināšanas noteikumiem i) tas ir paredzēts privātpersonām (vai fizisku personu grupām), kuras dzīvo zem nabadzības robežas (proti, kurām iztikai ir mazāk par 1,25 USD uz cilvēku dienā, aprēķinot pēc ASV dolāra vērtības 2005. gadā), un ii) kopējā bruto summa, kas maksājama saskaņā ar līgumu, nevar pārsniegt 7000 USD. Tā kā pastāv vispārēja, alternatīva prasība, kas nodrošina līdzvērtīgu pārliecību, ka saistībā ar kontu pastāv zems izvairīšanās no nodokļu maksāšanas risks, valsts tiesību aktos var noteikt, ka šāda veida konti ir izslēgtie konti.</w:t>
      </w:r>
    </w:p>
    <w:p w14:paraId="3D53AAA1"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4. piemērs (sociālās labklājības konts). Krājkonta veids, kas atbilst vienīgi C punkta 17. apakšpunkta b) daļas i) punktā noteiktajai prasībai (t. i., krājkonts ir regulēts kā krājinstruments citām vajadzībām, kas nav pensionēšanās). Tomēr saskaņā ar iesaistītās jursidikcijas sociālās labklājības noteikumiem to drīkst turēt vienīgi privātpersona, kura i) dzīvo zem nabadzības robežas (piemēram, kurai iztikai ir mazāk par 1,25 USD uz cilvēku dienā, aprēķinot pēc ASV dolāra vērtības 2005. gadā) vai kura citādi ir maznodrošināta persona un kura ii) ir iesaistīta sociālās labklājības programmā. Tā kā pastāv vispārēja, alternatīva prasība, kas nodrošina līdzvērtīgu pārliecību, ka saistībā ar kontu pastāv zems izvairīšanās no nodokļu maksāšanas risks, valsts tiesību aktos var noteikt, ka šāda veida konti ir izslēgtie konti.</w:t>
      </w:r>
    </w:p>
    <w:p w14:paraId="4DC5AF24"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5. piemērs (finansiālās integrācijas konts). Noguldījumu konta veids, kas atbilst vienīgi C punkta 17. apakšpunkta b) daļas i) un iv) punktā noteiktajām prasībām (proti, tas ir regulēts kā krājinstruments citām vajadzībām, kas nav pensionēšanās, un ikgadējās iemaksas ir ierobežotas). Tomēr saskaņā ar iesaistītās jurisdikcijas finanšu noteikumiem i) šis konts nodrošina noteiktus un ierobežotus pakalpojumus privātpersonām, lai palielinātu piekļuvi finansiālās integrācijas nolūkā; ii) ikmēneša </w:t>
      </w:r>
      <w:r w:rsidRPr="001B0491">
        <w:rPr>
          <w:rFonts w:ascii="Times New Roman" w:hAnsi="Times New Roman"/>
          <w:color w:val="231F20"/>
          <w:sz w:val="24"/>
          <w:szCs w:val="24"/>
        </w:rPr>
        <w:lastRenderedPageBreak/>
        <w:t xml:space="preserve">noguldījumi nevar pārsniegt 1250 USD (izņemot noguldījumus, ko veic pilnvarota pārvaldes struktūra saskaņā ar sociālās labklājības programmu), un iii) finanšu iestādēm ir atļauts piemērot vienkāršotas </w:t>
      </w:r>
      <w:r w:rsidRPr="001B0491">
        <w:rPr>
          <w:rFonts w:ascii="Times New Roman" w:hAnsi="Times New Roman"/>
          <w:i/>
          <w:iCs/>
          <w:color w:val="231F20"/>
          <w:sz w:val="24"/>
          <w:szCs w:val="24"/>
        </w:rPr>
        <w:t>AML</w:t>
      </w:r>
      <w:r w:rsidRPr="001B0491">
        <w:rPr>
          <w:rFonts w:ascii="Times New Roman" w:hAnsi="Times New Roman"/>
          <w:color w:val="231F20"/>
          <w:sz w:val="24"/>
          <w:szCs w:val="24"/>
        </w:rPr>
        <w:t>/</w:t>
      </w:r>
      <w:r w:rsidRPr="001B0491">
        <w:rPr>
          <w:rFonts w:ascii="Times New Roman" w:hAnsi="Times New Roman"/>
          <w:i/>
          <w:iCs/>
          <w:color w:val="231F20"/>
          <w:sz w:val="24"/>
          <w:szCs w:val="24"/>
        </w:rPr>
        <w:t>KYC</w:t>
      </w:r>
      <w:r w:rsidRPr="001B0491">
        <w:rPr>
          <w:rFonts w:ascii="Times New Roman" w:hAnsi="Times New Roman"/>
          <w:color w:val="231F20"/>
          <w:sz w:val="24"/>
          <w:szCs w:val="24"/>
        </w:rPr>
        <w:t xml:space="preserve"> procedūras attiecībā uz šāda veida kontiem, jo atbilstīgi </w:t>
      </w:r>
      <w:r w:rsidRPr="001B0491">
        <w:rPr>
          <w:rFonts w:ascii="Times New Roman" w:hAnsi="Times New Roman"/>
          <w:i/>
          <w:iCs/>
          <w:color w:val="231F20"/>
          <w:sz w:val="24"/>
          <w:szCs w:val="24"/>
        </w:rPr>
        <w:t>FATF</w:t>
      </w:r>
      <w:r w:rsidRPr="001B0491">
        <w:rPr>
          <w:rFonts w:ascii="Times New Roman" w:hAnsi="Times New Roman"/>
          <w:color w:val="231F20"/>
          <w:sz w:val="24"/>
          <w:szCs w:val="24"/>
        </w:rPr>
        <w:t xml:space="preserve"> ieteikumiem tie tiek uzskatīti par kontiem ar zemu nelikumīgi iegūtu līdzekļu legalizēšanas un terorisma finansēšanas risku. Tā kā pastāv vispārējas, alternatīvas prasības, kas nodrošina līdzvērtīgu pārliecību, ka saistībā ar kontu pastāv zems izvairīšanās no nodokļu maksāšanas risks, valsts tiesību aktos var noteikt, ka šāda veida konti ir izslēgtie konti.</w:t>
      </w:r>
    </w:p>
    <w:p w14:paraId="33DCCAF3"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6. piemērs (neaktīvs konts). Noguldījumu konta veids, i) kura gada bilance nepārsniedz 1000 USD un ii) kurš ir neaktīvs konts (skat. komentāru par III pantu 9. punktu).</w:t>
      </w:r>
    </w:p>
    <w:p w14:paraId="3862A212" w14:textId="77777777" w:rsidR="00DB30B8" w:rsidRPr="001B0491" w:rsidRDefault="00DB30B8" w:rsidP="00DB30B8">
      <w:pPr>
        <w:tabs>
          <w:tab w:val="left" w:pos="1843"/>
        </w:tabs>
        <w:spacing w:before="120"/>
        <w:ind w:left="851"/>
        <w:jc w:val="both"/>
        <w:rPr>
          <w:rFonts w:ascii="Times New Roman" w:hAnsi="Times New Roman" w:cs="Times New Roman"/>
          <w:noProof/>
          <w:color w:val="231F20"/>
          <w:sz w:val="24"/>
          <w:szCs w:val="24"/>
        </w:rPr>
      </w:pPr>
      <w:r w:rsidRPr="001B0491">
        <w:rPr>
          <w:rFonts w:ascii="Times New Roman" w:hAnsi="Times New Roman"/>
          <w:color w:val="231F20"/>
          <w:sz w:val="24"/>
          <w:szCs w:val="24"/>
        </w:rPr>
        <w:t>Tā kā pastāv vispārējas, alternatīvas prasības, kas nodrošina līdzvērtīgu pārliecību, ka saistībā ar kontu pastāv zems izvairīšanās no nodokļu maksāšanas risks, valsts tiesību aktos var noteikt, ka šāda veida konti neaktivitātes periodā ir izslēgtie konti.</w:t>
      </w:r>
    </w:p>
    <w:p w14:paraId="3AF0658E" w14:textId="77777777" w:rsidR="00DB30B8" w:rsidRPr="001B0491" w:rsidRDefault="00DB30B8" w:rsidP="00DB30B8">
      <w:pPr>
        <w:numPr>
          <w:ilvl w:val="1"/>
          <w:numId w:val="33"/>
        </w:numPr>
        <w:tabs>
          <w:tab w:val="left" w:pos="1843"/>
        </w:tabs>
        <w:spacing w:before="120"/>
        <w:ind w:left="851" w:hanging="283"/>
        <w:jc w:val="both"/>
        <w:rPr>
          <w:rFonts w:ascii="Times New Roman" w:hAnsi="Times New Roman" w:cs="Times New Roman"/>
          <w:b/>
          <w:bCs/>
          <w:i/>
          <w:iCs/>
          <w:noProof/>
          <w:color w:val="231F20"/>
          <w:sz w:val="24"/>
          <w:szCs w:val="24"/>
          <w:u w:val="single"/>
        </w:rPr>
      </w:pPr>
      <w:r w:rsidRPr="001B0491">
        <w:rPr>
          <w:rFonts w:ascii="Times New Roman" w:hAnsi="Times New Roman"/>
          <w:b/>
          <w:i/>
          <w:color w:val="231F20"/>
          <w:sz w:val="24"/>
          <w:szCs w:val="24"/>
          <w:u w:val="single"/>
        </w:rPr>
        <w:t>7. piemērs (dzīvokļu kooperatīva konts). Tāda veida konts, ko tur īpašnieku grupa vai kas tiek turēts tās vārdā, vai ko tur kondomīnijs, lai segtu kondomīnija vai dzīvokļu kooperatīva izdevumus, un kas atbilst šādām prasībām: i) konts valsts tiesību aktos tiek reglamentēts kā īpašs konts kondomīnija vai dzīvokļu kooperatīva izmaksu segšanai, ii) kontam vai summām, kas iemaksātas un/vai turētas kontā, piemēro labvēlīgu nodokļu režīmu, iii) kontā esošās summas drīkst izmantot tikai kondomīnija vai dzīvokļu kooperatīva izdevumu apmaksai un iv) neviens īpašnieks nedrīkst iemaksāt summu, kas gadā pārsniedz 50 000 USD. Ja kādas no minētajām prasībām (piemēram, labvēlīga nodokļu režīma piemērošana finanšu kontam vai iemaksu ierobežojums līdz 50 000 USD) netiek izpildītas, var izvērtēt citus raksturlielumus vai ierobežojumus, kas nodrošina līdzvērtīgi zemu riska līmeni, ņemot vērā vietējo specifiku. Varētu iekļaut tādas iezīmes kā, piemēram: i) vienai personai ir attiecināmi ne vairāk par 20 % no ikgadējām un kopējām iemaksām, kas maksājamas gadā, ii) kontu pārvalda neatkarīgs speciālists, iii) par iemaksu summām un naudas izlietojumu īpašnieki lemj, vienojoties saskaņā ar kondomīnija vai dzīvokļu kooperatīva izveides dokumentiem, vai iv) līdzekļus no konta var izņemt tikai kondomīnija vai dzīvokļu kooperatīvu izdevumu segšanai. Tā kā pastāv vispārējas, alternatīvas prasības, kas nodrošina līdzvērtīgu pārliecību, ka saistībā ar kontu pastāv zems izvairīšanās no nodokļu maksāšanas risks, valsts tiesību aktos var noteikt, ka šāda veida konti ir izslēgtie konti.</w:t>
      </w:r>
    </w:p>
    <w:p w14:paraId="3374CA55" w14:textId="77777777" w:rsidR="00DB30B8" w:rsidRPr="001B0491" w:rsidRDefault="00DB30B8" w:rsidP="00DB30B8">
      <w:pPr>
        <w:spacing w:before="120"/>
        <w:ind w:left="284"/>
        <w:outlineLvl w:val="6"/>
        <w:rPr>
          <w:rFonts w:ascii="Times New Roman" w:hAnsi="Times New Roman" w:cs="Times New Roman"/>
          <w:b/>
          <w:bCs/>
          <w:i/>
          <w:iCs/>
          <w:noProof/>
          <w:sz w:val="24"/>
          <w:szCs w:val="24"/>
        </w:rPr>
      </w:pPr>
      <w:bookmarkStart w:id="165" w:name="Paragraph_D_–_Reportable_Account"/>
      <w:bookmarkEnd w:id="165"/>
      <w:r w:rsidRPr="001B0491">
        <w:rPr>
          <w:rFonts w:ascii="Times New Roman" w:hAnsi="Times New Roman"/>
          <w:b/>
          <w:i/>
          <w:sz w:val="24"/>
          <w:szCs w:val="24"/>
        </w:rPr>
        <w:t>D punkts. Konts, par kuru jāsniedz ziņojums</w:t>
      </w:r>
    </w:p>
    <w:p w14:paraId="2282FF3D"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104. D punktā sniegta termina “konts, par kuru jāsniedz ziņojums” definīcija un visu to citu terminu definīcijas, kuri ir būtiski, lai noteiktu, vai konts ir konts, par kuru jāsniedz ziņojums.</w:t>
      </w:r>
    </w:p>
    <w:p w14:paraId="16869144"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66" w:name="Subparagraph_D(1)_–_Reportable_Account"/>
      <w:bookmarkEnd w:id="166"/>
      <w:r w:rsidRPr="001B0491">
        <w:rPr>
          <w:rFonts w:ascii="Times New Roman" w:hAnsi="Times New Roman"/>
          <w:i/>
          <w:color w:val="616161"/>
          <w:sz w:val="24"/>
          <w:szCs w:val="24"/>
        </w:rPr>
        <w:t>D punkta 1. apakšpunkts. Konts, par kuru jāsniedz ziņojums</w:t>
      </w:r>
    </w:p>
    <w:p w14:paraId="437FA9D5"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105. Kā noteikts D punkta 1. apakšpunktā, termins “konts, par kuru jāsniedz ziņojums” ir konts, ko tur viena vai vairākas personas, par kurām jāsniedz ziņojums, vai pasīva nefinanšu vienība ar vienu vai vairākām kontrolējošajām personām, kas ir personas, par kurām jāsniedz ziņojums, ar nosacījumu, ka tas ir identificēts kā šāds konts II–VII pantā minētajās pienācīgas pārbaudes procedūrās.</w:t>
      </w:r>
    </w:p>
    <w:p w14:paraId="13A318D6"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67" w:name="Subparagraphs_D(2)_and_(3)_–_Reportable_"/>
      <w:bookmarkEnd w:id="167"/>
      <w:r w:rsidRPr="001B0491">
        <w:rPr>
          <w:rFonts w:ascii="Times New Roman" w:hAnsi="Times New Roman"/>
          <w:i/>
          <w:color w:val="616161"/>
          <w:sz w:val="24"/>
          <w:szCs w:val="24"/>
        </w:rPr>
        <w:t>D punkta 2. un 3. apakšpunkts. Persona, par kuru jāsniedz ziņojums, un persona jursidikcijā, par kuru jāsniedz ziņojums</w:t>
      </w:r>
    </w:p>
    <w:p w14:paraId="72FC9604" w14:textId="77777777" w:rsidR="00DB30B8" w:rsidRPr="001B0491" w:rsidRDefault="00DB30B8" w:rsidP="00DB30B8">
      <w:pPr>
        <w:spacing w:before="120"/>
        <w:ind w:left="284"/>
        <w:rPr>
          <w:rFonts w:ascii="Times New Roman" w:hAnsi="Times New Roman" w:cs="Times New Roman"/>
          <w:noProof/>
          <w:sz w:val="24"/>
          <w:szCs w:val="24"/>
        </w:rPr>
      </w:pPr>
      <w:bookmarkStart w:id="168" w:name="Reportable_Jurisdiction_Person"/>
      <w:bookmarkEnd w:id="168"/>
      <w:r w:rsidRPr="001B0491">
        <w:rPr>
          <w:rFonts w:ascii="Times New Roman" w:hAnsi="Times New Roman"/>
          <w:sz w:val="24"/>
          <w:szCs w:val="24"/>
        </w:rPr>
        <w:t>Persona jursidikcijā, par kuru jāsniedz ziņojums</w:t>
      </w:r>
    </w:p>
    <w:p w14:paraId="5F141435"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106. Parasti fiziska persona vai vienība ir “persona jurisdikcijā, par kuru jāsniedz ziņojums”, ja tā ir rezidents jurisdikcijā, par kuru jāsniedz ziņojums, saskaņā ar šīs jurisdikcijas nodokļu </w:t>
      </w:r>
      <w:r w:rsidRPr="001B0491">
        <w:rPr>
          <w:rFonts w:ascii="Times New Roman" w:hAnsi="Times New Roman"/>
          <w:sz w:val="24"/>
          <w:szCs w:val="24"/>
        </w:rPr>
        <w:lastRenderedPageBreak/>
        <w:t>tiesību aktiem. Atkāpjoties no šī noteikuma, vienība, kurai nav rezidenta statusa nodokļu aprēķina vajadzībām (piemēram, tādēļ, ka tā tiek uzskatīta par fiskāli pārredzamu), tiek uzskatīta par tās jurisdikcijas rezidentu, kurā atrodas tās faktiskā vadība.</w:t>
      </w:r>
    </w:p>
    <w:p w14:paraId="20581FBB"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107. Dažādu valstu tiesību aktos personālsabiedrības (tostarp personālsabiedrības ar ierobežotu atbildību) ir reglamentētas atšķirīgi. Dažās jurisdikcijās tiek uzskatīts, ka personālsabiedrības ir ar nodokli apliekamas vienības (dažkārt pat kā uzņēmumi), savukārt citās jurisdikcijās tiek piemērota fiskālās pārredzamības pieeja, saskaņā ar kuru personālsabiedrības netiek ņemtas vērā nodokļu aprēķināšanas vajadzībām. Ja tiek uzskatīts, ka personālsabiedrība ir uzņēmums, vai ja tā tiek aplikta ar nodokļiem tāpat kā uzņēmums, tā parasti tiks uzskatīta par rezidentu jursidikcijā, par kuru jāsniedz ziņojums un kurā šī personālsabiedrība tiek aplikta ar nodokļiem. Ja savukārt jursidikcijā, par kuru jāsniedz ziņojums, tiek uzskatīts, ka personālsabiedrība ir fiskāli pārredzama, tad personālsabiedrība nav “apliekama ar nodokļiem” šajā jurisdikcijā un līdz ar to nevar būt tās rezidents.</w:t>
      </w:r>
    </w:p>
    <w:p w14:paraId="6FC600AD"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108. Tāda vienība kā personālsabiedrība, personālsabiedrība ar ierobežotu atbildību vai līdzīgs juridisks veidojums, kam nav rezidenta statusa nodokļu aprēķina vajadzībām, atbilstīgi D punkta 3. apakšpunktam ir jāuzskata par tās jurisdikcijas rezidentu, kurā atrodas tās faktiskā vadība. Šajā saistībā juridiska persona vai juridisks veidojums tiek uzskatīts par “līdzīgu” personālsabiedrībai un personālsabiedrībai ar ierobežotu atbildību, ja saskaņā ar šīs jurisdikcijas tiesību aktiem tas netiek uzskatīts par vienību, kas apliekama ar nodokļiem jurisdikcijā, par kuru jāsniedz ziņojums. Tomēr, lai novērstu divkāršu informācijas sniegšanu (ņemot vērā termina “kontrolējošās personas” plašo tvērumu trastu gadījumā), par līdzīgu vienību nevar uzskatīt tādu trastu, kas ir pasīva nefinanšu vienība.</w:t>
      </w:r>
    </w:p>
    <w:p w14:paraId="1A14F273"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109. “Faktiskās vadības atrašanās vieta” ir vieta, no kuras tiek īstenota galvenā vadība un tiek pieņemti komerciāli lēmumi, kas pēc būtības ir nepieciešami vienības darījumdarbībai kopumā. Lai noteiktu faktiskās vadības atrašanās vietu, ir jāizskata visi būtiskie fakti un apstākļi. Vienībai var būt vairākas vadības atrašanās vietas, taču vienlaikus tai var būt tikai viena faktiskās vadības atrašanās vieta.</w:t>
      </w:r>
    </w:p>
    <w:p w14:paraId="30A5D429"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110. Termins “persona jurisdikcijā, par kuru jāsniedz ziņojums” ietver arī mantojumu, ko atstājusi mirusi persona, kura bija rezidents jurisdikcijā, par kuru jāsniedz ziņojums. Kā minēts iepriekš 92. punktā, nosakot termina “mantojums” nozīmi, jāņem vērā katras jurisdikcijas noteikumi par tiesību un saistību nodošanu vai mantošanu nāves gadījumā (piemēram, noteikumi par vispārējo tiesību pēctecību).</w:t>
      </w:r>
    </w:p>
    <w:p w14:paraId="64C8ED14" w14:textId="77777777" w:rsidR="00DB30B8" w:rsidRPr="001B0491" w:rsidRDefault="00DB30B8" w:rsidP="00DB30B8">
      <w:pPr>
        <w:spacing w:before="120"/>
        <w:ind w:left="284"/>
        <w:rPr>
          <w:rFonts w:ascii="Times New Roman" w:hAnsi="Times New Roman" w:cs="Times New Roman"/>
          <w:noProof/>
          <w:sz w:val="24"/>
          <w:szCs w:val="24"/>
        </w:rPr>
      </w:pPr>
      <w:bookmarkStart w:id="169" w:name="Reportable_Person"/>
      <w:bookmarkEnd w:id="169"/>
      <w:r w:rsidRPr="001B0491">
        <w:rPr>
          <w:rFonts w:ascii="Times New Roman" w:hAnsi="Times New Roman"/>
          <w:sz w:val="24"/>
          <w:szCs w:val="24"/>
        </w:rPr>
        <w:t>Persona, par kuru jāsniedz ziņojums</w:t>
      </w:r>
    </w:p>
    <w:p w14:paraId="0B3BFD59" w14:textId="77777777" w:rsidR="00DB30B8" w:rsidRPr="001B0491" w:rsidRDefault="00DB30B8" w:rsidP="00DB30B8">
      <w:pPr>
        <w:tabs>
          <w:tab w:val="left" w:pos="943"/>
        </w:tabs>
        <w:spacing w:before="120"/>
        <w:rPr>
          <w:rFonts w:ascii="Times New Roman" w:hAnsi="Times New Roman" w:cs="Times New Roman"/>
          <w:noProof/>
          <w:sz w:val="24"/>
          <w:szCs w:val="24"/>
        </w:rPr>
      </w:pPr>
      <w:r w:rsidRPr="001B0491">
        <w:rPr>
          <w:rFonts w:ascii="Times New Roman" w:hAnsi="Times New Roman"/>
          <w:sz w:val="24"/>
          <w:szCs w:val="24"/>
        </w:rPr>
        <w:t>111. D punkta 2. apakšpunktā noteikts, ka “persona, par kuru jāsniedz ziņojums” ir persona jurisdikcijā, par kuru jāsniedz ziņojums, izņemot:</w:t>
      </w:r>
    </w:p>
    <w:p w14:paraId="1772F416" w14:textId="77777777" w:rsidR="00DB30B8" w:rsidRPr="001B0491" w:rsidRDefault="00DB30B8" w:rsidP="00DB30B8">
      <w:pPr>
        <w:tabs>
          <w:tab w:val="left" w:pos="1276"/>
        </w:tabs>
        <w:spacing w:before="120"/>
        <w:ind w:left="567" w:hanging="283"/>
        <w:rPr>
          <w:rFonts w:ascii="Times New Roman" w:hAnsi="Times New Roman" w:cs="Times New Roman"/>
          <w:noProof/>
          <w:sz w:val="24"/>
          <w:szCs w:val="24"/>
        </w:rPr>
      </w:pPr>
      <w:r w:rsidRPr="001B0491">
        <w:rPr>
          <w:rFonts w:ascii="Times New Roman" w:hAnsi="Times New Roman"/>
          <w:color w:val="231F20"/>
          <w:sz w:val="24"/>
          <w:szCs w:val="24"/>
        </w:rPr>
        <w:t xml:space="preserve">a) </w:t>
      </w:r>
      <w:r w:rsidRPr="001B0491">
        <w:rPr>
          <w:rFonts w:ascii="Times New Roman" w:hAnsi="Times New Roman"/>
          <w:b/>
          <w:i/>
          <w:color w:val="231F20"/>
          <w:sz w:val="24"/>
          <w:szCs w:val="24"/>
          <w:u w:val="thick" w:color="231F20"/>
        </w:rPr>
        <w:t>vienību</w:t>
      </w:r>
      <w:r w:rsidRPr="001B0491">
        <w:rPr>
          <w:rFonts w:ascii="Times New Roman" w:hAnsi="Times New Roman"/>
          <w:strike/>
          <w:color w:val="231F20"/>
          <w:sz w:val="24"/>
          <w:szCs w:val="24"/>
        </w:rPr>
        <w:t>sabiedrību</w:t>
      </w:r>
      <w:r w:rsidRPr="001B0491">
        <w:rPr>
          <w:rFonts w:ascii="Times New Roman" w:hAnsi="Times New Roman"/>
          <w:color w:val="231F20"/>
          <w:sz w:val="24"/>
          <w:szCs w:val="24"/>
        </w:rPr>
        <w:t>, kuras kapitāla daļas tiek regulāri tirgotas vienā vai vairākos vispāratzītos vērtspapīru tirgos;</w:t>
      </w:r>
    </w:p>
    <w:p w14:paraId="300A9EAC" w14:textId="77777777" w:rsidR="00DB30B8" w:rsidRPr="001B0491" w:rsidRDefault="00DB30B8" w:rsidP="00DB30B8">
      <w:pPr>
        <w:tabs>
          <w:tab w:val="left" w:pos="1276"/>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b) jebkādu </w:t>
      </w:r>
      <w:r w:rsidRPr="001B0491">
        <w:rPr>
          <w:rFonts w:ascii="Times New Roman" w:hAnsi="Times New Roman"/>
          <w:b/>
          <w:i/>
          <w:color w:val="231F20"/>
          <w:sz w:val="24"/>
          <w:szCs w:val="24"/>
          <w:u w:val="thick" w:color="231F20"/>
        </w:rPr>
        <w:t>vienību</w:t>
      </w:r>
      <w:r w:rsidRPr="001B0491">
        <w:rPr>
          <w:rFonts w:ascii="Times New Roman" w:hAnsi="Times New Roman"/>
          <w:strike/>
          <w:color w:val="231F20"/>
          <w:sz w:val="24"/>
          <w:szCs w:val="24"/>
        </w:rPr>
        <w:t>sabiedrību</w:t>
      </w:r>
      <w:r w:rsidRPr="001B0491">
        <w:rPr>
          <w:rFonts w:ascii="Times New Roman" w:hAnsi="Times New Roman"/>
          <w:color w:val="231F20"/>
          <w:sz w:val="24"/>
          <w:szCs w:val="24"/>
        </w:rPr>
        <w:t xml:space="preserve">, kas ir iepriekš minētās </w:t>
      </w:r>
      <w:r w:rsidRPr="001B0491">
        <w:rPr>
          <w:rFonts w:ascii="Times New Roman" w:hAnsi="Times New Roman"/>
          <w:strike/>
          <w:color w:val="231F20"/>
          <w:sz w:val="24"/>
          <w:szCs w:val="24"/>
        </w:rPr>
        <w:t>sabiedrības</w:t>
      </w:r>
      <w:r w:rsidRPr="001B0491">
        <w:rPr>
          <w:rFonts w:ascii="Times New Roman" w:hAnsi="Times New Roman"/>
          <w:b/>
          <w:i/>
          <w:color w:val="231F20"/>
          <w:sz w:val="24"/>
          <w:szCs w:val="24"/>
          <w:u w:val="thick" w:color="231F20"/>
        </w:rPr>
        <w:t>vienības</w:t>
      </w:r>
      <w:r w:rsidRPr="001B0491">
        <w:rPr>
          <w:rFonts w:ascii="Times New Roman" w:hAnsi="Times New Roman"/>
          <w:color w:val="231F20"/>
          <w:sz w:val="24"/>
          <w:szCs w:val="24"/>
        </w:rPr>
        <w:t xml:space="preserve"> saistītā vienība;</w:t>
      </w:r>
    </w:p>
    <w:p w14:paraId="22760C8B" w14:textId="77777777" w:rsidR="00DB30B8" w:rsidRPr="001B0491" w:rsidRDefault="00DB30B8" w:rsidP="00DB30B8">
      <w:pPr>
        <w:tabs>
          <w:tab w:val="left" w:pos="1276"/>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c) valdības iestādi;</w:t>
      </w:r>
    </w:p>
    <w:p w14:paraId="25CC0518" w14:textId="77777777" w:rsidR="00DB30B8" w:rsidRPr="001B0491" w:rsidRDefault="00DB30B8" w:rsidP="00DB30B8">
      <w:pPr>
        <w:tabs>
          <w:tab w:val="left" w:pos="1276"/>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d) starptautisku organizāciju;</w:t>
      </w:r>
    </w:p>
    <w:p w14:paraId="1EEC1FF8" w14:textId="77777777" w:rsidR="00DB30B8" w:rsidRPr="001B0491" w:rsidRDefault="00DB30B8" w:rsidP="00DB30B8">
      <w:pPr>
        <w:tabs>
          <w:tab w:val="left" w:pos="1276"/>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e) centrālo banku;</w:t>
      </w:r>
    </w:p>
    <w:p w14:paraId="6393340D" w14:textId="77777777" w:rsidR="00DB30B8" w:rsidRPr="001B0491" w:rsidRDefault="00DB30B8" w:rsidP="00DB30B8">
      <w:pPr>
        <w:tabs>
          <w:tab w:val="left" w:pos="1276"/>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f) finanšu iestādi.</w:t>
      </w:r>
    </w:p>
    <w:p w14:paraId="2140B117"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112. Tas, vai </w:t>
      </w:r>
      <w:r w:rsidRPr="001B0491">
        <w:rPr>
          <w:rFonts w:ascii="Times New Roman" w:hAnsi="Times New Roman"/>
          <w:strike/>
          <w:sz w:val="24"/>
          <w:szCs w:val="24"/>
        </w:rPr>
        <w:t>sabiedrība</w:t>
      </w:r>
      <w:r w:rsidRPr="001B0491">
        <w:rPr>
          <w:rFonts w:ascii="Times New Roman" w:hAnsi="Times New Roman"/>
          <w:b/>
          <w:i/>
          <w:sz w:val="24"/>
          <w:szCs w:val="24"/>
          <w:u w:val="thick"/>
        </w:rPr>
        <w:t>vienība</w:t>
      </w:r>
      <w:r w:rsidRPr="001B0491">
        <w:rPr>
          <w:rFonts w:ascii="Times New Roman" w:hAnsi="Times New Roman"/>
          <w:sz w:val="24"/>
          <w:szCs w:val="24"/>
        </w:rPr>
        <w:t xml:space="preserve">, kas ir persona jurisdikcijā, par kuru jāsniedz ziņojums, ir D punkta 2. apakšpunkta i) daļā minētā persona, par kuru jāsniedz ziņojums, var būt atkarīgs no šīs vienības akcijām, kas tiek regulāri tirgotas vienā vai vairākos vispāratzītos vērtspapīru tirgos. Akcijas tiek “regulāri tirgotas”, ja pastāv ievērojama apjoma tirdzniecība ar akcijām, </w:t>
      </w:r>
      <w:r w:rsidRPr="001B0491">
        <w:rPr>
          <w:rFonts w:ascii="Times New Roman" w:hAnsi="Times New Roman"/>
          <w:sz w:val="24"/>
          <w:szCs w:val="24"/>
        </w:rPr>
        <w:lastRenderedPageBreak/>
        <w:t>un “vispāratzīts vērtspapīru tirgus” ir birža, kuru oficiāli atzinusi un uzrauga valdības iestāde, kas atbild par jurisdikciju, kurā atrodas tirgus, un kam ir ievērojama biržā tirgoto akciju gada vērtība.</w:t>
      </w:r>
    </w:p>
    <w:p w14:paraId="49D67514"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113. Attiecībā uz katru sabiedrības akciju klasi “ievērojama apjoma tirdzniecība ar akcijām pastāv”, ja i) katrā šādā klasē vismaz 60 darba dienas iepriekšējā kalendārā gada laikā ir veikta tirgošanās, kuras apjomi pārsniedz minimālus daudzumus, vienā vai vairākos vispāratzītos vērtspapīru tirgos un ii) ja akciju kopējais skaits katrā šādā klasē, kas tikusi tirgota šādā tirgū vai tirgos iepriekšējā gada laikā, ir vismaz 10 % no vidējā akciju skaita, kas ir apgrozībā attiecīgajā klasē iepriekšējā kalendārā gada laikā. </w:t>
      </w:r>
      <w:r w:rsidRPr="001B0491">
        <w:rPr>
          <w:rFonts w:ascii="Times New Roman" w:hAnsi="Times New Roman"/>
          <w:b/>
          <w:i/>
          <w:sz w:val="24"/>
          <w:szCs w:val="24"/>
          <w:u w:val="single"/>
        </w:rPr>
        <w:t>Šajā standartā “katra sabiedrības akciju klase” ir vienā vai vairākās klasēs iedalītas sabiedrības akcijas, kas i) tika kotētas vienā vai vairākos atzītos vērtspapīru tirgos iepriekšējā kalendārajā gadā un ii) summāri ir vairāk par 50 % no a) šādas balsstiesīgas sabiedrības visu klašu akciju kopējām kombinētajām balsstiesībām un b) šādas sabiedrības akciju kopējās vērtības.</w:t>
      </w:r>
    </w:p>
    <w:p w14:paraId="4356632C"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114. Akciju klase parasti tiek uzskatīta par atbilstošu “regulāri tirgotu akciju” kritērijam kalendārajā gadā, ja šā gada laikā akcijas tiek tirgotas vispāratzītā vērtspapīru tirgū un ja tās regulāri kotē dīleri, kuri tās pērk un pārdod. Vienīgi tad, ja dīleris savā parastajā uzņēmējdarbībā regulāri un aktīvi piedāvā un pārdod akcijas klientiem, kuri nav ar dīleri saistītas personas, un faktiski arī pērk akcijas no šiem klientiem, var uzskatīt, ka dīleris pērk un pārdod akcijas.</w:t>
      </w:r>
    </w:p>
    <w:p w14:paraId="64275FD5"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115. Biržai ir “ievērojama biržā tirgoto akciju gada vērtība”, ja šajā biržā (vai iepriekšējā biržā) tirgoto akciju gada vērtība pārsniedz 1 000 000 000 USD katrā no trīs iepriekšējiem kalendārajiem gadiem pirms kalendārā gada, attiecībā uz kuru tiek veikts aprēķins. Ja biržai ir vairāk nekā viens tirgus līmenis, kurā akcijas var atsevišķi reģistrēt pārdošanai vai tirgot, tad jāuzskata, ka katrs šāds līmenis ir atsevišķa birža.</w:t>
      </w:r>
    </w:p>
    <w:p w14:paraId="559447D8"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116. Atbilstīgi D punkta 2. apakšpunkta vi) daļai finanšu iestādes netiek uzskatītas par “personām, par kurām jāsniedz ziņojums”, jo tās pašas veic ziņošanu vai citādi ir saistītas ar zemu risku, ka tās tiks izmantotas, lai izvairītos no nodokļu maksāšanas. Līdz ar to tām nav jāsniedz ziņojumi, izņemot A punkta 6. apakšpunkta b) daļā minētās ieguldījumu vienības, kas nav iesaistītās jurisdikcijas finanšu iestādes, kuras tiek uzskatītas par pasīvām nefinanšu vienībām un līdz ar to par kurām tiek sniegti ziņojumi.</w:t>
      </w:r>
    </w:p>
    <w:p w14:paraId="3494FEAA"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70" w:name="Subparagraphs_D(4)_and_(5)_–_Reportable_"/>
      <w:bookmarkEnd w:id="170"/>
      <w:r w:rsidRPr="001B0491">
        <w:rPr>
          <w:rFonts w:ascii="Times New Roman" w:hAnsi="Times New Roman"/>
          <w:i/>
          <w:color w:val="616161"/>
          <w:sz w:val="24"/>
          <w:szCs w:val="24"/>
        </w:rPr>
        <w:t>D punkta 4. un 5. apakšpunkts. Jurisdikcijas, par kurām jāsniedz ziņojums, un iesaistītās jurisdikcijas</w:t>
      </w:r>
    </w:p>
    <w:p w14:paraId="52FA8763"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117. D punkta 4. un 5. apakšpunktā sniegtas šādas “jursidikcijas, par kuru jāsniedz ziņojums” un “iesaistītās jurisdikcijas” definīcijas:</w:t>
      </w:r>
    </w:p>
    <w:p w14:paraId="7028D3AD" w14:textId="77777777" w:rsidR="00DB30B8" w:rsidRPr="001B0491" w:rsidRDefault="00DB30B8" w:rsidP="00DB30B8">
      <w:pPr>
        <w:numPr>
          <w:ilvl w:val="1"/>
          <w:numId w:val="31"/>
        </w:numPr>
        <w:spacing w:before="120"/>
        <w:ind w:left="567" w:hanging="283"/>
        <w:jc w:val="both"/>
        <w:rPr>
          <w:rFonts w:ascii="Times New Roman" w:hAnsi="Times New Roman" w:cs="Times New Roman"/>
          <w:noProof/>
          <w:color w:val="4E81BD"/>
          <w:sz w:val="24"/>
          <w:szCs w:val="24"/>
        </w:rPr>
      </w:pPr>
      <w:r w:rsidRPr="001B0491">
        <w:rPr>
          <w:rFonts w:ascii="Times New Roman" w:hAnsi="Times New Roman"/>
          <w:sz w:val="24"/>
          <w:szCs w:val="24"/>
        </w:rPr>
        <w:t>“jurisdikcija, par kuru jāsniedz ziņojums” ir jurisdikcija, i) ar ko ir noslēgts nolīgums, kas paredz pienākumu sniegt I pantā noteikto informāciju, un ii) kas ir norādīta publicētajā sarakstā;</w:t>
      </w:r>
    </w:p>
    <w:p w14:paraId="694D9792" w14:textId="77777777" w:rsidR="00DB30B8" w:rsidRPr="001B0491" w:rsidRDefault="00DB30B8" w:rsidP="00DB30B8">
      <w:pPr>
        <w:numPr>
          <w:ilvl w:val="1"/>
          <w:numId w:val="31"/>
        </w:numPr>
        <w:spacing w:before="120"/>
        <w:ind w:left="567" w:hanging="283"/>
        <w:jc w:val="both"/>
        <w:rPr>
          <w:rFonts w:ascii="Times New Roman" w:hAnsi="Times New Roman" w:cs="Times New Roman"/>
          <w:noProof/>
          <w:color w:val="4E81BD"/>
          <w:sz w:val="24"/>
          <w:szCs w:val="24"/>
        </w:rPr>
      </w:pPr>
      <w:r w:rsidRPr="001B0491">
        <w:rPr>
          <w:rFonts w:ascii="Times New Roman" w:hAnsi="Times New Roman"/>
          <w:sz w:val="24"/>
          <w:szCs w:val="24"/>
        </w:rPr>
        <w:t>“iesaistītā jurisdikcija” ir jurisdikcija, i) ar ko ir noslēgts nolīgums, saskaņā ar kuru minētā jurisdikcija sniegs I pantā minēto informāciju, un ii) kas ir norādīta publicētajā sarakstā.</w:t>
      </w:r>
    </w:p>
    <w:p w14:paraId="60BCA277"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118. Šiem terminiem ir būtiska nozīme saistībā ar to finanšu iestāžu tvērumu, kurām ir jāsniedz ziņojumi, un to konta turētāju tvērumu, par kuriem ir jāsniedz ziņojumi, kā arī saistībā ar prasību caurskatīt neiesaistītas, profesionāli pārvaldītas ieguldījumu vienības. Lai arī abi termini šķiet līdzīgi, starp tiem pastāv ievērojamas atšķirības: termins “iesaistītā jurisdikcija” apzīmē jurisdikciju, ar kuru ir spēkā nolīgums par finanšu konta informācijas (t. i., I pantā noteiktās informācijas) automātisku apmaiņu, savukārt termins “jursidikcija, par kuru jāsniedz ziņojums” apzīmē iesaistītu jurisdikciju, ar kuru ir spēkā pienākums sniegt finanšu konta informāciju.</w:t>
      </w:r>
    </w:p>
    <w:p w14:paraId="3FB194AF"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lastRenderedPageBreak/>
        <w:t>119. D punkta 4. un 5. apakšpunktā ir noteikts, ka publicētajā sarakstā jursidikcija ir jānorāda kā jursidikcija, par kuru jāsniedz ziņojums, vai kā iesaistītā jurisdikcija. Katrai jurisdikcijai šāds saraksts jādara publiski pieejams un vajadzības gadījumā jāatjaunina (piemēram, katru reizi, kad jurisdikcija paraksta nolīgumu par finanšu konta informācijas automātisku apmaiņu vai kad šāds nolīgums stājas spēkā).</w:t>
      </w:r>
    </w:p>
    <w:p w14:paraId="1AA1D52B"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120. Turpmākajos piemēros atspoguļota D punkta 4. un 5. apakšpunkta piemērošana.</w:t>
      </w:r>
    </w:p>
    <w:p w14:paraId="4D7B930F" w14:textId="77777777" w:rsidR="00DB30B8" w:rsidRPr="001B0491" w:rsidRDefault="00DB30B8" w:rsidP="00DB30B8">
      <w:pPr>
        <w:numPr>
          <w:ilvl w:val="1"/>
          <w:numId w:val="63"/>
        </w:numPr>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1. piemērs (savstarpēja apmaiņa). Starp A jurisdikciju un B jurisdikciju ir spēkā savstarpējs nolīgums par finanšu konta informācijas automātisku apmaiņu. Saskaņā ar šo nolīgumu abām jursidikcijām ir pienākums apmainīties ar I pantā noteikto informāciju. Tā kā A jurisdikcijā ir spēkā nolīgums ar B jurisdikciju, saskaņā ar kuru ir spēkā pienākums sniegt I pantā noteikto informāciju, tad no A jurisdikcijas viedokļa B jursidikcija ir gan iesaistītā jursidikcija, gan jursidikcija, par kuru jāsniedz ziņojums. Attiecīgi arī no B jursidikcijas viedokļa A jursidikcija ir gan iesaistītā jursidikcija, gan jursidikcija, par kuru jāsniedz ziņojums.</w:t>
      </w:r>
    </w:p>
    <w:p w14:paraId="18C58862" w14:textId="77777777" w:rsidR="00DB30B8" w:rsidRPr="001B0491" w:rsidRDefault="00DB30B8" w:rsidP="00DB30B8">
      <w:pPr>
        <w:numPr>
          <w:ilvl w:val="1"/>
          <w:numId w:val="63"/>
        </w:numPr>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2. piemērs (vienpusēja apmaiņa). Starp X jursidikciju, kurā netiek piemērots ienākumu nodoklis, un Y jursidikciju ir spēkā vienpusējs nolīgums par finanšu konta informācijas automātisku apmaiņu. Saskaņā ar šo nolīgumu vienīgi X jurisdikcijai ir pienākums sniegt I pantā noteikto informāciju. Tā kā X jurisdikcijā ir spēkā nolīgums ar Y jurisdikciju, saskaņā ar kuru ir spēkā pienākums sniegt I pantā noteikto informāciju, tad no X jurisdikcijas viedokļa Y jurisdikcija ir gan iesaistītā jurisdikcija, gan jurisdikcija, par kuru jāsniedz ziņojums. Ņemot vērā, ka Y jursidikcijai ir spēkā nolīgums ar X jursidikciju, taču saskaņā ar šo nolīgumu nav spēkā pienākums sniegt I pantā noteikto informāciju, tad no Y jursidikcijas viedokļa X jursidikcija ir iesaistītā jursidikcija, taču nav jursidikcija, par kuru jāsniedz ziņojums.</w:t>
      </w:r>
    </w:p>
    <w:p w14:paraId="6D0DDA96"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71" w:name="Subparagraphs_D(6)_through_(9)_–_NFE_and"/>
      <w:bookmarkEnd w:id="171"/>
      <w:r w:rsidRPr="001B0491">
        <w:rPr>
          <w:rFonts w:ascii="Times New Roman" w:hAnsi="Times New Roman"/>
          <w:i/>
          <w:color w:val="616161"/>
          <w:sz w:val="24"/>
          <w:szCs w:val="24"/>
        </w:rPr>
        <w:t>D punkta 6.–9. apakšpunkts. Nefinanšu vienība un kontrolējošās personas</w:t>
      </w:r>
    </w:p>
    <w:p w14:paraId="4787952B" w14:textId="77777777" w:rsidR="00DB30B8" w:rsidRPr="001B0491" w:rsidRDefault="00DB30B8" w:rsidP="00DB30B8">
      <w:pPr>
        <w:spacing w:before="120"/>
        <w:ind w:left="284"/>
        <w:rPr>
          <w:rFonts w:ascii="Times New Roman" w:hAnsi="Times New Roman" w:cs="Times New Roman"/>
          <w:noProof/>
          <w:sz w:val="24"/>
          <w:szCs w:val="24"/>
        </w:rPr>
      </w:pPr>
      <w:bookmarkStart w:id="172" w:name="NFE,_Passive_NFE_and_Active_NFE"/>
      <w:bookmarkEnd w:id="172"/>
      <w:r w:rsidRPr="001B0491">
        <w:rPr>
          <w:rFonts w:ascii="Times New Roman" w:hAnsi="Times New Roman"/>
          <w:sz w:val="24"/>
          <w:szCs w:val="24"/>
        </w:rPr>
        <w:t>Nefinanšu vienība, pasīva nefinanšu vienība un aktīva nefinanšu vienība</w:t>
      </w:r>
    </w:p>
    <w:p w14:paraId="37726305"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121. D punkta 6.–9. apakšpunktā noteikti termini “nefinanšu vienība”, “pasīva nefinanšu vienība”, “aktīva nefinanšu vienība” un “kontrolējošas personas”, kam ir būtiska nozīme, lai noteiktu, vai vienība ir pasīva nefinanšu vienība ar vienu vai vairākām kontrolējošām personām, kas ir personas, par kurām jāsniedz ziņojums. Šādā gadījumā atbilstīgi V panta D punkta 2. apakšpunktam un VI panta A punkta 2. apakšpunktam jāuzskata, ka konts ir konts, par kuru jāsniedz ziņojums.</w:t>
      </w:r>
    </w:p>
    <w:p w14:paraId="3A4D8CD6"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122. Saskaņā ar D punkta 7. apakšpunktu “nefinanšu vienība” ir vienība, kas nav finanšu iestāde. Nefinanšu vienība var būt pasīva nefinanšu vienība vai aktīva nefinanšu vienība. D punkta 8. un 9. apakšpunktā noteikta terminu “pasīva nefinanšu vienība” un “aktīva nefinanšu vienība” nozīme.</w:t>
      </w:r>
    </w:p>
    <w:p w14:paraId="4C20B54C"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123. Principā “pasīva nefinanšu vienība” ir nefinanšu vienība, kas nav aktīva nefinanšu vienība. Tomēr D punkta 8. apakšpunktā iekļauta arī A punkta 6. apakšpunkta b) daļā minētā ieguldījumu vienība, kas nav iesaistītās jursidikcijas finanšu iestāde. Līdz ar to finanšu iestādei, kas sniedz ziņojumus, ir pienākums caurskatīt šo ieguldījumu vienības veidu atbilstīgi tam, kā izklāstīts turpmākajā piemērā. A jursidikcijā ir spēkā vienpusējs nolīgums par finanšu konta informācijas automātisku apmaiņu ar B jursidikciju, taču nav šāda nolīguma ar C jursidikciju. A jursidikcijas finanšu iestāde W, kura ir finanšu iestāde, kas sniedz ziņojumus, uztur vienības X un vienības Y finanšu kontus, un šīs vienības ir A punkta 6. apakšpunkta b) daļā minētās ieguldījumu vienības. Vienība X ir B jursidikcijas rezidents, bet vienība Y – C jursidikcijas rezidents. No W viedokļa vienība X ir iesaistītās jursidikcijas finanšu iestāde un vienība Y nav iesaistītās jursidikcijas finanšu iestāde. Tāpēc W jāuzskata, ka vienība Y ir pasīva nefinanšu vienība atbilstīgi D punkta 8. apakšpunktam.</w:t>
      </w:r>
    </w:p>
    <w:p w14:paraId="1DD8105C"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lastRenderedPageBreak/>
        <w:t>124. Nefinanšu vienība var būt aktīva nefinanšu vienība, ja tā atbilst kādam no D punkta 9. apakšpunktā minētajiem kritērijiem. Kopumā šie kritēriji attiecas uz:</w:t>
      </w:r>
    </w:p>
    <w:p w14:paraId="04F8548B"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a) aktīvām nefinanšu vienībām, kuras par tādiem uzskatāmas ienākumu un aktīvu dēļ;</w:t>
      </w:r>
    </w:p>
    <w:p w14:paraId="45D01809"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b) nefinanšu vienībām, kuru akcijas ir publiskā apgrozībā;</w:t>
      </w:r>
    </w:p>
    <w:p w14:paraId="5B36EC4E" w14:textId="77777777" w:rsidR="00DB30B8" w:rsidRPr="001B0491" w:rsidRDefault="00DB30B8" w:rsidP="00DB30B8">
      <w:pPr>
        <w:tabs>
          <w:tab w:val="left" w:pos="942"/>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c) valdības iestādēm, starptautiskām organizācijām, centrālajām bankām vai tām pilnīgi piederošām vienībām;</w:t>
      </w:r>
    </w:p>
    <w:p w14:paraId="651460C6"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d) turētāja nefinanšu vienībām, kas ir nefinanšu grupas dalībnieki;</w:t>
      </w:r>
    </w:p>
    <w:p w14:paraId="59D1701C"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e) jaunuzņēmumiem, kas ir nefinanšu vienības;</w:t>
      </w:r>
    </w:p>
    <w:p w14:paraId="52C6B664" w14:textId="77777777" w:rsidR="00DB30B8" w:rsidRPr="001B0491" w:rsidRDefault="00DB30B8" w:rsidP="00DB30B8">
      <w:pPr>
        <w:tabs>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f) nefinanšu vienībām, kas tiek likvidētas vai izveidotas bankrota procedūrā;</w:t>
      </w:r>
    </w:p>
    <w:p w14:paraId="2C4FFA76"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g) finanšu līdzekļu centriem, kas ir nefinanšu grupas dalībnieki;</w:t>
      </w:r>
    </w:p>
    <w:p w14:paraId="13485C6F" w14:textId="77777777" w:rsidR="00DB30B8" w:rsidRPr="001B0491" w:rsidRDefault="00DB30B8" w:rsidP="00DB30B8">
      <w:pPr>
        <w:tabs>
          <w:tab w:val="left" w:pos="941"/>
        </w:tabs>
        <w:spacing w:before="120"/>
        <w:ind w:left="567" w:hanging="283"/>
        <w:rPr>
          <w:rFonts w:ascii="Times New Roman" w:hAnsi="Times New Roman" w:cs="Times New Roman"/>
          <w:noProof/>
          <w:sz w:val="24"/>
          <w:szCs w:val="24"/>
        </w:rPr>
      </w:pPr>
      <w:r w:rsidRPr="001B0491">
        <w:rPr>
          <w:rFonts w:ascii="Times New Roman" w:hAnsi="Times New Roman"/>
          <w:color w:val="231F20"/>
          <w:sz w:val="24"/>
          <w:szCs w:val="24"/>
        </w:rPr>
        <w:t xml:space="preserve">h) </w:t>
      </w:r>
      <w:r w:rsidRPr="001B0491">
        <w:rPr>
          <w:rFonts w:ascii="Times New Roman" w:hAnsi="Times New Roman"/>
          <w:sz w:val="24"/>
          <w:szCs w:val="24"/>
        </w:rPr>
        <w:t>bezpeļņas nefinanšu vienībām.</w:t>
      </w:r>
    </w:p>
    <w:p w14:paraId="5A0EC073" w14:textId="77777777" w:rsidR="00DB30B8" w:rsidRPr="001B0491" w:rsidRDefault="00DB30B8" w:rsidP="00DB30B8">
      <w:pPr>
        <w:tabs>
          <w:tab w:val="left" w:pos="940"/>
        </w:tabs>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sz w:val="24"/>
          <w:szCs w:val="24"/>
        </w:rPr>
        <w:t xml:space="preserve">125. D punkta 9. apakšpunkta a) daļā aprakstīts šāds kritērijs, kas nosaka, vai nefinanšu vienība kvalificējas “aktīvas vienības statusam ienākumu un aktīvu dēļ”, – mazāk nekā 50 % no nefinanšu vienības bruto ienākumiem iepriekšējā kalendārajā gadā vai citā attiecīgā pārskata periodā ir pasīvi ienākumi un mazāk nekā 50 % no nefinanšu vienības turētajiem aktīviem iepriekšējā kalendārajā gadā vai citā attiecīgā pārskata periodā ir aktīvi, kuri tiek turēti pasīvu ienākumu gūšanai. </w:t>
      </w:r>
      <w:r w:rsidRPr="001B0491">
        <w:rPr>
          <w:rFonts w:ascii="Times New Roman" w:hAnsi="Times New Roman"/>
          <w:b/>
          <w:i/>
          <w:color w:val="231F20"/>
          <w:sz w:val="24"/>
          <w:szCs w:val="24"/>
          <w:u w:val="thick" w:color="231F20"/>
        </w:rPr>
        <w:t>Pārbaudē, vai aktīvs tiek turēts pasīvu ienākumu gūšanai, netiek prasīts, lai attiecīgajā periodā pasīvie ienākumi tiktu gūti faktiski. Bet tiek prasīts, ka aktīviem ir jābūt tāda veida aktīviem, ar kuriem var gūt vai tiek gūti pasīvie ienākumi. Piemēram, nauda ir jāskata kā līdzeklis, ar ko gūst pasīvus ienākumus (procentus) vai kas tiek turēts pasīvu ienākumu gūšanai, pat ja faktiski šādi ienākumi netiek gūti.</w:t>
      </w:r>
    </w:p>
    <w:p w14:paraId="02F9E97A"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126. Tas, kas tiek apzīmēts ar terminu “pasīvi ienākumi”, tiek noteikts, pamatojoties uz katras jurisdikcijas noteikumiem. Parasti par pasīviem ienākumiem tiek uzskatīta to bruto ienākumu daļa, ko veido:</w:t>
      </w:r>
    </w:p>
    <w:p w14:paraId="487E9DCC"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a) dividendes;</w:t>
      </w:r>
    </w:p>
    <w:p w14:paraId="3C7888F5"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b) procenti;</w:t>
      </w:r>
    </w:p>
    <w:p w14:paraId="772AF46B" w14:textId="77777777" w:rsidR="00DB30B8" w:rsidRPr="001B0491" w:rsidRDefault="00DB30B8" w:rsidP="00DB30B8">
      <w:pPr>
        <w:tabs>
          <w:tab w:val="left" w:pos="942"/>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c) procentiem līdzvērtīgi ienākumi;</w:t>
      </w:r>
    </w:p>
    <w:p w14:paraId="45EFAFC5" w14:textId="77777777" w:rsidR="00DB30B8" w:rsidRPr="001B0491" w:rsidRDefault="00DB30B8" w:rsidP="00DB30B8">
      <w:pPr>
        <w:tabs>
          <w:tab w:val="left" w:pos="941"/>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d) nomas maksa un honorāri, izņemot nomas maksu un honorārus, kuri iegūti aktīvā darījumdarbībā, ko vismaz daļēji veic vienības darbinieki;</w:t>
      </w:r>
    </w:p>
    <w:p w14:paraId="1736FEFF" w14:textId="77777777" w:rsidR="00DB30B8" w:rsidRPr="001B0491" w:rsidRDefault="00DB30B8" w:rsidP="00DB30B8">
      <w:pPr>
        <w:tabs>
          <w:tab w:val="left" w:pos="941"/>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e) anuitātes;</w:t>
      </w:r>
    </w:p>
    <w:p w14:paraId="33E13BBA" w14:textId="77777777" w:rsidR="00DB30B8" w:rsidRPr="001B0491" w:rsidRDefault="00DB30B8" w:rsidP="00DB30B8">
      <w:pPr>
        <w:tabs>
          <w:tab w:val="left" w:pos="943"/>
        </w:tabs>
        <w:spacing w:before="120"/>
        <w:ind w:left="567" w:hanging="283"/>
        <w:rPr>
          <w:rFonts w:ascii="Times New Roman" w:hAnsi="Times New Roman" w:cs="Times New Roman"/>
          <w:b/>
          <w:i/>
          <w:noProof/>
          <w:color w:val="231F20"/>
          <w:sz w:val="24"/>
          <w:szCs w:val="24"/>
          <w:u w:val="thick" w:color="231F20"/>
        </w:rPr>
      </w:pPr>
      <w:r w:rsidRPr="001B0491">
        <w:rPr>
          <w:rFonts w:ascii="Times New Roman" w:hAnsi="Times New Roman"/>
          <w:b/>
          <w:i/>
          <w:color w:val="231F20"/>
          <w:sz w:val="24"/>
          <w:szCs w:val="24"/>
          <w:u w:val="thick" w:color="231F20"/>
        </w:rPr>
        <w:t>f) ienākumi no attiecīgajiem kriptoaktīviem;</w:t>
      </w:r>
    </w:p>
    <w:p w14:paraId="62BD2629" w14:textId="77777777" w:rsidR="00DB30B8" w:rsidRPr="001B0491" w:rsidRDefault="00DB30B8" w:rsidP="00DB30B8">
      <w:pPr>
        <w:tabs>
          <w:tab w:val="left" w:pos="941"/>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 xml:space="preserve">g) ieņēmumu pārsvars pār zaudējumiem no finanšu aktīvu </w:t>
      </w:r>
      <w:r w:rsidRPr="001B0491">
        <w:rPr>
          <w:rFonts w:ascii="Times New Roman" w:hAnsi="Times New Roman"/>
          <w:b/>
          <w:i/>
          <w:color w:val="231F20"/>
          <w:sz w:val="24"/>
          <w:szCs w:val="24"/>
          <w:u w:val="thick" w:color="231F20"/>
        </w:rPr>
        <w:t>vai attiecīgo kriptoaktīvu</w:t>
      </w:r>
      <w:r w:rsidRPr="001B0491">
        <w:rPr>
          <w:rFonts w:ascii="Times New Roman" w:hAnsi="Times New Roman"/>
          <w:color w:val="231F20"/>
          <w:sz w:val="24"/>
          <w:szCs w:val="24"/>
        </w:rPr>
        <w:t xml:space="preserve"> pārdošanas vai apmaiņas</w:t>
      </w:r>
      <w:r w:rsidRPr="001B0491">
        <w:rPr>
          <w:rFonts w:ascii="Times New Roman" w:hAnsi="Times New Roman"/>
          <w:strike/>
          <w:color w:val="231F20"/>
          <w:sz w:val="24"/>
          <w:szCs w:val="24"/>
        </w:rPr>
        <w:t>, kuri rada pasīvus ienākumus</w:t>
      </w:r>
      <w:r w:rsidRPr="001B0491">
        <w:rPr>
          <w:rFonts w:ascii="Times New Roman" w:hAnsi="Times New Roman"/>
          <w:color w:val="231F20"/>
          <w:sz w:val="24"/>
          <w:szCs w:val="24"/>
        </w:rPr>
        <w:t>;</w:t>
      </w:r>
    </w:p>
    <w:p w14:paraId="0D6DD9B3" w14:textId="77777777" w:rsidR="00DB30B8" w:rsidRPr="001B0491" w:rsidRDefault="00DB30B8" w:rsidP="00DB30B8">
      <w:pPr>
        <w:tabs>
          <w:tab w:val="left" w:pos="941"/>
          <w:tab w:val="left" w:pos="943"/>
        </w:tabs>
        <w:spacing w:before="120"/>
        <w:ind w:left="567" w:hanging="283"/>
        <w:rPr>
          <w:rFonts w:ascii="Times New Roman" w:hAnsi="Times New Roman" w:cs="Times New Roman"/>
          <w:noProof/>
          <w:sz w:val="24"/>
          <w:szCs w:val="24"/>
        </w:rPr>
      </w:pPr>
      <w:r w:rsidRPr="001B0491">
        <w:rPr>
          <w:rFonts w:ascii="Times New Roman" w:hAnsi="Times New Roman"/>
          <w:color w:val="231F20"/>
          <w:sz w:val="24"/>
          <w:szCs w:val="24"/>
        </w:rPr>
        <w:t xml:space="preserve">h) darījumos ar finanšu aktīviem </w:t>
      </w:r>
      <w:r w:rsidRPr="001B0491">
        <w:rPr>
          <w:rFonts w:ascii="Times New Roman" w:hAnsi="Times New Roman"/>
          <w:b/>
          <w:bCs/>
          <w:i/>
          <w:iCs/>
          <w:color w:val="231F20"/>
          <w:sz w:val="24"/>
          <w:szCs w:val="24"/>
          <w:u w:val="single"/>
        </w:rPr>
        <w:t>vai attiecīgajiem kriptoaktīviem</w:t>
      </w:r>
      <w:r w:rsidRPr="001B0491">
        <w:rPr>
          <w:rFonts w:ascii="Times New Roman" w:hAnsi="Times New Roman"/>
          <w:color w:val="231F20"/>
          <w:sz w:val="24"/>
          <w:szCs w:val="24"/>
        </w:rPr>
        <w:t xml:space="preserve"> (tostarp standartizētajos un nestandartizētajos nākotnes darījumos, iespējas darījumos un līdzīgos darījumos) gūto ieņēmumu pārsvars pār zaudējumiem;</w:t>
      </w:r>
    </w:p>
    <w:p w14:paraId="4A456398" w14:textId="77777777" w:rsidR="00DB30B8" w:rsidRPr="001B0491" w:rsidRDefault="00DB30B8" w:rsidP="00DB30B8">
      <w:pPr>
        <w:tabs>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i) ārvalstu valūtas ieņēmumu pārsvars pār ārvalstu valūtas zaudējumiem;</w:t>
      </w:r>
    </w:p>
    <w:p w14:paraId="630AA791" w14:textId="77777777" w:rsidR="00DB30B8" w:rsidRPr="001B0491" w:rsidRDefault="00DB30B8" w:rsidP="00DB30B8">
      <w:pPr>
        <w:tabs>
          <w:tab w:val="left" w:pos="943"/>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j) tīrie ienākumi no mijmaiņas darījumiem vai</w:t>
      </w:r>
    </w:p>
    <w:p w14:paraId="2ACB4E5A" w14:textId="77777777" w:rsidR="00DB30B8" w:rsidRPr="001B0491" w:rsidRDefault="00DB30B8" w:rsidP="00DB30B8">
      <w:pPr>
        <w:tabs>
          <w:tab w:val="left" w:pos="942"/>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k) summas, kas saņemtas saskaņā ar apdrošināšanas līgumu ar naudas vērtību.</w:t>
      </w:r>
    </w:p>
    <w:p w14:paraId="5489A304" w14:textId="77777777" w:rsidR="00DB30B8" w:rsidRPr="001B0491" w:rsidRDefault="00DB30B8" w:rsidP="00DB30B8">
      <w:pPr>
        <w:spacing w:before="120"/>
        <w:ind w:firstLine="284"/>
        <w:jc w:val="both"/>
        <w:rPr>
          <w:rFonts w:ascii="Times New Roman" w:hAnsi="Times New Roman" w:cs="Times New Roman"/>
          <w:noProof/>
          <w:sz w:val="24"/>
          <w:szCs w:val="24"/>
        </w:rPr>
      </w:pPr>
      <w:r w:rsidRPr="001B0491">
        <w:rPr>
          <w:rFonts w:ascii="Times New Roman" w:hAnsi="Times New Roman"/>
          <w:sz w:val="24"/>
          <w:szCs w:val="24"/>
        </w:rPr>
        <w:t xml:space="preserve">Atkāpjoties no iepriekš minētā, gadījumos, kad nefinanšu vienība regulāri darbojas kā finanšu aktīvu </w:t>
      </w:r>
      <w:r w:rsidRPr="001B0491">
        <w:rPr>
          <w:rFonts w:ascii="Times New Roman" w:hAnsi="Times New Roman"/>
          <w:b/>
          <w:bCs/>
          <w:i/>
          <w:iCs/>
          <w:sz w:val="24"/>
          <w:szCs w:val="24"/>
          <w:u w:val="single"/>
        </w:rPr>
        <w:t>vai attiecīgo kriptoaktīvu</w:t>
      </w:r>
      <w:r w:rsidRPr="001B0491">
        <w:rPr>
          <w:rFonts w:ascii="Times New Roman" w:hAnsi="Times New Roman"/>
          <w:sz w:val="24"/>
          <w:szCs w:val="24"/>
        </w:rPr>
        <w:t xml:space="preserve"> dīleris, pasīvajos ienākumos netiek ietverti ienākumi no darījumiem, kas veikti šāda dīlera statusā tā parastajā darījumdarbībā.</w:t>
      </w:r>
    </w:p>
    <w:p w14:paraId="3F3FC5DE" w14:textId="77777777" w:rsidR="00DB30B8" w:rsidRPr="001B0491" w:rsidRDefault="00DB30B8" w:rsidP="00DB30B8">
      <w:pPr>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lastRenderedPageBreak/>
        <w:t>126.bis Lai veicinātu standarta efektīvu īstenošanu, jurisdikcijas definīcijai attiecībā uz terminu “pasīvie ienākumi” būtībā jāsaskan ar 126. punktā sniegto uzskaitījumu. Katra jurisdikcija savos konkrētajos noteikumos var definēt pasīvo ienākumu uzskaitījumā iekļautos elementus (piemēram, ienākumi, kas līdzvērtīgi procentiem un dividendēm) saskaņā ar valsts noteikumiem.</w:t>
      </w:r>
    </w:p>
    <w:p w14:paraId="0C96A154"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127. Nefinanšu vienības aktīvu vērtība tiek noteikta, pamatojoties uz aktīvu patieso tirgus vērtību vai uzskaites vērtību, kas ir atspoguļota nefinanšu vienības bilancē.</w:t>
      </w:r>
    </w:p>
    <w:p w14:paraId="09B7D887"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128. D punkta 9. apakšpunkta b) daļā ir noteikts kritērijs, saskaņā ar kuru aktīva nefinanšu vienība tiek klasificēta kā “nefinanšu vienība, kuras akcijas ir publiskā apgrozībā”: nefinanšu vienības akcijas tiek regulāri tirgotas vispāratzītā vērtspapīru tirgū vai nefinanšu vienība ir tādas vienības saistītā vienība, kuras akcijas tiek regulāri tirgotas vispāratzītā vērtspapīru tirgū. Kā norādīts iepriekš 112. punktā, akcijas tiek “regulāri tirgotas”, ja attiecībā uz akcijām pastāv ievērojams tirdzniecības apjoms, un “vispāratzīts vērtspapīru tirgus” nozīmē biržu, ko oficiāli atzīst un uzrauga tādas jurisdikcijas pārvaldes iestāde, kurā šis tirgus atrodas, un kam ir ievērojama biržā tirgoto akciju gada vērtība.</w:t>
      </w:r>
    </w:p>
    <w:p w14:paraId="6CFA71AE"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129. D punkta 11. apakšpunkta b) daļā aprakstīts kritērijs, lai kvalificētu nefinanšu vienību aktīvas nefinanšu vienības statusam attiecībā uz “tādu nefinanšu vienību turēšanu, kas ir nefinanšu grupas dalībnieki” – būtībā visa nefinanšu vienības darbība ir turēt (pilnīgi vai daļēji) akcijas, ko emitējis viens vai vairāki meitasuzņēmumi, kuri veic tirdzniecību vai darījumdarbību, kas nav finanšu iestādes darījumdarbība, un sniegt finansējumu un pakalpojumus šādiem meitasuzņēmumiem, bet vienība neatbilst šāda statusa kritērijiem, ja tā darbojas (vai pasniedz sevi) kā ieguldījumu fonds, piemēram, privāts kapitāla fonds, riska kapitāla fonds, fonds, kas veic pirkšanas darījumus, izmantojot aizņemtus līdzekļus, vai ieguldījumu instruments, kura nolūks ir iegādāties vai finansēt sabiedrības un tad būt līdzdalības daļu turētājam šādās sabiedrībās, turot kapitāla aktīvus ieguldīšanas nolūkā.</w:t>
      </w:r>
    </w:p>
    <w:p w14:paraId="5EE81AB8"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130. Saistībā ar D punkta 11. apakšpunkta b) daļā minētajām darbībām “būtībā visa darbība” nozīmē vismaz 80 % no visas darbības. Ja tomēr nefinanšu vienības turēšanas vai grupas finansēšanas darbības nepārsniedz 80 % no visas darbības, taču nefinanšu vienība saņem arī aktīvus ienākumus (t. i., ienākumus, kas nav pasīvi ienākumi), tā kvalificējama kā aktīva nefinanšu vienība, ja darbību kopējā summa atbilst kritērijam “būtībā visa darbība”. Lai noteiktu, vai nefinanšu vienību var kvalificēt kā aktīvu nefinanšu vienību, pamatojoties uz citām darbībām, kas nav nefinanšu vienības turēšanas un grupas finansēšanas darbības, attiecībā uz šīm citām darbībām var piemērot D punkta 9. apakšpunkta a) daļā minēto pārbaudes kritēriju. Piemēram, ja kontrolakciju sabiedrības turēšanas vai finansēšanas un pakalpojumu darbības attiecībā uz vienu vai vairākiem meitasuzņēmumiem veido 60 %, bet atlikušos 40 % šai sabiedrībai veido grupas (kurā tā ietilpst) saražoto preču sadales centra funkcijas un ienākumi no sadales centra darbībām ir aktīvs atbilstīgi D punkta 9. apakšpunkta a) daļai, tad tā ir aktīva nefinanšu vienība neatkarīgi no tā, ka viena vai vairāku meitasuzņēmumu apgrozībā esošo akciju turēšana un finansējuma un pakalpojumu sniegšana šiem meitasuzņēmumiem veido mazāk par 80 % no tās darbībām. Frāze “būtībā visa darbība” ietver arī viena vai vairāku meitasuzņēmumu akciju turēšanas, kā arī finansējuma un pakalpojumu sniegšanas apvienojumu. “Meitasuzņēmums” ir jebkura vienība, kuras apgrozībā esošās akcijas tieši vai netieši (pilnīgi vai daļēji) tur nefinanšu vienība.</w:t>
      </w:r>
    </w:p>
    <w:p w14:paraId="0955DE16"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131. Viena no D punkta 9. apakšpunkta h) daļā minētajām prasībām, kas jāizpilda, lai “bezpeļņas nefinanšu vienībām” varētu piešķirt aktīvas nefinanšu vienības statusu, ir tā, ka saskaņā ar nefinanšu vienības rezidences jurisdikcijas piemērojamajiem tiesību aktiem vai nefinanšu vienības dibināšanas dokumentiem nefinanšu vienības ienākumus vai aktīvus nedrīkst sadalīt vai izmantot par labu privātpersonai vai vienībai, kas nav labdarības organizācija, ja šāda sadalīšana vai izmantošana nav saistīta ar nefinanšu vienības veiktajām labdarības darbībām, vai izmantot, lai veiktu pamatotas kompensācijas maksājumu par </w:t>
      </w:r>
      <w:r w:rsidRPr="001B0491">
        <w:rPr>
          <w:rFonts w:ascii="Times New Roman" w:hAnsi="Times New Roman"/>
          <w:sz w:val="24"/>
          <w:szCs w:val="24"/>
        </w:rPr>
        <w:lastRenderedPageBreak/>
        <w:t>saņemtajiem pakalpojumiem vai maksājumu, kas atbilst nefinanšu vienības iegādāta īpašuma patiesajai tirgus vērtībai. Turklāt nefinanšu vienības ienākumus vai aktīvus var izsniegt privātpersonai vai ar labdarību nesaistītai vienībai kā samērīgu atlīdzību par īpašuma izmantošanu vai izmantot tos šādas personas vai vienības labā.</w:t>
      </w:r>
    </w:p>
    <w:p w14:paraId="3E35B248" w14:textId="77777777" w:rsidR="00DB30B8" w:rsidRPr="001B0491" w:rsidRDefault="00DB30B8" w:rsidP="00DB30B8">
      <w:pPr>
        <w:spacing w:before="120"/>
        <w:ind w:left="284"/>
        <w:rPr>
          <w:rFonts w:ascii="Times New Roman" w:hAnsi="Times New Roman" w:cs="Times New Roman"/>
          <w:noProof/>
          <w:sz w:val="24"/>
          <w:szCs w:val="24"/>
        </w:rPr>
      </w:pPr>
      <w:bookmarkStart w:id="173" w:name="Controlling_Persons"/>
      <w:bookmarkEnd w:id="173"/>
      <w:r w:rsidRPr="001B0491">
        <w:rPr>
          <w:rFonts w:ascii="Times New Roman" w:hAnsi="Times New Roman"/>
          <w:sz w:val="24"/>
          <w:szCs w:val="24"/>
        </w:rPr>
        <w:t>Kontrolējošās personas</w:t>
      </w:r>
    </w:p>
    <w:p w14:paraId="2D054827"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132. D punkta 6. apakšpunktā ir sniegta termina “kontrolējošās personas” definīcija. Šis termins atbilst terminam “patiesā labuma guvējs”, kurš noteikts Finanšu darījumu darba grupas 10. ieteikumā un 10. ieteikuma skaidrojošajās piezīmēs (pieņemtas 2012. gada februārī)</w:t>
      </w:r>
      <w:r w:rsidRPr="001B0491">
        <w:rPr>
          <w:rStyle w:val="FootnoteReference"/>
          <w:rFonts w:ascii="Times New Roman" w:hAnsi="Times New Roman" w:cs="Times New Roman"/>
          <w:noProof/>
          <w:sz w:val="24"/>
          <w:szCs w:val="24"/>
        </w:rPr>
        <w:footnoteReference w:customMarkFollows="1" w:id="8"/>
        <w:t>8</w:t>
      </w:r>
      <w:r w:rsidRPr="001B0491">
        <w:rPr>
          <w:rFonts w:ascii="Times New Roman" w:hAnsi="Times New Roman"/>
          <w:sz w:val="24"/>
          <w:szCs w:val="24"/>
        </w:rPr>
        <w:t>, un tas jāinterpretē tādā veidā, kas nav pretrunā šiem ieteikumiem, lai aizsargātu starptautisko finanšu sistēmu pret ļaunprātīgu izmantošanu, tostarp pret noziegumiem nodokļu jomā.</w:t>
      </w:r>
    </w:p>
    <w:p w14:paraId="3EADCB65"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133. Ja vienība ir juridiska persona, termins “kontrolējošās personas” nozīmē fizisku(-as) personu(-as), kas kontrolē šo vienību. “Kontroli” pār vienību parasti īsteno fiziska(-as) persona(-as), kurai(-ām) ir kontrolējošā līdzdalības daļa šajā vienībā. “Kontrolējošā līdzdalības daļa” ir atkarīga no juridiskās personas īpašumtiesību struktūras, un parasti to nosaka, pamatojoties uz robežvērtību, ko piemēro riska izvērtējumā balstītai pieejai (piemēram, persona(-as), kurai(-ām) juridiskās personas daļa pārsniedz noteiktu procentuālo daļu, piemēram, 25 %). Ja neviena fiziska persona neīsteno kontroli, izmantojot līdzdalības daļu, vienību kontrolējošā(-ās) persona(-as) būs fiziskā(-ās) persona(-as), kas vienību kontrolē ar citiem līdzekļiem. Ja netiek identificētas fiziskas personas, kas kontrolē vienību, vienību kontrolējošā(-ās) persona(-as) būs fiziskā(-ās) persona(-as), kas ieņem vecākās amatpersonas amatu.</w:t>
      </w:r>
    </w:p>
    <w:p w14:paraId="2C60C99E"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134. Trasta gadījumā termins “kontrolējošās personas” nozīmē dibinātāju(-us), pilnvaroto(-ās) personu(-as), pārraudzītāju(-us) (ja tādi ir), labuma guvēju(-us) vai labuma guvēju klases un citas fiziskas personas, kas īsteno galīgo faktisko kontroli pār trastu. Dibinātājs(-i), pilnvarotā(-ās) persona(-as), pārraudzītājs(-i) (ja tādi ir) un labuma guvējs(-i) vai labuma guvēju klase(-es) vienmēr jāuzskata par trastu kontrolējošajām personām neatkarīgi no tā, vai kāda no tām īsteno kontroli pār trastu. Šā iemesla dēļ D punkta 6. apakšpunkta pirmais teikums ir papildināts ar otro teikumu. Turklāt arī jebkura fiziska persona(-as), kas īsteno galīgo faktisko kontroli pār trastu (tostarp ar kontroles vai īpašumtiesību ķēdes starpniecību), ir jāuzskata par trasta kontrolējošo personu. Ja trasta dibinātājs(-i) ir vienība, lai noskaidrotu trasta kontā(-os) esošo finanšu līdzekļu avotu, finanšu iestādēm, kas sniedz ziņojumus, ir jāidentificē arī persona(-as), kas kontrolē šādu dibinātāju(-us), un jāpaziņo tā(tās) kā trastu kontrolējošā(-ās) persona(-as). Attiecībā uz trasta labuma guvēju(-iem), kam šāds statuss piešķirts, pamatojoties uz īpašībām vai klasi, finanšu iestādēm, kas sniedz ziņojumus, ir jāiegūst pietiekama informācija, kura nepieciešama šai finanšu iestādei, kas sniedz ziņojumus, lai tā spētu noteikt labuma guvēja(-u) identitāti laikā, kad tiek veikta izmaksa vai kad labuma guvējs(-i) vēlas izmantot iegūtās tiesības. Tāpēc šāda situācija būs apstākļu maiņa un attiecīgo procedūru ierosināšanas pamats. Ieviešot Kopējo ziņošanas standartu, jursidikcija var atļaut finanšu iestādēm, kas sniedz ziņojumus, savienot tā trasta labuma guvēja(-u) tvērumu, kas tiek uzskatīts par trasta kontrolējošo personu(-ām), ar tā trasta labuma guvēja(-u) tvērumu, kas tiek uzskatīts par trasta, kas ir finanšu iestāde, personu, par kuru jāsniedz ziņojums (skat. iepriekš 69–70. punktu).</w:t>
      </w:r>
    </w:p>
    <w:p w14:paraId="182389C5"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135. Ja juridiskais veidojums nav trasts, “kontrolējošās personas” ir personas, kas ieņem līdzvērtīgus vai līdzīgus amatus kā trastu kontrolējošās personas. Līdz ar to, ņemot vērā dažādās juridisko veidojumu formas un struktūras, finanšu iestādēm, kas sniedz ziņojumus, ir </w:t>
      </w:r>
      <w:r w:rsidRPr="001B0491">
        <w:rPr>
          <w:rFonts w:ascii="Times New Roman" w:hAnsi="Times New Roman"/>
          <w:sz w:val="24"/>
          <w:szCs w:val="24"/>
        </w:rPr>
        <w:lastRenderedPageBreak/>
        <w:t>jāidentificē personas (un jāziņo par tām) pozīcijās, kas līdzvērtīgas vai līdzīgas tām, kuras jāidentificē un jāpaziņo trastu gadījumā.</w:t>
      </w:r>
    </w:p>
    <w:p w14:paraId="2668F61A"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136. Attiecībā uz juridiskām personām, kas funkcionāli ir līdzīgas trastiem (piemēram, fondi), finanšu iestādēm, kas sniedz ziņojumus, kontrolējošās personas ir jāidentificē, piemērojot klienta pienācīgas pārbaudes procedūras, kuras līdzinās tām, kas jāpiemēro attiecībā uz trastiem, ar mērķi nodrošināt atbilstīgus ziņošanas līmeņus.</w:t>
      </w:r>
    </w:p>
    <w:p w14:paraId="23B60B61"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137. Ja finanšu iestāde, kas sniedz ziņojumus, izmanto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procedūrās savāktu un saglabātu informāciju, lai noskaidrotu jauna vienības konta turētāja kontrolējošās personas (skat. VI panta A punkta 2. apakšpunkta b) daļu), tad šādām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procedūrām jāatbilst </w:t>
      </w:r>
      <w:r w:rsidRPr="001B0491">
        <w:rPr>
          <w:rFonts w:ascii="Times New Roman" w:hAnsi="Times New Roman"/>
          <w:i/>
          <w:iCs/>
          <w:sz w:val="24"/>
          <w:szCs w:val="24"/>
        </w:rPr>
        <w:t>FATF</w:t>
      </w:r>
      <w:r w:rsidRPr="001B0491">
        <w:rPr>
          <w:rFonts w:ascii="Times New Roman" w:hAnsi="Times New Roman"/>
          <w:sz w:val="24"/>
          <w:szCs w:val="24"/>
        </w:rPr>
        <w:t xml:space="preserve"> 10. un 25. ieteikumam (pieņemti 2012. gada februārī), tostarp trasta dibinātājs(-i) vienmēr jāuzskata par trasta kontrolējošo personu un fonda dibinātājs(-i) vienmēr jāuzskata par fonda kontrolējošo personu. Lai noskaidrotu iepriekšpastāvējuša vienības konta turētāja kontrolējošās personas (skat. V panta D punkta 2. apakšpunkta b) daļu), finanšu iestāde, kas sniedz ziņojumus, var paļauties uz informāciju, kura savākta un saglabāta saskaņā ar finanšu iestādes, kas sniedz ziņojumus,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procedūrām.</w:t>
      </w:r>
    </w:p>
    <w:p w14:paraId="19DF4A1A" w14:textId="77777777" w:rsidR="00DB30B8" w:rsidRPr="001B0491" w:rsidRDefault="00DB30B8" w:rsidP="00DB30B8">
      <w:pPr>
        <w:spacing w:before="120"/>
        <w:ind w:left="284"/>
        <w:outlineLvl w:val="6"/>
        <w:rPr>
          <w:rFonts w:ascii="Times New Roman" w:hAnsi="Times New Roman" w:cs="Times New Roman"/>
          <w:b/>
          <w:bCs/>
          <w:i/>
          <w:iCs/>
          <w:noProof/>
          <w:sz w:val="24"/>
          <w:szCs w:val="24"/>
        </w:rPr>
      </w:pPr>
      <w:bookmarkStart w:id="174" w:name="Paragraph_E_–_Miscellaneous"/>
      <w:bookmarkEnd w:id="174"/>
      <w:r w:rsidRPr="001B0491">
        <w:rPr>
          <w:rFonts w:ascii="Times New Roman" w:hAnsi="Times New Roman"/>
          <w:b/>
          <w:i/>
          <w:sz w:val="24"/>
          <w:szCs w:val="24"/>
        </w:rPr>
        <w:t>E punkts. Dažādi</w:t>
      </w:r>
    </w:p>
    <w:p w14:paraId="262A9453"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75" w:name="Subparagraph_E(1)_–_Account_Holder"/>
      <w:bookmarkEnd w:id="175"/>
      <w:r w:rsidRPr="001B0491">
        <w:rPr>
          <w:rFonts w:ascii="Times New Roman" w:hAnsi="Times New Roman"/>
          <w:i/>
          <w:color w:val="616161"/>
          <w:sz w:val="24"/>
          <w:szCs w:val="24"/>
        </w:rPr>
        <w:t>E punkta 1. apakšpunkts. Konta turētājs</w:t>
      </w:r>
    </w:p>
    <w:p w14:paraId="4A88F590"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138. E punkta 1. apakšpunktā noteikts, ka “konta turētājs” ir persona, kuru finanšu iestāde, kas uztur finanšu kontu, norādījusi vai identificējusi kā šā konta turētāju. Tas ir spēkā neatkarīgi no tā, vai šāda persona ir vienība, kas veic starpnieka funkciju. Līdz ar to, piemēram, ja trasts vai mantojums ir norādīts kā finanšu konta turētājs vai īpašnieks, konta turētājs ir šis trasts vai mantojums, nevis tā īpašnieki vai labuma guvēji. Līdzīgi, ja personālsabiedrība ir norādīta kā finanšu konta turētājs vai īpašnieks, konta turētājs ir šī personālsabiedrība, nevis tajā ietilpstošie partneri.</w:t>
      </w:r>
    </w:p>
    <w:p w14:paraId="0341851C"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139. Persona, kas nav finanšu iestāde un kas tur finanšu kontu citas personas labā vai vārdā kā šīs personas aģents, pārvaldītājs, nominālais finanšu aktīvu turētājs, parakstītājs, ieguldījumu konsultants, starpnieks vai likumīgais aizbildnis, nav uzskatāma par konta turētāju atbilstīgi E punkta 1. apakšpunktam. Tā vietā tiek uzskatīts, ka kontu tur cita šāda persona. Šajā saistībā finanšu iestāde, kas sniedz ziņojumus, var paļauties uz tās rīcībā esošo informāciju (tostarp uz informāciju, kas savākta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procedūrās), ko tā var izmantot, lai pamatoti noteiktu, vai persona darbojas citas personas labā vai vārdā.</w:t>
      </w:r>
    </w:p>
    <w:p w14:paraId="039C36F4" w14:textId="77777777" w:rsidR="00DB30B8" w:rsidRPr="001B0491" w:rsidRDefault="00DB30B8" w:rsidP="00DB30B8">
      <w:pPr>
        <w:tabs>
          <w:tab w:val="left" w:pos="940"/>
        </w:tabs>
        <w:spacing w:before="120"/>
        <w:jc w:val="both"/>
        <w:rPr>
          <w:rFonts w:ascii="Times New Roman" w:hAnsi="Times New Roman" w:cs="Times New Roman"/>
          <w:b/>
          <w:i/>
          <w:noProof/>
          <w:sz w:val="24"/>
          <w:szCs w:val="24"/>
          <w:u w:val="thick"/>
        </w:rPr>
      </w:pPr>
      <w:r w:rsidRPr="001B0491">
        <w:rPr>
          <w:rFonts w:ascii="Times New Roman" w:hAnsi="Times New Roman"/>
          <w:sz w:val="24"/>
          <w:szCs w:val="24"/>
        </w:rPr>
        <w:t xml:space="preserve">140. Attiecībā uz kopīgi turētu kontu katrs šāda konta turētājs tiek uzskatīts par konta turētāju, lai noteiktu, vai konts ir konts, par kuru jāsniedz ziņojums. Līdz ar to konts ir konts, par kuru jāsniedz ziņojums, ja kāds no konta turētājiem ir persona, par kuru jāsniedz ziņojums, vai pasīva nefinanšu vienība ar vienu vai vairākām kontrolējošajām personām, kas ir personas, par kurām jāsniedz ziņojums. Ja vairākas personas, par kurām jāsniedz ziņojums, ir kopīgā konta turētāji, tad katra persona, par kuru jāsniedz ziņojums, tiek uzskatīta par konta turētāju, un tai tiek piedēvēta visa kopīgi turētā konta bilance, tostarp saistībā ar VII panta C punkta 1.–3. apakšpunktā izklāstīto apkopošanas noteikumu piemērošanu. </w:t>
      </w:r>
      <w:r w:rsidRPr="001B0491">
        <w:rPr>
          <w:rFonts w:ascii="Times New Roman" w:hAnsi="Times New Roman"/>
          <w:b/>
          <w:i/>
          <w:sz w:val="24"/>
          <w:szCs w:val="24"/>
          <w:u w:val="thick"/>
        </w:rPr>
        <w:t>Gadījumā, ja konta īpašumtiesības ir gan īpašniekam bez lietošanas tiesībām, gan lietotājam, pienācīgas pārbaudes un ziņošanas nolūkos abus var uzskatīt par kopīgā konta turētājiem vai trastu kontrolējošajām personām.</w:t>
      </w:r>
    </w:p>
    <w:p w14:paraId="1AF4CF77" w14:textId="77777777" w:rsidR="00DB30B8" w:rsidRPr="001B0491" w:rsidRDefault="00DB30B8" w:rsidP="00DB30B8">
      <w:pPr>
        <w:tabs>
          <w:tab w:val="left" w:pos="942"/>
        </w:tabs>
        <w:spacing w:before="120"/>
        <w:jc w:val="both"/>
        <w:rPr>
          <w:rFonts w:ascii="Times New Roman" w:hAnsi="Times New Roman" w:cs="Times New Roman"/>
          <w:b/>
          <w:i/>
          <w:noProof/>
          <w:sz w:val="24"/>
          <w:szCs w:val="24"/>
          <w:u w:val="thick"/>
        </w:rPr>
      </w:pPr>
      <w:r w:rsidRPr="001B0491">
        <w:rPr>
          <w:rFonts w:ascii="Times New Roman" w:hAnsi="Times New Roman"/>
          <w:sz w:val="24"/>
          <w:szCs w:val="24"/>
        </w:rPr>
        <w:t xml:space="preserve">141. Apdrošināšanas līguma ar naudas vērtību vai anuitātes līguma gadījumā konta turētājs ir jebkura persona, kurai ir tiesības piekļūt naudas vērtībai vai mainīt līguma labuma guvēju. Ja neviena persona nevar piekļūt naudas vērtībai vai mainīt labuma guvēju, tad konta turētājs ir jebkura persona, kura norādīta līgumā kā īpašnieks, un jebkura persona, kurai ir tiesības saņemt maksājumu saskaņā ar līguma noteikumiem. Kad tiek sasniegts apdrošināšanas līguma ar naudas vērtību vai anuitātes līguma maksājuma termiņš (t. i., kad saskaņā ar līgumu ir </w:t>
      </w:r>
      <w:r w:rsidRPr="001B0491">
        <w:rPr>
          <w:rFonts w:ascii="Times New Roman" w:hAnsi="Times New Roman"/>
          <w:sz w:val="24"/>
          <w:szCs w:val="24"/>
        </w:rPr>
        <w:lastRenderedPageBreak/>
        <w:t xml:space="preserve">jāizpilda pienākums izmaksāt summu), par konta turētāju tiek uzskatīta katra persona, kurai ir tiesības saņemt maksājumu saskaņā ar attiecīgo līgumu. </w:t>
      </w:r>
      <w:r w:rsidRPr="001B0491">
        <w:rPr>
          <w:rFonts w:ascii="Times New Roman" w:hAnsi="Times New Roman"/>
          <w:b/>
          <w:i/>
          <w:sz w:val="24"/>
          <w:szCs w:val="24"/>
          <w:u w:val="thick"/>
        </w:rPr>
        <w:t>Personas, kas ir tiesīgas piekļūt naudas vērtībai vai tiesīgas mainīt līguma labuma guvējus, visos gadījumos ir uzskatāmas par konta turētājiem attiecībā uz apdrošināšanas līgumu ar naudas vērtību, ja vien tās galīgi, pilnībā un neatgriezeniski neatsakās gan no tiesībām piekļūt naudas vērtībai, gan no tiesībām mainīt apdrošināšanas līguma ar naudas vērtību labuma guvējus.</w:t>
      </w:r>
    </w:p>
    <w:p w14:paraId="3CC7C1C4" w14:textId="77777777" w:rsidR="00DB30B8" w:rsidRPr="001B0491" w:rsidRDefault="00DB30B8" w:rsidP="00DB30B8">
      <w:pPr>
        <w:tabs>
          <w:tab w:val="left" w:pos="942"/>
        </w:tabs>
        <w:spacing w:before="120"/>
        <w:jc w:val="both"/>
        <w:rPr>
          <w:rFonts w:ascii="Times New Roman" w:hAnsi="Times New Roman" w:cs="Times New Roman"/>
          <w:noProof/>
          <w:sz w:val="24"/>
          <w:szCs w:val="24"/>
        </w:rPr>
      </w:pPr>
      <w:r w:rsidRPr="001B0491">
        <w:rPr>
          <w:rFonts w:ascii="Times New Roman" w:hAnsi="Times New Roman"/>
          <w:sz w:val="24"/>
          <w:szCs w:val="24"/>
        </w:rPr>
        <w:t>142. Turpmākajos piemēros atspoguļota E punkta 1. apakšpunkta piemērošana.</w:t>
      </w:r>
    </w:p>
    <w:p w14:paraId="566159FA" w14:textId="77777777" w:rsidR="00DB30B8" w:rsidRPr="001B0491" w:rsidRDefault="00DB30B8" w:rsidP="00DB30B8">
      <w:pPr>
        <w:numPr>
          <w:ilvl w:val="1"/>
          <w:numId w:val="64"/>
        </w:numPr>
        <w:tabs>
          <w:tab w:val="left" w:pos="184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1. piemērs (kontu tur aģents). F ir saņēmis pilnvaru no U, kas ir persona, par kuru jāsniedz ziņojums, un tā pilnvaro F atvērt un turēt noguldījumu kontu U vārdā, veikt noguldījumus šajā kontā un izņemt finanšu līdzekļus no tā. Konta bilance kalendārajā gadā ir 100 000 USD. Finanšu iestādē, kas sniedz ziņojumus, F ir norādīts kā noguldījumu konta turētājs, taču, ņemot vērā, ka F tur kontu U vārdā kā tā aģents, F nav galīgo tiesību uz kontā esošajiem finanšu līdzekļiem. Tā kā tiek uzskatīts, ka noguldījumu konta turētājs ir U, kas ir persona, par kuru jāsniedz ziņojums, tad arī šis konts ir konts, par kuru jāsniedz ziņojums.</w:t>
      </w:r>
    </w:p>
    <w:p w14:paraId="6FC59ED7" w14:textId="77777777" w:rsidR="00DB30B8" w:rsidRPr="001B0491" w:rsidRDefault="00DB30B8" w:rsidP="00DB30B8">
      <w:pPr>
        <w:numPr>
          <w:ilvl w:val="1"/>
          <w:numId w:val="64"/>
        </w:numPr>
        <w:tabs>
          <w:tab w:val="left" w:pos="184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2. piemērs (kopīgi turēti konti). U, kas ir persona, par kuru jāsniedz ziņojums, tur noguldījumu kontu finanšu iestādē, kas sniedz ziņojumus. Konta bilance kalendārajā gadā ir 100 000 USD. Konts tiek turēts kopā ar A – privātpersonu, kas nav persona, par kuru jāsniedz ziņojums. Tā kā viens no kopīgā konta turētājiem ir persona, par kuru jāsniedz ziņojums, tad konts ir konts, par kuru jāsniedz ziņojums.</w:t>
      </w:r>
    </w:p>
    <w:p w14:paraId="0B6B81D7" w14:textId="77777777" w:rsidR="00DB30B8" w:rsidRPr="001B0491" w:rsidRDefault="00DB30B8" w:rsidP="00DB30B8">
      <w:pPr>
        <w:numPr>
          <w:ilvl w:val="1"/>
          <w:numId w:val="64"/>
        </w:numPr>
        <w:tabs>
          <w:tab w:val="left" w:pos="1843"/>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3. piemērs (kopīgi turēti konti). U un Q ir personas, par kurām jāsniedz ziņojums, un tās tur noguldījumu kontu finanšu iestādē, kas sniedz ziņojumus. Konta bilance kalendārajā gadā ir 100 000 USD. Konts ir konts, par kuru jāsniedz ziņojums, un U un Q ir uzskatāmi par konta turētājiem.</w:t>
      </w:r>
    </w:p>
    <w:p w14:paraId="3660BF97"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76" w:name="Subparagraph_E(2)_–_AML/KYC_Procedures"/>
      <w:bookmarkEnd w:id="176"/>
      <w:r w:rsidRPr="001B0491">
        <w:rPr>
          <w:rFonts w:ascii="Times New Roman" w:hAnsi="Times New Roman"/>
          <w:i/>
          <w:color w:val="616161"/>
          <w:sz w:val="24"/>
          <w:szCs w:val="24"/>
        </w:rPr>
        <w:t>E punkta 2. apakšpunkts. AML/KYC procedūras</w:t>
      </w:r>
    </w:p>
    <w:p w14:paraId="38A2DD52"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143. Atbilstoši E punkta 2. apakšpunktā sniegtajai definīcijai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procedūras” ir klientu pienācīgas pārbaudes procedūras, kuras finanšu iestāde, kas sniedz ziņojumus, veic saskaņā ar noziedzīgi iegūtu līdzekļu legalizācijas novēršanas vai līdzīgām prasībām, kuras jāievēro finanšu iestādei, kas sniedz ziņojumus (piemēram, “pazīsti savu klientu” noteikumi). Šajās procedūrās ietilpst klienta (tostarp klienta faktisko īpašnieku) identificēšana un identitātes pārbaude, konta veida un mērķa noskaidrošana un pastāvīga uzraudzība.</w:t>
      </w:r>
    </w:p>
    <w:p w14:paraId="5B1167FB"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77" w:name="Subparagraphs_E(3)_and_(4)_–_Entity_and_"/>
      <w:bookmarkEnd w:id="177"/>
      <w:r w:rsidRPr="001B0491">
        <w:rPr>
          <w:rFonts w:ascii="Times New Roman" w:hAnsi="Times New Roman"/>
          <w:i/>
          <w:color w:val="616161"/>
          <w:sz w:val="24"/>
          <w:szCs w:val="24"/>
        </w:rPr>
        <w:t>E punkta 3. un 4. apakšpunkts. Vienība un saistītā vienība</w:t>
      </w:r>
    </w:p>
    <w:p w14:paraId="45CEF62E"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144. E punkta 3. apakšpunktā noteikts, ka “vienība” ir juridiska persona vai juridisks veidojums. Papildus jebkuram juridiskam veidojumam šis termins ietver jebkuru personu, kas nav privātpersona (t. i., fiziska persona). Tādējādi termins “vienība” ietver, piemēram, korporāciju, personālsabiedrību, trastu, </w:t>
      </w:r>
      <w:r w:rsidRPr="001B0491">
        <w:rPr>
          <w:rFonts w:ascii="Times New Roman" w:hAnsi="Times New Roman"/>
          <w:i/>
          <w:iCs/>
          <w:sz w:val="24"/>
          <w:szCs w:val="24"/>
        </w:rPr>
        <w:t>fideicomiso</w:t>
      </w:r>
      <w:r w:rsidRPr="001B0491">
        <w:rPr>
          <w:rFonts w:ascii="Times New Roman" w:hAnsi="Times New Roman"/>
          <w:sz w:val="24"/>
          <w:szCs w:val="24"/>
        </w:rPr>
        <w:t>, fondu (</w:t>
      </w:r>
      <w:r w:rsidRPr="001B0491">
        <w:rPr>
          <w:rFonts w:ascii="Times New Roman" w:hAnsi="Times New Roman"/>
          <w:i/>
          <w:iCs/>
          <w:sz w:val="24"/>
          <w:szCs w:val="24"/>
        </w:rPr>
        <w:t>fondation</w:t>
      </w:r>
      <w:r w:rsidRPr="001B0491">
        <w:rPr>
          <w:rFonts w:ascii="Times New Roman" w:hAnsi="Times New Roman"/>
          <w:sz w:val="24"/>
          <w:szCs w:val="24"/>
        </w:rPr>
        <w:t xml:space="preserve">, </w:t>
      </w:r>
      <w:r w:rsidRPr="001B0491">
        <w:rPr>
          <w:rFonts w:ascii="Times New Roman" w:hAnsi="Times New Roman"/>
          <w:i/>
          <w:iCs/>
          <w:sz w:val="24"/>
          <w:szCs w:val="24"/>
        </w:rPr>
        <w:t>Stiftung</w:t>
      </w:r>
      <w:r w:rsidRPr="001B0491">
        <w:rPr>
          <w:rFonts w:ascii="Times New Roman" w:hAnsi="Times New Roman"/>
          <w:sz w:val="24"/>
          <w:szCs w:val="24"/>
        </w:rPr>
        <w:t xml:space="preserve">), sabiedrību, kooperatīvu, apvienību vai </w:t>
      </w:r>
      <w:r w:rsidRPr="001B0491">
        <w:rPr>
          <w:rFonts w:ascii="Times New Roman" w:hAnsi="Times New Roman"/>
          <w:i/>
          <w:iCs/>
          <w:sz w:val="24"/>
          <w:szCs w:val="24"/>
        </w:rPr>
        <w:t>asociación en participación</w:t>
      </w:r>
      <w:r w:rsidRPr="001B0491">
        <w:rPr>
          <w:rFonts w:ascii="Times New Roman" w:hAnsi="Times New Roman"/>
          <w:sz w:val="24"/>
          <w:szCs w:val="24"/>
        </w:rPr>
        <w:t>.</w:t>
      </w:r>
    </w:p>
    <w:p w14:paraId="2FC70F10" w14:textId="77777777" w:rsidR="00DB30B8" w:rsidRPr="001B0491" w:rsidRDefault="00DB30B8" w:rsidP="00DB30B8">
      <w:pPr>
        <w:tabs>
          <w:tab w:val="left" w:pos="940"/>
        </w:tabs>
        <w:spacing w:before="120"/>
        <w:jc w:val="both"/>
        <w:rPr>
          <w:rFonts w:ascii="Times New Roman" w:hAnsi="Times New Roman" w:cs="Times New Roman"/>
          <w:b/>
          <w:i/>
          <w:noProof/>
          <w:sz w:val="24"/>
          <w:szCs w:val="24"/>
          <w:u w:val="thick"/>
        </w:rPr>
      </w:pPr>
      <w:r w:rsidRPr="001B0491">
        <w:rPr>
          <w:rFonts w:ascii="Times New Roman" w:hAnsi="Times New Roman"/>
          <w:sz w:val="24"/>
          <w:szCs w:val="24"/>
        </w:rPr>
        <w:t xml:space="preserve">145. Saskaņā ar E punkta 4. apakšpunktu vienība ir citas vienības “saistītā vienība”, ja viena vienība kontrolē otru vienību vai ja abas vienības tiek kontrolētas kopīgi. Šajā nolūkā kontrole nozīmē tiešas vai netiešas īpašumtiesības uz vairāk nekā 50 % no vienības balsstiesībām vai vērtības. </w:t>
      </w:r>
      <w:r w:rsidRPr="001B0491">
        <w:rPr>
          <w:rFonts w:ascii="Times New Roman" w:hAnsi="Times New Roman"/>
          <w:b/>
          <w:i/>
          <w:sz w:val="24"/>
          <w:szCs w:val="24"/>
          <w:u w:val="thick"/>
        </w:rPr>
        <w:t>Šajā saistībā vienības tiek uzskatītas par saistītajām vienībām, ja tās ar vienu vai vairākām īpašumtiesību ķēdēm saista kopīga mātesvienība un ja šai kopīgajai mātesvienībai tieši pieder vairāk par 50 % akciju vai citas līdzdalības pašu kapitālā vismaz vienā no šīm citām vienībām. Ar īpašumtiesību ķēdi saprot vienas vai vairāku vienību īpašumtiesības uz vismaz 50 % vienības akciju kopējām balsstiesībām un vismaz 50 % vienības akciju kopvērtību, kā parādīts turpmāk sniegtajā piemērā.</w:t>
      </w:r>
    </w:p>
    <w:p w14:paraId="0299B62D" w14:textId="77777777" w:rsidR="00DB30B8" w:rsidRPr="001B0491" w:rsidRDefault="00DB30B8" w:rsidP="00135FA5">
      <w:pPr>
        <w:keepNext/>
        <w:keepLines/>
        <w:numPr>
          <w:ilvl w:val="1"/>
          <w:numId w:val="31"/>
        </w:numPr>
        <w:tabs>
          <w:tab w:val="left" w:pos="1985"/>
        </w:tabs>
        <w:spacing w:before="120"/>
        <w:ind w:left="568" w:hanging="284"/>
        <w:jc w:val="both"/>
        <w:rPr>
          <w:rFonts w:ascii="Times New Roman" w:hAnsi="Times New Roman" w:cs="Times New Roman"/>
          <w:b/>
          <w:i/>
          <w:noProof/>
          <w:sz w:val="24"/>
          <w:szCs w:val="24"/>
          <w:u w:val="thick"/>
        </w:rPr>
      </w:pPr>
      <w:r w:rsidRPr="001B0491">
        <w:rPr>
          <w:rFonts w:ascii="Times New Roman" w:hAnsi="Times New Roman"/>
          <w:b/>
          <w:i/>
          <w:sz w:val="24"/>
          <w:szCs w:val="24"/>
          <w:u w:val="single"/>
        </w:rPr>
        <w:lastRenderedPageBreak/>
        <w:t>Vienībai A pieder 51 % no vienības B kopējām balsstiesībām un 51 % akciju kopvērtības. Vienībai B savukārt pieder 51 % no vienības C kopējām balsstiesībām un 51 % akciju kopvērtības. Uzskatāms, ka vienība A un vienība C ir “saistītās vienības” saskaņā ar VIII panta E punkta 4. apakšpunktu, jo vienībai A tieši pieder vairāk par 50 % no vienības B kopējām balsstiesībām un vairāk par 50 % akciju kopvērtības, savukārt vienībai B tieši pieder vairāk par 50 % no vienības C kopējām balsstiesībām un vairāk par 50 % akciju kopvērtības. Tādējādi vienība A un vienība C ir saistītas ar īpašumtiesību ķēdēm.</w:t>
      </w:r>
      <w:r w:rsidRPr="001B0491">
        <w:rPr>
          <w:rFonts w:ascii="Times New Roman" w:hAnsi="Times New Roman"/>
          <w:b/>
          <w:i/>
          <w:sz w:val="24"/>
          <w:szCs w:val="24"/>
          <w:u w:val="thick"/>
        </w:rPr>
        <w:t xml:space="preserve"> Neatkarīgi no tā, ka vienībai A proporcionāli pieder tikai 26 % no vienības C akciju kopvērtības un balsstiesībām, vienība A un vienība C ir saistītās vienības.</w:t>
      </w:r>
    </w:p>
    <w:p w14:paraId="5DEE9C43" w14:textId="77777777" w:rsidR="00DB30B8" w:rsidRPr="001B0491" w:rsidRDefault="00DB30B8" w:rsidP="00DB30B8">
      <w:pPr>
        <w:spacing w:before="120"/>
        <w:ind w:firstLine="426"/>
        <w:jc w:val="both"/>
        <w:rPr>
          <w:rFonts w:ascii="Times New Roman" w:hAnsi="Times New Roman" w:cs="Times New Roman"/>
          <w:noProof/>
          <w:sz w:val="24"/>
          <w:szCs w:val="24"/>
        </w:rPr>
      </w:pPr>
      <w:r w:rsidRPr="001B0491">
        <w:rPr>
          <w:rFonts w:ascii="Times New Roman" w:hAnsi="Times New Roman"/>
          <w:sz w:val="24"/>
          <w:szCs w:val="24"/>
        </w:rPr>
        <w:t>Tam, vai vienība ir citas vienības saistītā vienība, ir būtiska nozīme saistībā ar konta bilances apkopošanas noteikumiem, kas izklāstīti VII panta C punktā, attiecībā uz D punkta 2. apakšpunkta ii) daļā noteiktā termina “persona, par kuru jāsniedz ziņojums” tvērumu un D punkta 9. apakšpunkta b) daļā izklāstīto kritēriju, kas nefinanšu vienībai jāizpilda, lai to varētu uzskatīt par aktīvu nefinanšu vienību.</w:t>
      </w:r>
    </w:p>
    <w:p w14:paraId="25ED8DDC"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78" w:name="Subparagraph_E(5)_–_TIN"/>
      <w:bookmarkEnd w:id="178"/>
      <w:r w:rsidRPr="001B0491">
        <w:rPr>
          <w:rFonts w:ascii="Times New Roman" w:hAnsi="Times New Roman"/>
          <w:i/>
          <w:color w:val="616161"/>
          <w:sz w:val="24"/>
          <w:szCs w:val="24"/>
        </w:rPr>
        <w:t>E punkta 5. apakšpunkts. TIN</w:t>
      </w:r>
    </w:p>
    <w:p w14:paraId="25680166"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146. Saskaņā ar E punkta 5. apakšpunktu </w:t>
      </w:r>
      <w:r w:rsidRPr="001B0491">
        <w:rPr>
          <w:rFonts w:ascii="Times New Roman" w:hAnsi="Times New Roman"/>
          <w:i/>
          <w:iCs/>
          <w:sz w:val="24"/>
          <w:szCs w:val="24"/>
        </w:rPr>
        <w:t>TIN</w:t>
      </w:r>
      <w:r w:rsidRPr="001B0491">
        <w:rPr>
          <w:rFonts w:ascii="Times New Roman" w:hAnsi="Times New Roman"/>
          <w:sz w:val="24"/>
          <w:szCs w:val="24"/>
        </w:rPr>
        <w:t xml:space="preserve"> ir nodokļu maksātāja identifikācijas numurs (vai funkcionālais ekvivalents, ja nav nodokļu maksātāja identifikācijas numura). Nodokļu maksātāja identifikācijas numurs ir unikāla burtu un ciparu kombinācija, ko jurisdikcija piešķir privātpersonai vai vienībai un izmanto, lai identificētu privātpersonu vai vienību ar šīs jurisdikcijas nodokļu tiesību aktu administrēšanu saistītām vajadzībām.</w:t>
      </w:r>
    </w:p>
    <w:p w14:paraId="220A5CAE"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147. </w:t>
      </w:r>
      <w:r w:rsidRPr="001B0491">
        <w:rPr>
          <w:rFonts w:ascii="Times New Roman" w:hAnsi="Times New Roman"/>
          <w:i/>
          <w:iCs/>
          <w:sz w:val="24"/>
          <w:szCs w:val="24"/>
        </w:rPr>
        <w:t>TIN</w:t>
      </w:r>
      <w:r w:rsidRPr="001B0491">
        <w:rPr>
          <w:rFonts w:ascii="Times New Roman" w:hAnsi="Times New Roman"/>
          <w:sz w:val="24"/>
          <w:szCs w:val="24"/>
        </w:rPr>
        <w:t xml:space="preserve"> var arī izmantot tādu nodokļu maksātāju identificēšanai, kas veic ieguldījumus citās jurisdikcijās. </w:t>
      </w:r>
      <w:r w:rsidRPr="001B0491">
        <w:rPr>
          <w:rFonts w:ascii="Times New Roman" w:hAnsi="Times New Roman"/>
          <w:i/>
          <w:iCs/>
          <w:sz w:val="24"/>
          <w:szCs w:val="24"/>
        </w:rPr>
        <w:t>TIN</w:t>
      </w:r>
      <w:r w:rsidRPr="001B0491">
        <w:rPr>
          <w:rFonts w:ascii="Times New Roman" w:hAnsi="Times New Roman"/>
          <w:sz w:val="24"/>
          <w:szCs w:val="24"/>
        </w:rPr>
        <w:t xml:space="preserve"> specifikācijas (t. i., struktūru, sintaksi u. c.) nosaka katras jurisdikcijas nodokļu administrācija. Dažās jurisdikcijās pat tiek izmantota atšķirīga </w:t>
      </w:r>
      <w:r w:rsidRPr="001B0491">
        <w:rPr>
          <w:rFonts w:ascii="Times New Roman" w:hAnsi="Times New Roman"/>
          <w:i/>
          <w:iCs/>
          <w:sz w:val="24"/>
          <w:szCs w:val="24"/>
        </w:rPr>
        <w:t>TIN</w:t>
      </w:r>
      <w:r w:rsidRPr="001B0491">
        <w:rPr>
          <w:rFonts w:ascii="Times New Roman" w:hAnsi="Times New Roman"/>
          <w:sz w:val="24"/>
          <w:szCs w:val="24"/>
        </w:rPr>
        <w:t xml:space="preserve"> struktūra attiecībā uz dažādiem nodokļiem vai dažādām nodokļu maksātāju kategorijām (piemēram, attiecībā uz rezidentiem un nerezidentiem).</w:t>
      </w:r>
    </w:p>
    <w:p w14:paraId="029242A7" w14:textId="77777777" w:rsidR="00DB30B8" w:rsidRPr="001B0491" w:rsidRDefault="00DB30B8" w:rsidP="00DB30B8">
      <w:pPr>
        <w:tabs>
          <w:tab w:val="left" w:pos="940"/>
        </w:tabs>
        <w:spacing w:before="120"/>
        <w:jc w:val="both"/>
        <w:rPr>
          <w:rFonts w:ascii="Times New Roman" w:hAnsi="Times New Roman" w:cs="Times New Roman"/>
          <w:b/>
          <w:i/>
          <w:noProof/>
          <w:color w:val="231F20"/>
          <w:sz w:val="24"/>
          <w:szCs w:val="24"/>
          <w:u w:val="thick" w:color="231F20"/>
        </w:rPr>
      </w:pPr>
      <w:r w:rsidRPr="001B0491">
        <w:rPr>
          <w:rFonts w:ascii="Times New Roman" w:hAnsi="Times New Roman"/>
          <w:sz w:val="24"/>
          <w:szCs w:val="24"/>
        </w:rPr>
        <w:t xml:space="preserve">148. Lai arī daudzas jurisdikcijas izmanto </w:t>
      </w:r>
      <w:r w:rsidRPr="001B0491">
        <w:rPr>
          <w:rFonts w:ascii="Times New Roman" w:hAnsi="Times New Roman"/>
          <w:i/>
          <w:iCs/>
          <w:sz w:val="24"/>
          <w:szCs w:val="24"/>
        </w:rPr>
        <w:t>TIN</w:t>
      </w:r>
      <w:r w:rsidRPr="001B0491">
        <w:rPr>
          <w:rFonts w:ascii="Times New Roman" w:hAnsi="Times New Roman"/>
          <w:sz w:val="24"/>
          <w:szCs w:val="24"/>
        </w:rPr>
        <w:t xml:space="preserve"> vajadzībām, kas saistītas ar personu vai uzņēmumu aplikšanu ar nodokļiem, dažas jurisdikcijas neizdod </w:t>
      </w:r>
      <w:r w:rsidRPr="001B0491">
        <w:rPr>
          <w:rFonts w:ascii="Times New Roman" w:hAnsi="Times New Roman"/>
          <w:i/>
          <w:iCs/>
          <w:sz w:val="24"/>
          <w:szCs w:val="24"/>
        </w:rPr>
        <w:t>TIN</w:t>
      </w:r>
      <w:r w:rsidRPr="001B0491">
        <w:rPr>
          <w:rFonts w:ascii="Times New Roman" w:hAnsi="Times New Roman"/>
          <w:sz w:val="24"/>
          <w:szCs w:val="24"/>
        </w:rPr>
        <w:t xml:space="preserve">. Tomēr šīs jurisdikcijas bieži izmanto kādu citu augstas integritātes numuru, kas nodrošina līdzvērtīgu identifikācijas līmeni (“funkcionālais ekvivalents”). Šādi numuri attiecībā uz privātpersonām ir, piemēram, sociālā nodrošinājuma/apdrošināšanas numurs, iedzīvotāja/personas identifikācijas/pakalpojuma kods/numurs un rezidenta reģistrācijas numurs; attiecībā uz vienībām – uzņēmuma/sabiedrības reģistrācijas kods/numurs. </w:t>
      </w:r>
      <w:r w:rsidRPr="001B0491">
        <w:rPr>
          <w:rFonts w:ascii="Times New Roman" w:hAnsi="Times New Roman"/>
          <w:b/>
          <w:i/>
          <w:color w:val="231F20"/>
          <w:sz w:val="24"/>
          <w:szCs w:val="24"/>
          <w:u w:val="thick" w:color="231F20"/>
        </w:rPr>
        <w:t>Turklāt dažas jurisdikcijas var arī piedāvāt valdības sniegtus verifikācijas pakalpojumus, ko izmanto, lai noskaidrotu konta turētāja vai kontrolējošās personas identitāti un nodokļu rezidenci. Šajā saistībā unikālais atsauces numurs, kods vai cits apstiprinājums, kuru saņēmusi finanšu iestāde, kas sniedz ziņojumus, attiecībā uz konta turētāju vai kontrolējošo personu, izmantojot valdības sniegtu verifikācijas pakalpojumu, ir arī TIN funkcionālais ekvivalents.</w:t>
      </w:r>
    </w:p>
    <w:p w14:paraId="4013A010"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 xml:space="preserve">149. Iesaistītajām jurisdikcijām būtu jāsniedz finanšu iestādēm, kas sniedz ziņojumus, informācija par nodokļu maksātāju identifikācijas numuru izdošanu, apkopošanu un, ciktāl tas praktiski iespējams, par to struktūru, citām specifikācijām </w:t>
      </w:r>
      <w:r w:rsidRPr="001B0491">
        <w:rPr>
          <w:rFonts w:ascii="Times New Roman" w:hAnsi="Times New Roman"/>
          <w:b/>
          <w:bCs/>
          <w:i/>
          <w:iCs/>
          <w:sz w:val="24"/>
          <w:szCs w:val="24"/>
          <w:u w:val="single"/>
        </w:rPr>
        <w:t>un to funkcionālajiem ekvivalentiem CRS vajadzībām.</w:t>
      </w:r>
      <w:r w:rsidRPr="001B0491">
        <w:rPr>
          <w:rFonts w:ascii="Times New Roman" w:hAnsi="Times New Roman"/>
          <w:sz w:val="24"/>
          <w:szCs w:val="24"/>
        </w:rPr>
        <w:t xml:space="preserve"> </w:t>
      </w:r>
      <w:r w:rsidRPr="001B0491">
        <w:rPr>
          <w:rFonts w:ascii="Times New Roman" w:hAnsi="Times New Roman"/>
          <w:i/>
          <w:iCs/>
          <w:sz w:val="24"/>
          <w:szCs w:val="24"/>
        </w:rPr>
        <w:t>OECD</w:t>
      </w:r>
      <w:r w:rsidRPr="001B0491">
        <w:rPr>
          <w:rFonts w:ascii="Times New Roman" w:hAnsi="Times New Roman"/>
          <w:sz w:val="24"/>
          <w:szCs w:val="24"/>
        </w:rPr>
        <w:t xml:space="preserve"> centīsies veicināt šādas informācijas izplatīšanu. Šāda informācija palīdzēs finanšu iestādēm, kas sniedz ziņojumus, vākt pareizus </w:t>
      </w:r>
      <w:r w:rsidRPr="001B0491">
        <w:rPr>
          <w:rFonts w:ascii="Times New Roman" w:hAnsi="Times New Roman"/>
          <w:i/>
          <w:iCs/>
          <w:sz w:val="24"/>
          <w:szCs w:val="24"/>
        </w:rPr>
        <w:t>TIN</w:t>
      </w:r>
      <w:r w:rsidRPr="001B0491">
        <w:rPr>
          <w:rFonts w:ascii="Times New Roman" w:hAnsi="Times New Roman"/>
          <w:sz w:val="24"/>
          <w:szCs w:val="24"/>
        </w:rPr>
        <w:t>.</w:t>
      </w:r>
    </w:p>
    <w:p w14:paraId="4BF063C6" w14:textId="77777777" w:rsidR="00DB30B8" w:rsidRPr="001B0491" w:rsidRDefault="00DB30B8" w:rsidP="00DB30B8">
      <w:pPr>
        <w:spacing w:before="120"/>
        <w:ind w:left="284"/>
        <w:outlineLvl w:val="7"/>
        <w:rPr>
          <w:rFonts w:ascii="Times New Roman" w:hAnsi="Times New Roman" w:cs="Times New Roman"/>
          <w:i/>
          <w:iCs/>
          <w:noProof/>
          <w:color w:val="616161"/>
          <w:sz w:val="24"/>
          <w:szCs w:val="24"/>
        </w:rPr>
      </w:pPr>
      <w:bookmarkStart w:id="179" w:name="Subparagraph_E(6)_–_Documentary_Evidence"/>
      <w:bookmarkEnd w:id="179"/>
      <w:r w:rsidRPr="001B0491">
        <w:rPr>
          <w:rFonts w:ascii="Times New Roman" w:hAnsi="Times New Roman"/>
          <w:i/>
          <w:color w:val="616161"/>
          <w:sz w:val="24"/>
          <w:szCs w:val="24"/>
        </w:rPr>
        <w:t>E punkta 6. apakšpunkts. Dokumentāri pierādījumi</w:t>
      </w:r>
    </w:p>
    <w:p w14:paraId="60308B3A"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150. E punkta 6. apakšpunktā noteikts, kas tiek uzskatīts par “dokumentāriem pierādījumiem” saistībā ar II–VII pantā izklāstītajām pienācīgas pārbaudes procedūrām. Par tādiem uzskata šādus dokumentus:</w:t>
      </w:r>
    </w:p>
    <w:p w14:paraId="415A2A47" w14:textId="77777777" w:rsidR="00DB30B8" w:rsidRPr="001B0491" w:rsidRDefault="00DB30B8" w:rsidP="00135FA5">
      <w:pPr>
        <w:keepNext/>
        <w:keepLines/>
        <w:tabs>
          <w:tab w:val="left" w:pos="941"/>
          <w:tab w:val="left" w:pos="943"/>
        </w:tabs>
        <w:spacing w:before="120"/>
        <w:ind w:left="568" w:hanging="284"/>
        <w:jc w:val="both"/>
        <w:rPr>
          <w:rFonts w:ascii="Times New Roman" w:hAnsi="Times New Roman" w:cs="Times New Roman"/>
          <w:noProof/>
          <w:color w:val="231F20"/>
          <w:sz w:val="24"/>
          <w:szCs w:val="24"/>
        </w:rPr>
      </w:pPr>
      <w:r w:rsidRPr="001B0491">
        <w:rPr>
          <w:rFonts w:ascii="Times New Roman" w:hAnsi="Times New Roman"/>
          <w:color w:val="231F20"/>
          <w:sz w:val="24"/>
          <w:szCs w:val="24"/>
        </w:rPr>
        <w:lastRenderedPageBreak/>
        <w:t>a) apliecību par rezidenta statusu, ko izdevusi tās jurisdikcijas pilnvarota pārvaldes struktūra (piemēram, valdība vai tās iestāde, vai pašvaldība), kurā pēc maksājumu saņēmēja apgalvojuma tas ir rezidents;</w:t>
      </w:r>
    </w:p>
    <w:p w14:paraId="3B14C973" w14:textId="77777777" w:rsidR="00DB30B8" w:rsidRPr="001B0491" w:rsidRDefault="00DB30B8" w:rsidP="00135FA5">
      <w:pPr>
        <w:keepNext/>
        <w:keepLines/>
        <w:tabs>
          <w:tab w:val="left" w:pos="941"/>
          <w:tab w:val="left" w:pos="943"/>
        </w:tabs>
        <w:spacing w:before="120"/>
        <w:ind w:left="568" w:hanging="284"/>
        <w:jc w:val="both"/>
        <w:rPr>
          <w:rFonts w:ascii="Times New Roman" w:hAnsi="Times New Roman" w:cs="Times New Roman"/>
          <w:noProof/>
          <w:color w:val="231F20"/>
          <w:sz w:val="24"/>
          <w:szCs w:val="24"/>
        </w:rPr>
      </w:pPr>
      <w:r w:rsidRPr="001B0491">
        <w:rPr>
          <w:rFonts w:ascii="Times New Roman" w:hAnsi="Times New Roman"/>
          <w:color w:val="231F20"/>
          <w:sz w:val="24"/>
          <w:szCs w:val="24"/>
        </w:rPr>
        <w:t>b) privātpersonas gadījumā – derīgu identifikācijas apliecību, ko izdevusi pilnvarota pārvaldes struktūra (piemēram, valdība vai tās</w:t>
      </w:r>
    </w:p>
    <w:p w14:paraId="27810A95" w14:textId="77777777" w:rsidR="00DB30B8" w:rsidRPr="001B0491" w:rsidRDefault="00DB30B8" w:rsidP="00DB30B8">
      <w:pPr>
        <w:tabs>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iestāde, vai pašvaldība), kurā norādīts personas vārds un uzvārds un kuru parasti izmanto personas identificēšanai;</w:t>
      </w:r>
    </w:p>
    <w:p w14:paraId="1C7FCCC0" w14:textId="77777777" w:rsidR="00DB30B8" w:rsidRPr="001B0491" w:rsidRDefault="00DB30B8" w:rsidP="00DB30B8">
      <w:pPr>
        <w:tabs>
          <w:tab w:val="left" w:pos="941"/>
          <w:tab w:val="left" w:pos="943"/>
        </w:tabs>
        <w:spacing w:before="120"/>
        <w:ind w:left="567" w:hanging="283"/>
        <w:jc w:val="both"/>
        <w:rPr>
          <w:rFonts w:ascii="Times New Roman" w:hAnsi="Times New Roman" w:cs="Times New Roman"/>
          <w:noProof/>
          <w:color w:val="231F20"/>
          <w:sz w:val="24"/>
          <w:szCs w:val="24"/>
        </w:rPr>
      </w:pPr>
      <w:r w:rsidRPr="001B0491">
        <w:rPr>
          <w:rFonts w:ascii="Times New Roman" w:hAnsi="Times New Roman"/>
          <w:color w:val="231F20"/>
          <w:sz w:val="24"/>
          <w:szCs w:val="24"/>
        </w:rPr>
        <w:t>c) vienības gadījumā – jebkuru oficiālu dokumentu, ko izdevusi pilnvarota pārvaldes struktūra (piemēram, valdība vai tās iestāde, vai pašvaldība), kurā norādīts vienības nosaukums un vai nu tās galvenā biroja adrese jursidikcijā, kurā pēc vienības apgalvojuma tā ir rezidents, vai jursidikcija, kurā vienība ir reģistrēta vai izveidota;</w:t>
      </w:r>
    </w:p>
    <w:p w14:paraId="6DDE9453" w14:textId="77777777" w:rsidR="00DB30B8" w:rsidRPr="001B0491" w:rsidRDefault="00DB30B8" w:rsidP="00DB30B8">
      <w:pPr>
        <w:tabs>
          <w:tab w:val="left" w:pos="941"/>
        </w:tabs>
        <w:spacing w:before="120"/>
        <w:ind w:left="567" w:hanging="283"/>
        <w:rPr>
          <w:rFonts w:ascii="Times New Roman" w:hAnsi="Times New Roman" w:cs="Times New Roman"/>
          <w:noProof/>
          <w:color w:val="231F20"/>
          <w:sz w:val="24"/>
          <w:szCs w:val="24"/>
        </w:rPr>
      </w:pPr>
      <w:r w:rsidRPr="001B0491">
        <w:rPr>
          <w:rFonts w:ascii="Times New Roman" w:hAnsi="Times New Roman"/>
          <w:color w:val="231F20"/>
          <w:sz w:val="24"/>
          <w:szCs w:val="24"/>
        </w:rPr>
        <w:t>d) jebkādu revidētu finanšu pārskatu, trešo personu sniegtu kredītziņojumu, bankrota pieteikumu vai vērtspapīru regulatora ziņojumu.</w:t>
      </w:r>
    </w:p>
    <w:p w14:paraId="0EED254C"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151. Lai arī finanšu iestāde, kas sniedz ziņojumus, var paļauties uz dokumentāriem pierādījumiem, ja vien tai nav zināms vai nav pamata zināt, ka šādi pierādījumi ir nepareizi vai neuzticami (skat. komentāru par VII pantu 2.–3. punktu), no pieejamajiem pierādījumiem tai ir jāizmanto jaunākie vai detalizētākie dokumentārie pierādījumi.</w:t>
      </w:r>
    </w:p>
    <w:p w14:paraId="3ABC92E0"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152. E punkta 6. apakšpunkta a) daļā minēta apliecība par rezidenta statusu, ko izdevusi tās jurisdikcijas pilnvarota pārvaldes struktūra, kurā pēc maksājumu saņēmēja apgalvojuma tas ir rezidents. Šādas apliecības piemēri ir rezidenta apliecība nodokļu aprēķina vajadzībām (kurā norādīts, piemēram, tas, ka konta turētājs ir aizpildījis savu jaunāko ienākumu nodokļa deklarāciju kā šīs jurisdikcijas rezidents), pilnvarotas jurisdikcijas pārvaldes struktūras publicēta informācija par rezidentiem, piemēram, nodokļu administrācijas publicēts saraksts, kurā norādīti nodokļu maksātāju vārdi, uzvārdi vai nosaukumi un rezidenta statuss, kā arī informācija par rezidentiem publiski pieejamā reģistrā, ko uztur vai sankcionējusi pilnvarota jurisdikcijas pārvaldes struktūra, piemēram, nodokļu administrācijas uzturētā reģistrā.</w:t>
      </w:r>
    </w:p>
    <w:p w14:paraId="6F5B730A"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153. Viena no E punkta 6. apakšpunkta c) daļā noteiktajām prasībām paredz, ka oficiālajā dokumentācijā jābūt norādītam vienības galvenajam birojam tajā jursidikcijā, kurā saskaņā ar tās apgalvojumu tai ir rezidenta statuss, vai jursidikcijā, kurā vienība tika reģistrēta vai izveidota. Vienības galvenā biroja adrese parasti ir vieta, kur atrodas tās faktiskā vadība (skat. iepriekš 109. punktu). Tās finanšu iestādes adrese, kurā vienībai ir konts, pasta abonenta kastīte vai adrese, kas tiek izmantota vienīgi pasta sūtījumiem, nav vienības galvenā biroja adrese, ja vien šāda adrese nav vienīgā vienības izmantotā adrese un tā nav norādīta vienības dibināšanas dokumentos kā vienības juridiskā adrese. Turklāt vienības galvenā biroja adrese nav arī adrese, kas ir minēta norādījumos par visu pasta sūtījumu adresēšanu uz šo adresi.</w:t>
      </w:r>
    </w:p>
    <w:p w14:paraId="22593468" w14:textId="77777777" w:rsidR="00DB30B8" w:rsidRPr="001B0491" w:rsidRDefault="00DB30B8" w:rsidP="00DB30B8">
      <w:pPr>
        <w:tabs>
          <w:tab w:val="left" w:pos="940"/>
        </w:tabs>
        <w:spacing w:before="120"/>
        <w:jc w:val="both"/>
        <w:rPr>
          <w:rFonts w:ascii="Times New Roman" w:hAnsi="Times New Roman" w:cs="Times New Roman"/>
          <w:noProof/>
          <w:color w:val="231F20"/>
          <w:sz w:val="24"/>
          <w:szCs w:val="24"/>
        </w:rPr>
      </w:pPr>
      <w:r w:rsidRPr="001B0491">
        <w:rPr>
          <w:rFonts w:ascii="Times New Roman" w:hAnsi="Times New Roman"/>
          <w:sz w:val="24"/>
          <w:szCs w:val="24"/>
        </w:rPr>
        <w:t xml:space="preserve">154. Pamatojoties uz spēkā esošo praksi, iepriekšpastāvējuša vienības konta gadījumā katra jursidikcija var ļaut finanšu iestādēm, kas sniedz ziņojumus, kā dokumentāru pierādījumu izmantot jebkuru klasifikāciju attiecībā uz konta turētāju, ko šī finanšu iestāde noteikusi savos reģistrētajos datos, pamatojoties uz standartizētu nozares kodēšanas sistēmu, un ko tā reģistrējusi atbilstīgi savai parastajai darbības praksei ar </w:t>
      </w:r>
      <w:r w:rsidRPr="001B0491">
        <w:rPr>
          <w:rFonts w:ascii="Times New Roman" w:hAnsi="Times New Roman"/>
          <w:i/>
          <w:iCs/>
          <w:sz w:val="24"/>
          <w:szCs w:val="24"/>
        </w:rPr>
        <w:t>AML</w:t>
      </w:r>
      <w:r w:rsidRPr="001B0491">
        <w:rPr>
          <w:rFonts w:ascii="Times New Roman" w:hAnsi="Times New Roman"/>
          <w:sz w:val="24"/>
          <w:szCs w:val="24"/>
        </w:rPr>
        <w:t>/</w:t>
      </w:r>
      <w:r w:rsidRPr="001B0491">
        <w:rPr>
          <w:rFonts w:ascii="Times New Roman" w:hAnsi="Times New Roman"/>
          <w:i/>
          <w:iCs/>
          <w:sz w:val="24"/>
          <w:szCs w:val="24"/>
        </w:rPr>
        <w:t>KYC</w:t>
      </w:r>
      <w:r w:rsidRPr="001B0491">
        <w:rPr>
          <w:rFonts w:ascii="Times New Roman" w:hAnsi="Times New Roman"/>
          <w:sz w:val="24"/>
          <w:szCs w:val="24"/>
        </w:rPr>
        <w:t xml:space="preserve"> procedūrām saistītām vajadzībām vai citām regulatīvām vajadzībām (izņemot ar nodokļiem saistītām vajadzībām), kā arī ko tā ieviesusi pirms datuma, kurš izmantots tam, lai finanšu kontu klasificētu kā iepriekšpastāvējušu kontu, ja vien finanšu iestāde, kas sniedz ziņojumus, nezina vai tai nav pamats zināt, ka šāda klasifikācija ir nepareiza vai neuzticama.</w:t>
      </w:r>
      <w:r w:rsidRPr="001B0491">
        <w:rPr>
          <w:rFonts w:ascii="Times New Roman" w:hAnsi="Times New Roman"/>
          <w:color w:val="231F20"/>
          <w:sz w:val="24"/>
          <w:szCs w:val="24"/>
        </w:rPr>
        <w:t xml:space="preserve"> “Standartizēta nozares kodēšanas sistēma” ir kodēšanas sistēma, kas tiek izmantota, lai klasificētu nodibinājumus pēc uzņēmējdarbības veida ar nodokļiem nesaistītām vajadzībām. Standartizētas nozares kodēšanas sistēmas piemēri ir Apvienoto Nāciju Organizācijas Starptautiskā standartizētā visu ekonomiskās darbības veidu klasifikācija (</w:t>
      </w:r>
      <w:r w:rsidRPr="001B0491">
        <w:rPr>
          <w:rFonts w:ascii="Times New Roman" w:hAnsi="Times New Roman"/>
          <w:i/>
          <w:iCs/>
          <w:color w:val="231F20"/>
          <w:sz w:val="24"/>
          <w:szCs w:val="24"/>
        </w:rPr>
        <w:t>ISIC</w:t>
      </w:r>
      <w:r w:rsidRPr="001B0491">
        <w:rPr>
          <w:rFonts w:ascii="Times New Roman" w:hAnsi="Times New Roman"/>
          <w:color w:val="231F20"/>
          <w:sz w:val="24"/>
          <w:szCs w:val="24"/>
        </w:rPr>
        <w:t xml:space="preserve">), Saimniecisko darbību statistiskā klasifikācija </w:t>
      </w:r>
      <w:r w:rsidRPr="001B0491">
        <w:rPr>
          <w:rFonts w:ascii="Times New Roman" w:hAnsi="Times New Roman"/>
          <w:color w:val="231F20"/>
          <w:sz w:val="24"/>
          <w:szCs w:val="24"/>
        </w:rPr>
        <w:lastRenderedPageBreak/>
        <w:t>Eiropas Kopienā (</w:t>
      </w:r>
      <w:r w:rsidRPr="001B0491">
        <w:rPr>
          <w:rFonts w:ascii="Times New Roman" w:hAnsi="Times New Roman"/>
          <w:i/>
          <w:iCs/>
          <w:color w:val="231F20"/>
          <w:sz w:val="24"/>
          <w:szCs w:val="24"/>
        </w:rPr>
        <w:t>NACE</w:t>
      </w:r>
      <w:r w:rsidRPr="001B0491">
        <w:rPr>
          <w:rFonts w:ascii="Times New Roman" w:hAnsi="Times New Roman"/>
          <w:color w:val="231F20"/>
          <w:sz w:val="24"/>
          <w:szCs w:val="24"/>
        </w:rPr>
        <w:t>) un Ziemeļamerikas Ražošanas klasifikāciju sistēma (</w:t>
      </w:r>
      <w:r w:rsidRPr="001B0491">
        <w:rPr>
          <w:rFonts w:ascii="Times New Roman" w:hAnsi="Times New Roman"/>
          <w:i/>
          <w:iCs/>
          <w:color w:val="231F20"/>
          <w:sz w:val="24"/>
          <w:szCs w:val="24"/>
        </w:rPr>
        <w:t>NAICS</w:t>
      </w:r>
      <w:r w:rsidRPr="001B0491">
        <w:rPr>
          <w:rFonts w:ascii="Times New Roman" w:hAnsi="Times New Roman"/>
          <w:color w:val="231F20"/>
          <w:sz w:val="24"/>
          <w:szCs w:val="24"/>
        </w:rPr>
        <w:t>).</w:t>
      </w:r>
    </w:p>
    <w:p w14:paraId="533C314D" w14:textId="77777777" w:rsidR="00DB30B8" w:rsidRPr="001B0491" w:rsidRDefault="00DB30B8" w:rsidP="00DB30B8">
      <w:pPr>
        <w:spacing w:before="120"/>
        <w:ind w:left="284"/>
        <w:rPr>
          <w:rFonts w:ascii="Times New Roman" w:hAnsi="Times New Roman" w:cs="Times New Roman"/>
          <w:noProof/>
          <w:sz w:val="24"/>
          <w:szCs w:val="24"/>
        </w:rPr>
      </w:pPr>
      <w:bookmarkStart w:id="180" w:name="Requirements_for_validity_of_Documentary"/>
      <w:bookmarkEnd w:id="180"/>
      <w:r w:rsidRPr="001B0491">
        <w:rPr>
          <w:rFonts w:ascii="Times New Roman" w:hAnsi="Times New Roman"/>
          <w:sz w:val="24"/>
          <w:szCs w:val="24"/>
        </w:rPr>
        <w:t>Prasības attiecībā uz dokumentāro pierādījumu derīgumu</w:t>
      </w:r>
    </w:p>
    <w:p w14:paraId="473C47AA"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155. Dokumentāro pierādījumu, kurā norādīts derīguma termiņš, var uzskatīt par derīgu līdz šāda derīguma termiņa beigām vai līdz pēdējai dienai piektajā kalendārajā gadā pēc tā gada, kad dokumentārais pierādījums tika sniegts finanšu iestādei, kas sniedz ziņojumus, piemērojot vēlāko no šiem diviem datumiem. Tomēr tiek uzskatīts, ka turpmāk minētajiem dokumentārajiem pierādījumiem nav derīguma termiņa:</w:t>
      </w:r>
    </w:p>
    <w:p w14:paraId="6E9625CA" w14:textId="77777777" w:rsidR="00DB30B8" w:rsidRPr="001B0491" w:rsidRDefault="00DB30B8" w:rsidP="00DB30B8">
      <w:pPr>
        <w:numPr>
          <w:ilvl w:val="1"/>
          <w:numId w:val="65"/>
        </w:numPr>
        <w:tabs>
          <w:tab w:val="left" w:pos="1985"/>
        </w:tabs>
        <w:spacing w:before="120"/>
        <w:ind w:left="567" w:hanging="283"/>
        <w:jc w:val="both"/>
        <w:rPr>
          <w:rFonts w:ascii="Times New Roman" w:hAnsi="Times New Roman" w:cs="Times New Roman"/>
          <w:noProof/>
          <w:sz w:val="24"/>
          <w:szCs w:val="24"/>
        </w:rPr>
      </w:pPr>
      <w:r w:rsidRPr="001B0491">
        <w:rPr>
          <w:rFonts w:ascii="Times New Roman" w:hAnsi="Times New Roman"/>
          <w:sz w:val="24"/>
          <w:szCs w:val="24"/>
        </w:rPr>
        <w:t>pilnvarotas pārvaldes struktūras izdotiem dokumentāriem pierādījumiem (piemēram, pasēm);</w:t>
      </w:r>
    </w:p>
    <w:p w14:paraId="113498D7" w14:textId="77777777" w:rsidR="00DB30B8" w:rsidRPr="001B0491" w:rsidRDefault="00DB30B8" w:rsidP="00DB30B8">
      <w:pPr>
        <w:numPr>
          <w:ilvl w:val="1"/>
          <w:numId w:val="65"/>
        </w:numPr>
        <w:tabs>
          <w:tab w:val="left" w:pos="1985"/>
        </w:tabs>
        <w:spacing w:before="120"/>
        <w:ind w:left="567" w:hanging="283"/>
        <w:rPr>
          <w:rFonts w:ascii="Times New Roman" w:hAnsi="Times New Roman" w:cs="Times New Roman"/>
          <w:noProof/>
          <w:sz w:val="24"/>
          <w:szCs w:val="24"/>
        </w:rPr>
      </w:pPr>
      <w:r w:rsidRPr="001B0491">
        <w:rPr>
          <w:rFonts w:ascii="Times New Roman" w:hAnsi="Times New Roman"/>
          <w:sz w:val="24"/>
          <w:szCs w:val="24"/>
        </w:rPr>
        <w:t>dokumentāriem pierādījumiem, kas parasti netiek atjaunināti vai grozīti (piemēram, reģistrācijas apliecībai);</w:t>
      </w:r>
    </w:p>
    <w:p w14:paraId="29D83DA8" w14:textId="77777777" w:rsidR="00DB30B8" w:rsidRPr="001B0491" w:rsidRDefault="00DB30B8" w:rsidP="00DB30B8">
      <w:pPr>
        <w:numPr>
          <w:ilvl w:val="1"/>
          <w:numId w:val="65"/>
        </w:numPr>
        <w:tabs>
          <w:tab w:val="left" w:pos="1985"/>
        </w:tabs>
        <w:spacing w:before="120"/>
        <w:ind w:left="567" w:hanging="283"/>
        <w:rPr>
          <w:rFonts w:ascii="Times New Roman" w:hAnsi="Times New Roman" w:cs="Times New Roman"/>
          <w:noProof/>
          <w:sz w:val="24"/>
          <w:szCs w:val="24"/>
        </w:rPr>
      </w:pPr>
      <w:r w:rsidRPr="001B0491">
        <w:rPr>
          <w:rFonts w:ascii="Times New Roman" w:hAnsi="Times New Roman"/>
          <w:sz w:val="24"/>
          <w:szCs w:val="24"/>
        </w:rPr>
        <w:t>dokumentāriem pierādījumiem, kurus sniegusi finanšu iestāde, kas nesniedz ziņojumus, vai persona jursidikcijā, par kuru jāsniedz ziņojums, kas pati nav persona, par kuru jāsniedz ziņojums.</w:t>
      </w:r>
    </w:p>
    <w:p w14:paraId="67C22FCB" w14:textId="77777777" w:rsidR="00DB30B8" w:rsidRPr="001B0491" w:rsidRDefault="00DB30B8" w:rsidP="00DB30B8">
      <w:pPr>
        <w:spacing w:before="120"/>
        <w:ind w:firstLine="426"/>
        <w:jc w:val="both"/>
        <w:rPr>
          <w:rFonts w:ascii="Times New Roman" w:hAnsi="Times New Roman" w:cs="Times New Roman"/>
          <w:noProof/>
          <w:sz w:val="24"/>
          <w:szCs w:val="24"/>
        </w:rPr>
      </w:pPr>
      <w:r w:rsidRPr="001B0491">
        <w:rPr>
          <w:rFonts w:ascii="Times New Roman" w:hAnsi="Times New Roman"/>
          <w:sz w:val="24"/>
          <w:szCs w:val="24"/>
        </w:rPr>
        <w:t>Visi pārējie dokumentārie pierādījumi ir spēkā līdz pēdējai dienai piektajā kalendārajā gadā pēc tā gada, kad attiecīgais dokumentārais pierādījums tika sniegts finanšu iestādei, kas sniedz ziņojumus.</w:t>
      </w:r>
    </w:p>
    <w:p w14:paraId="1FB06FD1"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156. Neatkarīgi no derīguma termiņiem finanšu iestāde, kas sniedz ziņojumus, saskaņā ar VII panta A punktu nevar paļauties uz dokumentāro pierādījumu, ja tā zina vai tai ir pamats zināt, ka dokumentārais pierādījums ir nepareizs vai neuzticams (piemēram, jo notikušas izmaiņas apstākļos, kuru dēļ dokumentācijā sniegtā informācija vairs neatbilst patiesībai). Tāpēc finanšu iestādei, kas sniedz ziņojumus, būtu jāievieš procedūras, ar kurām nodrošina, ka finanšu iestāde, kas sniedz ziņojumus, identificē jebkurus grozījumus klienta pamatdatnē, kas uzskatāmi par apstākļu maiņu (skat. komentāru par I pantu 26. punktu un komentāru par III pantu 17. punktu). Turklāt finanšu iestādei, kas sniedz ziņojumus, ir jāpaziņo personai, kas sniedz dokumentāciju, par personas pienākumu informēt finanšu iestādi, kas sniedz ziņojumus, par apstākļu maiņu.</w:t>
      </w:r>
    </w:p>
    <w:p w14:paraId="4EBE5C13"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157. Finanšu iestāde, kas sniedz ziņojumus, var saglabāt dokumentārā pierādījuma oriģināleksemplāru, apliecinātu norakstu vai fotokopiju (tostarp mikrofišu, elektronisku skenējumu vai līdzīgu elektroniski saglabātu līdzekli) vai vismaz notāciju par izskatītās dokumentācijas veidu, dokumentācijas izskatīšanas datumu un dokumenta identifikācijas numuru (ja tāds pastāv) (piemēram, pases numurs). Visa elektroniski glabātā dokumentācija jādara pieejama cietās kopijas veidā, ja tas tiek pieprasīts.</w:t>
      </w:r>
    </w:p>
    <w:p w14:paraId="77DF12C0"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158. Finanšu iestāde, kas sniedz ziņojumus, var pieņemt dokumentāro pierādījumu elektronisku kopiju, ja elektroniskā sistēma nodrošina, ka saņemtā informācija ir tā pati informācija, kas tika nosūtīta, un dokumentē visus lietotāju piekļuves gadījumus, kad dokumentārie pierādījumi tiek iesniegti, atjaunināti vai grozīti. Turklāt elektroniskajai sistēmai, tostarp piekļuves procedūrām, jābūt izstrādātai un jādarbojas tā, lai nodrošinātu, ka sistēmai piekļūst un dokumentāros pierādījumus sniedz tā pati persona, kura ir norādīta šajos dokumentārajos pierādījumos.</w:t>
      </w:r>
    </w:p>
    <w:p w14:paraId="43DF4563"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159. Kopumā finanšu iestādei, kura sniedz ziņojumus un kurā klients var atvērt kontu, dokumentārie pierādījumi ir jāiegūst par katru kontu atsevišķi. Tomēr finanšu iestāde, kas sniedz ziņojumus, var paļauties uz dokumentārajiem pierādījumiem, ko klients sniedzis attiecībā uz citu kontu, ja abi konti uzskatāmi par vienu finanšu kontu saistībā ar VII panta A punktā izklāstīto zināšanu prasību standartu izpildi.</w:t>
      </w:r>
    </w:p>
    <w:p w14:paraId="6775C7B2" w14:textId="77777777" w:rsidR="00DB30B8" w:rsidRPr="001B0491" w:rsidRDefault="00DB30B8" w:rsidP="00135FA5">
      <w:pPr>
        <w:keepNext/>
        <w:keepLines/>
        <w:spacing w:before="120"/>
        <w:ind w:left="284"/>
        <w:rPr>
          <w:rFonts w:ascii="Times New Roman" w:hAnsi="Times New Roman" w:cs="Times New Roman"/>
          <w:noProof/>
          <w:sz w:val="24"/>
          <w:szCs w:val="24"/>
        </w:rPr>
      </w:pPr>
      <w:bookmarkStart w:id="181" w:name="Documentation_collected_by_other_persons"/>
      <w:bookmarkEnd w:id="181"/>
      <w:r w:rsidRPr="001B0491">
        <w:rPr>
          <w:rFonts w:ascii="Times New Roman" w:hAnsi="Times New Roman"/>
          <w:sz w:val="24"/>
          <w:szCs w:val="24"/>
        </w:rPr>
        <w:lastRenderedPageBreak/>
        <w:t>Citu personu savākta dokumentācija</w:t>
      </w:r>
    </w:p>
    <w:p w14:paraId="2C7AE49C" w14:textId="77777777" w:rsidR="00DB30B8" w:rsidRPr="001B0491" w:rsidRDefault="00DB30B8" w:rsidP="00135FA5">
      <w:pPr>
        <w:keepNext/>
        <w:keepLines/>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160. Atbilstoši II panta D punktam iesaistītā jursidikcija var ļaut finanšu iestādei, kas sniedz ziņojumus, izmantot pakalpojumu sniedzējus, lai izpildītu tās ziņošanas un pienācīgas pārbaudes prasības. Šādā gadījumā finanšu iestāde, kas sniedz ziņojumus, var izmantot pakalpojumu sniedzēju (piemēram, datu sniedzēju, finanšu konsultantu, apdrošināšanas aģentu) savākto dokumentāciju atbilstīgi valsts tiesību aktu nosacījumiem. Tomēr finanšu iestāde, kas sniedz ziņojumus, saglabā atbildību par ziņošanas un pienācīgas pārbaudes pienākumu izpildi.</w:t>
      </w:r>
    </w:p>
    <w:p w14:paraId="01A11290"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161. Finanšu iestāde, kas sniedz ziņojumus, var paļauties uz tās aģenta (tostarp kopieguldījumu fonda, riska ieguldījumu fonda vai privāta kapitāla grupas gadījumā – uz fonda konsultanta) savāktu dokumentāciju. Aģents var saglabāt dokumentāciju informācijas sistēmā, kas tiek uzturēta vienas vai vairāku finanšu iestāžu, kas sniedz ziņojumus, vajadzībām, ja šajā sistēmā jebkura finanšu iestāde, kura sniedz ziņojumus un kuras vārdā aģents glabā dokumentāciju, spēj viegli piekļūt datiem par dokumentācijas raksturu, dokumentācijā iekļauto informāciju (tostarp pašas dokumentācijas kopijai) un informācijai par tās derīgumu, un tai jāļauj šādai finanšu iestādei ērti nosūtīt datus, darot to tieši elektroniskajā sistēmā vai sniedzot šādu informāciju aģentam, par jebkuriem faktiem, kas tai kļūst zināmi un var ietekmēt dokumentācijas uzticamību. Finanšu iestādei, kas sniedz ziņojumus, jāspēj noskaidrot, ciktāl tas nepieciešams, kā un kad tā nosūtījusi datus par jebkuriem faktiem, kas tai kļuva zināmi un var ietekmēt dokumentācijas uzticamību, un jāspēj pārliecināties par to, ka jebkuri dati, ko tā nosūtījusi, ir apstrādāti un ka attiecībā uz dokumentācijas derīgumu ir piemērota atbilstīga pienācīga pārbaude. Aģentam jābūt ieviestai sistēmai, lai nodrošinātu, ka jebkura informācija, ko tas saņem par faktiem, kuri ietekmē dokumentācijas uzticamību vai klientam piešķirto statusu, tiek sniegta visām finanšu iestādēm, kuras sniedz ziņojumus un kuru vajadzībām aģents glabā šo dokumentāciju.</w:t>
      </w:r>
    </w:p>
    <w:p w14:paraId="1B51C248" w14:textId="77777777" w:rsidR="00DB30B8" w:rsidRPr="001B0491" w:rsidRDefault="00DB30B8" w:rsidP="00DB30B8">
      <w:pPr>
        <w:tabs>
          <w:tab w:val="left" w:pos="940"/>
        </w:tabs>
        <w:spacing w:before="120"/>
        <w:jc w:val="both"/>
        <w:rPr>
          <w:rFonts w:ascii="Times New Roman" w:hAnsi="Times New Roman" w:cs="Times New Roman"/>
          <w:noProof/>
          <w:sz w:val="24"/>
          <w:szCs w:val="24"/>
        </w:rPr>
      </w:pPr>
      <w:r w:rsidRPr="001B0491">
        <w:rPr>
          <w:rFonts w:ascii="Times New Roman" w:hAnsi="Times New Roman"/>
          <w:sz w:val="24"/>
          <w:szCs w:val="24"/>
        </w:rPr>
        <w:t>162. Finanšu iestādei, kas sniedz ziņojumus un kas saņem kontu no sava priekšgājēja vai tiesību nodevēja kontu apvienošanas vai vairumiepirkuma gadījumā, parasti ir atļauts izmantot derīgu dokumentāciju (vai derīgas dokumentācijas kopijas), ko savācis tās priekšgājējs vai tiesību nodevējs. Turklāt finanšu iestādei, kas sniedz ziņojumus un kas saņem kontu apvienošanas vai vairumiepirkuma gadījumā no citas finanšu iestādes, kas sniedz ziņojumus un kas ir izpildījusi visas II–IV pantā noteiktās pienācīgas pārbaudes prasības attiecībā uz nodotajiem kontiem, parasti drīkst paļauties uz priekšgājēja vai tiesību nodevēja noteikto konta turētāja statusu līdz brīdim, kad tai kļūst zināms vai ir pamats zināt, ka šis statuss ir nepareizs vai ir mainījušies apstākļi (skat. komentāru par III pantu 17. punktu).</w:t>
      </w:r>
    </w:p>
    <w:p w14:paraId="2A96FED4" w14:textId="77777777" w:rsidR="00DB30B8" w:rsidRPr="001B0491" w:rsidRDefault="00DB30B8" w:rsidP="00DB30B8">
      <w:pPr>
        <w:spacing w:before="120"/>
        <w:ind w:left="284"/>
        <w:outlineLvl w:val="6"/>
        <w:rPr>
          <w:rFonts w:ascii="Times New Roman" w:hAnsi="Times New Roman" w:cs="Times New Roman"/>
          <w:b/>
          <w:bCs/>
          <w:i/>
          <w:iCs/>
          <w:noProof/>
          <w:color w:val="616161"/>
          <w:sz w:val="24"/>
          <w:szCs w:val="24"/>
          <w:u w:val="thick" w:color="616161"/>
        </w:rPr>
      </w:pPr>
      <w:bookmarkStart w:id="182" w:name="Subparagraph_E(7)_–_Government_Verificat"/>
      <w:bookmarkEnd w:id="182"/>
      <w:r w:rsidRPr="001B0491">
        <w:rPr>
          <w:rFonts w:ascii="Times New Roman" w:hAnsi="Times New Roman"/>
          <w:b/>
          <w:i/>
          <w:color w:val="616161"/>
          <w:sz w:val="24"/>
          <w:szCs w:val="24"/>
          <w:u w:val="thick" w:color="616161"/>
        </w:rPr>
        <w:t>E punkta 7. apakšpunkts. Valdības verifikācijas pakalpojums</w:t>
      </w:r>
    </w:p>
    <w:p w14:paraId="7DBAD29B" w14:textId="77777777" w:rsidR="00DB30B8" w:rsidRPr="001B0491" w:rsidRDefault="00DB30B8" w:rsidP="00DB30B8">
      <w:pPr>
        <w:tabs>
          <w:tab w:val="left" w:pos="607"/>
        </w:tabs>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163. E punkta 7. apakšpunktā “valdības verifikācijas pakalpojums” ir definēts kā elektronisks process, ko jurisdikcija, par kuru jāsniedz ziņojums, dara pieejamu finanšu iestādei, kas sniedz ziņojumus, lai pārliecinātos par konta turētāja vai kontrolējošās personas identitāti un rezidenci nodokļu vajadzībām.</w:t>
      </w:r>
    </w:p>
    <w:p w14:paraId="032E86BA" w14:textId="77777777" w:rsidR="00DB30B8" w:rsidRPr="001B0491" w:rsidRDefault="00DB30B8" w:rsidP="00DB30B8">
      <w:pPr>
        <w:tabs>
          <w:tab w:val="left" w:pos="607"/>
        </w:tabs>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164. Šādi pakalpojumi var būt lietojumprogrammas saskarnes (API) lietojums un citi risinājumi, kurus atļāvusi valdība un kuri ļauj finanšu iestādei, kas sniedz ziņojumus, apstiprināt konta turētāja vai kontrolējošās personas identitāti un nodokļu rezidenci.</w:t>
      </w:r>
    </w:p>
    <w:p w14:paraId="2AF33390" w14:textId="77777777" w:rsidR="00DB30B8" w:rsidRPr="001B0491" w:rsidRDefault="00DB30B8" w:rsidP="00DB30B8">
      <w:pPr>
        <w:tabs>
          <w:tab w:val="left" w:pos="607"/>
        </w:tabs>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 xml:space="preserve">165. </w:t>
      </w:r>
      <w:r w:rsidRPr="001B0491">
        <w:rPr>
          <w:rFonts w:ascii="Times New Roman" w:hAnsi="Times New Roman"/>
          <w:b/>
          <w:i/>
          <w:sz w:val="24"/>
          <w:szCs w:val="24"/>
          <w:u w:val="single"/>
        </w:rPr>
        <w:t>Ja nodokļu administrācija izvēlas identificēt konta turētājus vai kontrolējošās personas, pamatojoties uz lietojumprogrammas saskarnes (</w:t>
      </w:r>
      <w:r w:rsidRPr="001B0491">
        <w:rPr>
          <w:rFonts w:ascii="Times New Roman" w:hAnsi="Times New Roman"/>
          <w:b/>
          <w:i/>
          <w:iCs/>
          <w:sz w:val="24"/>
          <w:szCs w:val="24"/>
          <w:u w:val="single"/>
        </w:rPr>
        <w:t>API</w:t>
      </w:r>
      <w:r w:rsidRPr="001B0491">
        <w:rPr>
          <w:rFonts w:ascii="Times New Roman" w:hAnsi="Times New Roman"/>
          <w:b/>
          <w:i/>
          <w:sz w:val="24"/>
          <w:szCs w:val="24"/>
          <w:u w:val="single"/>
        </w:rPr>
        <w:t xml:space="preserve">) risinājumu, parasti tā nodrošina finanšu iestādēm, kas sniedz ziņojumus, piekļuvi </w:t>
      </w:r>
      <w:r w:rsidRPr="001B0491">
        <w:rPr>
          <w:rFonts w:ascii="Times New Roman" w:hAnsi="Times New Roman"/>
          <w:b/>
          <w:i/>
          <w:iCs/>
          <w:sz w:val="24"/>
          <w:szCs w:val="24"/>
          <w:u w:val="single"/>
        </w:rPr>
        <w:t>API</w:t>
      </w:r>
      <w:r w:rsidRPr="001B0491">
        <w:rPr>
          <w:rFonts w:ascii="Times New Roman" w:hAnsi="Times New Roman"/>
          <w:b/>
          <w:i/>
          <w:sz w:val="24"/>
          <w:szCs w:val="24"/>
          <w:u w:val="single"/>
        </w:rPr>
        <w:t xml:space="preserve"> portālam. Pēc tam, ja konta turētāja vai kontrolējošās personas pašapliecinājumā ir norādīta rezidence tajā jurisdikcijā, finanšu iestāde, kas sniedz ziņojumus, var virzīt konta turētāju vai kontrolējošo personu uz </w:t>
      </w:r>
      <w:r w:rsidRPr="001B0491">
        <w:rPr>
          <w:rFonts w:ascii="Times New Roman" w:hAnsi="Times New Roman"/>
          <w:b/>
          <w:i/>
          <w:iCs/>
          <w:sz w:val="24"/>
          <w:szCs w:val="24"/>
          <w:u w:val="single"/>
        </w:rPr>
        <w:t>API</w:t>
      </w:r>
      <w:r w:rsidRPr="001B0491">
        <w:rPr>
          <w:rFonts w:ascii="Times New Roman" w:hAnsi="Times New Roman"/>
          <w:b/>
          <w:i/>
          <w:sz w:val="24"/>
          <w:szCs w:val="24"/>
          <w:u w:val="single"/>
        </w:rPr>
        <w:t xml:space="preserve"> portālu, kas varētu ļaut jurisdikcijai identificēt šo konta turētāju vai kontrolējošo personu, pamatojoties uz valsts iekšējām nodokļu maksātāju identifikācijas </w:t>
      </w:r>
      <w:r w:rsidRPr="001B0491">
        <w:rPr>
          <w:rFonts w:ascii="Times New Roman" w:hAnsi="Times New Roman"/>
          <w:b/>
          <w:i/>
          <w:sz w:val="24"/>
          <w:szCs w:val="24"/>
          <w:u w:val="single"/>
        </w:rPr>
        <w:lastRenderedPageBreak/>
        <w:t>prasībām (piemēram, valdības izdotu ID vai lietotājvārdu).</w:t>
      </w:r>
      <w:r w:rsidRPr="001B0491">
        <w:rPr>
          <w:rFonts w:ascii="Times New Roman" w:hAnsi="Times New Roman"/>
          <w:b/>
          <w:i/>
          <w:sz w:val="24"/>
          <w:szCs w:val="24"/>
          <w:u w:val="thick"/>
        </w:rPr>
        <w:t xml:space="preserve"> Tiklīdz konta turētājs vai kontrolējošā persona ir sekmīgi identificēta kā šīs jurisdikcijas nodokļu maksātājs, jurisdikcija, izmantojot </w:t>
      </w:r>
      <w:r w:rsidRPr="001B0491">
        <w:rPr>
          <w:rFonts w:ascii="Times New Roman" w:hAnsi="Times New Roman"/>
          <w:b/>
          <w:i/>
          <w:iCs/>
          <w:sz w:val="24"/>
          <w:szCs w:val="24"/>
          <w:u w:val="thick"/>
        </w:rPr>
        <w:t>API</w:t>
      </w:r>
      <w:r w:rsidRPr="001B0491">
        <w:rPr>
          <w:rFonts w:ascii="Times New Roman" w:hAnsi="Times New Roman"/>
          <w:b/>
          <w:i/>
          <w:sz w:val="24"/>
          <w:szCs w:val="24"/>
          <w:u w:val="thick"/>
        </w:rPr>
        <w:t xml:space="preserve"> portālu, sniedz finanšu iestādei, kas sniedz ziņojumus, unikālu atsauces numuru vai kodu, kas ļauj jurisdikcijai noteikt konta turētāja vai kontrolējošās personas atbilsmi nodokļu maksātājam savā datubāzē. Ja finanšu iestāde, kas sniedz ziņojumus, pēc tam sniedz ziņas par šo konta turētāju vai kontrolējošo personu, tā iekļauj unikālo atsauces numuru vai kodu, kurš ļautu jurisdikcijai, kas saņem šo informāciju, noteikt šā konta turētāja vai kontrolējošās personas atbilsmi.</w:t>
      </w:r>
    </w:p>
    <w:p w14:paraId="4F0DD250" w14:textId="77777777" w:rsidR="00DB30B8" w:rsidRPr="001B0491" w:rsidRDefault="00DB30B8" w:rsidP="00DB30B8">
      <w:pPr>
        <w:tabs>
          <w:tab w:val="left" w:pos="607"/>
        </w:tabs>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166. Saistībā ar E punkta 5. apakšpunktu unikālais atsauces numurs, kods vai cits apstiprinājums, kuru saņēmusi finanšu iestāde, kas sniedz ziņojumus, attiecībā uz konta turētāju vai kontrolējošo personu, izmantojot valdības sniegtu verifikācijas pakalpojumu, ir TIN ekvivalents.</w:t>
      </w:r>
    </w:p>
    <w:p w14:paraId="604A1DFA" w14:textId="77777777" w:rsidR="00DB30B8" w:rsidRPr="001B0491" w:rsidRDefault="00DB30B8" w:rsidP="00DB30B8">
      <w:pPr>
        <w:tabs>
          <w:tab w:val="left" w:pos="607"/>
        </w:tabs>
        <w:spacing w:before="120"/>
        <w:jc w:val="both"/>
        <w:rPr>
          <w:rFonts w:ascii="Times New Roman" w:hAnsi="Times New Roman" w:cs="Times New Roman"/>
          <w:b/>
          <w:i/>
          <w:noProof/>
          <w:sz w:val="24"/>
          <w:szCs w:val="24"/>
          <w:u w:val="thick"/>
        </w:rPr>
      </w:pPr>
      <w:r w:rsidRPr="001B0491">
        <w:rPr>
          <w:rFonts w:ascii="Times New Roman" w:hAnsi="Times New Roman"/>
          <w:b/>
          <w:i/>
          <w:sz w:val="24"/>
          <w:szCs w:val="24"/>
          <w:u w:val="thick"/>
        </w:rPr>
        <w:t xml:space="preserve">167. Iesaistītajām jurisdikcijām būtu jāsniedz finanšu iestādēm, kas sniedz ziņojumus, informācija par valdības sniegtiem verifikācijas pakalpojumiem, kas šīm jurisdikcijām ir darīti pieejami. </w:t>
      </w:r>
      <w:r w:rsidRPr="001B0491">
        <w:rPr>
          <w:rFonts w:ascii="Times New Roman" w:hAnsi="Times New Roman"/>
          <w:b/>
          <w:i/>
          <w:iCs/>
          <w:sz w:val="24"/>
          <w:szCs w:val="24"/>
          <w:u w:val="thick"/>
        </w:rPr>
        <w:t>OECD</w:t>
      </w:r>
      <w:r w:rsidRPr="001B0491">
        <w:rPr>
          <w:rFonts w:ascii="Times New Roman" w:hAnsi="Times New Roman"/>
          <w:b/>
          <w:i/>
          <w:sz w:val="24"/>
          <w:szCs w:val="24"/>
          <w:u w:val="thick"/>
        </w:rPr>
        <w:t xml:space="preserve"> centīsies veicināt šādas informācijas izplatīšanu.</w:t>
      </w:r>
    </w:p>
    <w:p w14:paraId="166CF4A3" w14:textId="77777777" w:rsidR="00DB30B8" w:rsidRPr="001B0491" w:rsidRDefault="00DB30B8" w:rsidP="00DB30B8">
      <w:pPr>
        <w:spacing w:before="120"/>
        <w:rPr>
          <w:rFonts w:ascii="Times New Roman" w:hAnsi="Times New Roman" w:cs="Times New Roman"/>
          <w:b/>
          <w:i/>
          <w:noProof/>
          <w:sz w:val="24"/>
          <w:szCs w:val="24"/>
        </w:rPr>
      </w:pPr>
      <w:r w:rsidRPr="001B0491">
        <w:rPr>
          <w:sz w:val="24"/>
          <w:szCs w:val="24"/>
        </w:rPr>
        <w:br w:type="page"/>
      </w:r>
    </w:p>
    <w:p w14:paraId="6CF1CB82" w14:textId="77777777" w:rsidR="00DB30B8" w:rsidRPr="00391191" w:rsidRDefault="00DB30B8" w:rsidP="00DB30B8">
      <w:pPr>
        <w:spacing w:before="120"/>
        <w:outlineLvl w:val="1"/>
        <w:rPr>
          <w:rFonts w:ascii="Times New Roman" w:hAnsi="Times New Roman" w:cs="Times New Roman"/>
          <w:b/>
          <w:bCs/>
          <w:noProof/>
          <w:color w:val="4E81BD"/>
          <w:sz w:val="56"/>
          <w:szCs w:val="56"/>
        </w:rPr>
      </w:pPr>
      <w:bookmarkStart w:id="183" w:name="Commentary_on_Section_IX_concerning_Effe"/>
      <w:bookmarkStart w:id="184" w:name="_bookmark21"/>
      <w:bookmarkStart w:id="185" w:name="_Toc241827502"/>
      <w:bookmarkEnd w:id="183"/>
      <w:bookmarkEnd w:id="184"/>
      <w:r>
        <w:rPr>
          <w:rFonts w:ascii="Times New Roman" w:hAnsi="Times New Roman"/>
          <w:b/>
          <w:color w:val="4E81BD"/>
          <w:sz w:val="56"/>
        </w:rPr>
        <w:lastRenderedPageBreak/>
        <w:t>Komentāri par IX pantu – par efektīvu īstenošanu</w:t>
      </w:r>
      <w:bookmarkEnd w:id="185"/>
    </w:p>
    <w:p w14:paraId="13192035" w14:textId="77777777" w:rsidR="00DB30B8" w:rsidRDefault="00DB30B8" w:rsidP="00DB30B8">
      <w:pPr>
        <w:tabs>
          <w:tab w:val="left" w:pos="941"/>
        </w:tabs>
        <w:spacing w:before="120"/>
        <w:jc w:val="both"/>
        <w:rPr>
          <w:rFonts w:ascii="Times New Roman" w:hAnsi="Times New Roman" w:cs="Times New Roman"/>
          <w:noProof/>
        </w:rPr>
      </w:pPr>
    </w:p>
    <w:p w14:paraId="45F54CF9" w14:textId="77777777" w:rsidR="00DB30B8" w:rsidRDefault="00DB30B8" w:rsidP="00DB30B8">
      <w:pPr>
        <w:tabs>
          <w:tab w:val="left" w:pos="941"/>
        </w:tabs>
        <w:spacing w:before="120"/>
        <w:jc w:val="both"/>
        <w:rPr>
          <w:rFonts w:ascii="Times New Roman" w:hAnsi="Times New Roman" w:cs="Times New Roman"/>
          <w:noProof/>
        </w:rPr>
      </w:pPr>
    </w:p>
    <w:p w14:paraId="6E96BD61"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1. Šīs panta mērķis ir nodrošināt, ka iesaistītās jursidikcijas efektīvi īsteno Kopējo ziņošanas standartu un ka šis standarts tiek ievērots un netiek apiets. Tas tiek nodrošināts, nosakot, ka jursidikcijās jābūt ieviestiem konkrētiem noteikumiem un administratīvajām procedūrām. Tie var būt sagatavoti kā primārie tiesību akti vai sekundārie tiesību akti (piemēram, noteikumi), un bieži vien tie tiks papildināti ar norādījumiem. Administratīvās procedūras var būt izklāstītas instrukcijās vai citos revidentiem vai attiecīgajām iestādēm sniegtos paziņojumos.</w:t>
      </w:r>
    </w:p>
    <w:p w14:paraId="27EC12AC" w14:textId="77777777" w:rsidR="00DB30B8" w:rsidRPr="00135FA5" w:rsidRDefault="00DB30B8" w:rsidP="00DB30B8">
      <w:pPr>
        <w:tabs>
          <w:tab w:val="left" w:pos="941"/>
        </w:tabs>
        <w:spacing w:before="120"/>
        <w:jc w:val="both"/>
        <w:rPr>
          <w:rFonts w:ascii="Times New Roman" w:hAnsi="Times New Roman" w:cs="Times New Roman"/>
          <w:b/>
          <w:i/>
          <w:noProof/>
          <w:sz w:val="24"/>
          <w:szCs w:val="24"/>
          <w:u w:val="thick"/>
        </w:rPr>
      </w:pPr>
      <w:r w:rsidRPr="00135FA5">
        <w:rPr>
          <w:rFonts w:ascii="Times New Roman" w:hAnsi="Times New Roman"/>
          <w:sz w:val="24"/>
          <w:szCs w:val="24"/>
        </w:rPr>
        <w:t xml:space="preserve">2. Saskaņā ar IX pantu jurisdikcijā jābūt ieviestiem noteikumiem un administratīvajām procedūrām, ar ko tiek nodrošināta Kopējā ziņošanas standartā noteikto ziņošanas un pienācīgas pārbaudes procedūru efektīva īstenošana un ievērošana. Standarts nav uzskatāms par efektīvi ieviestu, kamēr tas nav godprātīgi pieņemts, ievērojot komentārus, kas sniegti ar mērķi veicināt tā saskanīgu piemērošanu visās jurisdikcijās. </w:t>
      </w:r>
      <w:r w:rsidRPr="00135FA5">
        <w:rPr>
          <w:rFonts w:ascii="Times New Roman" w:hAnsi="Times New Roman"/>
          <w:b/>
          <w:i/>
          <w:sz w:val="24"/>
          <w:szCs w:val="24"/>
          <w:u w:val="single"/>
        </w:rPr>
        <w:t>Tāpēc tiek atzīts, ka tamdēļ, lai efektīvi ieviestu Kopējo ziņošanas standartu, dažos gadījumos ir nepieciešams saistošajos noteikumos atainot arī komentāru daļas.</w:t>
      </w:r>
      <w:r w:rsidRPr="00135FA5">
        <w:rPr>
          <w:rFonts w:ascii="Times New Roman" w:hAnsi="Times New Roman"/>
          <w:b/>
          <w:i/>
          <w:sz w:val="24"/>
          <w:szCs w:val="24"/>
          <w:u w:val="thick"/>
        </w:rPr>
        <w:t xml:space="preserve"> </w:t>
      </w:r>
      <w:r w:rsidRPr="00135FA5">
        <w:rPr>
          <w:rFonts w:ascii="Times New Roman" w:hAnsi="Times New Roman"/>
          <w:sz w:val="24"/>
          <w:szCs w:val="24"/>
        </w:rPr>
        <w:t xml:space="preserve">Tā kā </w:t>
      </w:r>
      <w:r w:rsidRPr="00135FA5">
        <w:rPr>
          <w:rFonts w:ascii="Times New Roman" w:hAnsi="Times New Roman"/>
          <w:i/>
          <w:iCs/>
          <w:sz w:val="24"/>
          <w:szCs w:val="24"/>
        </w:rPr>
        <w:t>CRS</w:t>
      </w:r>
      <w:r w:rsidRPr="00135FA5">
        <w:rPr>
          <w:rFonts w:ascii="Times New Roman" w:hAnsi="Times New Roman"/>
          <w:sz w:val="24"/>
          <w:szCs w:val="24"/>
        </w:rPr>
        <w:t xml:space="preserve"> tiek piemērots, pārņemot to valsts tiesību aktos, tad katrā valstī tas var tikt īstenots atšķirīgi. Tāpēc pārrobežu kontekstā jāņem vērā īstenojošās jurisdikcijas tiesību akti. Piemēram, var rasties jautājums, vai konkrēta vienība, kas ir iesaistītās jurisdikcijas rezidents un kam ir finanšu konts citā iesaistītajā jurisdikcijā, atbilst termina “finanšu iestāde” definīcijai. Šī vienība var atbilst “būtiskas daļas” kritērijam, kas jāizpilda, lai to varētu uzskatīt par turētājiestādi vienā iesaistītajā jurisdikcijā, taču atšķirīgu bruto ienākumu mērīšanas paņēmienu dēļ citā iesaistītajā jurisdikcijā šī vienība var neatbilst minētajam kritērijam. Šādā gadījumā vienība jāklasificē, pamatojoties uz tās iesaistītās jurisdikcijas tiesību aktiem, kurā vienībai ir rezidenta statuss. </w:t>
      </w:r>
      <w:r w:rsidRPr="00135FA5">
        <w:rPr>
          <w:rFonts w:ascii="Times New Roman" w:hAnsi="Times New Roman"/>
          <w:b/>
          <w:i/>
          <w:sz w:val="24"/>
          <w:szCs w:val="24"/>
          <w:u w:val="single"/>
        </w:rPr>
        <w:t>Ja vienība ir rezidents jurisdikcijā, kas nav ieviesusi Kopējo ziņošanas standartu, tās statusu, proti, vai vienība ir finanšu iestāde, kas sniedz ziņojumus, vai nefinanšu vienība, nosaka tās jurisdikcijas noteikumi, kurā tiek uzturēts konts, jo citi noteikumi nav pieejami. Turklāt, nosakot, vai vienība ir aktīva vai pasīva nefinanšu vienība, vienības statusu nosaka tās jurisdikcijas noteikumi, kurā tiek uzturēts konts.</w:t>
      </w:r>
      <w:r w:rsidRPr="00135FA5">
        <w:rPr>
          <w:rFonts w:ascii="Times New Roman" w:hAnsi="Times New Roman"/>
          <w:b/>
          <w:i/>
          <w:sz w:val="24"/>
          <w:szCs w:val="24"/>
          <w:u w:val="thick"/>
        </w:rPr>
        <w:t xml:space="preserve"> Tomēr jurisdikcija, kurā tiek uzturēts konts, var ļaut (piemēram, valsts norādījumos par standarta ieviešanu) noteikt vienības statusu – aktīva nefinanšu vienība vai pasīva nefinanšu vienība – saskaņā ar tās jurisdikcijas noteikumiem, kurā vienība ir rezidents, ar nosacījumu, ka jurisdikcija, kurā vienība ir rezidents, ir ieviesusi Kopējo ziņošanas standartu.</w:t>
      </w:r>
    </w:p>
    <w:p w14:paraId="269521A2"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3. A punkta 1. un 2. apakšpunktā noteikts, ka jurisdikcijās jābūt ieviestiem šādiem noteikumiem:</w:t>
      </w:r>
    </w:p>
    <w:p w14:paraId="423812D4" w14:textId="77777777" w:rsidR="00DB30B8" w:rsidRPr="00135FA5" w:rsidRDefault="00DB30B8" w:rsidP="00DB30B8">
      <w:pPr>
        <w:numPr>
          <w:ilvl w:val="1"/>
          <w:numId w:val="2"/>
        </w:numPr>
        <w:tabs>
          <w:tab w:val="left" w:pos="1843"/>
        </w:tabs>
        <w:spacing w:before="120"/>
        <w:ind w:left="567" w:hanging="283"/>
        <w:jc w:val="both"/>
        <w:rPr>
          <w:rFonts w:ascii="Times New Roman" w:hAnsi="Times New Roman" w:cs="Times New Roman"/>
          <w:noProof/>
          <w:sz w:val="24"/>
          <w:szCs w:val="24"/>
        </w:rPr>
      </w:pPr>
      <w:r w:rsidRPr="00135FA5">
        <w:rPr>
          <w:rFonts w:ascii="Times New Roman" w:hAnsi="Times New Roman"/>
          <w:sz w:val="24"/>
          <w:szCs w:val="24"/>
        </w:rPr>
        <w:t>noteikumiem, kas nepieļauj, ka finanšu iestādes, personas vai starpnieki ievieš praksi nolūkā apiet Kopējo ziņošanas standartu;</w:t>
      </w:r>
    </w:p>
    <w:p w14:paraId="7C3713B9" w14:textId="77777777" w:rsidR="00DB30B8" w:rsidRPr="00135FA5" w:rsidRDefault="00DB30B8" w:rsidP="00DB30B8">
      <w:pPr>
        <w:numPr>
          <w:ilvl w:val="1"/>
          <w:numId w:val="2"/>
        </w:numPr>
        <w:tabs>
          <w:tab w:val="left" w:pos="1843"/>
        </w:tabs>
        <w:spacing w:before="120"/>
        <w:ind w:left="567" w:hanging="283"/>
        <w:jc w:val="both"/>
        <w:rPr>
          <w:rFonts w:ascii="Times New Roman" w:hAnsi="Times New Roman" w:cs="Times New Roman"/>
          <w:noProof/>
          <w:sz w:val="24"/>
          <w:szCs w:val="24"/>
        </w:rPr>
      </w:pPr>
      <w:r w:rsidRPr="00135FA5">
        <w:rPr>
          <w:rFonts w:ascii="Times New Roman" w:hAnsi="Times New Roman"/>
          <w:sz w:val="24"/>
          <w:szCs w:val="24"/>
        </w:rPr>
        <w:t xml:space="preserve">noteikumiem, saskaņā ar kuriem finanšu iestādēm, kas sniedz ziņojumus, ir jāreģistrē informācija par pasākumiem, kuri veikti, lai nodrošinātu </w:t>
      </w:r>
      <w:r w:rsidRPr="00135FA5">
        <w:rPr>
          <w:rFonts w:ascii="Times New Roman" w:hAnsi="Times New Roman"/>
          <w:i/>
          <w:iCs/>
          <w:sz w:val="24"/>
          <w:szCs w:val="24"/>
        </w:rPr>
        <w:t>CRS</w:t>
      </w:r>
      <w:r w:rsidRPr="00135FA5">
        <w:rPr>
          <w:rFonts w:ascii="Times New Roman" w:hAnsi="Times New Roman"/>
          <w:sz w:val="24"/>
          <w:szCs w:val="24"/>
        </w:rPr>
        <w:t xml:space="preserve"> noteikto pienācīgas pārbaudes procedūru izpildi, un par jebkādiem šajā saistībā izmantotajiem pierādījumiem;</w:t>
      </w:r>
    </w:p>
    <w:p w14:paraId="67FC8FB3" w14:textId="77777777" w:rsidR="00DB30B8" w:rsidRPr="00135FA5" w:rsidRDefault="00DB30B8" w:rsidP="00DB30B8">
      <w:pPr>
        <w:numPr>
          <w:ilvl w:val="1"/>
          <w:numId w:val="2"/>
        </w:numPr>
        <w:tabs>
          <w:tab w:val="left" w:pos="1843"/>
        </w:tabs>
        <w:spacing w:before="120"/>
        <w:ind w:left="567" w:hanging="283"/>
        <w:rPr>
          <w:rFonts w:ascii="Times New Roman" w:hAnsi="Times New Roman" w:cs="Times New Roman"/>
          <w:noProof/>
          <w:sz w:val="24"/>
          <w:szCs w:val="24"/>
        </w:rPr>
      </w:pPr>
      <w:r w:rsidRPr="00135FA5">
        <w:rPr>
          <w:rFonts w:ascii="Times New Roman" w:hAnsi="Times New Roman"/>
          <w:sz w:val="24"/>
          <w:szCs w:val="24"/>
        </w:rPr>
        <w:t>noteikumiem, kas pieprasa nodrošināt pienācīgus pasākumus iepriekš minētās reģistrētās informācijas iegūšanai.</w:t>
      </w:r>
    </w:p>
    <w:p w14:paraId="5F21AAA8" w14:textId="77777777" w:rsidR="00DB30B8" w:rsidRPr="00135FA5" w:rsidRDefault="00DB30B8" w:rsidP="00135FA5">
      <w:pPr>
        <w:keepNext/>
        <w:keepLines/>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lastRenderedPageBreak/>
        <w:t xml:space="preserve">4. Pirmais noteikums, kas izklāstīts A punkta 1. apakšpunktā, parasti tiek dēvēts par noteikumu par izvairīšanās no nodokļiem novēršanu. Noteikumam, kas paredzēts, lai novērstu izvairīšanos no nodokļiem, var būt dažādas formas. Daudzas jurisdikcijas savos nodokļu tiesību aktos ir ieviesušas vispārīgu noteikumu par izvairīšanās no nodokļiem novēršanu, un tas var tikt papildināts ar īpašiem noteikumiem par izvairīšanās no nodokļiem novēršanu. Citās jursidikcijās tiesību aktos var būt iekļauti vienīgi īpaši noteikumi par izvairīšanās no nodokļiem novēršanu. Tas, kā noteikums par izvairīšanās no nodokļiem novēršanu tiek sagatavots </w:t>
      </w:r>
      <w:r w:rsidRPr="00135FA5">
        <w:rPr>
          <w:rFonts w:ascii="Times New Roman" w:hAnsi="Times New Roman"/>
          <w:i/>
          <w:iCs/>
          <w:sz w:val="24"/>
          <w:szCs w:val="24"/>
        </w:rPr>
        <w:t>CRS</w:t>
      </w:r>
      <w:r w:rsidRPr="00135FA5">
        <w:rPr>
          <w:rFonts w:ascii="Times New Roman" w:hAnsi="Times New Roman"/>
          <w:sz w:val="24"/>
          <w:szCs w:val="24"/>
        </w:rPr>
        <w:t xml:space="preserve"> īstenošanas vajadzībām, ir atkarīgs no vispārējās pieejas, ko jurisdikcija ir izvēlējusies, lai novērstu izvairīšanos un ieviestu Kopējo ziņošanas standartu. Piemēram, vispārīgs noteikums par izvairīšanās no nodokļiem novēršanu var ietvert ziņošanas un pienācīgas pārbaudes pienākumus. Tam, kādā formā šis noteikums sagatavots, nav būtiskas nozīmes, ja vien ar to tiek efektīvi novērsta izvairīšanās no ziņošanas prasību un pienācīgas pārbaudes procedūru izpildes.</w:t>
      </w:r>
    </w:p>
    <w:p w14:paraId="299CC6B3"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5. Turpmāk izklāstītas iespējamās situācijas, kad paredzams, ka būtu jāpiemēro noteikums par izvairīšanās no nodokļiem novēršanu.</w:t>
      </w:r>
    </w:p>
    <w:p w14:paraId="7E7F886E" w14:textId="77777777" w:rsidR="00DB30B8" w:rsidRPr="00135FA5" w:rsidRDefault="00DB30B8" w:rsidP="00DB30B8">
      <w:pPr>
        <w:numPr>
          <w:ilvl w:val="1"/>
          <w:numId w:val="2"/>
        </w:numPr>
        <w:tabs>
          <w:tab w:val="left" w:pos="1985"/>
        </w:tabs>
        <w:spacing w:before="120"/>
        <w:ind w:left="567" w:hanging="283"/>
        <w:jc w:val="both"/>
        <w:rPr>
          <w:rFonts w:ascii="Times New Roman" w:hAnsi="Times New Roman" w:cs="Times New Roman"/>
          <w:noProof/>
          <w:sz w:val="24"/>
          <w:szCs w:val="24"/>
        </w:rPr>
      </w:pPr>
      <w:r w:rsidRPr="00135FA5">
        <w:rPr>
          <w:rFonts w:ascii="Times New Roman" w:hAnsi="Times New Roman"/>
          <w:sz w:val="24"/>
          <w:szCs w:val="24"/>
        </w:rPr>
        <w:t>1. piemērs (konta uzturētāja maiņa). Finanšu iestāde, kas sniedz ziņojumus, iesaka klientam uzturēt kontu saistītajā vienībā, kas atrodas neiesaistītā jursidikcijā, jo tādējādi šī finanšu iestāde, kas sniedz ziņojumus, var izvairīties no ziņošanas, vienlaikus sniedzot pakalpojumus un saglabājot attiecības ar klientu tā, it kā konts tiktu uzturēts šajā finanšu iestādē, kas sniedz ziņojumus. Šādā gadījumā uzskatāms, ka kontu uztur finanšu iestāde, kas sniedz ziņojumus, un tāpēc tai ir jāizpilda attiecīgās ziņošanas un pienācīgas pārbaudes prasības.</w:t>
      </w:r>
    </w:p>
    <w:p w14:paraId="7DA1E822" w14:textId="77777777" w:rsidR="00DB30B8" w:rsidRPr="00135FA5" w:rsidRDefault="00DB30B8" w:rsidP="00DB30B8">
      <w:pPr>
        <w:numPr>
          <w:ilvl w:val="1"/>
          <w:numId w:val="2"/>
        </w:numPr>
        <w:tabs>
          <w:tab w:val="left" w:pos="1985"/>
        </w:tabs>
        <w:spacing w:before="120"/>
        <w:ind w:left="567" w:hanging="283"/>
        <w:jc w:val="both"/>
        <w:rPr>
          <w:rFonts w:ascii="Times New Roman" w:hAnsi="Times New Roman" w:cs="Times New Roman"/>
          <w:noProof/>
          <w:sz w:val="24"/>
          <w:szCs w:val="24"/>
        </w:rPr>
      </w:pPr>
      <w:r w:rsidRPr="00135FA5">
        <w:rPr>
          <w:rFonts w:ascii="Times New Roman" w:hAnsi="Times New Roman"/>
          <w:sz w:val="24"/>
          <w:szCs w:val="24"/>
        </w:rPr>
        <w:t>2. piemērs (gada beigu summas). Finanšu iestādes, privātpersonas, vienības vai starpnieki veic manipulācijas ar gada beigu summām, piemēram, ar konta bilancēm, lai izvairītos no ziņošanas vai no tā, ka par tām tiek ziņots.</w:t>
      </w:r>
    </w:p>
    <w:p w14:paraId="47534A13" w14:textId="77777777" w:rsidR="00DB30B8" w:rsidRPr="00135FA5" w:rsidRDefault="00DB30B8" w:rsidP="00DB30B8">
      <w:pPr>
        <w:numPr>
          <w:ilvl w:val="1"/>
          <w:numId w:val="2"/>
        </w:numPr>
        <w:tabs>
          <w:tab w:val="left" w:pos="1985"/>
        </w:tabs>
        <w:spacing w:before="120"/>
        <w:ind w:left="567" w:hanging="283"/>
        <w:jc w:val="both"/>
        <w:rPr>
          <w:rFonts w:ascii="Times New Roman" w:hAnsi="Times New Roman" w:cs="Times New Roman"/>
          <w:noProof/>
          <w:sz w:val="24"/>
          <w:szCs w:val="24"/>
        </w:rPr>
      </w:pPr>
      <w:r w:rsidRPr="00135FA5">
        <w:rPr>
          <w:rFonts w:ascii="Times New Roman" w:hAnsi="Times New Roman"/>
          <w:sz w:val="24"/>
          <w:szCs w:val="24"/>
        </w:rPr>
        <w:t>3. piemērs (naudas turēšana pie kvalificētiem kredītkaršu izdevējiem). Privātpersonas vai vienības īsu laika posmu gada beigās glabā atlikumus pie kvalificētiem kredītkaršu izdevējiem, lai izvairītos no ziņošanas.</w:t>
      </w:r>
    </w:p>
    <w:p w14:paraId="614DA021" w14:textId="77777777" w:rsidR="00DB30B8" w:rsidRPr="00135FA5" w:rsidRDefault="00DB30B8" w:rsidP="00DB30B8">
      <w:pPr>
        <w:numPr>
          <w:ilvl w:val="1"/>
          <w:numId w:val="2"/>
        </w:numPr>
        <w:tabs>
          <w:tab w:val="left" w:pos="1985"/>
        </w:tabs>
        <w:spacing w:before="120"/>
        <w:ind w:left="567" w:hanging="283"/>
        <w:jc w:val="both"/>
        <w:rPr>
          <w:rFonts w:ascii="Times New Roman" w:hAnsi="Times New Roman" w:cs="Times New Roman"/>
          <w:noProof/>
          <w:sz w:val="24"/>
          <w:szCs w:val="24"/>
        </w:rPr>
      </w:pPr>
      <w:r w:rsidRPr="00135FA5">
        <w:rPr>
          <w:rFonts w:ascii="Times New Roman" w:hAnsi="Times New Roman"/>
          <w:sz w:val="24"/>
          <w:szCs w:val="24"/>
        </w:rPr>
        <w:t>4. piemērs (elektroniskie ieraksti un datorizētas sistēmas). Finanšu iestāde, kas sniedz ziņojumus, apzināti neveido elektroniskus ierakstus (lai elektronisko ierakstu meklēšanai nebūtu nekādu rezultātu) vai uztur datorizēto sistēmu mākslīgu nošķirtību (lai izvairītos no kontu apkopošanas noteikumu piemērošanas).</w:t>
      </w:r>
    </w:p>
    <w:p w14:paraId="7A04FB09"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6. Lai uzlabotu pašapliecinājumu uzticamību, jursidikcijām savos tiesību aktos ir jāiekļauj īpaši noteikumi, kas paredz sankcijas par nepatiesa pašapliecinājuma parakstīšanu (vai citādu nepārprotamu apstiprināšanu).</w:t>
      </w:r>
    </w:p>
    <w:p w14:paraId="2C1F7B70"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 xml:space="preserve">7. A punkta 2. apakšpunktā noteikts, ka jursidikcijā jābūt ieviestiem noteikumiem, kuri paredz, ka finanšu iestādēm, kas sniedz ziņojumus, ir jāreģistrē informācija par pasākumiem, kas tiek veikti, lai nodrošinātu </w:t>
      </w:r>
      <w:r w:rsidRPr="00135FA5">
        <w:rPr>
          <w:rFonts w:ascii="Times New Roman" w:hAnsi="Times New Roman"/>
          <w:i/>
          <w:iCs/>
          <w:sz w:val="24"/>
          <w:szCs w:val="24"/>
        </w:rPr>
        <w:t>CRS</w:t>
      </w:r>
      <w:r w:rsidRPr="00135FA5">
        <w:rPr>
          <w:rFonts w:ascii="Times New Roman" w:hAnsi="Times New Roman"/>
          <w:sz w:val="24"/>
          <w:szCs w:val="24"/>
        </w:rPr>
        <w:t xml:space="preserve"> noteikto pienācīgas pārbaudes procedūru izpildi, un par jebkādiem šajā saistībā izmantotajiem pierādījumiem. Šādiem reģistrētajiem datiem jābūt pieejamiem pietiekami ilgu laika posmu un jebkurā gadījumā vismaz 5 gadus pēc tā laika posma beigām, kurā finanšu iestādei, kas sniedz ziņojumus, ir jāsniedz informācija, kura ir jāpaziņo saskaņā ar Kopējo ziņošanas standartu.</w:t>
      </w:r>
    </w:p>
    <w:p w14:paraId="4ECF3235" w14:textId="77777777" w:rsidR="00DB30B8" w:rsidRPr="00135FA5" w:rsidRDefault="00DB30B8" w:rsidP="00135FA5">
      <w:pPr>
        <w:widowControl/>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 xml:space="preserve">8. Dokumentārie pierādījumi ir noteikti VIII panta E punkta 6. apakšpunktā, un tiem ir būtiska nozīme, lai veiktu, piemēram, dzīvesvietas adreses pārbaudi, kas noteikta III panta B punkta 1. apakšpunktā, un labošanas procedūru, kas noteikta III panta B punkta 6. apakšpunktā. Kā minēts komentāru par VIII pantu 157. punktā, dokumentārais pierādījums, kuru glabā finanšu iestāde, kas sniedz ziņojumus, var nebūt oriģināleksemplārs, bet gan apliecināts noraksts vai </w:t>
      </w:r>
      <w:r w:rsidRPr="00135FA5">
        <w:rPr>
          <w:rFonts w:ascii="Times New Roman" w:hAnsi="Times New Roman"/>
          <w:sz w:val="24"/>
          <w:szCs w:val="24"/>
        </w:rPr>
        <w:lastRenderedPageBreak/>
        <w:t>fotokopija vai vismaz notācija par pārbaudītās dokumentācijas veidu, dokumentācijas pārbaudes datumu un dokumenta identifikācijas numuru (ja tāds ir).</w:t>
      </w:r>
    </w:p>
    <w:p w14:paraId="7DC5EFC5"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 xml:space="preserve">9. Dažos gadījumos, piemēram, tajos, kas norādīti komentāru par I pantu 13. punktā attiecībā uz pietiekamiem pasākumiem, kas tiek veikti, lai iegūtu </w:t>
      </w:r>
      <w:r w:rsidRPr="00135FA5">
        <w:rPr>
          <w:rFonts w:ascii="Times New Roman" w:hAnsi="Times New Roman"/>
          <w:i/>
          <w:iCs/>
          <w:sz w:val="24"/>
          <w:szCs w:val="24"/>
        </w:rPr>
        <w:t>TIN</w:t>
      </w:r>
      <w:r w:rsidRPr="00135FA5">
        <w:rPr>
          <w:rFonts w:ascii="Times New Roman" w:hAnsi="Times New Roman"/>
          <w:sz w:val="24"/>
          <w:szCs w:val="24"/>
        </w:rPr>
        <w:t xml:space="preserve"> attiecībā uz iepriekšpastāvējušiem kontiem, procedūras instrukcija, kurā izklāstīti atbilstoši “pietiekami pasākumi”, var būt ieraksti par veiktajiem pasākumiem, ja vien ir pieejami arī pierādījumi par to, kā šie noteikumi un procedūras tiek īstenotas. Piemēram, vēstuļu sapludināšanas gadījumā tas nozīmē, ka finanšu iestādei, kura sniedz ziņojumus, ir nevis jāsaglabā nosūtīto vēstuļu kopijas, bet gan pēc pieprasījuma jāsniedz dokuments, kurā iekļauta informācija, kas ir vienāda katrā versijā, un datne, kurā tiek glabāta unikālā informācija.</w:t>
      </w:r>
    </w:p>
    <w:p w14:paraId="2D8C5493"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10. A punkta 2. apakšpunktā arī noteikts, ka jursidikcijā jābūt pienācīgiem pasākumiem reģistrēto datu iegūšanai no finanšu iestādēm, kas sniedz ziņojumus. Lielākajā daļā jursidikciju spēkā ir noteikumi, kuros nodokļu maksātājam vai trešajai personai noteikts pienākums sniegt dokumentus, kas ir nepieciešami attiecīgās jursidikcijas nodokļu tiesību aktu piemērošanai. Šie noteikumi parasti tiek piemēroti arī nolūkā iegūt informāciju, kas nepieciešama, lai atbildētu uz informācijas pieprasījumu, ko iesniedzis informācijas apmaiņas partneris saskaņā ar informācijas apmaiņas instrumentu. Dažās jursidikcijās, jo īpaši tajās, kurās netiek piemērots ienākumu nodoklis, var būt noteikumi, kas īpaši paredzēti procedūrām, kurās informācija tiek iegūta saskaņā ar informācijas apmaiņas instrumentu.</w:t>
      </w:r>
    </w:p>
    <w:p w14:paraId="7B95568D"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11. A punkta 3. un 4. apakšpunktā noteikts, ka jursidikcijās jābūt ieviestām administratīvām procedūrām, kuras tiek īstenotas, lai:</w:t>
      </w:r>
    </w:p>
    <w:p w14:paraId="2B26668B" w14:textId="77777777" w:rsidR="00DB30B8" w:rsidRPr="00135FA5" w:rsidRDefault="00DB30B8" w:rsidP="00DB30B8">
      <w:pPr>
        <w:numPr>
          <w:ilvl w:val="1"/>
          <w:numId w:val="2"/>
        </w:numPr>
        <w:tabs>
          <w:tab w:val="left" w:pos="1985"/>
        </w:tabs>
        <w:spacing w:before="120"/>
        <w:ind w:left="567" w:hanging="425"/>
        <w:jc w:val="both"/>
        <w:rPr>
          <w:rFonts w:ascii="Times New Roman" w:hAnsi="Times New Roman" w:cs="Times New Roman"/>
          <w:noProof/>
          <w:sz w:val="24"/>
          <w:szCs w:val="24"/>
        </w:rPr>
      </w:pPr>
      <w:r w:rsidRPr="00135FA5">
        <w:rPr>
          <w:rFonts w:ascii="Times New Roman" w:hAnsi="Times New Roman"/>
          <w:sz w:val="24"/>
          <w:szCs w:val="24"/>
        </w:rPr>
        <w:t xml:space="preserve">pārbaudītu, kā finanšu iestādes, kas sniedz ziņojumus, ievēro </w:t>
      </w:r>
      <w:r w:rsidRPr="00135FA5">
        <w:rPr>
          <w:rFonts w:ascii="Times New Roman" w:hAnsi="Times New Roman"/>
          <w:i/>
          <w:iCs/>
          <w:sz w:val="24"/>
          <w:szCs w:val="24"/>
        </w:rPr>
        <w:t>CRS</w:t>
      </w:r>
      <w:r w:rsidRPr="00135FA5">
        <w:rPr>
          <w:rFonts w:ascii="Times New Roman" w:hAnsi="Times New Roman"/>
          <w:sz w:val="24"/>
          <w:szCs w:val="24"/>
        </w:rPr>
        <w:t xml:space="preserve"> noteiktās ziņošanas un pienācīgas pārbaudes procedūras;</w:t>
      </w:r>
    </w:p>
    <w:p w14:paraId="7B38BE21" w14:textId="77777777" w:rsidR="00DB30B8" w:rsidRPr="00135FA5" w:rsidRDefault="00DB30B8" w:rsidP="00DB30B8">
      <w:pPr>
        <w:numPr>
          <w:ilvl w:val="1"/>
          <w:numId w:val="2"/>
        </w:numPr>
        <w:tabs>
          <w:tab w:val="left" w:pos="1985"/>
        </w:tabs>
        <w:spacing w:before="120"/>
        <w:ind w:left="567" w:hanging="425"/>
        <w:jc w:val="both"/>
        <w:rPr>
          <w:rFonts w:ascii="Times New Roman" w:hAnsi="Times New Roman" w:cs="Times New Roman"/>
          <w:noProof/>
          <w:sz w:val="24"/>
          <w:szCs w:val="24"/>
        </w:rPr>
      </w:pPr>
      <w:r w:rsidRPr="00135FA5">
        <w:rPr>
          <w:rFonts w:ascii="Times New Roman" w:hAnsi="Times New Roman"/>
          <w:sz w:val="24"/>
          <w:szCs w:val="24"/>
        </w:rPr>
        <w:t>uzraudzītu finanšu iestādi, kas sniedz ziņojumus, ja tiek sniegti ziņojumi par nedokumentētiem kontiem;</w:t>
      </w:r>
    </w:p>
    <w:p w14:paraId="4AE2FDCF" w14:textId="77777777" w:rsidR="00DB30B8" w:rsidRPr="00135FA5" w:rsidRDefault="00DB30B8" w:rsidP="00DB30B8">
      <w:pPr>
        <w:numPr>
          <w:ilvl w:val="1"/>
          <w:numId w:val="2"/>
        </w:numPr>
        <w:tabs>
          <w:tab w:val="left" w:pos="1985"/>
        </w:tabs>
        <w:spacing w:before="120"/>
        <w:ind w:left="567" w:hanging="425"/>
        <w:jc w:val="both"/>
        <w:rPr>
          <w:rFonts w:ascii="Times New Roman" w:hAnsi="Times New Roman" w:cs="Times New Roman"/>
          <w:noProof/>
          <w:sz w:val="24"/>
          <w:szCs w:val="24"/>
        </w:rPr>
      </w:pPr>
      <w:r w:rsidRPr="00135FA5">
        <w:rPr>
          <w:rFonts w:ascii="Times New Roman" w:hAnsi="Times New Roman"/>
          <w:sz w:val="24"/>
          <w:szCs w:val="24"/>
        </w:rPr>
        <w:t>pārliecinātos, ka saistībā ar vienībām un kontiem, kas valsts tiesību aktos noteikti kā finanšu iestādes, kas nesniedz ziņojumus, un izslēgtie konti, turpina pastāvēt zems risks, ka tie tiks izmantoti, lai izvairītos no nodokļu maksāšanas.</w:t>
      </w:r>
    </w:p>
    <w:p w14:paraId="012FD7ED"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12. Jurisdikcijās jābūt ieviestām procedūrām, lai periodiski pārbaudītu finanšu iestāžu, kas sniedz ziņojumus, atbilstību. Tās var tikt īstenotas parastās nodokļu revīzijas ietvaros vai kā atsevišķs pieprasījums vai pārbaude.</w:t>
      </w:r>
    </w:p>
    <w:p w14:paraId="237B5DE4"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13. Jurisdikcijai jābūt ieviestām arī procedūrām finanšu iestādes, kas sniedz ziņojumus, uzraudzībai gadījumos, ja tiek paziņoti nedokumentēti konti. “Nedokumentēts konts” parasti rodas, kad finanšu iestāde, kas sniedz ziņojumus, nespēj iegūt informāciju no konta turētāja par iepriekšpastāvējušu kontu (skat. komentāru par III pantu 28.–29., 45. un 48. punktu). Tam par iemeslu var būt tas, ka finanšu iestāde, kas sniedz ziņojumus, ir ieviesusi neatbilstīgas procedūras nepieciešamās informācijas saņemšanai vai konta turētājs nepilda savas saistības. Jebkurā no šiem gadījumiem ir pamats bažām.</w:t>
      </w:r>
    </w:p>
    <w:p w14:paraId="4ECDAF8C"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 xml:space="preserve">14. Tiek sagaidīts, ka jursidikcija uzraudzīs finanšu iestādi, kas sniedz ziņojumus un paziņo nedokumentētu kontu. Ja nedokumentēto kontu skaits ir neliels, var būt pietiekami veikt vienkāršu pieprasījumu attiecīgajai finanšu iestādei, kas sniedz ziņojumus. Ja tomēr to nedokumentēto kontu skaits, kurus paziņo finanšu iestāde, kas sniedz ziņojumus, pārsniedz vidējo skaitu jebkurā gadā vai nedokumentēto kontu skaits turpina pieaugt, atbilstoši būtu veikt pilnīgu finanšu iestādes, kas sniedz ziņojumus, pienācīgas pārbaudes procedūru revīziju. Vienmēr, kad tas ir iespējams un realizējams šādā situācijā, jursidikcijai būtu ieteicams informēt </w:t>
      </w:r>
      <w:r w:rsidRPr="00135FA5">
        <w:rPr>
          <w:rFonts w:ascii="Times New Roman" w:hAnsi="Times New Roman"/>
          <w:i/>
          <w:iCs/>
          <w:sz w:val="24"/>
          <w:szCs w:val="24"/>
        </w:rPr>
        <w:t>AML</w:t>
      </w:r>
      <w:r w:rsidRPr="00135FA5">
        <w:rPr>
          <w:rFonts w:ascii="Times New Roman" w:hAnsi="Times New Roman"/>
          <w:sz w:val="24"/>
          <w:szCs w:val="24"/>
        </w:rPr>
        <w:t xml:space="preserve"> iestādes atbilstīgi valsts tiesību aktiem.</w:t>
      </w:r>
    </w:p>
    <w:p w14:paraId="43D46A49" w14:textId="77777777" w:rsidR="00DB30B8" w:rsidRPr="00135FA5" w:rsidRDefault="00DB30B8" w:rsidP="00135FA5">
      <w:pPr>
        <w:keepNext/>
        <w:keepLines/>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lastRenderedPageBreak/>
        <w:t>15. Kā minēts iepriekš, jursidikcijā jābūt ieviestām procedūrām, lai nodrošinātu, ka saistībā ar valsts tiesību aktos noteiktajām finanšu iestādēm, kas nesniedz ziņojumus, un izslēgtajiem kontiem joprojām pastāv zems risks, ka tie tiks izmantoti, lai izvairītos no nodokļu maksāšanas. Šīs procedūras var ietvert noteiktas vienības vai vienību veidus. Tajās jāparedz šāda statusa regulāra pārskatīšana. Pārskatīšana var tikt īstenota parastās nodokļu revīzijas ietvaros vai kā atsevišķs pieprasījums vai pārbaude.</w:t>
      </w:r>
    </w:p>
    <w:p w14:paraId="46FE3B33"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16. Jurisdikcijām būtu jāpārvērtē šādas vienības vai konta atbilstība, piemēram, situācijā, kad vienība maina savu darījumdarbību vai finanšu konts maina savu būtību.</w:t>
      </w:r>
    </w:p>
    <w:p w14:paraId="2231F4B6" w14:textId="77777777" w:rsidR="00DB30B8" w:rsidRPr="00135FA5" w:rsidRDefault="00DB30B8" w:rsidP="00DB30B8">
      <w:pPr>
        <w:tabs>
          <w:tab w:val="left" w:pos="941"/>
        </w:tabs>
        <w:spacing w:before="120"/>
        <w:jc w:val="both"/>
        <w:rPr>
          <w:rFonts w:ascii="Times New Roman" w:hAnsi="Times New Roman" w:cs="Times New Roman"/>
          <w:noProof/>
          <w:sz w:val="24"/>
          <w:szCs w:val="24"/>
        </w:rPr>
      </w:pPr>
      <w:r w:rsidRPr="00135FA5">
        <w:rPr>
          <w:rFonts w:ascii="Times New Roman" w:hAnsi="Times New Roman"/>
          <w:sz w:val="24"/>
          <w:szCs w:val="24"/>
        </w:rPr>
        <w:t xml:space="preserve">17. Ja jursidikcija konstatē, ka vienība vai konts vairs neatbilst zema nodokļu nemaksāšanas riska prasībai, tai ir jāveic visi nepieciešamie pasākumi, lai iespējami īsā laikā izslēgtu šādu vienību vai kontu no finanšu iestāžu, kas nesniedz ziņojumus, vai izslēgto kontu saraksta savos valsts tiesību aktos. Šādai jursidikcijai arī jāinformē savi informācijas apmaiņas partneri par vienības vai konta statusa maiņu. Skat. arī </w:t>
      </w:r>
      <w:r w:rsidRPr="00135FA5">
        <w:rPr>
          <w:rFonts w:ascii="Times New Roman" w:hAnsi="Times New Roman"/>
          <w:i/>
          <w:iCs/>
          <w:sz w:val="24"/>
          <w:szCs w:val="24"/>
        </w:rPr>
        <w:t>CAA</w:t>
      </w:r>
      <w:r w:rsidRPr="00135FA5">
        <w:rPr>
          <w:rFonts w:ascii="Times New Roman" w:hAnsi="Times New Roman"/>
          <w:sz w:val="24"/>
          <w:szCs w:val="24"/>
        </w:rPr>
        <w:t xml:space="preserve"> parauga 7. panta 2. punktu, ja finanšu iestādes, kas nesniedz ziņojumus, un izslēgtā konta statusa piešķiršana vienībām vai kontiem tādā veidā, kas ir pretrunā </w:t>
      </w:r>
      <w:r w:rsidRPr="00135FA5">
        <w:rPr>
          <w:rFonts w:ascii="Times New Roman" w:hAnsi="Times New Roman"/>
          <w:i/>
          <w:iCs/>
          <w:sz w:val="24"/>
          <w:szCs w:val="24"/>
        </w:rPr>
        <w:t>CRS</w:t>
      </w:r>
      <w:r w:rsidRPr="00135FA5">
        <w:rPr>
          <w:rFonts w:ascii="Times New Roman" w:hAnsi="Times New Roman"/>
          <w:sz w:val="24"/>
          <w:szCs w:val="24"/>
        </w:rPr>
        <w:t xml:space="preserve"> mērķiem, radītu ievērojamu neatbilstību, kuras dēļ informācijas apmaiņas partneris varētu apturēt </w:t>
      </w:r>
      <w:r w:rsidRPr="00135FA5">
        <w:rPr>
          <w:rFonts w:ascii="Times New Roman" w:hAnsi="Times New Roman"/>
          <w:i/>
          <w:iCs/>
          <w:sz w:val="24"/>
          <w:szCs w:val="24"/>
        </w:rPr>
        <w:t>CAA</w:t>
      </w:r>
      <w:r w:rsidRPr="00135FA5">
        <w:rPr>
          <w:rFonts w:ascii="Times New Roman" w:hAnsi="Times New Roman"/>
          <w:sz w:val="24"/>
          <w:szCs w:val="24"/>
        </w:rPr>
        <w:t xml:space="preserve"> parauga darbību.</w:t>
      </w:r>
    </w:p>
    <w:p w14:paraId="7185B425" w14:textId="77777777" w:rsidR="00DB30B8" w:rsidRPr="00135FA5" w:rsidRDefault="00DB30B8" w:rsidP="00DB30B8">
      <w:pPr>
        <w:tabs>
          <w:tab w:val="left" w:pos="940"/>
        </w:tabs>
        <w:spacing w:before="120"/>
        <w:jc w:val="both"/>
        <w:rPr>
          <w:rFonts w:ascii="Times New Roman" w:hAnsi="Times New Roman" w:cs="Times New Roman"/>
          <w:noProof/>
          <w:color w:val="231F20"/>
          <w:sz w:val="24"/>
          <w:szCs w:val="24"/>
        </w:rPr>
      </w:pPr>
      <w:r w:rsidRPr="00135FA5">
        <w:rPr>
          <w:rFonts w:ascii="Times New Roman" w:hAnsi="Times New Roman"/>
          <w:color w:val="231F20"/>
          <w:sz w:val="24"/>
          <w:szCs w:val="24"/>
        </w:rPr>
        <w:t xml:space="preserve">18. A punkta 5. apakšpunktā ir noteikts, ka jurisdikcijā jābūt spēkā izpildes noteikumiem neatbilstības gadījumu risināšanai. Dažos gadījumos A punkta 1. apakšpunktā minētais noteikums par izvairīšanās no nodokļiem novēršanu var būt pietiekami plašs, lai nodrošinātu pamatu izpildei. Citos gadījumos tie var būt atsevišķi vai konkrētāki noteikumi, kas paredzēti noteiktu izpildes jautājumu risināšanai. Piemēram, jurisdikcijā var būt spēkā noteikumi, kas paredz sodu piemērošanu vai citas sankcijas tad, ja persona nesniedz nodokļu iestādes pieprasīto informāciju. Turklāt, ņemot vērā to, ka pašapliecinājuma iegūšanai attiecībā uz jaunu kontu ir būtiska nozīme, lai nodrošinātu </w:t>
      </w:r>
      <w:r w:rsidRPr="00135FA5">
        <w:rPr>
          <w:rFonts w:ascii="Times New Roman" w:hAnsi="Times New Roman"/>
          <w:i/>
          <w:iCs/>
          <w:color w:val="231F20"/>
          <w:sz w:val="24"/>
          <w:szCs w:val="24"/>
        </w:rPr>
        <w:t>CRS</w:t>
      </w:r>
      <w:r w:rsidRPr="00135FA5">
        <w:rPr>
          <w:rFonts w:ascii="Times New Roman" w:hAnsi="Times New Roman"/>
          <w:color w:val="231F20"/>
          <w:sz w:val="24"/>
          <w:szCs w:val="24"/>
        </w:rPr>
        <w:t xml:space="preserve"> efektivitāti, ir paredzams, ka jurisdikcijas būs ieviesušas stingrus pasākumus, lai nodrošinātu, ka attiecībā uz jauniem kontiem vienmēr tiek iegūti derīgi pašapliecinājumi</w:t>
      </w:r>
      <w:r w:rsidRPr="00135FA5">
        <w:rPr>
          <w:rFonts w:ascii="Times New Roman" w:hAnsi="Times New Roman"/>
          <w:b/>
          <w:bCs/>
          <w:i/>
          <w:iCs/>
          <w:color w:val="231F20"/>
          <w:sz w:val="24"/>
          <w:szCs w:val="24"/>
          <w:u w:val="single"/>
        </w:rPr>
        <w:t>, tostarp attiecībā uz jauniem kontiem, kas dokumentēti, pamatojoties uz VII panta A bis punktu.</w:t>
      </w:r>
      <w:r w:rsidRPr="00135FA5">
        <w:rPr>
          <w:rFonts w:ascii="Times New Roman" w:hAnsi="Times New Roman"/>
          <w:b/>
          <w:i/>
          <w:color w:val="231F20"/>
          <w:sz w:val="24"/>
          <w:szCs w:val="24"/>
          <w:u w:val="single" w:color="231F20"/>
        </w:rPr>
        <w:t xml:space="preserve"> </w:t>
      </w:r>
      <w:r w:rsidRPr="00135FA5">
        <w:rPr>
          <w:rFonts w:ascii="Times New Roman" w:hAnsi="Times New Roman"/>
          <w:b/>
          <w:i/>
          <w:color w:val="231F20"/>
          <w:sz w:val="24"/>
          <w:szCs w:val="24"/>
          <w:u w:val="single"/>
        </w:rPr>
        <w:t>Šajā kontekstā katrā jurisdikcijā var būt sava izpratne par to, kas ir “stingrs pasākums”, un tas jānovērtē, ņemot vērā pasākuma faktiskos rezultātus.</w:t>
      </w:r>
      <w:r w:rsidRPr="00135FA5">
        <w:rPr>
          <w:rFonts w:ascii="Times New Roman" w:hAnsi="Times New Roman"/>
          <w:b/>
          <w:i/>
          <w:color w:val="231F20"/>
          <w:sz w:val="24"/>
          <w:szCs w:val="24"/>
          <w:u w:val="single" w:color="231F20"/>
        </w:rPr>
        <w:t xml:space="preserve"> </w:t>
      </w:r>
      <w:r w:rsidRPr="00135FA5">
        <w:rPr>
          <w:rFonts w:ascii="Times New Roman" w:hAnsi="Times New Roman"/>
          <w:b/>
          <w:bCs/>
          <w:i/>
          <w:iCs/>
          <w:color w:val="231F20"/>
          <w:sz w:val="24"/>
          <w:szCs w:val="24"/>
          <w:u w:val="single"/>
        </w:rPr>
        <w:t>Lai noteiktu, kādus pasākumus var kvalificēt kā “stingrus pasākumus”, izšķirīgs kritērijs ir tas, vai pasākumi pietiekami spēcīgi ietekmē konta turētājus un/vai finanšu iestādes, kas sniedz ziņojumus, lai faktiski nodrošinātu, ka tiek iegūti pašapliecinājumi un ka tiek pārbaudīts to derīgums saskaņā ar Kopējā ziņošanas standarta noteikumiem.</w:t>
      </w:r>
      <w:r w:rsidRPr="00135FA5">
        <w:rPr>
          <w:rFonts w:ascii="Times New Roman" w:hAnsi="Times New Roman"/>
          <w:color w:val="231F20"/>
          <w:sz w:val="24"/>
          <w:szCs w:val="24"/>
        </w:rPr>
        <w:t xml:space="preserve"> Efektīvs paņēmiens, kā sasniegt šo mērķi, ir tiesību aktos noteikt, ka konta atvēršanas procedūrās, lai atvērtu jaunu kontu, ir jāsaņem derīgs pašapliecinājums. Citas jurisdikcijas var izvēlēties atšķirīgas metodes, piemēram, piemērot ievērojamus sodus konta turētājiem, kas nesniedz pašapliecinājumu, vai finanšu iestādēm, kas sniedz ziņojumus un kas neveic atbilstīgus pasākumus, lai iegūtu pašapliecinājumu konta atvēršanas laikā.</w:t>
      </w:r>
      <w:bookmarkStart w:id="186" w:name="Commentary_on_Section_X_concerning_Trans"/>
      <w:bookmarkStart w:id="187" w:name="_bookmark22"/>
      <w:bookmarkEnd w:id="186"/>
      <w:bookmarkEnd w:id="187"/>
      <w:r w:rsidRPr="00135FA5">
        <w:rPr>
          <w:sz w:val="24"/>
          <w:szCs w:val="24"/>
        </w:rPr>
        <w:br w:type="page"/>
      </w:r>
    </w:p>
    <w:p w14:paraId="315CDAF7" w14:textId="77777777" w:rsidR="00DB30B8" w:rsidRPr="00391191" w:rsidRDefault="00DB30B8" w:rsidP="00DB30B8">
      <w:pPr>
        <w:tabs>
          <w:tab w:val="left" w:pos="940"/>
        </w:tabs>
        <w:spacing w:before="120"/>
        <w:jc w:val="both"/>
        <w:rPr>
          <w:rFonts w:ascii="Times New Roman" w:hAnsi="Times New Roman" w:cs="Times New Roman"/>
          <w:b/>
          <w:bCs/>
          <w:i/>
          <w:iCs/>
          <w:noProof/>
          <w:color w:val="4E81BD"/>
          <w:sz w:val="56"/>
          <w:szCs w:val="56"/>
          <w:u w:val="single" w:color="4E81BD"/>
        </w:rPr>
      </w:pPr>
      <w:r>
        <w:rPr>
          <w:rFonts w:ascii="Times New Roman" w:hAnsi="Times New Roman"/>
          <w:b/>
          <w:i/>
          <w:color w:val="4E81BD"/>
          <w:sz w:val="56"/>
          <w:u w:val="single" w:color="4E81BD"/>
        </w:rPr>
        <w:lastRenderedPageBreak/>
        <w:t>Komentāri par X pantu – par pārejas pasākumiem</w:t>
      </w:r>
    </w:p>
    <w:p w14:paraId="52490262" w14:textId="77777777" w:rsidR="00DB30B8" w:rsidRPr="00C0366A" w:rsidRDefault="00DB30B8" w:rsidP="00DB30B8">
      <w:pPr>
        <w:spacing w:before="120"/>
        <w:rPr>
          <w:rFonts w:ascii="Times New Roman" w:hAnsi="Times New Roman" w:cs="Times New Roman"/>
          <w:b/>
          <w:i/>
          <w:noProof/>
        </w:rPr>
      </w:pPr>
    </w:p>
    <w:p w14:paraId="55ED3C79" w14:textId="77777777" w:rsidR="00DB30B8" w:rsidRPr="00C0366A" w:rsidRDefault="00DB30B8" w:rsidP="00DB30B8">
      <w:pPr>
        <w:spacing w:before="120"/>
        <w:rPr>
          <w:rFonts w:ascii="Times New Roman" w:hAnsi="Times New Roman" w:cs="Times New Roman"/>
          <w:b/>
          <w:i/>
          <w:noProof/>
        </w:rPr>
      </w:pPr>
    </w:p>
    <w:p w14:paraId="0935C3C1" w14:textId="77777777" w:rsidR="00DB30B8" w:rsidRPr="00135FA5" w:rsidRDefault="00DB30B8" w:rsidP="00DB30B8">
      <w:pPr>
        <w:tabs>
          <w:tab w:val="left" w:pos="388"/>
        </w:tabs>
        <w:spacing w:before="120"/>
        <w:jc w:val="both"/>
        <w:rPr>
          <w:rFonts w:ascii="Times New Roman" w:hAnsi="Times New Roman" w:cs="Times New Roman"/>
          <w:b/>
          <w:i/>
          <w:noProof/>
          <w:sz w:val="24"/>
          <w:szCs w:val="24"/>
          <w:u w:val="thick"/>
        </w:rPr>
      </w:pPr>
      <w:r w:rsidRPr="00135FA5">
        <w:rPr>
          <w:rFonts w:ascii="Times New Roman" w:hAnsi="Times New Roman"/>
          <w:b/>
          <w:i/>
          <w:sz w:val="24"/>
          <w:szCs w:val="24"/>
          <w:u w:val="thick"/>
        </w:rPr>
        <w:t>1. X panta A punktā ir ietverts vispārīgs Kopējā ziņošanas standarta grozījumu spēkā stāšanās datums, t. i., [xx/xx/xxxx].</w:t>
      </w:r>
    </w:p>
    <w:p w14:paraId="6EA375C3" w14:textId="77777777" w:rsidR="00DB30B8" w:rsidRPr="00135FA5" w:rsidRDefault="00DB30B8" w:rsidP="00DB30B8">
      <w:pPr>
        <w:tabs>
          <w:tab w:val="left" w:pos="388"/>
        </w:tabs>
        <w:spacing w:before="120"/>
        <w:jc w:val="both"/>
        <w:rPr>
          <w:rFonts w:ascii="Times New Roman" w:hAnsi="Times New Roman" w:cs="Times New Roman"/>
          <w:b/>
          <w:i/>
          <w:noProof/>
          <w:sz w:val="24"/>
          <w:szCs w:val="24"/>
          <w:u w:val="thick"/>
        </w:rPr>
      </w:pPr>
      <w:r w:rsidRPr="00135FA5">
        <w:rPr>
          <w:rFonts w:ascii="Times New Roman" w:hAnsi="Times New Roman"/>
          <w:b/>
          <w:i/>
          <w:sz w:val="24"/>
          <w:szCs w:val="24"/>
          <w:u w:val="thick"/>
        </w:rPr>
        <w:t>2. B punktā ir norādīts ierobežots izņēmums, kad nepiemēro vispārīgo spēkā stāšanās datumu attiecībā uz ziņošanu par lomu(-ām), uz kuras(-u) pamata katra persona, par ko jāsniedz ziņojums, ir kontrolējošā persona vai vienība, kura ir vienības līdzdalības daļu turētāja, saistībā ar finanšu kontiem, kas atvērti pirms pārskatītā Kopējā ziņošanas standarta spēkā stāšanās datuma – attiecībā uz pārskata periodiem, kas beidzas līdz otrā kalendārā gada beigām pēc pārskatītā CRS spēkā stāšanās datuma, finanšu iestādei ir jāsniedz šī informācija tikai tad, ja tā ir pieejama tās elektroniski uzmeklējamos datos.</w:t>
      </w:r>
    </w:p>
    <w:p w14:paraId="0FE9B1F4" w14:textId="77777777" w:rsidR="00DB30B8" w:rsidRPr="00135FA5" w:rsidRDefault="00DB30B8" w:rsidP="00DB30B8">
      <w:pPr>
        <w:spacing w:before="120"/>
        <w:rPr>
          <w:rFonts w:ascii="Times New Roman" w:eastAsia="Arial Black" w:hAnsi="Times New Roman" w:cs="Times New Roman"/>
          <w:bCs/>
          <w:noProof/>
          <w:color w:val="101D40"/>
          <w:sz w:val="24"/>
          <w:szCs w:val="24"/>
        </w:rPr>
      </w:pPr>
      <w:r w:rsidRPr="00135FA5">
        <w:rPr>
          <w:sz w:val="24"/>
          <w:szCs w:val="24"/>
        </w:rPr>
        <w:br w:type="page"/>
      </w:r>
    </w:p>
    <w:p w14:paraId="135C97B7" w14:textId="77777777" w:rsidR="00DB30B8" w:rsidRPr="00391191" w:rsidRDefault="00DB30B8" w:rsidP="00DB30B8">
      <w:pPr>
        <w:spacing w:before="120"/>
        <w:outlineLvl w:val="3"/>
        <w:rPr>
          <w:rFonts w:ascii="Times New Roman" w:eastAsia="Arial Black" w:hAnsi="Times New Roman" w:cs="Times New Roman"/>
          <w:b/>
          <w:noProof/>
          <w:color w:val="101D40"/>
          <w:sz w:val="28"/>
          <w:szCs w:val="28"/>
        </w:rPr>
      </w:pPr>
      <w:r>
        <w:rPr>
          <w:rFonts w:ascii="Times New Roman" w:hAnsi="Times New Roman"/>
          <w:b/>
          <w:color w:val="101D40"/>
          <w:sz w:val="28"/>
        </w:rPr>
        <w:lastRenderedPageBreak/>
        <w:t>Kopējā ziņošanas standarta konsolidētais teksts (2025)</w:t>
      </w:r>
    </w:p>
    <w:p w14:paraId="6234F230" w14:textId="77777777" w:rsidR="00DB30B8" w:rsidRPr="00391191" w:rsidRDefault="00DB30B8" w:rsidP="00DB30B8">
      <w:pPr>
        <w:spacing w:before="120"/>
        <w:rPr>
          <w:rFonts w:ascii="Times New Roman" w:hAnsi="Times New Roman" w:cs="Times New Roman"/>
          <w:noProof/>
          <w:color w:val="101D40"/>
          <w:sz w:val="28"/>
          <w:szCs w:val="28"/>
        </w:rPr>
      </w:pPr>
      <w:r>
        <w:rPr>
          <w:rFonts w:ascii="Times New Roman" w:hAnsi="Times New Roman"/>
          <w:color w:val="101D40"/>
          <w:sz w:val="28"/>
        </w:rPr>
        <w:t>Standarts finanšu konta informācijas automātiskai apmaiņai nodokļu jomā</w:t>
      </w:r>
    </w:p>
    <w:p w14:paraId="243C09CF" w14:textId="77777777" w:rsidR="00DB30B8" w:rsidRPr="00C0366A" w:rsidRDefault="00DB30B8" w:rsidP="00DB30B8">
      <w:pPr>
        <w:spacing w:before="120"/>
        <w:rPr>
          <w:rFonts w:ascii="Times New Roman" w:hAnsi="Times New Roman" w:cs="Times New Roman"/>
          <w:noProof/>
        </w:rPr>
      </w:pPr>
    </w:p>
    <w:p w14:paraId="2E511308" w14:textId="77777777" w:rsidR="00DB30B8" w:rsidRDefault="00DB30B8" w:rsidP="00DB30B8">
      <w:pPr>
        <w:spacing w:before="120"/>
        <w:jc w:val="both"/>
        <w:rPr>
          <w:rFonts w:ascii="Times New Roman" w:hAnsi="Times New Roman" w:cs="Times New Roman"/>
          <w:noProof/>
          <w:color w:val="101D40"/>
        </w:rPr>
      </w:pPr>
      <w:r>
        <w:rPr>
          <w:rFonts w:ascii="Times New Roman" w:hAnsi="Times New Roman"/>
          <w:color w:val="101D40"/>
        </w:rPr>
        <w:t xml:space="preserve">2014. gada februārī </w:t>
      </w:r>
      <w:r>
        <w:rPr>
          <w:rFonts w:ascii="Times New Roman" w:hAnsi="Times New Roman"/>
          <w:i/>
          <w:iCs/>
          <w:color w:val="101D40"/>
        </w:rPr>
        <w:t>OECD</w:t>
      </w:r>
      <w:r>
        <w:rPr>
          <w:rFonts w:ascii="Times New Roman" w:hAnsi="Times New Roman"/>
          <w:color w:val="101D40"/>
        </w:rPr>
        <w:t xml:space="preserve"> pieņēma Standartu finanšu konta informācijas automātiskai apmaiņai nodokļu jomā, ko dēvē arī par Kopējo ziņošanas standartu (</w:t>
      </w:r>
      <w:r>
        <w:rPr>
          <w:rFonts w:ascii="Times New Roman" w:hAnsi="Times New Roman"/>
          <w:i/>
          <w:iCs/>
          <w:color w:val="101D40"/>
        </w:rPr>
        <w:t>CRS</w:t>
      </w:r>
      <w:r>
        <w:rPr>
          <w:rFonts w:ascii="Times New Roman" w:hAnsi="Times New Roman"/>
          <w:color w:val="101D40"/>
        </w:rPr>
        <w:t xml:space="preserve">). Standartā jurisdikcijas tiek aicinātas iegūt informāciju no savām finanšu iestādēm un automātiski katru gadu apmainīties ar šo informāciju ar citām jurisdikcijām. Kopš tā pieņemšanas </w:t>
      </w:r>
      <w:r>
        <w:rPr>
          <w:rFonts w:ascii="Times New Roman" w:hAnsi="Times New Roman"/>
          <w:i/>
          <w:iCs/>
          <w:color w:val="101D40"/>
        </w:rPr>
        <w:t>CRS</w:t>
      </w:r>
      <w:r>
        <w:rPr>
          <w:rFonts w:ascii="Times New Roman" w:hAnsi="Times New Roman"/>
          <w:color w:val="101D40"/>
        </w:rPr>
        <w:t xml:space="preserve"> ir plaši ieviests visā pasaulē, ļaujot jurisdikcijām un finanšu iestādēm uzlabot nodokļu saistību izpildi un sekmēt starptautisko sadarbību nodokļu jomā.</w:t>
      </w:r>
    </w:p>
    <w:p w14:paraId="7753E2A9" w14:textId="77777777" w:rsidR="00DB30B8" w:rsidRPr="00C0366A" w:rsidRDefault="00DB30B8" w:rsidP="00DB30B8">
      <w:pPr>
        <w:spacing w:before="120"/>
        <w:jc w:val="both"/>
        <w:rPr>
          <w:rFonts w:ascii="Times New Roman" w:hAnsi="Times New Roman" w:cs="Times New Roman"/>
          <w:noProof/>
          <w:color w:val="101D40"/>
        </w:rPr>
      </w:pPr>
    </w:p>
    <w:p w14:paraId="682B558B" w14:textId="77777777" w:rsidR="00DB30B8" w:rsidRPr="00C0366A" w:rsidRDefault="00DB30B8" w:rsidP="00DB30B8">
      <w:pPr>
        <w:spacing w:before="120"/>
        <w:jc w:val="both"/>
        <w:rPr>
          <w:rFonts w:ascii="Times New Roman" w:hAnsi="Times New Roman" w:cs="Times New Roman"/>
          <w:noProof/>
          <w:color w:val="101D40"/>
        </w:rPr>
      </w:pPr>
      <w:r>
        <w:rPr>
          <w:rFonts w:ascii="Times New Roman" w:hAnsi="Times New Roman"/>
          <w:color w:val="101D40"/>
        </w:rPr>
        <w:t xml:space="preserve">Pēc </w:t>
      </w:r>
      <w:r>
        <w:rPr>
          <w:rFonts w:ascii="Times New Roman" w:hAnsi="Times New Roman"/>
          <w:i/>
          <w:iCs/>
          <w:color w:val="101D40"/>
        </w:rPr>
        <w:t>CRS</w:t>
      </w:r>
      <w:r>
        <w:rPr>
          <w:rFonts w:ascii="Times New Roman" w:hAnsi="Times New Roman"/>
          <w:color w:val="101D40"/>
        </w:rPr>
        <w:t xml:space="preserve"> visaptverošas pārskatīšanas </w:t>
      </w:r>
      <w:r>
        <w:rPr>
          <w:rFonts w:ascii="Times New Roman" w:hAnsi="Times New Roman"/>
          <w:i/>
          <w:iCs/>
          <w:color w:val="101D40"/>
        </w:rPr>
        <w:t>OECD</w:t>
      </w:r>
      <w:r>
        <w:rPr>
          <w:rFonts w:ascii="Times New Roman" w:hAnsi="Times New Roman"/>
          <w:color w:val="101D40"/>
        </w:rPr>
        <w:t xml:space="preserve"> 2022. gada augustā pieņēma grozījumu kopumu. Tādējādi </w:t>
      </w:r>
      <w:r>
        <w:rPr>
          <w:rFonts w:ascii="Times New Roman" w:hAnsi="Times New Roman"/>
          <w:i/>
          <w:iCs/>
          <w:color w:val="101D40"/>
        </w:rPr>
        <w:t>CRS</w:t>
      </w:r>
      <w:r>
        <w:rPr>
          <w:rFonts w:ascii="Times New Roman" w:hAnsi="Times New Roman"/>
          <w:color w:val="101D40"/>
        </w:rPr>
        <w:t xml:space="preserve"> darbības joma tika paplašināta, iekļaujot tajā konkrētus elektroniskās naudas produktus un centrālo banku digitālās valūtas. Izmaiņas tika veiktas arī tamdēļ, lai nodrošinātu, ka tagad </w:t>
      </w:r>
      <w:r>
        <w:rPr>
          <w:rFonts w:ascii="Times New Roman" w:hAnsi="Times New Roman"/>
          <w:i/>
          <w:iCs/>
          <w:color w:val="101D40"/>
        </w:rPr>
        <w:t>CRS</w:t>
      </w:r>
      <w:r>
        <w:rPr>
          <w:rFonts w:ascii="Times New Roman" w:hAnsi="Times New Roman"/>
          <w:color w:val="101D40"/>
        </w:rPr>
        <w:t xml:space="preserve"> darbības jomā ietilpst netiešie ieguldījumi kriptoaktīvos, kas tiek veikti, izmantojot atvasinātos instrumentus un ieguldījumu instrumentus. Turklāt grozījumi tika veikti, lai noteiktu stingrākas pienācīgas pārbaudes un ziņojumu sniegšanas prasības un lai paredzētu patiesu bezpeļņas organizāciju izslēgšanu. Šajā publikācijā ir iekļauts neoficiāls </w:t>
      </w:r>
      <w:r>
        <w:rPr>
          <w:rFonts w:ascii="Times New Roman" w:hAnsi="Times New Roman"/>
          <w:i/>
          <w:iCs/>
          <w:color w:val="101D40"/>
        </w:rPr>
        <w:t>CRS</w:t>
      </w:r>
      <w:r>
        <w:rPr>
          <w:rFonts w:ascii="Times New Roman" w:hAnsi="Times New Roman"/>
          <w:color w:val="101D40"/>
        </w:rPr>
        <w:t xml:space="preserve"> konsolidētais teksts, kurā ietverti standarta visaptverošajā pārskatīšanā veiktie grozījumi.</w:t>
      </w:r>
    </w:p>
    <w:p w14:paraId="617DA1EA" w14:textId="77777777" w:rsidR="00DB30B8" w:rsidRPr="00C0366A" w:rsidRDefault="00DB30B8" w:rsidP="00DB30B8">
      <w:pPr>
        <w:spacing w:before="120"/>
        <w:rPr>
          <w:rFonts w:ascii="Times New Roman" w:hAnsi="Times New Roman" w:cs="Times New Roman"/>
          <w:noProof/>
        </w:rPr>
      </w:pPr>
    </w:p>
    <w:p w14:paraId="2BB987D8" w14:textId="77777777" w:rsidR="00DB30B8" w:rsidRPr="00C0366A" w:rsidRDefault="00DB30B8" w:rsidP="00DB30B8">
      <w:pPr>
        <w:spacing w:before="120"/>
        <w:rPr>
          <w:rFonts w:ascii="Times New Roman" w:hAnsi="Times New Roman" w:cs="Times New Roman"/>
          <w:noProof/>
        </w:rPr>
      </w:pPr>
    </w:p>
    <w:p w14:paraId="079D2A49" w14:textId="77777777" w:rsidR="00DB30B8" w:rsidRPr="00C0366A" w:rsidRDefault="00DB30B8" w:rsidP="00DB30B8">
      <w:pPr>
        <w:spacing w:before="120"/>
        <w:rPr>
          <w:rFonts w:ascii="Times New Roman" w:hAnsi="Times New Roman" w:cs="Times New Roman"/>
          <w:noProof/>
        </w:rPr>
      </w:pPr>
    </w:p>
    <w:p w14:paraId="336BEA91" w14:textId="77777777" w:rsidR="00DB30B8" w:rsidRPr="00C0366A" w:rsidRDefault="00DB30B8" w:rsidP="00DB30B8">
      <w:pPr>
        <w:spacing w:before="120"/>
        <w:rPr>
          <w:rFonts w:ascii="Times New Roman" w:hAnsi="Times New Roman" w:cs="Times New Roman"/>
          <w:noProof/>
        </w:rPr>
      </w:pPr>
    </w:p>
    <w:p w14:paraId="4E12916B" w14:textId="77777777" w:rsidR="00DB30B8" w:rsidRPr="00C0366A" w:rsidRDefault="00DB30B8" w:rsidP="00DB30B8">
      <w:pPr>
        <w:spacing w:before="120"/>
        <w:rPr>
          <w:rFonts w:ascii="Times New Roman" w:hAnsi="Times New Roman" w:cs="Times New Roman"/>
          <w:noProof/>
        </w:rPr>
      </w:pPr>
    </w:p>
    <w:p w14:paraId="3961A06B" w14:textId="77777777" w:rsidR="00DB30B8" w:rsidRPr="00C0366A" w:rsidRDefault="00DB30B8" w:rsidP="00DB30B8">
      <w:pPr>
        <w:spacing w:before="120"/>
        <w:rPr>
          <w:rFonts w:ascii="Times New Roman" w:hAnsi="Times New Roman" w:cs="Times New Roman"/>
          <w:noProof/>
        </w:rPr>
      </w:pPr>
    </w:p>
    <w:p w14:paraId="71540DF2" w14:textId="77777777" w:rsidR="00DB30B8" w:rsidRPr="00C0366A" w:rsidRDefault="00DB30B8" w:rsidP="00DB30B8">
      <w:pPr>
        <w:spacing w:before="120"/>
        <w:rPr>
          <w:rFonts w:ascii="Times New Roman" w:hAnsi="Times New Roman" w:cs="Times New Roman"/>
          <w:noProof/>
        </w:rPr>
      </w:pPr>
    </w:p>
    <w:p w14:paraId="40A7FE64" w14:textId="77777777" w:rsidR="00DB30B8" w:rsidRPr="00C0366A" w:rsidRDefault="00DB30B8" w:rsidP="00DB30B8">
      <w:pPr>
        <w:spacing w:before="120"/>
        <w:rPr>
          <w:rFonts w:ascii="Times New Roman" w:hAnsi="Times New Roman" w:cs="Times New Roman"/>
          <w:noProof/>
        </w:rPr>
      </w:pPr>
    </w:p>
    <w:p w14:paraId="07D71760" w14:textId="77777777" w:rsidR="00DB30B8" w:rsidRPr="00C0366A" w:rsidRDefault="00DB30B8" w:rsidP="00DB30B8">
      <w:pPr>
        <w:spacing w:before="120"/>
        <w:rPr>
          <w:rFonts w:ascii="Times New Roman" w:hAnsi="Times New Roman" w:cs="Times New Roman"/>
          <w:noProof/>
        </w:rPr>
      </w:pPr>
    </w:p>
    <w:p w14:paraId="61A87791" w14:textId="77777777" w:rsidR="00DB30B8" w:rsidRPr="00C0366A" w:rsidRDefault="00DB30B8" w:rsidP="00DB30B8">
      <w:pPr>
        <w:spacing w:before="120"/>
        <w:rPr>
          <w:rFonts w:ascii="Times New Roman" w:hAnsi="Times New Roman" w:cs="Times New Roman"/>
          <w:noProof/>
        </w:rPr>
      </w:pPr>
    </w:p>
    <w:p w14:paraId="16FFF0A3" w14:textId="77777777" w:rsidR="00DB30B8" w:rsidRPr="00C0366A" w:rsidRDefault="00DB30B8" w:rsidP="00DB30B8">
      <w:pPr>
        <w:spacing w:before="120"/>
        <w:rPr>
          <w:rFonts w:ascii="Times New Roman" w:hAnsi="Times New Roman" w:cs="Times New Roman"/>
          <w:noProof/>
        </w:rPr>
      </w:pPr>
    </w:p>
    <w:p w14:paraId="73BF5376" w14:textId="77777777" w:rsidR="00DB30B8" w:rsidRPr="00C0366A" w:rsidRDefault="00DB30B8" w:rsidP="00DB30B8">
      <w:pPr>
        <w:spacing w:before="120"/>
        <w:rPr>
          <w:rFonts w:ascii="Times New Roman" w:hAnsi="Times New Roman" w:cs="Times New Roman"/>
          <w:noProof/>
        </w:rPr>
      </w:pPr>
    </w:p>
    <w:p w14:paraId="0DF1C331" w14:textId="77777777" w:rsidR="00DB30B8" w:rsidRPr="00C0366A" w:rsidRDefault="00DB30B8" w:rsidP="00DB30B8">
      <w:pPr>
        <w:spacing w:before="120"/>
        <w:rPr>
          <w:rFonts w:ascii="Times New Roman" w:hAnsi="Times New Roman" w:cs="Times New Roman"/>
          <w:noProof/>
        </w:rPr>
      </w:pPr>
    </w:p>
    <w:p w14:paraId="0ED9E2E1" w14:textId="77777777" w:rsidR="00DB30B8" w:rsidRPr="00C0366A" w:rsidRDefault="00DB30B8" w:rsidP="00DB30B8">
      <w:pPr>
        <w:spacing w:before="120"/>
        <w:rPr>
          <w:rFonts w:ascii="Times New Roman" w:hAnsi="Times New Roman" w:cs="Times New Roman"/>
          <w:noProof/>
        </w:rPr>
      </w:pPr>
    </w:p>
    <w:p w14:paraId="57E18E6E" w14:textId="77777777" w:rsidR="00DB30B8" w:rsidRPr="00C0366A" w:rsidRDefault="00DB30B8" w:rsidP="00DB30B8">
      <w:pPr>
        <w:spacing w:before="120"/>
        <w:rPr>
          <w:rFonts w:ascii="Times New Roman" w:hAnsi="Times New Roman" w:cs="Times New Roman"/>
          <w:noProof/>
        </w:rPr>
      </w:pPr>
    </w:p>
    <w:p w14:paraId="0321F0C0" w14:textId="77777777" w:rsidR="00DB30B8" w:rsidRPr="00C0366A" w:rsidRDefault="00DB30B8" w:rsidP="00DB30B8">
      <w:pPr>
        <w:spacing w:before="120"/>
        <w:rPr>
          <w:rFonts w:ascii="Times New Roman" w:hAnsi="Times New Roman" w:cs="Times New Roman"/>
          <w:noProof/>
        </w:rPr>
      </w:pPr>
      <w:r>
        <w:rPr>
          <w:rFonts w:ascii="Times New Roman" w:hAnsi="Times New Roman"/>
          <w:noProof/>
        </w:rPr>
        <w:drawing>
          <wp:anchor distT="0" distB="0" distL="0" distR="0" simplePos="0" relativeHeight="251666432" behindDoc="1" locked="0" layoutInCell="1" allowOverlap="1" wp14:anchorId="1BE9A36E" wp14:editId="5ADD7E25">
            <wp:simplePos x="0" y="0"/>
            <wp:positionH relativeFrom="page">
              <wp:posOffset>4914900</wp:posOffset>
            </wp:positionH>
            <wp:positionV relativeFrom="paragraph">
              <wp:posOffset>465455</wp:posOffset>
            </wp:positionV>
            <wp:extent cx="2004060" cy="461645"/>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0" cstate="print"/>
                    <a:stretch>
                      <a:fillRect/>
                    </a:stretch>
                  </pic:blipFill>
                  <pic:spPr>
                    <a:xfrm>
                      <a:off x="0" y="0"/>
                      <a:ext cx="2004060" cy="461645"/>
                    </a:xfrm>
                    <a:prstGeom prst="rect">
                      <a:avLst/>
                    </a:prstGeom>
                  </pic:spPr>
                </pic:pic>
              </a:graphicData>
            </a:graphic>
            <wp14:sizeRelH relativeFrom="margin">
              <wp14:pctWidth>0</wp14:pctWidth>
            </wp14:sizeRelH>
          </wp:anchor>
        </w:drawing>
      </w:r>
    </w:p>
    <w:p w14:paraId="0A92BCF4" w14:textId="77777777" w:rsidR="00B625B5" w:rsidRPr="00774B72" w:rsidRDefault="00B625B5" w:rsidP="0071782B">
      <w:pPr>
        <w:spacing w:before="120"/>
        <w:jc w:val="both"/>
        <w:rPr>
          <w:rFonts w:ascii="Times New Roman" w:hAnsi="Times New Roman" w:cs="Times New Roman"/>
          <w:b/>
          <w:i/>
          <w:noProof/>
          <w:sz w:val="24"/>
          <w:szCs w:val="24"/>
          <w:u w:val="single"/>
        </w:rPr>
      </w:pPr>
    </w:p>
    <w:sectPr w:rsidR="00B625B5" w:rsidRPr="00774B72" w:rsidSect="00DA3881">
      <w:headerReference w:type="first" r:id="rId21"/>
      <w:footerReference w:type="first" r:id="rId22"/>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7AA05" w14:textId="77777777" w:rsidR="004D5B08" w:rsidRPr="00F02FF0" w:rsidRDefault="004D5B08">
      <w:pPr>
        <w:rPr>
          <w:noProof/>
        </w:rPr>
      </w:pPr>
      <w:r w:rsidRPr="00F02FF0">
        <w:rPr>
          <w:noProof/>
        </w:rPr>
        <w:separator/>
      </w:r>
    </w:p>
  </w:endnote>
  <w:endnote w:type="continuationSeparator" w:id="0">
    <w:p w14:paraId="6DAF967F" w14:textId="77777777" w:rsidR="004D5B08" w:rsidRPr="00F02FF0" w:rsidRDefault="004D5B08">
      <w:pPr>
        <w:rPr>
          <w:noProof/>
        </w:rPr>
      </w:pPr>
      <w:r w:rsidRPr="00F02FF0">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B4E4" w14:textId="77777777" w:rsidR="0017229E" w:rsidRPr="0017229E" w:rsidRDefault="0017229E" w:rsidP="0017229E">
    <w:pPr>
      <w:tabs>
        <w:tab w:val="right" w:leader="underscore" w:pos="9072"/>
      </w:tabs>
      <w:autoSpaceDE/>
      <w:autoSpaceDN/>
      <w:rPr>
        <w:rFonts w:ascii="Times New Roman" w:eastAsiaTheme="minorHAnsi" w:hAnsi="Times New Roman" w:cs="Times New Roman"/>
        <w:sz w:val="20"/>
        <w:szCs w:val="18"/>
      </w:rPr>
    </w:pPr>
    <w:r w:rsidRPr="0017229E">
      <w:rPr>
        <w:rFonts w:ascii="Times New Roman" w:eastAsiaTheme="minorHAnsi" w:hAnsi="Times New Roman" w:cs="Times New Roman"/>
        <w:sz w:val="20"/>
        <w:szCs w:val="18"/>
      </w:rPr>
      <w:tab/>
    </w:r>
  </w:p>
  <w:p w14:paraId="4EC54D9E" w14:textId="77777777" w:rsidR="0017229E" w:rsidRPr="0017229E" w:rsidRDefault="0017229E" w:rsidP="0017229E">
    <w:pPr>
      <w:tabs>
        <w:tab w:val="center" w:pos="4513"/>
        <w:tab w:val="right" w:pos="9026"/>
        <w:tab w:val="right" w:pos="9072"/>
      </w:tabs>
      <w:autoSpaceDE/>
      <w:autoSpaceDN/>
      <w:rPr>
        <w:rFonts w:ascii="Times New Roman" w:eastAsiaTheme="minorHAnsi" w:hAnsi="Times New Roman" w:cs="Times New Roman"/>
        <w:sz w:val="20"/>
        <w:szCs w:val="18"/>
      </w:rPr>
    </w:pPr>
  </w:p>
  <w:p w14:paraId="023F887C" w14:textId="026DEA4F" w:rsidR="0017229E" w:rsidRPr="0017229E" w:rsidRDefault="0017229E" w:rsidP="0017229E">
    <w:pPr>
      <w:tabs>
        <w:tab w:val="right" w:pos="9072"/>
      </w:tabs>
      <w:autoSpaceDE/>
      <w:autoSpaceDN/>
      <w:rPr>
        <w:rFonts w:ascii="Times New Roman" w:eastAsiaTheme="minorHAnsi" w:hAnsi="Times New Roman" w:cs="Times New Roman"/>
        <w:sz w:val="20"/>
        <w:szCs w:val="18"/>
      </w:rPr>
    </w:pPr>
    <w:r w:rsidRPr="0017229E">
      <w:rPr>
        <w:rFonts w:ascii="Times New Roman" w:eastAsiaTheme="minorHAnsi" w:hAnsi="Times New Roman" w:cs="Times New Roman"/>
        <w:noProof/>
        <w:sz w:val="20"/>
        <w:szCs w:val="18"/>
      </w:rPr>
      <w:t xml:space="preserve">Tulkojums </w:t>
    </w:r>
    <w:r w:rsidRPr="0017229E">
      <w:rPr>
        <w:rFonts w:ascii="Times New Roman" w:eastAsiaTheme="minorHAnsi" w:hAnsi="Times New Roman" w:cs="Times New Roman"/>
        <w:noProof/>
        <w:sz w:val="20"/>
        <w:szCs w:val="18"/>
      </w:rPr>
      <w:fldChar w:fldCharType="begin"/>
    </w:r>
    <w:r w:rsidRPr="0017229E">
      <w:rPr>
        <w:rFonts w:ascii="Times New Roman" w:eastAsiaTheme="minorHAnsi" w:hAnsi="Times New Roman" w:cs="Times New Roman"/>
        <w:noProof/>
        <w:sz w:val="20"/>
        <w:szCs w:val="18"/>
      </w:rPr>
      <w:instrText>symbol 211 \f "Symbol" \s 9</w:instrText>
    </w:r>
    <w:r w:rsidRPr="0017229E">
      <w:rPr>
        <w:rFonts w:ascii="Times New Roman" w:eastAsiaTheme="minorHAnsi" w:hAnsi="Times New Roman" w:cs="Times New Roman"/>
        <w:noProof/>
        <w:sz w:val="20"/>
        <w:szCs w:val="18"/>
      </w:rPr>
      <w:fldChar w:fldCharType="separate"/>
    </w:r>
    <w:r w:rsidRPr="0017229E">
      <w:rPr>
        <w:rFonts w:ascii="Times New Roman" w:eastAsiaTheme="minorHAnsi" w:hAnsi="Times New Roman" w:cs="Times New Roman"/>
        <w:noProof/>
        <w:sz w:val="20"/>
        <w:szCs w:val="18"/>
      </w:rPr>
      <w:t>Ó</w:t>
    </w:r>
    <w:r w:rsidRPr="0017229E">
      <w:rPr>
        <w:rFonts w:ascii="Times New Roman" w:eastAsiaTheme="minorHAnsi" w:hAnsi="Times New Roman" w:cs="Times New Roman"/>
        <w:noProof/>
        <w:sz w:val="20"/>
        <w:szCs w:val="18"/>
      </w:rPr>
      <w:fldChar w:fldCharType="end"/>
    </w:r>
    <w:r w:rsidRPr="0017229E">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17229E">
      <w:rPr>
        <w:rFonts w:ascii="Times New Roman" w:eastAsiaTheme="minorHAnsi" w:hAnsi="Times New Roman" w:cs="Times New Roman"/>
        <w:sz w:val="20"/>
        <w:szCs w:val="18"/>
      </w:rPr>
      <w:tab/>
    </w:r>
    <w:r w:rsidRPr="0017229E">
      <w:rPr>
        <w:rFonts w:ascii="Times New Roman" w:eastAsiaTheme="minorHAnsi" w:hAnsi="Times New Roman" w:cs="Times New Roman"/>
        <w:sz w:val="20"/>
        <w:szCs w:val="18"/>
      </w:rPr>
      <w:fldChar w:fldCharType="begin"/>
    </w:r>
    <w:r w:rsidRPr="0017229E">
      <w:rPr>
        <w:rFonts w:ascii="Times New Roman" w:eastAsiaTheme="minorHAnsi" w:hAnsi="Times New Roman" w:cs="Times New Roman"/>
        <w:sz w:val="20"/>
        <w:szCs w:val="18"/>
      </w:rPr>
      <w:instrText xml:space="preserve">page </w:instrText>
    </w:r>
    <w:r w:rsidRPr="0017229E">
      <w:rPr>
        <w:rFonts w:ascii="Times New Roman" w:eastAsiaTheme="minorHAnsi" w:hAnsi="Times New Roman" w:cs="Times New Roman"/>
        <w:sz w:val="20"/>
        <w:szCs w:val="18"/>
      </w:rPr>
      <w:fldChar w:fldCharType="separate"/>
    </w:r>
    <w:r w:rsidRPr="0017229E">
      <w:rPr>
        <w:rFonts w:ascii="Times New Roman" w:eastAsiaTheme="minorHAnsi" w:hAnsi="Times New Roman" w:cs="Times New Roman"/>
        <w:sz w:val="20"/>
        <w:szCs w:val="18"/>
      </w:rPr>
      <w:t>2</w:t>
    </w:r>
    <w:r w:rsidRPr="0017229E">
      <w:rPr>
        <w:rFonts w:ascii="Times New Roman" w:eastAsiaTheme="minorHAnsi" w:hAnsi="Times New Roman" w:cs="Times New Roman"/>
        <w:sz w:val="20"/>
        <w:szCs w:val="18"/>
      </w:rPr>
      <w:fldChar w:fldCharType="end"/>
    </w:r>
  </w:p>
  <w:p w14:paraId="5F23EEFF" w14:textId="77777777" w:rsidR="00C92EDD" w:rsidRPr="00F02FF0" w:rsidRDefault="00C92EDD">
    <w:pPr>
      <w:pStyle w:val="BodyText"/>
      <w:spacing w:line="14" w:lineRule="auto"/>
      <w:jc w:val="left"/>
      <w:rPr>
        <w:noProof/>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E12BB" w14:textId="77777777" w:rsidR="0048535E" w:rsidRPr="0048535E" w:rsidRDefault="0048535E" w:rsidP="0048535E">
    <w:pPr>
      <w:tabs>
        <w:tab w:val="left" w:leader="underscore" w:pos="9072"/>
      </w:tabs>
      <w:autoSpaceDE/>
      <w:autoSpaceDN/>
      <w:rPr>
        <w:rFonts w:ascii="Times New Roman" w:eastAsiaTheme="minorHAnsi" w:hAnsi="Times New Roman" w:cs="Times New Roman"/>
        <w:sz w:val="20"/>
        <w:szCs w:val="18"/>
      </w:rPr>
    </w:pPr>
    <w:bookmarkStart w:id="5" w:name="_Hlk496261764"/>
    <w:bookmarkStart w:id="6" w:name="_Hlk496261765"/>
    <w:bookmarkStart w:id="7" w:name="_Hlk496261766"/>
    <w:bookmarkStart w:id="8" w:name="_Hlk30491075"/>
    <w:bookmarkStart w:id="9" w:name="_Hlk30491076"/>
    <w:r w:rsidRPr="0048535E">
      <w:rPr>
        <w:rFonts w:ascii="Times New Roman" w:eastAsiaTheme="minorHAnsi" w:hAnsi="Times New Roman" w:cs="Times New Roman"/>
        <w:sz w:val="20"/>
        <w:szCs w:val="18"/>
      </w:rPr>
      <w:tab/>
    </w:r>
  </w:p>
  <w:p w14:paraId="53C15577" w14:textId="77777777" w:rsidR="0048535E" w:rsidRPr="0048535E" w:rsidRDefault="0048535E" w:rsidP="0048535E">
    <w:pPr>
      <w:tabs>
        <w:tab w:val="center" w:pos="4513"/>
        <w:tab w:val="right" w:pos="9026"/>
        <w:tab w:val="left" w:pos="9072"/>
      </w:tabs>
      <w:autoSpaceDE/>
      <w:autoSpaceDN/>
      <w:rPr>
        <w:rFonts w:ascii="Times New Roman" w:eastAsiaTheme="minorHAnsi" w:hAnsi="Times New Roman" w:cs="Times New Roman"/>
        <w:sz w:val="20"/>
        <w:szCs w:val="18"/>
      </w:rPr>
    </w:pPr>
  </w:p>
  <w:p w14:paraId="4271CEFA" w14:textId="2E6A6423" w:rsidR="0048535E" w:rsidRPr="0048535E" w:rsidRDefault="0048535E" w:rsidP="0048535E">
    <w:pPr>
      <w:tabs>
        <w:tab w:val="center" w:pos="4513"/>
        <w:tab w:val="right" w:pos="9026"/>
      </w:tabs>
      <w:autoSpaceDE/>
      <w:autoSpaceDN/>
      <w:rPr>
        <w:rFonts w:ascii="Times New Roman" w:eastAsiaTheme="minorHAnsi" w:hAnsi="Times New Roman" w:cs="Times New Roman"/>
        <w:sz w:val="20"/>
        <w:szCs w:val="18"/>
      </w:rPr>
    </w:pPr>
    <w:r w:rsidRPr="0048535E">
      <w:rPr>
        <w:rFonts w:ascii="Times New Roman" w:eastAsiaTheme="minorHAnsi" w:hAnsi="Times New Roman" w:cs="Times New Roman"/>
        <w:noProof/>
        <w:sz w:val="20"/>
        <w:szCs w:val="18"/>
      </w:rPr>
      <w:t xml:space="preserve">Tulkojums </w:t>
    </w:r>
    <w:r w:rsidRPr="0048535E">
      <w:rPr>
        <w:rFonts w:ascii="Times New Roman" w:eastAsiaTheme="minorHAnsi" w:hAnsi="Times New Roman" w:cs="Times New Roman"/>
        <w:noProof/>
        <w:sz w:val="20"/>
        <w:szCs w:val="18"/>
      </w:rPr>
      <w:fldChar w:fldCharType="begin"/>
    </w:r>
    <w:r w:rsidRPr="0048535E">
      <w:rPr>
        <w:rFonts w:ascii="Times New Roman" w:eastAsiaTheme="minorHAnsi" w:hAnsi="Times New Roman" w:cs="Times New Roman"/>
        <w:noProof/>
        <w:sz w:val="20"/>
        <w:szCs w:val="18"/>
      </w:rPr>
      <w:instrText>symbol 211 \f "Symbol" \s 9</w:instrText>
    </w:r>
    <w:r w:rsidRPr="0048535E">
      <w:rPr>
        <w:rFonts w:ascii="Times New Roman" w:eastAsiaTheme="minorHAnsi" w:hAnsi="Times New Roman" w:cs="Times New Roman"/>
        <w:noProof/>
        <w:sz w:val="20"/>
        <w:szCs w:val="18"/>
      </w:rPr>
      <w:fldChar w:fldCharType="separate"/>
    </w:r>
    <w:r w:rsidRPr="0048535E">
      <w:rPr>
        <w:rFonts w:ascii="Times New Roman" w:eastAsiaTheme="minorHAnsi" w:hAnsi="Times New Roman" w:cs="Times New Roman"/>
        <w:noProof/>
        <w:sz w:val="20"/>
        <w:szCs w:val="18"/>
      </w:rPr>
      <w:t>Ó</w:t>
    </w:r>
    <w:r w:rsidRPr="0048535E">
      <w:rPr>
        <w:rFonts w:ascii="Times New Roman" w:eastAsiaTheme="minorHAnsi" w:hAnsi="Times New Roman" w:cs="Times New Roman"/>
        <w:noProof/>
        <w:sz w:val="20"/>
        <w:szCs w:val="18"/>
      </w:rPr>
      <w:fldChar w:fldCharType="end"/>
    </w:r>
    <w:r w:rsidRPr="0048535E">
      <w:rPr>
        <w:rFonts w:ascii="Times New Roman" w:eastAsiaTheme="minorHAnsi" w:hAnsi="Times New Roman" w:cs="Times New Roman"/>
        <w:noProof/>
        <w:sz w:val="20"/>
        <w:szCs w:val="18"/>
      </w:rPr>
      <w:t xml:space="preserve"> Valsts valodas centrs, 20</w:t>
    </w:r>
    <w:bookmarkEnd w:id="5"/>
    <w:bookmarkEnd w:id="6"/>
    <w:bookmarkEnd w:id="7"/>
    <w:r w:rsidRPr="0048535E">
      <w:rPr>
        <w:rFonts w:ascii="Times New Roman" w:eastAsiaTheme="minorHAnsi" w:hAnsi="Times New Roman" w:cs="Times New Roman"/>
        <w:noProof/>
        <w:sz w:val="20"/>
        <w:szCs w:val="18"/>
      </w:rPr>
      <w:t>2</w:t>
    </w:r>
    <w:bookmarkEnd w:id="8"/>
    <w:bookmarkEnd w:id="9"/>
    <w:r>
      <w:rPr>
        <w:rFonts w:ascii="Times New Roman" w:eastAsiaTheme="minorHAnsi" w:hAnsi="Times New Roman" w:cs="Times New Roman"/>
        <w:noProof/>
        <w:sz w:val="20"/>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76B4" w14:textId="77777777" w:rsidR="00E13577" w:rsidRPr="00E13577" w:rsidRDefault="00E13577" w:rsidP="00E13577">
    <w:pPr>
      <w:tabs>
        <w:tab w:val="right" w:leader="underscore" w:pos="9072"/>
      </w:tabs>
      <w:autoSpaceDE/>
      <w:autoSpaceDN/>
      <w:rPr>
        <w:rFonts w:ascii="Times New Roman" w:eastAsiaTheme="minorHAnsi" w:hAnsi="Times New Roman" w:cs="Times New Roman"/>
        <w:sz w:val="20"/>
        <w:szCs w:val="18"/>
      </w:rPr>
    </w:pPr>
    <w:r w:rsidRPr="00E13577">
      <w:rPr>
        <w:rFonts w:ascii="Times New Roman" w:eastAsiaTheme="minorHAnsi" w:hAnsi="Times New Roman" w:cs="Times New Roman"/>
        <w:sz w:val="20"/>
        <w:szCs w:val="18"/>
      </w:rPr>
      <w:tab/>
    </w:r>
  </w:p>
  <w:p w14:paraId="22A3B893" w14:textId="77777777" w:rsidR="00E13577" w:rsidRPr="00E13577" w:rsidRDefault="00E13577" w:rsidP="00E13577">
    <w:pPr>
      <w:tabs>
        <w:tab w:val="center" w:pos="4513"/>
        <w:tab w:val="right" w:pos="9026"/>
        <w:tab w:val="right" w:pos="9072"/>
      </w:tabs>
      <w:autoSpaceDE/>
      <w:autoSpaceDN/>
      <w:rPr>
        <w:rFonts w:ascii="Times New Roman" w:eastAsiaTheme="minorHAnsi" w:hAnsi="Times New Roman" w:cs="Times New Roman"/>
        <w:sz w:val="20"/>
        <w:szCs w:val="18"/>
      </w:rPr>
    </w:pPr>
  </w:p>
  <w:p w14:paraId="26292197" w14:textId="7E258F47" w:rsidR="00336261" w:rsidRPr="0048535E" w:rsidRDefault="00E13577" w:rsidP="00E13577">
    <w:pPr>
      <w:tabs>
        <w:tab w:val="right" w:pos="9072"/>
      </w:tabs>
      <w:autoSpaceDE/>
      <w:autoSpaceDN/>
      <w:rPr>
        <w:rFonts w:ascii="Times New Roman" w:eastAsiaTheme="minorHAnsi" w:hAnsi="Times New Roman" w:cs="Times New Roman"/>
        <w:sz w:val="20"/>
        <w:szCs w:val="18"/>
      </w:rPr>
    </w:pPr>
    <w:r w:rsidRPr="00E13577">
      <w:rPr>
        <w:rFonts w:ascii="Times New Roman" w:eastAsiaTheme="minorHAnsi" w:hAnsi="Times New Roman" w:cs="Times New Roman"/>
        <w:noProof/>
        <w:sz w:val="20"/>
        <w:szCs w:val="18"/>
      </w:rPr>
      <w:t xml:space="preserve">Tulkojums </w:t>
    </w:r>
    <w:r w:rsidRPr="00E13577">
      <w:rPr>
        <w:rFonts w:ascii="Times New Roman" w:eastAsiaTheme="minorHAnsi" w:hAnsi="Times New Roman" w:cs="Times New Roman"/>
        <w:noProof/>
        <w:sz w:val="20"/>
        <w:szCs w:val="18"/>
      </w:rPr>
      <w:fldChar w:fldCharType="begin"/>
    </w:r>
    <w:r w:rsidRPr="00E13577">
      <w:rPr>
        <w:rFonts w:ascii="Times New Roman" w:eastAsiaTheme="minorHAnsi" w:hAnsi="Times New Roman" w:cs="Times New Roman"/>
        <w:noProof/>
        <w:sz w:val="20"/>
        <w:szCs w:val="18"/>
      </w:rPr>
      <w:instrText>symbol 211 \f "Symbol" \s 9</w:instrText>
    </w:r>
    <w:r w:rsidRPr="00E13577">
      <w:rPr>
        <w:rFonts w:ascii="Times New Roman" w:eastAsiaTheme="minorHAnsi" w:hAnsi="Times New Roman" w:cs="Times New Roman"/>
        <w:noProof/>
        <w:sz w:val="20"/>
        <w:szCs w:val="18"/>
      </w:rPr>
      <w:fldChar w:fldCharType="separate"/>
    </w:r>
    <w:r w:rsidRPr="00E13577">
      <w:rPr>
        <w:rFonts w:ascii="Times New Roman" w:eastAsiaTheme="minorHAnsi" w:hAnsi="Times New Roman" w:cs="Times New Roman"/>
        <w:noProof/>
        <w:sz w:val="20"/>
        <w:szCs w:val="18"/>
      </w:rPr>
      <w:t>Ó</w:t>
    </w:r>
    <w:r w:rsidRPr="00E13577">
      <w:rPr>
        <w:rFonts w:ascii="Times New Roman" w:eastAsiaTheme="minorHAnsi" w:hAnsi="Times New Roman" w:cs="Times New Roman"/>
        <w:noProof/>
        <w:sz w:val="20"/>
        <w:szCs w:val="18"/>
      </w:rPr>
      <w:fldChar w:fldCharType="end"/>
    </w:r>
    <w:r w:rsidRPr="00E13577">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E13577">
      <w:rPr>
        <w:rFonts w:ascii="Times New Roman" w:eastAsiaTheme="minorHAnsi" w:hAnsi="Times New Roman" w:cs="Times New Roman"/>
        <w:sz w:val="20"/>
        <w:szCs w:val="18"/>
      </w:rPr>
      <w:tab/>
    </w:r>
    <w:r w:rsidRPr="00E13577">
      <w:rPr>
        <w:rFonts w:ascii="Times New Roman" w:eastAsiaTheme="minorHAnsi" w:hAnsi="Times New Roman" w:cs="Times New Roman"/>
        <w:sz w:val="20"/>
        <w:szCs w:val="18"/>
      </w:rPr>
      <w:fldChar w:fldCharType="begin"/>
    </w:r>
    <w:r w:rsidRPr="00E13577">
      <w:rPr>
        <w:rFonts w:ascii="Times New Roman" w:eastAsiaTheme="minorHAnsi" w:hAnsi="Times New Roman" w:cs="Times New Roman"/>
        <w:sz w:val="20"/>
        <w:szCs w:val="18"/>
      </w:rPr>
      <w:instrText xml:space="preserve">page </w:instrText>
    </w:r>
    <w:r w:rsidRPr="00E13577">
      <w:rPr>
        <w:rFonts w:ascii="Times New Roman" w:eastAsiaTheme="minorHAnsi" w:hAnsi="Times New Roman" w:cs="Times New Roman"/>
        <w:sz w:val="20"/>
        <w:szCs w:val="18"/>
      </w:rPr>
      <w:fldChar w:fldCharType="separate"/>
    </w:r>
    <w:r w:rsidRPr="00E13577">
      <w:rPr>
        <w:rFonts w:ascii="Times New Roman" w:eastAsiaTheme="minorHAnsi" w:hAnsi="Times New Roman" w:cs="Times New Roman"/>
        <w:sz w:val="20"/>
        <w:szCs w:val="18"/>
      </w:rPr>
      <w:t>2</w:t>
    </w:r>
    <w:r w:rsidRPr="00E13577">
      <w:rPr>
        <w:rFonts w:ascii="Times New Roman" w:eastAsiaTheme="minorHAnsi" w:hAnsi="Times New Roman" w:cs="Times New Roman"/>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9AB6F" w14:textId="77777777" w:rsidR="004D5B08" w:rsidRPr="00F02FF0" w:rsidRDefault="004D5B08">
      <w:pPr>
        <w:rPr>
          <w:noProof/>
        </w:rPr>
      </w:pPr>
      <w:r w:rsidRPr="00F02FF0">
        <w:rPr>
          <w:noProof/>
        </w:rPr>
        <w:separator/>
      </w:r>
    </w:p>
  </w:footnote>
  <w:footnote w:type="continuationSeparator" w:id="0">
    <w:p w14:paraId="1EF6DABF" w14:textId="77777777" w:rsidR="004D5B08" w:rsidRPr="00F02FF0" w:rsidRDefault="004D5B08">
      <w:pPr>
        <w:rPr>
          <w:noProof/>
        </w:rPr>
      </w:pPr>
      <w:r w:rsidRPr="00F02FF0">
        <w:rPr>
          <w:noProof/>
        </w:rPr>
        <w:continuationSeparator/>
      </w:r>
    </w:p>
  </w:footnote>
  <w:footnote w:id="1">
    <w:p w14:paraId="60DCDF57" w14:textId="777DC4F8" w:rsidR="006A2501" w:rsidRPr="006A2501" w:rsidRDefault="006A2501" w:rsidP="00384E25">
      <w:pPr>
        <w:pStyle w:val="FootnoteText"/>
        <w:jc w:val="both"/>
        <w:rPr>
          <w:rFonts w:ascii="Times New Roman" w:hAnsi="Times New Roman" w:cs="Times New Roman"/>
        </w:rPr>
      </w:pPr>
      <w:r>
        <w:rPr>
          <w:rStyle w:val="FootnoteReference"/>
          <w:rFonts w:ascii="Times New Roman" w:hAnsi="Times New Roman"/>
        </w:rPr>
        <w:t>1</w:t>
      </w:r>
      <w:r>
        <w:rPr>
          <w:rFonts w:ascii="Times New Roman" w:hAnsi="Times New Roman"/>
        </w:rPr>
        <w:t xml:space="preserve"> </w:t>
      </w:r>
      <w:r>
        <w:rPr>
          <w:rFonts w:ascii="Times New Roman" w:hAnsi="Times New Roman"/>
          <w:color w:val="231F20"/>
        </w:rPr>
        <w:t>Skat. Starptautiskās juridiskās personas identifikatora sistēmas (</w:t>
      </w:r>
      <w:r>
        <w:rPr>
          <w:rFonts w:ascii="Times New Roman" w:hAnsi="Times New Roman"/>
          <w:i/>
          <w:iCs/>
          <w:color w:val="231F20"/>
        </w:rPr>
        <w:t>GLEIS</w:t>
      </w:r>
      <w:r>
        <w:rPr>
          <w:rFonts w:ascii="Times New Roman" w:hAnsi="Times New Roman"/>
          <w:color w:val="231F20"/>
        </w:rPr>
        <w:t>) Reglamentējošās uzraudzības komitejas (</w:t>
      </w:r>
      <w:r>
        <w:rPr>
          <w:rFonts w:ascii="Times New Roman" w:hAnsi="Times New Roman"/>
          <w:i/>
          <w:iCs/>
          <w:color w:val="231F20"/>
        </w:rPr>
        <w:t>ROC</w:t>
      </w:r>
      <w:r>
        <w:rPr>
          <w:rFonts w:ascii="Times New Roman" w:hAnsi="Times New Roman"/>
          <w:color w:val="231F20"/>
        </w:rPr>
        <w:t xml:space="preserve">) tīmekļvietni </w:t>
      </w:r>
      <w:r>
        <w:rPr>
          <w:rFonts w:ascii="Times New Roman" w:hAnsi="Times New Roman"/>
          <w:i/>
          <w:iCs/>
        </w:rPr>
        <w:t>www.leiroc.org/</w:t>
      </w:r>
      <w:r>
        <w:rPr>
          <w:rFonts w:ascii="Times New Roman" w:hAnsi="Times New Roman"/>
          <w:color w:val="0000FF"/>
          <w:u w:val="single" w:color="0000FF"/>
        </w:rPr>
        <w:t>.</w:t>
      </w:r>
    </w:p>
  </w:footnote>
  <w:footnote w:id="2">
    <w:p w14:paraId="4E04E81E" w14:textId="1F32F9D6" w:rsidR="006A2501" w:rsidRDefault="006A2501" w:rsidP="00384E25">
      <w:pPr>
        <w:pStyle w:val="FootnoteText"/>
        <w:jc w:val="both"/>
      </w:pPr>
      <w:r>
        <w:rPr>
          <w:rStyle w:val="FootnoteReference"/>
          <w:rFonts w:ascii="Times New Roman" w:hAnsi="Times New Roman"/>
        </w:rPr>
        <w:t>2</w:t>
      </w:r>
      <w:r>
        <w:rPr>
          <w:rFonts w:ascii="Times New Roman" w:hAnsi="Times New Roman"/>
        </w:rPr>
        <w:t xml:space="preserve"> </w:t>
      </w:r>
      <w:r>
        <w:rPr>
          <w:rFonts w:ascii="Times New Roman" w:hAnsi="Times New Roman"/>
          <w:color w:val="231F20"/>
        </w:rPr>
        <w:t>Starptautiskais pagaidu identifikācijas numurs (</w:t>
      </w:r>
      <w:r>
        <w:rPr>
          <w:rFonts w:ascii="Times New Roman" w:hAnsi="Times New Roman"/>
          <w:i/>
          <w:iCs/>
          <w:color w:val="231F20"/>
        </w:rPr>
        <w:t>GIIN</w:t>
      </w:r>
      <w:r>
        <w:rPr>
          <w:rFonts w:ascii="Times New Roman" w:hAnsi="Times New Roman"/>
          <w:color w:val="231F20"/>
        </w:rPr>
        <w:t>) ir identifikācijas numurs, ko Amerikas Savienoto Valstu Iekšējais ieņēmumu dienests (</w:t>
      </w:r>
      <w:r>
        <w:rPr>
          <w:rFonts w:ascii="Times New Roman" w:hAnsi="Times New Roman"/>
          <w:i/>
          <w:iCs/>
          <w:color w:val="231F20"/>
        </w:rPr>
        <w:t>IRS</w:t>
      </w:r>
      <w:r>
        <w:rPr>
          <w:rFonts w:ascii="Times New Roman" w:hAnsi="Times New Roman"/>
          <w:color w:val="231F20"/>
        </w:rPr>
        <w:t>) piešķir atsevišķām finanšu iestādēm.</w:t>
      </w:r>
    </w:p>
  </w:footnote>
  <w:footnote w:id="3">
    <w:p w14:paraId="0FC05A96" w14:textId="50210874" w:rsidR="00A248D6" w:rsidRPr="00E46DB5" w:rsidRDefault="00A248D6" w:rsidP="00774B72">
      <w:pPr>
        <w:pStyle w:val="FootnoteText"/>
        <w:jc w:val="both"/>
        <w:rPr>
          <w:rFonts w:ascii="Times New Roman" w:hAnsi="Times New Roman" w:cs="Times New Roman"/>
        </w:rPr>
      </w:pPr>
      <w:r w:rsidRPr="00E46DB5">
        <w:rPr>
          <w:rStyle w:val="FootnoteReference"/>
          <w:rFonts w:ascii="Times New Roman" w:hAnsi="Times New Roman" w:cs="Times New Roman"/>
        </w:rPr>
        <w:t>3</w:t>
      </w:r>
      <w:r w:rsidRPr="00E46DB5">
        <w:rPr>
          <w:rFonts w:ascii="Times New Roman" w:hAnsi="Times New Roman" w:cs="Times New Roman"/>
        </w:rPr>
        <w:t xml:space="preserve"> </w:t>
      </w:r>
      <w:r w:rsidRPr="00E46DB5">
        <w:rPr>
          <w:rFonts w:ascii="Times New Roman" w:hAnsi="Times New Roman" w:cs="Times New Roman"/>
          <w:i/>
          <w:iCs/>
        </w:rPr>
        <w:t>FATF</w:t>
      </w:r>
      <w:r w:rsidRPr="00E46DB5">
        <w:rPr>
          <w:rFonts w:ascii="Times New Roman" w:hAnsi="Times New Roman" w:cs="Times New Roman"/>
        </w:rPr>
        <w:t>/</w:t>
      </w:r>
      <w:r w:rsidRPr="00E46DB5">
        <w:rPr>
          <w:rFonts w:ascii="Times New Roman" w:hAnsi="Times New Roman" w:cs="Times New Roman"/>
          <w:i/>
          <w:iCs/>
        </w:rPr>
        <w:t>OECD</w:t>
      </w:r>
      <w:r w:rsidRPr="00E46DB5">
        <w:rPr>
          <w:rFonts w:ascii="Times New Roman" w:hAnsi="Times New Roman" w:cs="Times New Roman"/>
        </w:rPr>
        <w:t xml:space="preserve"> (2013. gads), </w:t>
      </w:r>
      <w:r w:rsidRPr="00E46DB5">
        <w:rPr>
          <w:rFonts w:ascii="Times New Roman" w:hAnsi="Times New Roman" w:cs="Times New Roman"/>
          <w:i/>
        </w:rPr>
        <w:t>International Standards on Combating Money Laundering and the Financing of Terrorism and Proliferation</w:t>
      </w:r>
      <w:r w:rsidRPr="00E46DB5">
        <w:rPr>
          <w:rFonts w:ascii="Times New Roman" w:hAnsi="Times New Roman" w:cs="Times New Roman"/>
        </w:rPr>
        <w:t xml:space="preserve">, </w:t>
      </w:r>
      <w:r w:rsidRPr="00E46DB5">
        <w:rPr>
          <w:rFonts w:ascii="Times New Roman" w:hAnsi="Times New Roman" w:cs="Times New Roman"/>
          <w:i/>
          <w:iCs/>
        </w:rPr>
        <w:t>FATF</w:t>
      </w:r>
      <w:r w:rsidRPr="00E46DB5">
        <w:rPr>
          <w:rFonts w:ascii="Times New Roman" w:hAnsi="Times New Roman" w:cs="Times New Roman"/>
        </w:rPr>
        <w:t xml:space="preserve"> 2012. gada ieteikumi, </w:t>
      </w:r>
      <w:r w:rsidRPr="00E46DB5">
        <w:rPr>
          <w:rFonts w:ascii="Times New Roman" w:hAnsi="Times New Roman" w:cs="Times New Roman"/>
          <w:i/>
          <w:iCs/>
        </w:rPr>
        <w:t>FATF</w:t>
      </w:r>
      <w:r w:rsidRPr="00E46DB5">
        <w:rPr>
          <w:rFonts w:ascii="Times New Roman" w:hAnsi="Times New Roman" w:cs="Times New Roman"/>
        </w:rPr>
        <w:t>/</w:t>
      </w:r>
      <w:r w:rsidRPr="00E46DB5">
        <w:rPr>
          <w:rFonts w:ascii="Times New Roman" w:hAnsi="Times New Roman" w:cs="Times New Roman"/>
          <w:i/>
          <w:iCs/>
        </w:rPr>
        <w:t>OECD</w:t>
      </w:r>
      <w:r w:rsidRPr="00E46DB5">
        <w:rPr>
          <w:rFonts w:ascii="Times New Roman" w:hAnsi="Times New Roman" w:cs="Times New Roman"/>
        </w:rPr>
        <w:t xml:space="preserve">, Parīze, pieejams tīmekļvietnē </w:t>
      </w:r>
      <w:hyperlink r:id="rId1">
        <w:r w:rsidRPr="00E46DB5">
          <w:rPr>
            <w:rFonts w:ascii="Times New Roman" w:hAnsi="Times New Roman" w:cs="Times New Roman"/>
            <w:i/>
            <w:iCs/>
            <w:color w:val="0000FF"/>
            <w:u w:val="single" w:color="0000FF"/>
          </w:rPr>
          <w:t>www.fatf-gafi.org/media/fatf/</w:t>
        </w:r>
      </w:hyperlink>
      <w:hyperlink r:id="rId2">
        <w:r w:rsidRPr="00E46DB5">
          <w:rPr>
            <w:rFonts w:ascii="Times New Roman" w:hAnsi="Times New Roman" w:cs="Times New Roman"/>
          </w:rPr>
          <w:t xml:space="preserve"> </w:t>
        </w:r>
        <w:r w:rsidRPr="00E46DB5">
          <w:rPr>
            <w:rFonts w:ascii="Times New Roman" w:hAnsi="Times New Roman" w:cs="Times New Roman"/>
            <w:i/>
            <w:iCs/>
            <w:color w:val="0000FF"/>
            <w:u w:val="single" w:color="0000FF"/>
          </w:rPr>
          <w:t>documents/recommendations/pdfs/FATF_Recommendations.pdf</w:t>
        </w:r>
      </w:hyperlink>
      <w:r w:rsidRPr="00E46DB5">
        <w:rPr>
          <w:rFonts w:ascii="Times New Roman" w:hAnsi="Times New Roman" w:cs="Times New Roman"/>
          <w:color w:val="0000FF"/>
        </w:rPr>
        <w:t>.</w:t>
      </w:r>
    </w:p>
  </w:footnote>
  <w:footnote w:id="4">
    <w:p w14:paraId="52CC5691" w14:textId="77777777" w:rsidR="00DB30B8" w:rsidRPr="004C22E6" w:rsidRDefault="00DB30B8" w:rsidP="00DB30B8">
      <w:pPr>
        <w:pStyle w:val="FootnoteText"/>
        <w:jc w:val="both"/>
        <w:rPr>
          <w:rFonts w:ascii="Times New Roman" w:hAnsi="Times New Roman" w:cs="Times New Roman"/>
        </w:rPr>
      </w:pPr>
      <w:r>
        <w:rPr>
          <w:rStyle w:val="FootnoteReference"/>
          <w:rFonts w:ascii="Times New Roman" w:hAnsi="Times New Roman"/>
        </w:rPr>
        <w:t>4</w:t>
      </w:r>
      <w:r>
        <w:rPr>
          <w:rFonts w:ascii="Times New Roman" w:hAnsi="Times New Roman"/>
        </w:rPr>
        <w:t xml:space="preserve"> </w:t>
      </w:r>
      <w:r>
        <w:rPr>
          <w:rFonts w:ascii="Times New Roman" w:hAnsi="Times New Roman"/>
          <w:i/>
          <w:iCs/>
        </w:rPr>
        <w:t>FATF</w:t>
      </w:r>
      <w:r>
        <w:rPr>
          <w:rFonts w:ascii="Times New Roman" w:hAnsi="Times New Roman"/>
        </w:rPr>
        <w:t>/</w:t>
      </w:r>
      <w:r>
        <w:rPr>
          <w:rFonts w:ascii="Times New Roman" w:hAnsi="Times New Roman"/>
          <w:i/>
          <w:iCs/>
        </w:rPr>
        <w:t>OECD</w:t>
      </w:r>
      <w:r>
        <w:rPr>
          <w:rFonts w:ascii="Times New Roman" w:hAnsi="Times New Roman"/>
        </w:rPr>
        <w:t xml:space="preserve"> (2013. gads), International Standards on Combating Money Laundering and the Financing of Terrorism and Proliferation, </w:t>
      </w:r>
      <w:r>
        <w:rPr>
          <w:rFonts w:ascii="Times New Roman" w:hAnsi="Times New Roman"/>
          <w:i/>
          <w:iCs/>
        </w:rPr>
        <w:t>FATF</w:t>
      </w:r>
      <w:r>
        <w:rPr>
          <w:rFonts w:ascii="Times New Roman" w:hAnsi="Times New Roman"/>
        </w:rPr>
        <w:t xml:space="preserve"> 2012. gada ieteikumi, </w:t>
      </w:r>
      <w:r>
        <w:rPr>
          <w:rFonts w:ascii="Times New Roman" w:hAnsi="Times New Roman"/>
          <w:i/>
          <w:iCs/>
        </w:rPr>
        <w:t>FATF</w:t>
      </w:r>
      <w:r>
        <w:rPr>
          <w:rFonts w:ascii="Times New Roman" w:hAnsi="Times New Roman"/>
        </w:rPr>
        <w:t>/</w:t>
      </w:r>
      <w:r>
        <w:rPr>
          <w:rFonts w:ascii="Times New Roman" w:hAnsi="Times New Roman"/>
          <w:i/>
          <w:iCs/>
        </w:rPr>
        <w:t>OECD</w:t>
      </w:r>
      <w:r>
        <w:rPr>
          <w:rFonts w:ascii="Times New Roman" w:hAnsi="Times New Roman"/>
        </w:rPr>
        <w:t xml:space="preserve">, Parīze, pieejami tīmekļvietnē </w:t>
      </w:r>
      <w:r>
        <w:rPr>
          <w:rFonts w:ascii="Times New Roman" w:hAnsi="Times New Roman"/>
          <w:i/>
          <w:iCs/>
        </w:rPr>
        <w:t>www.fatf-gafi.org/media/fatf/</w:t>
      </w:r>
      <w:r>
        <w:rPr>
          <w:rFonts w:ascii="Times New Roman" w:hAnsi="Times New Roman"/>
        </w:rPr>
        <w:t xml:space="preserve"> </w:t>
      </w:r>
      <w:r>
        <w:rPr>
          <w:rFonts w:ascii="Times New Roman" w:hAnsi="Times New Roman"/>
          <w:i/>
          <w:iCs/>
        </w:rPr>
        <w:t>documents/recommendations/pdfs/FATF_Recommendations.pdf</w:t>
      </w:r>
      <w:r>
        <w:rPr>
          <w:rFonts w:ascii="Times New Roman" w:hAnsi="Times New Roman"/>
        </w:rPr>
        <w:t>.</w:t>
      </w:r>
    </w:p>
  </w:footnote>
  <w:footnote w:id="5">
    <w:p w14:paraId="0421EACC" w14:textId="77777777" w:rsidR="00DB30B8" w:rsidRPr="004C3B17" w:rsidRDefault="00DB30B8" w:rsidP="00DB30B8">
      <w:pPr>
        <w:pStyle w:val="FootnoteText"/>
        <w:jc w:val="both"/>
        <w:rPr>
          <w:rFonts w:ascii="Times New Roman" w:hAnsi="Times New Roman" w:cs="Times New Roman"/>
        </w:rPr>
      </w:pPr>
      <w:r>
        <w:rPr>
          <w:rStyle w:val="FootnoteReference"/>
          <w:rFonts w:ascii="Times New Roman" w:hAnsi="Times New Roman"/>
        </w:rPr>
        <w:t>5</w:t>
      </w:r>
      <w:r>
        <w:rPr>
          <w:rFonts w:ascii="Times New Roman" w:hAnsi="Times New Roman"/>
        </w:rPr>
        <w:t xml:space="preserve"> </w:t>
      </w:r>
      <w:r>
        <w:rPr>
          <w:rFonts w:ascii="Times New Roman" w:hAnsi="Times New Roman"/>
          <w:i/>
          <w:iCs/>
        </w:rPr>
        <w:t>FATF</w:t>
      </w:r>
      <w:r>
        <w:rPr>
          <w:rFonts w:ascii="Times New Roman" w:hAnsi="Times New Roman"/>
        </w:rPr>
        <w:t>/</w:t>
      </w:r>
      <w:r>
        <w:rPr>
          <w:rFonts w:ascii="Times New Roman" w:hAnsi="Times New Roman"/>
          <w:i/>
          <w:iCs/>
        </w:rPr>
        <w:t>OECD</w:t>
      </w:r>
      <w:r>
        <w:rPr>
          <w:rFonts w:ascii="Times New Roman" w:hAnsi="Times New Roman"/>
        </w:rPr>
        <w:t xml:space="preserve"> (2013. gads), International Standards on Combating Money Laundering and the Financing of Terrorism and Proliferation, </w:t>
      </w:r>
      <w:r>
        <w:rPr>
          <w:rFonts w:ascii="Times New Roman" w:hAnsi="Times New Roman"/>
          <w:i/>
          <w:iCs/>
        </w:rPr>
        <w:t>FATF</w:t>
      </w:r>
      <w:r>
        <w:rPr>
          <w:rFonts w:ascii="Times New Roman" w:hAnsi="Times New Roman"/>
        </w:rPr>
        <w:t xml:space="preserve"> 2012. gada ieteikumi, </w:t>
      </w:r>
      <w:r>
        <w:rPr>
          <w:rFonts w:ascii="Times New Roman" w:hAnsi="Times New Roman"/>
          <w:i/>
          <w:iCs/>
        </w:rPr>
        <w:t>FATF</w:t>
      </w:r>
      <w:r>
        <w:rPr>
          <w:rFonts w:ascii="Times New Roman" w:hAnsi="Times New Roman"/>
        </w:rPr>
        <w:t>/</w:t>
      </w:r>
      <w:r>
        <w:rPr>
          <w:rFonts w:ascii="Times New Roman" w:hAnsi="Times New Roman"/>
          <w:i/>
          <w:iCs/>
        </w:rPr>
        <w:t>OECD</w:t>
      </w:r>
      <w:r>
        <w:rPr>
          <w:rFonts w:ascii="Times New Roman" w:hAnsi="Times New Roman"/>
        </w:rPr>
        <w:t xml:space="preserve">, Parīze, pieejami tīmekļvietnē </w:t>
      </w:r>
      <w:r>
        <w:rPr>
          <w:rFonts w:ascii="Times New Roman" w:hAnsi="Times New Roman"/>
          <w:i/>
          <w:iCs/>
        </w:rPr>
        <w:t>www.fatf-gafi.org/media/fatf/</w:t>
      </w:r>
      <w:r>
        <w:rPr>
          <w:rFonts w:ascii="Times New Roman" w:hAnsi="Times New Roman"/>
        </w:rPr>
        <w:t xml:space="preserve"> </w:t>
      </w:r>
      <w:r>
        <w:rPr>
          <w:rFonts w:ascii="Times New Roman" w:hAnsi="Times New Roman"/>
          <w:i/>
          <w:iCs/>
        </w:rPr>
        <w:t>documents/recommendations/pdfs/FATF_Recommendations.pdf</w:t>
      </w:r>
      <w:r>
        <w:rPr>
          <w:rFonts w:ascii="Times New Roman" w:hAnsi="Times New Roman"/>
        </w:rPr>
        <w:t>.</w:t>
      </w:r>
    </w:p>
  </w:footnote>
  <w:footnote w:id="6">
    <w:p w14:paraId="243939BA" w14:textId="77777777" w:rsidR="00DB30B8" w:rsidRPr="008759E3" w:rsidRDefault="00DB30B8" w:rsidP="00DB30B8">
      <w:pPr>
        <w:jc w:val="both"/>
        <w:rPr>
          <w:rFonts w:ascii="Times New Roman" w:hAnsi="Times New Roman" w:cs="Times New Roman"/>
          <w:noProof/>
          <w:sz w:val="20"/>
          <w:szCs w:val="20"/>
        </w:rPr>
      </w:pPr>
      <w:r>
        <w:rPr>
          <w:rStyle w:val="FootnoteReference"/>
          <w:rFonts w:ascii="Times New Roman" w:hAnsi="Times New Roman"/>
          <w:sz w:val="20"/>
        </w:rPr>
        <w:t>6</w:t>
      </w:r>
      <w:r>
        <w:rPr>
          <w:rFonts w:ascii="Times New Roman" w:hAnsi="Times New Roman"/>
          <w:sz w:val="20"/>
        </w:rPr>
        <w:t xml:space="preserve"> </w:t>
      </w:r>
      <w:r>
        <w:rPr>
          <w:rFonts w:ascii="Times New Roman" w:hAnsi="Times New Roman"/>
          <w:color w:val="231F20"/>
          <w:sz w:val="20"/>
        </w:rPr>
        <w:t xml:space="preserve">Pieejams tīmekļvietnē </w:t>
      </w:r>
      <w:hyperlink r:id="rId3">
        <w:r>
          <w:rPr>
            <w:rFonts w:ascii="Times New Roman" w:hAnsi="Times New Roman"/>
            <w:color w:val="0000FF"/>
            <w:sz w:val="20"/>
            <w:u w:val="single" w:color="0000FF"/>
          </w:rPr>
          <w:t>https://www.g20.org/</w:t>
        </w:r>
        <w:r>
          <w:rPr>
            <w:rFonts w:ascii="Times New Roman" w:hAnsi="Times New Roman"/>
            <w:color w:val="231F20"/>
            <w:sz w:val="20"/>
          </w:rPr>
          <w:t>.</w:t>
        </w:r>
      </w:hyperlink>
    </w:p>
  </w:footnote>
  <w:footnote w:id="7">
    <w:p w14:paraId="42684F17" w14:textId="77777777" w:rsidR="00DB30B8" w:rsidRPr="000B4C31" w:rsidRDefault="00DB30B8" w:rsidP="00DB30B8">
      <w:pPr>
        <w:pStyle w:val="FootnoteText"/>
        <w:rPr>
          <w:rFonts w:ascii="Times New Roman" w:hAnsi="Times New Roman" w:cs="Times New Roman"/>
        </w:rPr>
      </w:pPr>
      <w:r>
        <w:rPr>
          <w:rStyle w:val="FootnoteReference"/>
          <w:rFonts w:ascii="Times New Roman" w:hAnsi="Times New Roman"/>
        </w:rPr>
        <w:t>7</w:t>
      </w:r>
      <w:r>
        <w:rPr>
          <w:rFonts w:ascii="Times New Roman" w:hAnsi="Times New Roman"/>
        </w:rPr>
        <w:t xml:space="preserve"> Pieejams tīmekļvietnē https://www.g20.org/.</w:t>
      </w:r>
    </w:p>
  </w:footnote>
  <w:footnote w:id="8">
    <w:p w14:paraId="36AEF9E0" w14:textId="77777777" w:rsidR="00DB30B8" w:rsidRPr="00391191" w:rsidRDefault="00DB30B8" w:rsidP="00DB30B8">
      <w:pPr>
        <w:pStyle w:val="FootnoteText"/>
        <w:jc w:val="both"/>
        <w:rPr>
          <w:rFonts w:ascii="Times New Roman" w:hAnsi="Times New Roman" w:cs="Times New Roman"/>
        </w:rPr>
      </w:pPr>
      <w:r>
        <w:rPr>
          <w:rStyle w:val="FootnoteReference"/>
          <w:rFonts w:ascii="Times New Roman" w:hAnsi="Times New Roman"/>
        </w:rPr>
        <w:t>8</w:t>
      </w:r>
      <w:r>
        <w:rPr>
          <w:rFonts w:ascii="Times New Roman" w:hAnsi="Times New Roman"/>
        </w:rPr>
        <w:t xml:space="preserve"> </w:t>
      </w:r>
      <w:r>
        <w:rPr>
          <w:rFonts w:ascii="Times New Roman" w:hAnsi="Times New Roman"/>
          <w:i/>
          <w:iCs/>
        </w:rPr>
        <w:t>FATF</w:t>
      </w:r>
      <w:r>
        <w:rPr>
          <w:rFonts w:ascii="Times New Roman" w:hAnsi="Times New Roman"/>
        </w:rPr>
        <w:t>/</w:t>
      </w:r>
      <w:r>
        <w:rPr>
          <w:rFonts w:ascii="Times New Roman" w:hAnsi="Times New Roman"/>
          <w:i/>
          <w:iCs/>
        </w:rPr>
        <w:t>OECD</w:t>
      </w:r>
      <w:r>
        <w:rPr>
          <w:rFonts w:ascii="Times New Roman" w:hAnsi="Times New Roman"/>
        </w:rPr>
        <w:t xml:space="preserve"> (2013. gads), International Standards on Combating Money Laundering and the Financing of Terrorism and Proliferation, </w:t>
      </w:r>
      <w:r>
        <w:rPr>
          <w:rFonts w:ascii="Times New Roman" w:hAnsi="Times New Roman"/>
          <w:i/>
          <w:iCs/>
        </w:rPr>
        <w:t>FATF</w:t>
      </w:r>
      <w:r>
        <w:rPr>
          <w:rFonts w:ascii="Times New Roman" w:hAnsi="Times New Roman"/>
        </w:rPr>
        <w:t xml:space="preserve"> 2012. gada ieteikumi, </w:t>
      </w:r>
      <w:r>
        <w:rPr>
          <w:rFonts w:ascii="Times New Roman" w:hAnsi="Times New Roman"/>
          <w:i/>
          <w:iCs/>
        </w:rPr>
        <w:t>FATF</w:t>
      </w:r>
      <w:r>
        <w:rPr>
          <w:rFonts w:ascii="Times New Roman" w:hAnsi="Times New Roman"/>
        </w:rPr>
        <w:t>/</w:t>
      </w:r>
      <w:r>
        <w:rPr>
          <w:rFonts w:ascii="Times New Roman" w:hAnsi="Times New Roman"/>
          <w:i/>
          <w:iCs/>
        </w:rPr>
        <w:t>OECD</w:t>
      </w:r>
      <w:r>
        <w:rPr>
          <w:rFonts w:ascii="Times New Roman" w:hAnsi="Times New Roman"/>
        </w:rPr>
        <w:t xml:space="preserve">, Parīze, pieejami tīmekļvietnē </w:t>
      </w:r>
      <w:r>
        <w:rPr>
          <w:rFonts w:ascii="Times New Roman" w:hAnsi="Times New Roman"/>
          <w:i/>
          <w:iCs/>
        </w:rPr>
        <w:t>www.fatf-gafi.org/media/fatf/</w:t>
      </w:r>
      <w:r>
        <w:rPr>
          <w:rFonts w:ascii="Times New Roman" w:hAnsi="Times New Roman"/>
        </w:rPr>
        <w:t xml:space="preserve"> </w:t>
      </w:r>
      <w:r>
        <w:rPr>
          <w:rFonts w:ascii="Times New Roman" w:hAnsi="Times New Roman"/>
          <w:i/>
          <w:iCs/>
        </w:rPr>
        <w:t>documents/recommendations/pdfs/FATF_Recommendations.pdf</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A0A6" w14:textId="77777777" w:rsidR="00342687" w:rsidRPr="00342687" w:rsidRDefault="00342687" w:rsidP="00342687">
    <w:pPr>
      <w:tabs>
        <w:tab w:val="right" w:leader="underscore" w:pos="9072"/>
      </w:tabs>
      <w:autoSpaceDE/>
      <w:autoSpaceDN/>
      <w:rPr>
        <w:rFonts w:ascii="Times New Roman" w:hAnsi="Times New Roman" w:cs="Times New Roman"/>
        <w:sz w:val="20"/>
        <w:szCs w:val="20"/>
      </w:rPr>
    </w:pPr>
    <w:r w:rsidRPr="00342687">
      <w:rPr>
        <w:rFonts w:ascii="Times New Roman" w:eastAsiaTheme="minorHAnsi" w:hAnsi="Times New Roman" w:cs="Times New Roman"/>
        <w:sz w:val="20"/>
        <w:szCs w:val="20"/>
      </w:rPr>
      <w:tab/>
    </w:r>
  </w:p>
  <w:p w14:paraId="0F69D161" w14:textId="77777777" w:rsidR="00342687" w:rsidRPr="00342687" w:rsidRDefault="00342687" w:rsidP="00342687">
    <w:pPr>
      <w:tabs>
        <w:tab w:val="center" w:pos="4513"/>
        <w:tab w:val="right" w:pos="9026"/>
      </w:tabs>
      <w:autoSpaceDE/>
      <w:autoSpaceDN/>
      <w:rPr>
        <w:rFonts w:ascii="Times New Roman" w:eastAsiaTheme="minorHAnsi" w:hAnsi="Times New Roman" w:cs="Times New Roman"/>
        <w:sz w:val="20"/>
        <w:szCs w:val="20"/>
      </w:rPr>
    </w:pPr>
  </w:p>
  <w:p w14:paraId="5F23EEFE" w14:textId="232FA64B" w:rsidR="00C92EDD" w:rsidRPr="00F02FF0" w:rsidRDefault="00342687">
    <w:pPr>
      <w:pStyle w:val="BodyText"/>
      <w:spacing w:line="14" w:lineRule="auto"/>
      <w:jc w:val="left"/>
      <w:rPr>
        <w:noProof/>
        <w:sz w:val="2"/>
      </w:rPr>
    </w:pPr>
    <w:r>
      <w:rPr>
        <w:noProof/>
        <w:sz w:val="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8FAAC" w14:textId="77777777" w:rsidR="00F8103B" w:rsidRPr="00F8103B" w:rsidRDefault="00F8103B" w:rsidP="00F8103B">
    <w:pPr>
      <w:pBdr>
        <w:bottom w:val="single" w:sz="12" w:space="5" w:color="auto"/>
      </w:pBdr>
      <w:autoSpaceDE/>
      <w:autoSpaceDN/>
      <w:rPr>
        <w:rFonts w:ascii="Times New Roman" w:eastAsiaTheme="minorHAnsi" w:hAnsi="Times New Roman" w:cs="Times New Roman"/>
        <w:spacing w:val="-2"/>
        <w:sz w:val="20"/>
        <w:szCs w:val="20"/>
      </w:rPr>
    </w:pPr>
    <w:bookmarkStart w:id="0" w:name="_Hlk496261745"/>
    <w:bookmarkStart w:id="1" w:name="_Hlk496261746"/>
    <w:bookmarkStart w:id="2" w:name="_Hlk496261747"/>
    <w:bookmarkStart w:id="3" w:name="_Hlk30491063"/>
    <w:bookmarkStart w:id="4" w:name="_Hlk30491064"/>
  </w:p>
  <w:bookmarkEnd w:id="0"/>
  <w:bookmarkEnd w:id="1"/>
  <w:bookmarkEnd w:id="2"/>
  <w:bookmarkEnd w:id="3"/>
  <w:bookmarkEnd w:id="4"/>
  <w:p w14:paraId="144D4F54" w14:textId="77777777" w:rsidR="003670C3" w:rsidRDefault="003670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21B4" w14:textId="77777777" w:rsidR="00336261" w:rsidRPr="00336261" w:rsidRDefault="00336261" w:rsidP="00336261">
    <w:pPr>
      <w:tabs>
        <w:tab w:val="right" w:leader="underscore" w:pos="9072"/>
      </w:tabs>
      <w:autoSpaceDE/>
      <w:autoSpaceDN/>
      <w:rPr>
        <w:rFonts w:ascii="Times New Roman" w:hAnsi="Times New Roman" w:cs="Times New Roman"/>
        <w:sz w:val="20"/>
        <w:szCs w:val="20"/>
      </w:rPr>
    </w:pPr>
    <w:bookmarkStart w:id="188" w:name="_Hlk496261784"/>
    <w:bookmarkStart w:id="189" w:name="_Hlk496261785"/>
    <w:bookmarkStart w:id="190" w:name="_Hlk496261786"/>
    <w:bookmarkStart w:id="191" w:name="_Hlk502757728"/>
    <w:bookmarkStart w:id="192" w:name="_Hlk502757729"/>
    <w:bookmarkStart w:id="193" w:name="_Hlk502757738"/>
    <w:bookmarkStart w:id="194" w:name="_Hlk502757739"/>
    <w:bookmarkStart w:id="195" w:name="_Hlk30491084"/>
    <w:bookmarkStart w:id="196" w:name="_Hlk30491085"/>
    <w:bookmarkStart w:id="197" w:name="_Hlk63344778"/>
    <w:bookmarkStart w:id="198" w:name="_Hlk63344779"/>
    <w:bookmarkStart w:id="199" w:name="_Hlk63344780"/>
    <w:bookmarkStart w:id="200" w:name="_Hlk63344781"/>
    <w:r w:rsidRPr="00336261">
      <w:rPr>
        <w:rFonts w:ascii="Times New Roman" w:eastAsiaTheme="minorHAnsi" w:hAnsi="Times New Roman" w:cs="Times New Roman"/>
        <w:sz w:val="20"/>
        <w:szCs w:val="20"/>
      </w:rPr>
      <w:tab/>
    </w:r>
  </w:p>
  <w:bookmarkEnd w:id="188"/>
  <w:bookmarkEnd w:id="189"/>
  <w:bookmarkEnd w:id="190"/>
  <w:bookmarkEnd w:id="191"/>
  <w:bookmarkEnd w:id="192"/>
  <w:bookmarkEnd w:id="193"/>
  <w:bookmarkEnd w:id="194"/>
  <w:bookmarkEnd w:id="195"/>
  <w:bookmarkEnd w:id="196"/>
  <w:bookmarkEnd w:id="197"/>
  <w:bookmarkEnd w:id="198"/>
  <w:bookmarkEnd w:id="199"/>
  <w:bookmarkEnd w:id="200"/>
  <w:p w14:paraId="3BF292F7" w14:textId="77777777" w:rsidR="00F8103B" w:rsidRPr="00336261" w:rsidRDefault="00F8103B" w:rsidP="00336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DB4"/>
    <w:multiLevelType w:val="hybridMultilevel"/>
    <w:tmpl w:val="33A0D4F4"/>
    <w:lvl w:ilvl="0" w:tplc="4F8E6762">
      <w:start w:val="1"/>
      <w:numFmt w:val="decimal"/>
      <w:lvlText w:val="%1."/>
      <w:lvlJc w:val="left"/>
      <w:pPr>
        <w:ind w:left="223" w:hanging="720"/>
      </w:pPr>
      <w:rPr>
        <w:rFonts w:hint="default"/>
        <w:spacing w:val="-1"/>
        <w:w w:val="94"/>
        <w:lang w:val="en-US" w:eastAsia="en-US" w:bidi="ar-SA"/>
      </w:rPr>
    </w:lvl>
    <w:lvl w:ilvl="1" w:tplc="7DBC2420">
      <w:numFmt w:val="bullet"/>
      <w:lvlText w:val=""/>
      <w:lvlJc w:val="left"/>
      <w:pPr>
        <w:ind w:left="1622" w:hanging="339"/>
      </w:pPr>
      <w:rPr>
        <w:rFonts w:ascii="Symbol" w:eastAsia="Symbol" w:hAnsi="Symbol" w:cs="Symbol" w:hint="default"/>
        <w:spacing w:val="0"/>
        <w:w w:val="99"/>
        <w:lang w:val="en-US" w:eastAsia="en-US" w:bidi="ar-SA"/>
      </w:rPr>
    </w:lvl>
    <w:lvl w:ilvl="2" w:tplc="574ECED2">
      <w:numFmt w:val="bullet"/>
      <w:lvlText w:val="•"/>
      <w:lvlJc w:val="left"/>
      <w:pPr>
        <w:ind w:left="1620" w:hanging="339"/>
      </w:pPr>
      <w:rPr>
        <w:rFonts w:hint="default"/>
        <w:lang w:val="en-US" w:eastAsia="en-US" w:bidi="ar-SA"/>
      </w:rPr>
    </w:lvl>
    <w:lvl w:ilvl="3" w:tplc="F6DE6324">
      <w:numFmt w:val="bullet"/>
      <w:lvlText w:val="•"/>
      <w:lvlJc w:val="left"/>
      <w:pPr>
        <w:ind w:left="2635" w:hanging="339"/>
      </w:pPr>
      <w:rPr>
        <w:rFonts w:hint="default"/>
        <w:lang w:val="en-US" w:eastAsia="en-US" w:bidi="ar-SA"/>
      </w:rPr>
    </w:lvl>
    <w:lvl w:ilvl="4" w:tplc="D48EE866">
      <w:numFmt w:val="bullet"/>
      <w:lvlText w:val="•"/>
      <w:lvlJc w:val="left"/>
      <w:pPr>
        <w:ind w:left="3651" w:hanging="339"/>
      </w:pPr>
      <w:rPr>
        <w:rFonts w:hint="default"/>
        <w:lang w:val="en-US" w:eastAsia="en-US" w:bidi="ar-SA"/>
      </w:rPr>
    </w:lvl>
    <w:lvl w:ilvl="5" w:tplc="26C0EA9A">
      <w:numFmt w:val="bullet"/>
      <w:lvlText w:val="•"/>
      <w:lvlJc w:val="left"/>
      <w:pPr>
        <w:ind w:left="4667" w:hanging="339"/>
      </w:pPr>
      <w:rPr>
        <w:rFonts w:hint="default"/>
        <w:lang w:val="en-US" w:eastAsia="en-US" w:bidi="ar-SA"/>
      </w:rPr>
    </w:lvl>
    <w:lvl w:ilvl="6" w:tplc="B36E126C">
      <w:numFmt w:val="bullet"/>
      <w:lvlText w:val="•"/>
      <w:lvlJc w:val="left"/>
      <w:pPr>
        <w:ind w:left="5683" w:hanging="339"/>
      </w:pPr>
      <w:rPr>
        <w:rFonts w:hint="default"/>
        <w:lang w:val="en-US" w:eastAsia="en-US" w:bidi="ar-SA"/>
      </w:rPr>
    </w:lvl>
    <w:lvl w:ilvl="7" w:tplc="0C9C4102">
      <w:numFmt w:val="bullet"/>
      <w:lvlText w:val="•"/>
      <w:lvlJc w:val="left"/>
      <w:pPr>
        <w:ind w:left="6699" w:hanging="339"/>
      </w:pPr>
      <w:rPr>
        <w:rFonts w:hint="default"/>
        <w:lang w:val="en-US" w:eastAsia="en-US" w:bidi="ar-SA"/>
      </w:rPr>
    </w:lvl>
    <w:lvl w:ilvl="8" w:tplc="79D8E738">
      <w:numFmt w:val="bullet"/>
      <w:lvlText w:val="•"/>
      <w:lvlJc w:val="left"/>
      <w:pPr>
        <w:ind w:left="7714" w:hanging="339"/>
      </w:pPr>
      <w:rPr>
        <w:rFonts w:hint="default"/>
        <w:lang w:val="en-US" w:eastAsia="en-US" w:bidi="ar-SA"/>
      </w:rPr>
    </w:lvl>
  </w:abstractNum>
  <w:abstractNum w:abstractNumId="1" w15:restartNumberingAfterBreak="0">
    <w:nsid w:val="014619E8"/>
    <w:multiLevelType w:val="hybridMultilevel"/>
    <w:tmpl w:val="1BB0B640"/>
    <w:lvl w:ilvl="0" w:tplc="5CEC44D0">
      <w:start w:val="1"/>
      <w:numFmt w:val="upperLetter"/>
      <w:lvlText w:val="%1."/>
      <w:lvlJc w:val="left"/>
      <w:pPr>
        <w:ind w:left="943" w:hanging="358"/>
        <w:jc w:val="right"/>
      </w:pPr>
      <w:rPr>
        <w:rFonts w:hint="default"/>
        <w:spacing w:val="-1"/>
        <w:w w:val="90"/>
        <w:lang w:val="en-US" w:eastAsia="en-US" w:bidi="ar-SA"/>
      </w:rPr>
    </w:lvl>
    <w:lvl w:ilvl="1" w:tplc="7212A6C0">
      <w:start w:val="1"/>
      <w:numFmt w:val="decimal"/>
      <w:lvlText w:val="%2."/>
      <w:lvlJc w:val="left"/>
      <w:pPr>
        <w:ind w:left="1663" w:hanging="720"/>
      </w:pPr>
      <w:rPr>
        <w:rFonts w:hint="default"/>
        <w:spacing w:val="-1"/>
        <w:w w:val="99"/>
        <w:u w:val="thick" w:color="000000"/>
        <w:lang w:val="en-US" w:eastAsia="en-US" w:bidi="ar-SA"/>
      </w:rPr>
    </w:lvl>
    <w:lvl w:ilvl="2" w:tplc="A1EE9290">
      <w:numFmt w:val="bullet"/>
      <w:lvlText w:val="•"/>
      <w:lvlJc w:val="left"/>
      <w:pPr>
        <w:ind w:left="1880" w:hanging="720"/>
      </w:pPr>
      <w:rPr>
        <w:rFonts w:hint="default"/>
        <w:lang w:val="en-US" w:eastAsia="en-US" w:bidi="ar-SA"/>
      </w:rPr>
    </w:lvl>
    <w:lvl w:ilvl="3" w:tplc="11BCD8BE">
      <w:numFmt w:val="bullet"/>
      <w:lvlText w:val="•"/>
      <w:lvlJc w:val="left"/>
      <w:pPr>
        <w:ind w:left="2863" w:hanging="720"/>
      </w:pPr>
      <w:rPr>
        <w:rFonts w:hint="default"/>
        <w:lang w:val="en-US" w:eastAsia="en-US" w:bidi="ar-SA"/>
      </w:rPr>
    </w:lvl>
    <w:lvl w:ilvl="4" w:tplc="A3D6BB52">
      <w:numFmt w:val="bullet"/>
      <w:lvlText w:val="•"/>
      <w:lvlJc w:val="left"/>
      <w:pPr>
        <w:ind w:left="3846" w:hanging="720"/>
      </w:pPr>
      <w:rPr>
        <w:rFonts w:hint="default"/>
        <w:lang w:val="en-US" w:eastAsia="en-US" w:bidi="ar-SA"/>
      </w:rPr>
    </w:lvl>
    <w:lvl w:ilvl="5" w:tplc="B6F44964">
      <w:numFmt w:val="bullet"/>
      <w:lvlText w:val="•"/>
      <w:lvlJc w:val="left"/>
      <w:pPr>
        <w:ind w:left="4829" w:hanging="720"/>
      </w:pPr>
      <w:rPr>
        <w:rFonts w:hint="default"/>
        <w:lang w:val="en-US" w:eastAsia="en-US" w:bidi="ar-SA"/>
      </w:rPr>
    </w:lvl>
    <w:lvl w:ilvl="6" w:tplc="E8BE6AA4">
      <w:numFmt w:val="bullet"/>
      <w:lvlText w:val="•"/>
      <w:lvlJc w:val="left"/>
      <w:pPr>
        <w:ind w:left="5813" w:hanging="720"/>
      </w:pPr>
      <w:rPr>
        <w:rFonts w:hint="default"/>
        <w:lang w:val="en-US" w:eastAsia="en-US" w:bidi="ar-SA"/>
      </w:rPr>
    </w:lvl>
    <w:lvl w:ilvl="7" w:tplc="A46C36B6">
      <w:numFmt w:val="bullet"/>
      <w:lvlText w:val="•"/>
      <w:lvlJc w:val="left"/>
      <w:pPr>
        <w:ind w:left="6796" w:hanging="720"/>
      </w:pPr>
      <w:rPr>
        <w:rFonts w:hint="default"/>
        <w:lang w:val="en-US" w:eastAsia="en-US" w:bidi="ar-SA"/>
      </w:rPr>
    </w:lvl>
    <w:lvl w:ilvl="8" w:tplc="5F5EF69A">
      <w:numFmt w:val="bullet"/>
      <w:lvlText w:val="•"/>
      <w:lvlJc w:val="left"/>
      <w:pPr>
        <w:ind w:left="7779" w:hanging="720"/>
      </w:pPr>
      <w:rPr>
        <w:rFonts w:hint="default"/>
        <w:lang w:val="en-US" w:eastAsia="en-US" w:bidi="ar-SA"/>
      </w:rPr>
    </w:lvl>
  </w:abstractNum>
  <w:abstractNum w:abstractNumId="2" w15:restartNumberingAfterBreak="0">
    <w:nsid w:val="01BA5FAC"/>
    <w:multiLevelType w:val="hybridMultilevel"/>
    <w:tmpl w:val="345AB742"/>
    <w:lvl w:ilvl="0" w:tplc="CD0E4BFC">
      <w:start w:val="1"/>
      <w:numFmt w:val="decimal"/>
      <w:lvlText w:val="%1."/>
      <w:lvlJc w:val="left"/>
      <w:pPr>
        <w:ind w:left="223" w:hanging="720"/>
      </w:pPr>
      <w:rPr>
        <w:rFonts w:hint="default"/>
        <w:spacing w:val="-1"/>
        <w:w w:val="99"/>
        <w:lang w:val="en-US" w:eastAsia="en-US" w:bidi="ar-SA"/>
      </w:rPr>
    </w:lvl>
    <w:lvl w:ilvl="1" w:tplc="7D0A7798">
      <w:start w:val="1"/>
      <w:numFmt w:val="lowerLetter"/>
      <w:lvlText w:val="%2)"/>
      <w:lvlJc w:val="left"/>
      <w:pPr>
        <w:ind w:left="943" w:hanging="360"/>
      </w:pPr>
      <w:rPr>
        <w:rFonts w:ascii="Arial" w:eastAsia="Arial" w:hAnsi="Arial" w:cs="Arial" w:hint="default"/>
        <w:b w:val="0"/>
        <w:bCs w:val="0"/>
        <w:i w:val="0"/>
        <w:iCs w:val="0"/>
        <w:spacing w:val="-1"/>
        <w:w w:val="99"/>
        <w:sz w:val="20"/>
        <w:szCs w:val="20"/>
        <w:lang w:val="en-US" w:eastAsia="en-US" w:bidi="ar-SA"/>
      </w:rPr>
    </w:lvl>
    <w:lvl w:ilvl="2" w:tplc="851AA924">
      <w:start w:val="1"/>
      <w:numFmt w:val="decimal"/>
      <w:lvlText w:val="%3)"/>
      <w:lvlJc w:val="left"/>
      <w:pPr>
        <w:ind w:left="1303" w:hanging="360"/>
      </w:pPr>
      <w:rPr>
        <w:rFonts w:ascii="Arial" w:eastAsia="Arial" w:hAnsi="Arial" w:cs="Arial" w:hint="default"/>
        <w:b w:val="0"/>
        <w:bCs w:val="0"/>
        <w:i w:val="0"/>
        <w:iCs w:val="0"/>
        <w:spacing w:val="-1"/>
        <w:w w:val="99"/>
        <w:sz w:val="20"/>
        <w:szCs w:val="20"/>
        <w:lang w:val="en-US" w:eastAsia="en-US" w:bidi="ar-SA"/>
      </w:rPr>
    </w:lvl>
    <w:lvl w:ilvl="3" w:tplc="33688DA0">
      <w:numFmt w:val="bullet"/>
      <w:lvlText w:val="•"/>
      <w:lvlJc w:val="left"/>
      <w:pPr>
        <w:ind w:left="1660" w:hanging="360"/>
      </w:pPr>
      <w:rPr>
        <w:rFonts w:hint="default"/>
        <w:lang w:val="en-US" w:eastAsia="en-US" w:bidi="ar-SA"/>
      </w:rPr>
    </w:lvl>
    <w:lvl w:ilvl="4" w:tplc="C484B294">
      <w:numFmt w:val="bullet"/>
      <w:lvlText w:val="•"/>
      <w:lvlJc w:val="left"/>
      <w:pPr>
        <w:ind w:left="2815" w:hanging="360"/>
      </w:pPr>
      <w:rPr>
        <w:rFonts w:hint="default"/>
        <w:lang w:val="en-US" w:eastAsia="en-US" w:bidi="ar-SA"/>
      </w:rPr>
    </w:lvl>
    <w:lvl w:ilvl="5" w:tplc="7E5AE102">
      <w:numFmt w:val="bullet"/>
      <w:lvlText w:val="•"/>
      <w:lvlJc w:val="left"/>
      <w:pPr>
        <w:ind w:left="3970" w:hanging="360"/>
      </w:pPr>
      <w:rPr>
        <w:rFonts w:hint="default"/>
        <w:lang w:val="en-US" w:eastAsia="en-US" w:bidi="ar-SA"/>
      </w:rPr>
    </w:lvl>
    <w:lvl w:ilvl="6" w:tplc="97202756">
      <w:numFmt w:val="bullet"/>
      <w:lvlText w:val="•"/>
      <w:lvlJc w:val="left"/>
      <w:pPr>
        <w:ind w:left="5125" w:hanging="360"/>
      </w:pPr>
      <w:rPr>
        <w:rFonts w:hint="default"/>
        <w:lang w:val="en-US" w:eastAsia="en-US" w:bidi="ar-SA"/>
      </w:rPr>
    </w:lvl>
    <w:lvl w:ilvl="7" w:tplc="50DA43DA">
      <w:numFmt w:val="bullet"/>
      <w:lvlText w:val="•"/>
      <w:lvlJc w:val="left"/>
      <w:pPr>
        <w:ind w:left="6280" w:hanging="360"/>
      </w:pPr>
      <w:rPr>
        <w:rFonts w:hint="default"/>
        <w:lang w:val="en-US" w:eastAsia="en-US" w:bidi="ar-SA"/>
      </w:rPr>
    </w:lvl>
    <w:lvl w:ilvl="8" w:tplc="89C83BAA">
      <w:numFmt w:val="bullet"/>
      <w:lvlText w:val="•"/>
      <w:lvlJc w:val="left"/>
      <w:pPr>
        <w:ind w:left="7436" w:hanging="360"/>
      </w:pPr>
      <w:rPr>
        <w:rFonts w:hint="default"/>
        <w:lang w:val="en-US" w:eastAsia="en-US" w:bidi="ar-SA"/>
      </w:rPr>
    </w:lvl>
  </w:abstractNum>
  <w:abstractNum w:abstractNumId="3" w15:restartNumberingAfterBreak="0">
    <w:nsid w:val="034C19B0"/>
    <w:multiLevelType w:val="hybridMultilevel"/>
    <w:tmpl w:val="34282E52"/>
    <w:lvl w:ilvl="0" w:tplc="6D0A9C28">
      <w:start w:val="1"/>
      <w:numFmt w:val="lowerLetter"/>
      <w:lvlText w:val="%1)"/>
      <w:lvlJc w:val="left"/>
      <w:pPr>
        <w:ind w:left="943" w:hanging="360"/>
        <w:jc w:val="right"/>
      </w:pPr>
      <w:rPr>
        <w:rFonts w:hint="default"/>
        <w:spacing w:val="-1"/>
        <w:w w:val="99"/>
        <w:lang w:val="en-US" w:eastAsia="en-US" w:bidi="ar-SA"/>
      </w:rPr>
    </w:lvl>
    <w:lvl w:ilvl="1" w:tplc="15F82B58">
      <w:start w:val="1"/>
      <w:numFmt w:val="lowerRoman"/>
      <w:lvlText w:val="%2."/>
      <w:lvlJc w:val="left"/>
      <w:pPr>
        <w:ind w:left="1663" w:hanging="461"/>
        <w:jc w:val="right"/>
      </w:pPr>
      <w:rPr>
        <w:rFonts w:hint="default"/>
        <w:spacing w:val="-1"/>
        <w:w w:val="89"/>
        <w:lang w:val="en-US" w:eastAsia="en-US" w:bidi="ar-SA"/>
      </w:rPr>
    </w:lvl>
    <w:lvl w:ilvl="2" w:tplc="3870B3CE">
      <w:numFmt w:val="bullet"/>
      <w:lvlText w:val="•"/>
      <w:lvlJc w:val="left"/>
      <w:pPr>
        <w:ind w:left="2558" w:hanging="461"/>
      </w:pPr>
      <w:rPr>
        <w:rFonts w:hint="default"/>
        <w:lang w:val="en-US" w:eastAsia="en-US" w:bidi="ar-SA"/>
      </w:rPr>
    </w:lvl>
    <w:lvl w:ilvl="3" w:tplc="7A00D862">
      <w:numFmt w:val="bullet"/>
      <w:lvlText w:val="•"/>
      <w:lvlJc w:val="left"/>
      <w:pPr>
        <w:ind w:left="3456" w:hanging="461"/>
      </w:pPr>
      <w:rPr>
        <w:rFonts w:hint="default"/>
        <w:lang w:val="en-US" w:eastAsia="en-US" w:bidi="ar-SA"/>
      </w:rPr>
    </w:lvl>
    <w:lvl w:ilvl="4" w:tplc="DFFA17D2">
      <w:numFmt w:val="bullet"/>
      <w:lvlText w:val="•"/>
      <w:lvlJc w:val="left"/>
      <w:pPr>
        <w:ind w:left="4355" w:hanging="461"/>
      </w:pPr>
      <w:rPr>
        <w:rFonts w:hint="default"/>
        <w:lang w:val="en-US" w:eastAsia="en-US" w:bidi="ar-SA"/>
      </w:rPr>
    </w:lvl>
    <w:lvl w:ilvl="5" w:tplc="50AE7F7E">
      <w:numFmt w:val="bullet"/>
      <w:lvlText w:val="•"/>
      <w:lvlJc w:val="left"/>
      <w:pPr>
        <w:ind w:left="5253" w:hanging="461"/>
      </w:pPr>
      <w:rPr>
        <w:rFonts w:hint="default"/>
        <w:lang w:val="en-US" w:eastAsia="en-US" w:bidi="ar-SA"/>
      </w:rPr>
    </w:lvl>
    <w:lvl w:ilvl="6" w:tplc="8B2A72DC">
      <w:numFmt w:val="bullet"/>
      <w:lvlText w:val="•"/>
      <w:lvlJc w:val="left"/>
      <w:pPr>
        <w:ind w:left="6152" w:hanging="461"/>
      </w:pPr>
      <w:rPr>
        <w:rFonts w:hint="default"/>
        <w:lang w:val="en-US" w:eastAsia="en-US" w:bidi="ar-SA"/>
      </w:rPr>
    </w:lvl>
    <w:lvl w:ilvl="7" w:tplc="D0446C94">
      <w:numFmt w:val="bullet"/>
      <w:lvlText w:val="•"/>
      <w:lvlJc w:val="left"/>
      <w:pPr>
        <w:ind w:left="7050" w:hanging="461"/>
      </w:pPr>
      <w:rPr>
        <w:rFonts w:hint="default"/>
        <w:lang w:val="en-US" w:eastAsia="en-US" w:bidi="ar-SA"/>
      </w:rPr>
    </w:lvl>
    <w:lvl w:ilvl="8" w:tplc="EE5AA2FE">
      <w:numFmt w:val="bullet"/>
      <w:lvlText w:val="•"/>
      <w:lvlJc w:val="left"/>
      <w:pPr>
        <w:ind w:left="7949" w:hanging="461"/>
      </w:pPr>
      <w:rPr>
        <w:rFonts w:hint="default"/>
        <w:lang w:val="en-US" w:eastAsia="en-US" w:bidi="ar-SA"/>
      </w:rPr>
    </w:lvl>
  </w:abstractNum>
  <w:abstractNum w:abstractNumId="4" w15:restartNumberingAfterBreak="0">
    <w:nsid w:val="055A7E10"/>
    <w:multiLevelType w:val="hybridMultilevel"/>
    <w:tmpl w:val="4EF813E4"/>
    <w:lvl w:ilvl="0" w:tplc="FFFFFFFF">
      <w:start w:val="1"/>
      <w:numFmt w:val="decimal"/>
      <w:lvlText w:val="%1."/>
      <w:lvlJc w:val="left"/>
      <w:pPr>
        <w:ind w:left="223" w:hanging="720"/>
        <w:jc w:val="left"/>
      </w:pPr>
      <w:rPr>
        <w:rFonts w:hint="default"/>
        <w:spacing w:val="-1"/>
        <w:w w:val="94"/>
        <w:lang w:val="en-US" w:eastAsia="en-US" w:bidi="ar-SA"/>
      </w:rPr>
    </w:lvl>
    <w:lvl w:ilvl="1" w:tplc="C1522300">
      <w:numFmt w:val="bullet"/>
      <w:lvlText w:val=""/>
      <w:lvlJc w:val="left"/>
      <w:pPr>
        <w:ind w:left="1643" w:hanging="360"/>
      </w:pPr>
      <w:rPr>
        <w:rFonts w:ascii="Symbol" w:eastAsia="Symbol" w:hAnsi="Symbol" w:cs="Symbol" w:hint="default"/>
        <w:b w:val="0"/>
        <w:bCs w:val="0"/>
        <w:i w:val="0"/>
        <w:iCs w:val="0"/>
        <w:color w:val="4E81BD"/>
        <w:spacing w:val="0"/>
        <w:w w:val="99"/>
        <w:sz w:val="20"/>
        <w:szCs w:val="20"/>
        <w:lang w:val="en-US" w:eastAsia="en-US" w:bidi="ar-SA"/>
      </w:rPr>
    </w:lvl>
    <w:lvl w:ilvl="2" w:tplc="FFFFFFFF">
      <w:numFmt w:val="bullet"/>
      <w:lvlText w:val="•"/>
      <w:lvlJc w:val="left"/>
      <w:pPr>
        <w:ind w:left="1620" w:hanging="339"/>
      </w:pPr>
      <w:rPr>
        <w:rFonts w:hint="default"/>
        <w:lang w:val="en-US" w:eastAsia="en-US" w:bidi="ar-SA"/>
      </w:rPr>
    </w:lvl>
    <w:lvl w:ilvl="3" w:tplc="FFFFFFFF">
      <w:numFmt w:val="bullet"/>
      <w:lvlText w:val="•"/>
      <w:lvlJc w:val="left"/>
      <w:pPr>
        <w:ind w:left="2635" w:hanging="339"/>
      </w:pPr>
      <w:rPr>
        <w:rFonts w:hint="default"/>
        <w:lang w:val="en-US" w:eastAsia="en-US" w:bidi="ar-SA"/>
      </w:rPr>
    </w:lvl>
    <w:lvl w:ilvl="4" w:tplc="FFFFFFFF">
      <w:numFmt w:val="bullet"/>
      <w:lvlText w:val="•"/>
      <w:lvlJc w:val="left"/>
      <w:pPr>
        <w:ind w:left="3651" w:hanging="339"/>
      </w:pPr>
      <w:rPr>
        <w:rFonts w:hint="default"/>
        <w:lang w:val="en-US" w:eastAsia="en-US" w:bidi="ar-SA"/>
      </w:rPr>
    </w:lvl>
    <w:lvl w:ilvl="5" w:tplc="FFFFFFFF">
      <w:numFmt w:val="bullet"/>
      <w:lvlText w:val="•"/>
      <w:lvlJc w:val="left"/>
      <w:pPr>
        <w:ind w:left="4667" w:hanging="339"/>
      </w:pPr>
      <w:rPr>
        <w:rFonts w:hint="default"/>
        <w:lang w:val="en-US" w:eastAsia="en-US" w:bidi="ar-SA"/>
      </w:rPr>
    </w:lvl>
    <w:lvl w:ilvl="6" w:tplc="FFFFFFFF">
      <w:numFmt w:val="bullet"/>
      <w:lvlText w:val="•"/>
      <w:lvlJc w:val="left"/>
      <w:pPr>
        <w:ind w:left="5683" w:hanging="339"/>
      </w:pPr>
      <w:rPr>
        <w:rFonts w:hint="default"/>
        <w:lang w:val="en-US" w:eastAsia="en-US" w:bidi="ar-SA"/>
      </w:rPr>
    </w:lvl>
    <w:lvl w:ilvl="7" w:tplc="FFFFFFFF">
      <w:numFmt w:val="bullet"/>
      <w:lvlText w:val="•"/>
      <w:lvlJc w:val="left"/>
      <w:pPr>
        <w:ind w:left="6699" w:hanging="339"/>
      </w:pPr>
      <w:rPr>
        <w:rFonts w:hint="default"/>
        <w:lang w:val="en-US" w:eastAsia="en-US" w:bidi="ar-SA"/>
      </w:rPr>
    </w:lvl>
    <w:lvl w:ilvl="8" w:tplc="FFFFFFFF">
      <w:numFmt w:val="bullet"/>
      <w:lvlText w:val="•"/>
      <w:lvlJc w:val="left"/>
      <w:pPr>
        <w:ind w:left="7714" w:hanging="339"/>
      </w:pPr>
      <w:rPr>
        <w:rFonts w:hint="default"/>
        <w:lang w:val="en-US" w:eastAsia="en-US" w:bidi="ar-SA"/>
      </w:rPr>
    </w:lvl>
  </w:abstractNum>
  <w:abstractNum w:abstractNumId="5" w15:restartNumberingAfterBreak="0">
    <w:nsid w:val="057E6C7D"/>
    <w:multiLevelType w:val="hybridMultilevel"/>
    <w:tmpl w:val="6882C848"/>
    <w:lvl w:ilvl="0" w:tplc="EB84DEC8">
      <w:start w:val="1"/>
      <w:numFmt w:val="decimal"/>
      <w:lvlText w:val="%1."/>
      <w:lvlJc w:val="left"/>
      <w:pPr>
        <w:ind w:left="943" w:hanging="720"/>
      </w:pPr>
      <w:rPr>
        <w:rFonts w:hint="default"/>
        <w:spacing w:val="-1"/>
        <w:w w:val="99"/>
        <w:lang w:val="en-US" w:eastAsia="en-US" w:bidi="ar-SA"/>
      </w:rPr>
    </w:lvl>
    <w:lvl w:ilvl="1" w:tplc="5928C1D2">
      <w:start w:val="1"/>
      <w:numFmt w:val="lowerLetter"/>
      <w:lvlText w:val="%2)"/>
      <w:lvlJc w:val="left"/>
      <w:pPr>
        <w:ind w:left="943" w:hanging="360"/>
      </w:pPr>
      <w:rPr>
        <w:rFonts w:hint="default"/>
        <w:spacing w:val="-1"/>
        <w:w w:val="99"/>
        <w:lang w:val="en-US" w:eastAsia="en-US" w:bidi="ar-SA"/>
      </w:rPr>
    </w:lvl>
    <w:lvl w:ilvl="2" w:tplc="4A78453E">
      <w:start w:val="1"/>
      <w:numFmt w:val="decimal"/>
      <w:lvlText w:val="%3)"/>
      <w:lvlJc w:val="left"/>
      <w:pPr>
        <w:ind w:left="1303" w:hanging="360"/>
      </w:pPr>
      <w:rPr>
        <w:rFonts w:ascii="Arial" w:eastAsia="Arial" w:hAnsi="Arial" w:cs="Arial" w:hint="default"/>
        <w:b w:val="0"/>
        <w:bCs w:val="0"/>
        <w:i w:val="0"/>
        <w:iCs w:val="0"/>
        <w:spacing w:val="-1"/>
        <w:w w:val="99"/>
        <w:sz w:val="20"/>
        <w:szCs w:val="20"/>
        <w:lang w:val="en-US" w:eastAsia="en-US" w:bidi="ar-SA"/>
      </w:rPr>
    </w:lvl>
    <w:lvl w:ilvl="3" w:tplc="AB345B74">
      <w:numFmt w:val="bullet"/>
      <w:lvlText w:val="•"/>
      <w:lvlJc w:val="left"/>
      <w:pPr>
        <w:ind w:left="3176" w:hanging="360"/>
      </w:pPr>
      <w:rPr>
        <w:rFonts w:hint="default"/>
        <w:lang w:val="en-US" w:eastAsia="en-US" w:bidi="ar-SA"/>
      </w:rPr>
    </w:lvl>
    <w:lvl w:ilvl="4" w:tplc="F34E81EE">
      <w:numFmt w:val="bullet"/>
      <w:lvlText w:val="•"/>
      <w:lvlJc w:val="left"/>
      <w:pPr>
        <w:ind w:left="4115" w:hanging="360"/>
      </w:pPr>
      <w:rPr>
        <w:rFonts w:hint="default"/>
        <w:lang w:val="en-US" w:eastAsia="en-US" w:bidi="ar-SA"/>
      </w:rPr>
    </w:lvl>
    <w:lvl w:ilvl="5" w:tplc="FAAE6F9C">
      <w:numFmt w:val="bullet"/>
      <w:lvlText w:val="•"/>
      <w:lvlJc w:val="left"/>
      <w:pPr>
        <w:ind w:left="5053" w:hanging="360"/>
      </w:pPr>
      <w:rPr>
        <w:rFonts w:hint="default"/>
        <w:lang w:val="en-US" w:eastAsia="en-US" w:bidi="ar-SA"/>
      </w:rPr>
    </w:lvl>
    <w:lvl w:ilvl="6" w:tplc="4A10AAA0">
      <w:numFmt w:val="bullet"/>
      <w:lvlText w:val="•"/>
      <w:lvlJc w:val="left"/>
      <w:pPr>
        <w:ind w:left="5992" w:hanging="360"/>
      </w:pPr>
      <w:rPr>
        <w:rFonts w:hint="default"/>
        <w:lang w:val="en-US" w:eastAsia="en-US" w:bidi="ar-SA"/>
      </w:rPr>
    </w:lvl>
    <w:lvl w:ilvl="7" w:tplc="4F6A06B4">
      <w:numFmt w:val="bullet"/>
      <w:lvlText w:val="•"/>
      <w:lvlJc w:val="left"/>
      <w:pPr>
        <w:ind w:left="6930" w:hanging="360"/>
      </w:pPr>
      <w:rPr>
        <w:rFonts w:hint="default"/>
        <w:lang w:val="en-US" w:eastAsia="en-US" w:bidi="ar-SA"/>
      </w:rPr>
    </w:lvl>
    <w:lvl w:ilvl="8" w:tplc="9F900616">
      <w:numFmt w:val="bullet"/>
      <w:lvlText w:val="•"/>
      <w:lvlJc w:val="left"/>
      <w:pPr>
        <w:ind w:left="7869" w:hanging="360"/>
      </w:pPr>
      <w:rPr>
        <w:rFonts w:hint="default"/>
        <w:lang w:val="en-US" w:eastAsia="en-US" w:bidi="ar-SA"/>
      </w:rPr>
    </w:lvl>
  </w:abstractNum>
  <w:abstractNum w:abstractNumId="6" w15:restartNumberingAfterBreak="0">
    <w:nsid w:val="07E45CEA"/>
    <w:multiLevelType w:val="hybridMultilevel"/>
    <w:tmpl w:val="690A1766"/>
    <w:lvl w:ilvl="0" w:tplc="0226BD7C">
      <w:start w:val="1"/>
      <w:numFmt w:val="decimal"/>
      <w:lvlText w:val="%1."/>
      <w:lvlJc w:val="left"/>
      <w:pPr>
        <w:ind w:left="223" w:hanging="720"/>
        <w:jc w:val="right"/>
      </w:pPr>
      <w:rPr>
        <w:rFonts w:hint="default"/>
        <w:spacing w:val="-1"/>
        <w:w w:val="92"/>
        <w:lang w:val="en-US" w:eastAsia="en-US" w:bidi="ar-SA"/>
      </w:rPr>
    </w:lvl>
    <w:lvl w:ilvl="1" w:tplc="D3D65DD6">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2" w:tplc="3AAA01A8">
      <w:numFmt w:val="bullet"/>
      <w:lvlText w:val="•"/>
      <w:lvlJc w:val="left"/>
      <w:pPr>
        <w:ind w:left="2522" w:hanging="339"/>
      </w:pPr>
      <w:rPr>
        <w:rFonts w:hint="default"/>
        <w:lang w:val="en-US" w:eastAsia="en-US" w:bidi="ar-SA"/>
      </w:rPr>
    </w:lvl>
    <w:lvl w:ilvl="3" w:tplc="E0B65160">
      <w:numFmt w:val="bullet"/>
      <w:lvlText w:val="•"/>
      <w:lvlJc w:val="left"/>
      <w:pPr>
        <w:ind w:left="3425" w:hanging="339"/>
      </w:pPr>
      <w:rPr>
        <w:rFonts w:hint="default"/>
        <w:lang w:val="en-US" w:eastAsia="en-US" w:bidi="ar-SA"/>
      </w:rPr>
    </w:lvl>
    <w:lvl w:ilvl="4" w:tplc="45682FC0">
      <w:numFmt w:val="bullet"/>
      <w:lvlText w:val="•"/>
      <w:lvlJc w:val="left"/>
      <w:pPr>
        <w:ind w:left="4328" w:hanging="339"/>
      </w:pPr>
      <w:rPr>
        <w:rFonts w:hint="default"/>
        <w:lang w:val="en-US" w:eastAsia="en-US" w:bidi="ar-SA"/>
      </w:rPr>
    </w:lvl>
    <w:lvl w:ilvl="5" w:tplc="66822978">
      <w:numFmt w:val="bullet"/>
      <w:lvlText w:val="•"/>
      <w:lvlJc w:val="left"/>
      <w:pPr>
        <w:ind w:left="5231" w:hanging="339"/>
      </w:pPr>
      <w:rPr>
        <w:rFonts w:hint="default"/>
        <w:lang w:val="en-US" w:eastAsia="en-US" w:bidi="ar-SA"/>
      </w:rPr>
    </w:lvl>
    <w:lvl w:ilvl="6" w:tplc="67D6DC46">
      <w:numFmt w:val="bullet"/>
      <w:lvlText w:val="•"/>
      <w:lvlJc w:val="left"/>
      <w:pPr>
        <w:ind w:left="6134" w:hanging="339"/>
      </w:pPr>
      <w:rPr>
        <w:rFonts w:hint="default"/>
        <w:lang w:val="en-US" w:eastAsia="en-US" w:bidi="ar-SA"/>
      </w:rPr>
    </w:lvl>
    <w:lvl w:ilvl="7" w:tplc="2548999A">
      <w:numFmt w:val="bullet"/>
      <w:lvlText w:val="•"/>
      <w:lvlJc w:val="left"/>
      <w:pPr>
        <w:ind w:left="7037" w:hanging="339"/>
      </w:pPr>
      <w:rPr>
        <w:rFonts w:hint="default"/>
        <w:lang w:val="en-US" w:eastAsia="en-US" w:bidi="ar-SA"/>
      </w:rPr>
    </w:lvl>
    <w:lvl w:ilvl="8" w:tplc="121E85E4">
      <w:numFmt w:val="bullet"/>
      <w:lvlText w:val="•"/>
      <w:lvlJc w:val="left"/>
      <w:pPr>
        <w:ind w:left="7940" w:hanging="339"/>
      </w:pPr>
      <w:rPr>
        <w:rFonts w:hint="default"/>
        <w:lang w:val="en-US" w:eastAsia="en-US" w:bidi="ar-SA"/>
      </w:rPr>
    </w:lvl>
  </w:abstractNum>
  <w:abstractNum w:abstractNumId="7" w15:restartNumberingAfterBreak="0">
    <w:nsid w:val="08F31198"/>
    <w:multiLevelType w:val="hybridMultilevel"/>
    <w:tmpl w:val="6032EA34"/>
    <w:lvl w:ilvl="0" w:tplc="82B8360A">
      <w:start w:val="1"/>
      <w:numFmt w:val="upperLetter"/>
      <w:lvlText w:val="%1."/>
      <w:lvlJc w:val="left"/>
      <w:pPr>
        <w:ind w:left="943" w:hanging="360"/>
      </w:pPr>
      <w:rPr>
        <w:rFonts w:hint="default"/>
        <w:spacing w:val="-1"/>
        <w:w w:val="99"/>
        <w:lang w:val="en-US" w:eastAsia="en-US" w:bidi="ar-SA"/>
      </w:rPr>
    </w:lvl>
    <w:lvl w:ilvl="1" w:tplc="AD342DAC">
      <w:numFmt w:val="bullet"/>
      <w:lvlText w:val="•"/>
      <w:lvlJc w:val="left"/>
      <w:pPr>
        <w:ind w:left="1820" w:hanging="360"/>
      </w:pPr>
      <w:rPr>
        <w:rFonts w:hint="default"/>
        <w:lang w:val="en-US" w:eastAsia="en-US" w:bidi="ar-SA"/>
      </w:rPr>
    </w:lvl>
    <w:lvl w:ilvl="2" w:tplc="8FA8C31C">
      <w:numFmt w:val="bullet"/>
      <w:lvlText w:val="•"/>
      <w:lvlJc w:val="left"/>
      <w:pPr>
        <w:ind w:left="2701" w:hanging="360"/>
      </w:pPr>
      <w:rPr>
        <w:rFonts w:hint="default"/>
        <w:lang w:val="en-US" w:eastAsia="en-US" w:bidi="ar-SA"/>
      </w:rPr>
    </w:lvl>
    <w:lvl w:ilvl="3" w:tplc="C2B09620">
      <w:numFmt w:val="bullet"/>
      <w:lvlText w:val="•"/>
      <w:lvlJc w:val="left"/>
      <w:pPr>
        <w:ind w:left="3581" w:hanging="360"/>
      </w:pPr>
      <w:rPr>
        <w:rFonts w:hint="default"/>
        <w:lang w:val="en-US" w:eastAsia="en-US" w:bidi="ar-SA"/>
      </w:rPr>
    </w:lvl>
    <w:lvl w:ilvl="4" w:tplc="DFF2C52E">
      <w:numFmt w:val="bullet"/>
      <w:lvlText w:val="•"/>
      <w:lvlJc w:val="left"/>
      <w:pPr>
        <w:ind w:left="4462" w:hanging="360"/>
      </w:pPr>
      <w:rPr>
        <w:rFonts w:hint="default"/>
        <w:lang w:val="en-US" w:eastAsia="en-US" w:bidi="ar-SA"/>
      </w:rPr>
    </w:lvl>
    <w:lvl w:ilvl="5" w:tplc="F8FEC690">
      <w:numFmt w:val="bullet"/>
      <w:lvlText w:val="•"/>
      <w:lvlJc w:val="left"/>
      <w:pPr>
        <w:ind w:left="5343" w:hanging="360"/>
      </w:pPr>
      <w:rPr>
        <w:rFonts w:hint="default"/>
        <w:lang w:val="en-US" w:eastAsia="en-US" w:bidi="ar-SA"/>
      </w:rPr>
    </w:lvl>
    <w:lvl w:ilvl="6" w:tplc="1182F9FE">
      <w:numFmt w:val="bullet"/>
      <w:lvlText w:val="•"/>
      <w:lvlJc w:val="left"/>
      <w:pPr>
        <w:ind w:left="6223" w:hanging="360"/>
      </w:pPr>
      <w:rPr>
        <w:rFonts w:hint="default"/>
        <w:lang w:val="en-US" w:eastAsia="en-US" w:bidi="ar-SA"/>
      </w:rPr>
    </w:lvl>
    <w:lvl w:ilvl="7" w:tplc="1A7ECAFA">
      <w:numFmt w:val="bullet"/>
      <w:lvlText w:val="•"/>
      <w:lvlJc w:val="left"/>
      <w:pPr>
        <w:ind w:left="7104" w:hanging="360"/>
      </w:pPr>
      <w:rPr>
        <w:rFonts w:hint="default"/>
        <w:lang w:val="en-US" w:eastAsia="en-US" w:bidi="ar-SA"/>
      </w:rPr>
    </w:lvl>
    <w:lvl w:ilvl="8" w:tplc="7AC0AB4E">
      <w:numFmt w:val="bullet"/>
      <w:lvlText w:val="•"/>
      <w:lvlJc w:val="left"/>
      <w:pPr>
        <w:ind w:left="7985" w:hanging="360"/>
      </w:pPr>
      <w:rPr>
        <w:rFonts w:hint="default"/>
        <w:lang w:val="en-US" w:eastAsia="en-US" w:bidi="ar-SA"/>
      </w:rPr>
    </w:lvl>
  </w:abstractNum>
  <w:abstractNum w:abstractNumId="8" w15:restartNumberingAfterBreak="0">
    <w:nsid w:val="0AFA3DE9"/>
    <w:multiLevelType w:val="hybridMultilevel"/>
    <w:tmpl w:val="C5422EE6"/>
    <w:lvl w:ilvl="0" w:tplc="83782314">
      <w:start w:val="1"/>
      <w:numFmt w:val="lowerLetter"/>
      <w:lvlText w:val="%1)"/>
      <w:lvlJc w:val="left"/>
      <w:pPr>
        <w:ind w:left="943" w:hanging="360"/>
      </w:pPr>
      <w:rPr>
        <w:rFonts w:hint="default"/>
        <w:spacing w:val="-1"/>
        <w:w w:val="99"/>
        <w:lang w:val="en-US" w:eastAsia="en-US" w:bidi="ar-SA"/>
      </w:rPr>
    </w:lvl>
    <w:lvl w:ilvl="1" w:tplc="35600E32">
      <w:numFmt w:val="bullet"/>
      <w:lvlText w:val="•"/>
      <w:lvlJc w:val="left"/>
      <w:pPr>
        <w:ind w:left="1820" w:hanging="360"/>
      </w:pPr>
      <w:rPr>
        <w:rFonts w:hint="default"/>
        <w:lang w:val="en-US" w:eastAsia="en-US" w:bidi="ar-SA"/>
      </w:rPr>
    </w:lvl>
    <w:lvl w:ilvl="2" w:tplc="E7F0A97A">
      <w:numFmt w:val="bullet"/>
      <w:lvlText w:val="•"/>
      <w:lvlJc w:val="left"/>
      <w:pPr>
        <w:ind w:left="2701" w:hanging="360"/>
      </w:pPr>
      <w:rPr>
        <w:rFonts w:hint="default"/>
        <w:lang w:val="en-US" w:eastAsia="en-US" w:bidi="ar-SA"/>
      </w:rPr>
    </w:lvl>
    <w:lvl w:ilvl="3" w:tplc="3AFEA4CC">
      <w:numFmt w:val="bullet"/>
      <w:lvlText w:val="•"/>
      <w:lvlJc w:val="left"/>
      <w:pPr>
        <w:ind w:left="3581" w:hanging="360"/>
      </w:pPr>
      <w:rPr>
        <w:rFonts w:hint="default"/>
        <w:lang w:val="en-US" w:eastAsia="en-US" w:bidi="ar-SA"/>
      </w:rPr>
    </w:lvl>
    <w:lvl w:ilvl="4" w:tplc="A6049B78">
      <w:numFmt w:val="bullet"/>
      <w:lvlText w:val="•"/>
      <w:lvlJc w:val="left"/>
      <w:pPr>
        <w:ind w:left="4462" w:hanging="360"/>
      </w:pPr>
      <w:rPr>
        <w:rFonts w:hint="default"/>
        <w:lang w:val="en-US" w:eastAsia="en-US" w:bidi="ar-SA"/>
      </w:rPr>
    </w:lvl>
    <w:lvl w:ilvl="5" w:tplc="BE42921A">
      <w:numFmt w:val="bullet"/>
      <w:lvlText w:val="•"/>
      <w:lvlJc w:val="left"/>
      <w:pPr>
        <w:ind w:left="5343" w:hanging="360"/>
      </w:pPr>
      <w:rPr>
        <w:rFonts w:hint="default"/>
        <w:lang w:val="en-US" w:eastAsia="en-US" w:bidi="ar-SA"/>
      </w:rPr>
    </w:lvl>
    <w:lvl w:ilvl="6" w:tplc="95240EB6">
      <w:numFmt w:val="bullet"/>
      <w:lvlText w:val="•"/>
      <w:lvlJc w:val="left"/>
      <w:pPr>
        <w:ind w:left="6223" w:hanging="360"/>
      </w:pPr>
      <w:rPr>
        <w:rFonts w:hint="default"/>
        <w:lang w:val="en-US" w:eastAsia="en-US" w:bidi="ar-SA"/>
      </w:rPr>
    </w:lvl>
    <w:lvl w:ilvl="7" w:tplc="C33EDB9A">
      <w:numFmt w:val="bullet"/>
      <w:lvlText w:val="•"/>
      <w:lvlJc w:val="left"/>
      <w:pPr>
        <w:ind w:left="7104" w:hanging="360"/>
      </w:pPr>
      <w:rPr>
        <w:rFonts w:hint="default"/>
        <w:lang w:val="en-US" w:eastAsia="en-US" w:bidi="ar-SA"/>
      </w:rPr>
    </w:lvl>
    <w:lvl w:ilvl="8" w:tplc="6116F3EC">
      <w:numFmt w:val="bullet"/>
      <w:lvlText w:val="•"/>
      <w:lvlJc w:val="left"/>
      <w:pPr>
        <w:ind w:left="7985" w:hanging="360"/>
      </w:pPr>
      <w:rPr>
        <w:rFonts w:hint="default"/>
        <w:lang w:val="en-US" w:eastAsia="en-US" w:bidi="ar-SA"/>
      </w:rPr>
    </w:lvl>
  </w:abstractNum>
  <w:abstractNum w:abstractNumId="9" w15:restartNumberingAfterBreak="0">
    <w:nsid w:val="0B6540CB"/>
    <w:multiLevelType w:val="hybridMultilevel"/>
    <w:tmpl w:val="F556876C"/>
    <w:lvl w:ilvl="0" w:tplc="D3761508">
      <w:start w:val="1"/>
      <w:numFmt w:val="decimal"/>
      <w:lvlText w:val="%1."/>
      <w:lvlJc w:val="left"/>
      <w:pPr>
        <w:ind w:left="223" w:hanging="720"/>
      </w:pPr>
      <w:rPr>
        <w:rFonts w:hint="default"/>
        <w:spacing w:val="-1"/>
        <w:w w:val="99"/>
        <w:lang w:val="en-US" w:eastAsia="en-US" w:bidi="ar-SA"/>
      </w:rPr>
    </w:lvl>
    <w:lvl w:ilvl="1" w:tplc="24EE42D6">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2" w:tplc="9418C3F4">
      <w:numFmt w:val="bullet"/>
      <w:lvlText w:val="•"/>
      <w:lvlJc w:val="left"/>
      <w:pPr>
        <w:ind w:left="2522" w:hanging="339"/>
      </w:pPr>
      <w:rPr>
        <w:rFonts w:hint="default"/>
        <w:lang w:val="en-US" w:eastAsia="en-US" w:bidi="ar-SA"/>
      </w:rPr>
    </w:lvl>
    <w:lvl w:ilvl="3" w:tplc="E8D4B746">
      <w:numFmt w:val="bullet"/>
      <w:lvlText w:val="•"/>
      <w:lvlJc w:val="left"/>
      <w:pPr>
        <w:ind w:left="3425" w:hanging="339"/>
      </w:pPr>
      <w:rPr>
        <w:rFonts w:hint="default"/>
        <w:lang w:val="en-US" w:eastAsia="en-US" w:bidi="ar-SA"/>
      </w:rPr>
    </w:lvl>
    <w:lvl w:ilvl="4" w:tplc="781665B0">
      <w:numFmt w:val="bullet"/>
      <w:lvlText w:val="•"/>
      <w:lvlJc w:val="left"/>
      <w:pPr>
        <w:ind w:left="4328" w:hanging="339"/>
      </w:pPr>
      <w:rPr>
        <w:rFonts w:hint="default"/>
        <w:lang w:val="en-US" w:eastAsia="en-US" w:bidi="ar-SA"/>
      </w:rPr>
    </w:lvl>
    <w:lvl w:ilvl="5" w:tplc="7A28EEBE">
      <w:numFmt w:val="bullet"/>
      <w:lvlText w:val="•"/>
      <w:lvlJc w:val="left"/>
      <w:pPr>
        <w:ind w:left="5231" w:hanging="339"/>
      </w:pPr>
      <w:rPr>
        <w:rFonts w:hint="default"/>
        <w:lang w:val="en-US" w:eastAsia="en-US" w:bidi="ar-SA"/>
      </w:rPr>
    </w:lvl>
    <w:lvl w:ilvl="6" w:tplc="B1C68BE0">
      <w:numFmt w:val="bullet"/>
      <w:lvlText w:val="•"/>
      <w:lvlJc w:val="left"/>
      <w:pPr>
        <w:ind w:left="6134" w:hanging="339"/>
      </w:pPr>
      <w:rPr>
        <w:rFonts w:hint="default"/>
        <w:lang w:val="en-US" w:eastAsia="en-US" w:bidi="ar-SA"/>
      </w:rPr>
    </w:lvl>
    <w:lvl w:ilvl="7" w:tplc="8DE2AF40">
      <w:numFmt w:val="bullet"/>
      <w:lvlText w:val="•"/>
      <w:lvlJc w:val="left"/>
      <w:pPr>
        <w:ind w:left="7037" w:hanging="339"/>
      </w:pPr>
      <w:rPr>
        <w:rFonts w:hint="default"/>
        <w:lang w:val="en-US" w:eastAsia="en-US" w:bidi="ar-SA"/>
      </w:rPr>
    </w:lvl>
    <w:lvl w:ilvl="8" w:tplc="CE6E0648">
      <w:numFmt w:val="bullet"/>
      <w:lvlText w:val="•"/>
      <w:lvlJc w:val="left"/>
      <w:pPr>
        <w:ind w:left="7940" w:hanging="339"/>
      </w:pPr>
      <w:rPr>
        <w:rFonts w:hint="default"/>
        <w:lang w:val="en-US" w:eastAsia="en-US" w:bidi="ar-SA"/>
      </w:rPr>
    </w:lvl>
  </w:abstractNum>
  <w:abstractNum w:abstractNumId="10" w15:restartNumberingAfterBreak="0">
    <w:nsid w:val="12DB2017"/>
    <w:multiLevelType w:val="hybridMultilevel"/>
    <w:tmpl w:val="BF26C012"/>
    <w:lvl w:ilvl="0" w:tplc="FFFFFFFF">
      <w:start w:val="1"/>
      <w:numFmt w:val="decimal"/>
      <w:lvlText w:val="%1."/>
      <w:lvlJc w:val="left"/>
      <w:pPr>
        <w:ind w:left="223" w:hanging="720"/>
        <w:jc w:val="left"/>
      </w:pPr>
      <w:rPr>
        <w:rFonts w:hint="default"/>
        <w:spacing w:val="-1"/>
        <w:w w:val="94"/>
        <w:lang w:val="en-US" w:eastAsia="en-US" w:bidi="ar-SA"/>
      </w:rPr>
    </w:lvl>
    <w:lvl w:ilvl="1" w:tplc="C1522300">
      <w:numFmt w:val="bullet"/>
      <w:lvlText w:val=""/>
      <w:lvlJc w:val="left"/>
      <w:pPr>
        <w:ind w:left="1643" w:hanging="360"/>
      </w:pPr>
      <w:rPr>
        <w:rFonts w:ascii="Symbol" w:eastAsia="Symbol" w:hAnsi="Symbol" w:cs="Symbol" w:hint="default"/>
        <w:b w:val="0"/>
        <w:bCs w:val="0"/>
        <w:i w:val="0"/>
        <w:iCs w:val="0"/>
        <w:color w:val="4E81BD"/>
        <w:spacing w:val="0"/>
        <w:w w:val="99"/>
        <w:sz w:val="20"/>
        <w:szCs w:val="20"/>
        <w:lang w:val="en-US" w:eastAsia="en-US" w:bidi="ar-SA"/>
      </w:rPr>
    </w:lvl>
    <w:lvl w:ilvl="2" w:tplc="FFFFFFFF">
      <w:numFmt w:val="bullet"/>
      <w:lvlText w:val="•"/>
      <w:lvlJc w:val="left"/>
      <w:pPr>
        <w:ind w:left="1620" w:hanging="339"/>
      </w:pPr>
      <w:rPr>
        <w:rFonts w:hint="default"/>
        <w:lang w:val="en-US" w:eastAsia="en-US" w:bidi="ar-SA"/>
      </w:rPr>
    </w:lvl>
    <w:lvl w:ilvl="3" w:tplc="FFFFFFFF">
      <w:numFmt w:val="bullet"/>
      <w:lvlText w:val="•"/>
      <w:lvlJc w:val="left"/>
      <w:pPr>
        <w:ind w:left="2635" w:hanging="339"/>
      </w:pPr>
      <w:rPr>
        <w:rFonts w:hint="default"/>
        <w:lang w:val="en-US" w:eastAsia="en-US" w:bidi="ar-SA"/>
      </w:rPr>
    </w:lvl>
    <w:lvl w:ilvl="4" w:tplc="FFFFFFFF">
      <w:numFmt w:val="bullet"/>
      <w:lvlText w:val="•"/>
      <w:lvlJc w:val="left"/>
      <w:pPr>
        <w:ind w:left="3651" w:hanging="339"/>
      </w:pPr>
      <w:rPr>
        <w:rFonts w:hint="default"/>
        <w:lang w:val="en-US" w:eastAsia="en-US" w:bidi="ar-SA"/>
      </w:rPr>
    </w:lvl>
    <w:lvl w:ilvl="5" w:tplc="FFFFFFFF">
      <w:numFmt w:val="bullet"/>
      <w:lvlText w:val="•"/>
      <w:lvlJc w:val="left"/>
      <w:pPr>
        <w:ind w:left="4667" w:hanging="339"/>
      </w:pPr>
      <w:rPr>
        <w:rFonts w:hint="default"/>
        <w:lang w:val="en-US" w:eastAsia="en-US" w:bidi="ar-SA"/>
      </w:rPr>
    </w:lvl>
    <w:lvl w:ilvl="6" w:tplc="FFFFFFFF">
      <w:numFmt w:val="bullet"/>
      <w:lvlText w:val="•"/>
      <w:lvlJc w:val="left"/>
      <w:pPr>
        <w:ind w:left="5683" w:hanging="339"/>
      </w:pPr>
      <w:rPr>
        <w:rFonts w:hint="default"/>
        <w:lang w:val="en-US" w:eastAsia="en-US" w:bidi="ar-SA"/>
      </w:rPr>
    </w:lvl>
    <w:lvl w:ilvl="7" w:tplc="FFFFFFFF">
      <w:numFmt w:val="bullet"/>
      <w:lvlText w:val="•"/>
      <w:lvlJc w:val="left"/>
      <w:pPr>
        <w:ind w:left="6699" w:hanging="339"/>
      </w:pPr>
      <w:rPr>
        <w:rFonts w:hint="default"/>
        <w:lang w:val="en-US" w:eastAsia="en-US" w:bidi="ar-SA"/>
      </w:rPr>
    </w:lvl>
    <w:lvl w:ilvl="8" w:tplc="FFFFFFFF">
      <w:numFmt w:val="bullet"/>
      <w:lvlText w:val="•"/>
      <w:lvlJc w:val="left"/>
      <w:pPr>
        <w:ind w:left="7714" w:hanging="339"/>
      </w:pPr>
      <w:rPr>
        <w:rFonts w:hint="default"/>
        <w:lang w:val="en-US" w:eastAsia="en-US" w:bidi="ar-SA"/>
      </w:rPr>
    </w:lvl>
  </w:abstractNum>
  <w:abstractNum w:abstractNumId="11" w15:restartNumberingAfterBreak="0">
    <w:nsid w:val="145A7901"/>
    <w:multiLevelType w:val="hybridMultilevel"/>
    <w:tmpl w:val="E76A5242"/>
    <w:lvl w:ilvl="0" w:tplc="441404E2">
      <w:start w:val="1"/>
      <w:numFmt w:val="lowerLetter"/>
      <w:lvlText w:val="%1)"/>
      <w:lvlJc w:val="left"/>
      <w:pPr>
        <w:ind w:left="943" w:hanging="360"/>
      </w:pPr>
      <w:rPr>
        <w:rFonts w:hint="default"/>
        <w:spacing w:val="-1"/>
        <w:w w:val="99"/>
        <w:lang w:val="en-US" w:eastAsia="en-US" w:bidi="ar-SA"/>
      </w:rPr>
    </w:lvl>
    <w:lvl w:ilvl="1" w:tplc="D21AE1D0">
      <w:numFmt w:val="bullet"/>
      <w:lvlText w:val="•"/>
      <w:lvlJc w:val="left"/>
      <w:pPr>
        <w:ind w:left="1820" w:hanging="360"/>
      </w:pPr>
      <w:rPr>
        <w:rFonts w:hint="default"/>
        <w:lang w:val="en-US" w:eastAsia="en-US" w:bidi="ar-SA"/>
      </w:rPr>
    </w:lvl>
    <w:lvl w:ilvl="2" w:tplc="885A68F2">
      <w:numFmt w:val="bullet"/>
      <w:lvlText w:val="•"/>
      <w:lvlJc w:val="left"/>
      <w:pPr>
        <w:ind w:left="2701" w:hanging="360"/>
      </w:pPr>
      <w:rPr>
        <w:rFonts w:hint="default"/>
        <w:lang w:val="en-US" w:eastAsia="en-US" w:bidi="ar-SA"/>
      </w:rPr>
    </w:lvl>
    <w:lvl w:ilvl="3" w:tplc="78EC8B76">
      <w:numFmt w:val="bullet"/>
      <w:lvlText w:val="•"/>
      <w:lvlJc w:val="left"/>
      <w:pPr>
        <w:ind w:left="3581" w:hanging="360"/>
      </w:pPr>
      <w:rPr>
        <w:rFonts w:hint="default"/>
        <w:lang w:val="en-US" w:eastAsia="en-US" w:bidi="ar-SA"/>
      </w:rPr>
    </w:lvl>
    <w:lvl w:ilvl="4" w:tplc="A0B24138">
      <w:numFmt w:val="bullet"/>
      <w:lvlText w:val="•"/>
      <w:lvlJc w:val="left"/>
      <w:pPr>
        <w:ind w:left="4462" w:hanging="360"/>
      </w:pPr>
      <w:rPr>
        <w:rFonts w:hint="default"/>
        <w:lang w:val="en-US" w:eastAsia="en-US" w:bidi="ar-SA"/>
      </w:rPr>
    </w:lvl>
    <w:lvl w:ilvl="5" w:tplc="57C46C14">
      <w:numFmt w:val="bullet"/>
      <w:lvlText w:val="•"/>
      <w:lvlJc w:val="left"/>
      <w:pPr>
        <w:ind w:left="5343" w:hanging="360"/>
      </w:pPr>
      <w:rPr>
        <w:rFonts w:hint="default"/>
        <w:lang w:val="en-US" w:eastAsia="en-US" w:bidi="ar-SA"/>
      </w:rPr>
    </w:lvl>
    <w:lvl w:ilvl="6" w:tplc="BA480F7C">
      <w:numFmt w:val="bullet"/>
      <w:lvlText w:val="•"/>
      <w:lvlJc w:val="left"/>
      <w:pPr>
        <w:ind w:left="6223" w:hanging="360"/>
      </w:pPr>
      <w:rPr>
        <w:rFonts w:hint="default"/>
        <w:lang w:val="en-US" w:eastAsia="en-US" w:bidi="ar-SA"/>
      </w:rPr>
    </w:lvl>
    <w:lvl w:ilvl="7" w:tplc="8786A136">
      <w:numFmt w:val="bullet"/>
      <w:lvlText w:val="•"/>
      <w:lvlJc w:val="left"/>
      <w:pPr>
        <w:ind w:left="7104" w:hanging="360"/>
      </w:pPr>
      <w:rPr>
        <w:rFonts w:hint="default"/>
        <w:lang w:val="en-US" w:eastAsia="en-US" w:bidi="ar-SA"/>
      </w:rPr>
    </w:lvl>
    <w:lvl w:ilvl="8" w:tplc="16E6B842">
      <w:numFmt w:val="bullet"/>
      <w:lvlText w:val="•"/>
      <w:lvlJc w:val="left"/>
      <w:pPr>
        <w:ind w:left="7985" w:hanging="360"/>
      </w:pPr>
      <w:rPr>
        <w:rFonts w:hint="default"/>
        <w:lang w:val="en-US" w:eastAsia="en-US" w:bidi="ar-SA"/>
      </w:rPr>
    </w:lvl>
  </w:abstractNum>
  <w:abstractNum w:abstractNumId="12" w15:restartNumberingAfterBreak="0">
    <w:nsid w:val="177A4AEA"/>
    <w:multiLevelType w:val="hybridMultilevel"/>
    <w:tmpl w:val="4B50BF46"/>
    <w:lvl w:ilvl="0" w:tplc="5AD889DE">
      <w:start w:val="1"/>
      <w:numFmt w:val="lowerRoman"/>
      <w:lvlText w:val="%1)"/>
      <w:lvlJc w:val="left"/>
      <w:pPr>
        <w:ind w:left="2066" w:hanging="425"/>
      </w:pPr>
      <w:rPr>
        <w:rFonts w:ascii="Arial" w:eastAsia="Arial" w:hAnsi="Arial" w:cs="Arial" w:hint="default"/>
        <w:b/>
        <w:bCs/>
        <w:i/>
        <w:iCs/>
        <w:color w:val="231F20"/>
        <w:spacing w:val="-9"/>
        <w:w w:val="97"/>
        <w:sz w:val="20"/>
        <w:szCs w:val="20"/>
        <w:lang w:val="en-US" w:eastAsia="en-US" w:bidi="ar-SA"/>
      </w:rPr>
    </w:lvl>
    <w:lvl w:ilvl="1" w:tplc="B2807C84">
      <w:numFmt w:val="bullet"/>
      <w:lvlText w:val="•"/>
      <w:lvlJc w:val="left"/>
      <w:pPr>
        <w:ind w:left="2828" w:hanging="425"/>
      </w:pPr>
      <w:rPr>
        <w:rFonts w:hint="default"/>
        <w:lang w:val="en-US" w:eastAsia="en-US" w:bidi="ar-SA"/>
      </w:rPr>
    </w:lvl>
    <w:lvl w:ilvl="2" w:tplc="548CF118">
      <w:numFmt w:val="bullet"/>
      <w:lvlText w:val="•"/>
      <w:lvlJc w:val="left"/>
      <w:pPr>
        <w:ind w:left="3597" w:hanging="425"/>
      </w:pPr>
      <w:rPr>
        <w:rFonts w:hint="default"/>
        <w:lang w:val="en-US" w:eastAsia="en-US" w:bidi="ar-SA"/>
      </w:rPr>
    </w:lvl>
    <w:lvl w:ilvl="3" w:tplc="ED2C326E">
      <w:numFmt w:val="bullet"/>
      <w:lvlText w:val="•"/>
      <w:lvlJc w:val="left"/>
      <w:pPr>
        <w:ind w:left="4365" w:hanging="425"/>
      </w:pPr>
      <w:rPr>
        <w:rFonts w:hint="default"/>
        <w:lang w:val="en-US" w:eastAsia="en-US" w:bidi="ar-SA"/>
      </w:rPr>
    </w:lvl>
    <w:lvl w:ilvl="4" w:tplc="045EE35A">
      <w:numFmt w:val="bullet"/>
      <w:lvlText w:val="•"/>
      <w:lvlJc w:val="left"/>
      <w:pPr>
        <w:ind w:left="5134" w:hanging="425"/>
      </w:pPr>
      <w:rPr>
        <w:rFonts w:hint="default"/>
        <w:lang w:val="en-US" w:eastAsia="en-US" w:bidi="ar-SA"/>
      </w:rPr>
    </w:lvl>
    <w:lvl w:ilvl="5" w:tplc="830A9FD6">
      <w:numFmt w:val="bullet"/>
      <w:lvlText w:val="•"/>
      <w:lvlJc w:val="left"/>
      <w:pPr>
        <w:ind w:left="5903" w:hanging="425"/>
      </w:pPr>
      <w:rPr>
        <w:rFonts w:hint="default"/>
        <w:lang w:val="en-US" w:eastAsia="en-US" w:bidi="ar-SA"/>
      </w:rPr>
    </w:lvl>
    <w:lvl w:ilvl="6" w:tplc="6DB64CF4">
      <w:numFmt w:val="bullet"/>
      <w:lvlText w:val="•"/>
      <w:lvlJc w:val="left"/>
      <w:pPr>
        <w:ind w:left="6671" w:hanging="425"/>
      </w:pPr>
      <w:rPr>
        <w:rFonts w:hint="default"/>
        <w:lang w:val="en-US" w:eastAsia="en-US" w:bidi="ar-SA"/>
      </w:rPr>
    </w:lvl>
    <w:lvl w:ilvl="7" w:tplc="C3A66E76">
      <w:numFmt w:val="bullet"/>
      <w:lvlText w:val="•"/>
      <w:lvlJc w:val="left"/>
      <w:pPr>
        <w:ind w:left="7440" w:hanging="425"/>
      </w:pPr>
      <w:rPr>
        <w:rFonts w:hint="default"/>
        <w:lang w:val="en-US" w:eastAsia="en-US" w:bidi="ar-SA"/>
      </w:rPr>
    </w:lvl>
    <w:lvl w:ilvl="8" w:tplc="08248D28">
      <w:numFmt w:val="bullet"/>
      <w:lvlText w:val="•"/>
      <w:lvlJc w:val="left"/>
      <w:pPr>
        <w:ind w:left="8209" w:hanging="425"/>
      </w:pPr>
      <w:rPr>
        <w:rFonts w:hint="default"/>
        <w:lang w:val="en-US" w:eastAsia="en-US" w:bidi="ar-SA"/>
      </w:rPr>
    </w:lvl>
  </w:abstractNum>
  <w:abstractNum w:abstractNumId="13" w15:restartNumberingAfterBreak="0">
    <w:nsid w:val="1D35313E"/>
    <w:multiLevelType w:val="hybridMultilevel"/>
    <w:tmpl w:val="CC5A2302"/>
    <w:lvl w:ilvl="0" w:tplc="65946196">
      <w:start w:val="1"/>
      <w:numFmt w:val="lowerLetter"/>
      <w:lvlText w:val="%1)"/>
      <w:lvlJc w:val="left"/>
      <w:pPr>
        <w:ind w:left="943" w:hanging="360"/>
      </w:pPr>
      <w:rPr>
        <w:rFonts w:hint="default"/>
        <w:spacing w:val="-1"/>
        <w:w w:val="99"/>
        <w:lang w:val="en-US" w:eastAsia="en-US" w:bidi="ar-SA"/>
      </w:rPr>
    </w:lvl>
    <w:lvl w:ilvl="1" w:tplc="525618DC">
      <w:numFmt w:val="bullet"/>
      <w:lvlText w:val="•"/>
      <w:lvlJc w:val="left"/>
      <w:pPr>
        <w:ind w:left="1820" w:hanging="360"/>
      </w:pPr>
      <w:rPr>
        <w:rFonts w:hint="default"/>
        <w:lang w:val="en-US" w:eastAsia="en-US" w:bidi="ar-SA"/>
      </w:rPr>
    </w:lvl>
    <w:lvl w:ilvl="2" w:tplc="088057AC">
      <w:numFmt w:val="bullet"/>
      <w:lvlText w:val="•"/>
      <w:lvlJc w:val="left"/>
      <w:pPr>
        <w:ind w:left="2701" w:hanging="360"/>
      </w:pPr>
      <w:rPr>
        <w:rFonts w:hint="default"/>
        <w:lang w:val="en-US" w:eastAsia="en-US" w:bidi="ar-SA"/>
      </w:rPr>
    </w:lvl>
    <w:lvl w:ilvl="3" w:tplc="E7DC74D2">
      <w:numFmt w:val="bullet"/>
      <w:lvlText w:val="•"/>
      <w:lvlJc w:val="left"/>
      <w:pPr>
        <w:ind w:left="3581" w:hanging="360"/>
      </w:pPr>
      <w:rPr>
        <w:rFonts w:hint="default"/>
        <w:lang w:val="en-US" w:eastAsia="en-US" w:bidi="ar-SA"/>
      </w:rPr>
    </w:lvl>
    <w:lvl w:ilvl="4" w:tplc="2E224F90">
      <w:numFmt w:val="bullet"/>
      <w:lvlText w:val="•"/>
      <w:lvlJc w:val="left"/>
      <w:pPr>
        <w:ind w:left="4462" w:hanging="360"/>
      </w:pPr>
      <w:rPr>
        <w:rFonts w:hint="default"/>
        <w:lang w:val="en-US" w:eastAsia="en-US" w:bidi="ar-SA"/>
      </w:rPr>
    </w:lvl>
    <w:lvl w:ilvl="5" w:tplc="A86264C8">
      <w:numFmt w:val="bullet"/>
      <w:lvlText w:val="•"/>
      <w:lvlJc w:val="left"/>
      <w:pPr>
        <w:ind w:left="5343" w:hanging="360"/>
      </w:pPr>
      <w:rPr>
        <w:rFonts w:hint="default"/>
        <w:lang w:val="en-US" w:eastAsia="en-US" w:bidi="ar-SA"/>
      </w:rPr>
    </w:lvl>
    <w:lvl w:ilvl="6" w:tplc="B936DA58">
      <w:numFmt w:val="bullet"/>
      <w:lvlText w:val="•"/>
      <w:lvlJc w:val="left"/>
      <w:pPr>
        <w:ind w:left="6223" w:hanging="360"/>
      </w:pPr>
      <w:rPr>
        <w:rFonts w:hint="default"/>
        <w:lang w:val="en-US" w:eastAsia="en-US" w:bidi="ar-SA"/>
      </w:rPr>
    </w:lvl>
    <w:lvl w:ilvl="7" w:tplc="E146D660">
      <w:numFmt w:val="bullet"/>
      <w:lvlText w:val="•"/>
      <w:lvlJc w:val="left"/>
      <w:pPr>
        <w:ind w:left="7104" w:hanging="360"/>
      </w:pPr>
      <w:rPr>
        <w:rFonts w:hint="default"/>
        <w:lang w:val="en-US" w:eastAsia="en-US" w:bidi="ar-SA"/>
      </w:rPr>
    </w:lvl>
    <w:lvl w:ilvl="8" w:tplc="A3604862">
      <w:numFmt w:val="bullet"/>
      <w:lvlText w:val="•"/>
      <w:lvlJc w:val="left"/>
      <w:pPr>
        <w:ind w:left="7985" w:hanging="360"/>
      </w:pPr>
      <w:rPr>
        <w:rFonts w:hint="default"/>
        <w:lang w:val="en-US" w:eastAsia="en-US" w:bidi="ar-SA"/>
      </w:rPr>
    </w:lvl>
  </w:abstractNum>
  <w:abstractNum w:abstractNumId="14" w15:restartNumberingAfterBreak="0">
    <w:nsid w:val="1DC66770"/>
    <w:multiLevelType w:val="hybridMultilevel"/>
    <w:tmpl w:val="FE84A9EE"/>
    <w:lvl w:ilvl="0" w:tplc="8766F5CC">
      <w:start w:val="1"/>
      <w:numFmt w:val="lowerLetter"/>
      <w:lvlText w:val="%1)"/>
      <w:lvlJc w:val="left"/>
      <w:pPr>
        <w:ind w:left="943" w:hanging="360"/>
      </w:pPr>
      <w:rPr>
        <w:rFonts w:hint="default"/>
        <w:spacing w:val="-1"/>
        <w:w w:val="99"/>
        <w:lang w:val="en-US" w:eastAsia="en-US" w:bidi="ar-SA"/>
      </w:rPr>
    </w:lvl>
    <w:lvl w:ilvl="1" w:tplc="144E537C">
      <w:numFmt w:val="bullet"/>
      <w:lvlText w:val="•"/>
      <w:lvlJc w:val="left"/>
      <w:pPr>
        <w:ind w:left="1820" w:hanging="360"/>
      </w:pPr>
      <w:rPr>
        <w:rFonts w:hint="default"/>
        <w:lang w:val="en-US" w:eastAsia="en-US" w:bidi="ar-SA"/>
      </w:rPr>
    </w:lvl>
    <w:lvl w:ilvl="2" w:tplc="38F0B676">
      <w:numFmt w:val="bullet"/>
      <w:lvlText w:val="•"/>
      <w:lvlJc w:val="left"/>
      <w:pPr>
        <w:ind w:left="2701" w:hanging="360"/>
      </w:pPr>
      <w:rPr>
        <w:rFonts w:hint="default"/>
        <w:lang w:val="en-US" w:eastAsia="en-US" w:bidi="ar-SA"/>
      </w:rPr>
    </w:lvl>
    <w:lvl w:ilvl="3" w:tplc="471A066E">
      <w:numFmt w:val="bullet"/>
      <w:lvlText w:val="•"/>
      <w:lvlJc w:val="left"/>
      <w:pPr>
        <w:ind w:left="3581" w:hanging="360"/>
      </w:pPr>
      <w:rPr>
        <w:rFonts w:hint="default"/>
        <w:lang w:val="en-US" w:eastAsia="en-US" w:bidi="ar-SA"/>
      </w:rPr>
    </w:lvl>
    <w:lvl w:ilvl="4" w:tplc="2274321A">
      <w:numFmt w:val="bullet"/>
      <w:lvlText w:val="•"/>
      <w:lvlJc w:val="left"/>
      <w:pPr>
        <w:ind w:left="4462" w:hanging="360"/>
      </w:pPr>
      <w:rPr>
        <w:rFonts w:hint="default"/>
        <w:lang w:val="en-US" w:eastAsia="en-US" w:bidi="ar-SA"/>
      </w:rPr>
    </w:lvl>
    <w:lvl w:ilvl="5" w:tplc="82628350">
      <w:numFmt w:val="bullet"/>
      <w:lvlText w:val="•"/>
      <w:lvlJc w:val="left"/>
      <w:pPr>
        <w:ind w:left="5343" w:hanging="360"/>
      </w:pPr>
      <w:rPr>
        <w:rFonts w:hint="default"/>
        <w:lang w:val="en-US" w:eastAsia="en-US" w:bidi="ar-SA"/>
      </w:rPr>
    </w:lvl>
    <w:lvl w:ilvl="6" w:tplc="F4168E00">
      <w:numFmt w:val="bullet"/>
      <w:lvlText w:val="•"/>
      <w:lvlJc w:val="left"/>
      <w:pPr>
        <w:ind w:left="6223" w:hanging="360"/>
      </w:pPr>
      <w:rPr>
        <w:rFonts w:hint="default"/>
        <w:lang w:val="en-US" w:eastAsia="en-US" w:bidi="ar-SA"/>
      </w:rPr>
    </w:lvl>
    <w:lvl w:ilvl="7" w:tplc="0C207580">
      <w:numFmt w:val="bullet"/>
      <w:lvlText w:val="•"/>
      <w:lvlJc w:val="left"/>
      <w:pPr>
        <w:ind w:left="7104" w:hanging="360"/>
      </w:pPr>
      <w:rPr>
        <w:rFonts w:hint="default"/>
        <w:lang w:val="en-US" w:eastAsia="en-US" w:bidi="ar-SA"/>
      </w:rPr>
    </w:lvl>
    <w:lvl w:ilvl="8" w:tplc="0F86C4C2">
      <w:numFmt w:val="bullet"/>
      <w:lvlText w:val="•"/>
      <w:lvlJc w:val="left"/>
      <w:pPr>
        <w:ind w:left="7985" w:hanging="360"/>
      </w:pPr>
      <w:rPr>
        <w:rFonts w:hint="default"/>
        <w:lang w:val="en-US" w:eastAsia="en-US" w:bidi="ar-SA"/>
      </w:rPr>
    </w:lvl>
  </w:abstractNum>
  <w:abstractNum w:abstractNumId="15" w15:restartNumberingAfterBreak="0">
    <w:nsid w:val="1DD078BF"/>
    <w:multiLevelType w:val="hybridMultilevel"/>
    <w:tmpl w:val="278C9118"/>
    <w:lvl w:ilvl="0" w:tplc="B8CCFFDE">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793C5FFE">
      <w:numFmt w:val="bullet"/>
      <w:lvlText w:val="•"/>
      <w:lvlJc w:val="left"/>
      <w:pPr>
        <w:ind w:left="2432" w:hanging="339"/>
      </w:pPr>
      <w:rPr>
        <w:rFonts w:hint="default"/>
        <w:lang w:val="en-US" w:eastAsia="en-US" w:bidi="ar-SA"/>
      </w:rPr>
    </w:lvl>
    <w:lvl w:ilvl="2" w:tplc="0A12AC46">
      <w:numFmt w:val="bullet"/>
      <w:lvlText w:val="•"/>
      <w:lvlJc w:val="left"/>
      <w:pPr>
        <w:ind w:left="3245" w:hanging="339"/>
      </w:pPr>
      <w:rPr>
        <w:rFonts w:hint="default"/>
        <w:lang w:val="en-US" w:eastAsia="en-US" w:bidi="ar-SA"/>
      </w:rPr>
    </w:lvl>
    <w:lvl w:ilvl="3" w:tplc="A3AC9A68">
      <w:numFmt w:val="bullet"/>
      <w:lvlText w:val="•"/>
      <w:lvlJc w:val="left"/>
      <w:pPr>
        <w:ind w:left="4057" w:hanging="339"/>
      </w:pPr>
      <w:rPr>
        <w:rFonts w:hint="default"/>
        <w:lang w:val="en-US" w:eastAsia="en-US" w:bidi="ar-SA"/>
      </w:rPr>
    </w:lvl>
    <w:lvl w:ilvl="4" w:tplc="0CC8B228">
      <w:numFmt w:val="bullet"/>
      <w:lvlText w:val="•"/>
      <w:lvlJc w:val="left"/>
      <w:pPr>
        <w:ind w:left="4870" w:hanging="339"/>
      </w:pPr>
      <w:rPr>
        <w:rFonts w:hint="default"/>
        <w:lang w:val="en-US" w:eastAsia="en-US" w:bidi="ar-SA"/>
      </w:rPr>
    </w:lvl>
    <w:lvl w:ilvl="5" w:tplc="2D406B62">
      <w:numFmt w:val="bullet"/>
      <w:lvlText w:val="•"/>
      <w:lvlJc w:val="left"/>
      <w:pPr>
        <w:ind w:left="5683" w:hanging="339"/>
      </w:pPr>
      <w:rPr>
        <w:rFonts w:hint="default"/>
        <w:lang w:val="en-US" w:eastAsia="en-US" w:bidi="ar-SA"/>
      </w:rPr>
    </w:lvl>
    <w:lvl w:ilvl="6" w:tplc="2424DB00">
      <w:numFmt w:val="bullet"/>
      <w:lvlText w:val="•"/>
      <w:lvlJc w:val="left"/>
      <w:pPr>
        <w:ind w:left="6495" w:hanging="339"/>
      </w:pPr>
      <w:rPr>
        <w:rFonts w:hint="default"/>
        <w:lang w:val="en-US" w:eastAsia="en-US" w:bidi="ar-SA"/>
      </w:rPr>
    </w:lvl>
    <w:lvl w:ilvl="7" w:tplc="37A89226">
      <w:numFmt w:val="bullet"/>
      <w:lvlText w:val="•"/>
      <w:lvlJc w:val="left"/>
      <w:pPr>
        <w:ind w:left="7308" w:hanging="339"/>
      </w:pPr>
      <w:rPr>
        <w:rFonts w:hint="default"/>
        <w:lang w:val="en-US" w:eastAsia="en-US" w:bidi="ar-SA"/>
      </w:rPr>
    </w:lvl>
    <w:lvl w:ilvl="8" w:tplc="68B098A4">
      <w:numFmt w:val="bullet"/>
      <w:lvlText w:val="•"/>
      <w:lvlJc w:val="left"/>
      <w:pPr>
        <w:ind w:left="8121" w:hanging="339"/>
      </w:pPr>
      <w:rPr>
        <w:rFonts w:hint="default"/>
        <w:lang w:val="en-US" w:eastAsia="en-US" w:bidi="ar-SA"/>
      </w:rPr>
    </w:lvl>
  </w:abstractNum>
  <w:abstractNum w:abstractNumId="16" w15:restartNumberingAfterBreak="0">
    <w:nsid w:val="209A6F71"/>
    <w:multiLevelType w:val="hybridMultilevel"/>
    <w:tmpl w:val="3E06DE24"/>
    <w:lvl w:ilvl="0" w:tplc="AE48AFA6">
      <w:start w:val="1"/>
      <w:numFmt w:val="lowerLetter"/>
      <w:lvlText w:val="%1)"/>
      <w:lvlJc w:val="left"/>
      <w:pPr>
        <w:ind w:left="943" w:hanging="360"/>
      </w:pPr>
      <w:rPr>
        <w:rFonts w:ascii="Arial" w:eastAsia="Arial" w:hAnsi="Arial" w:cs="Arial" w:hint="default"/>
        <w:b w:val="0"/>
        <w:bCs w:val="0"/>
        <w:i w:val="0"/>
        <w:iCs w:val="0"/>
        <w:color w:val="231F20"/>
        <w:spacing w:val="-1"/>
        <w:w w:val="99"/>
        <w:sz w:val="20"/>
        <w:szCs w:val="20"/>
        <w:lang w:val="en-US" w:eastAsia="en-US" w:bidi="ar-SA"/>
      </w:rPr>
    </w:lvl>
    <w:lvl w:ilvl="1" w:tplc="F4D09784">
      <w:numFmt w:val="bullet"/>
      <w:lvlText w:val="•"/>
      <w:lvlJc w:val="left"/>
      <w:pPr>
        <w:ind w:left="1820" w:hanging="360"/>
      </w:pPr>
      <w:rPr>
        <w:rFonts w:hint="default"/>
        <w:lang w:val="en-US" w:eastAsia="en-US" w:bidi="ar-SA"/>
      </w:rPr>
    </w:lvl>
    <w:lvl w:ilvl="2" w:tplc="3148E21C">
      <w:numFmt w:val="bullet"/>
      <w:lvlText w:val="•"/>
      <w:lvlJc w:val="left"/>
      <w:pPr>
        <w:ind w:left="2701" w:hanging="360"/>
      </w:pPr>
      <w:rPr>
        <w:rFonts w:hint="default"/>
        <w:lang w:val="en-US" w:eastAsia="en-US" w:bidi="ar-SA"/>
      </w:rPr>
    </w:lvl>
    <w:lvl w:ilvl="3" w:tplc="E08605C6">
      <w:numFmt w:val="bullet"/>
      <w:lvlText w:val="•"/>
      <w:lvlJc w:val="left"/>
      <w:pPr>
        <w:ind w:left="3581" w:hanging="360"/>
      </w:pPr>
      <w:rPr>
        <w:rFonts w:hint="default"/>
        <w:lang w:val="en-US" w:eastAsia="en-US" w:bidi="ar-SA"/>
      </w:rPr>
    </w:lvl>
    <w:lvl w:ilvl="4" w:tplc="E58E3978">
      <w:numFmt w:val="bullet"/>
      <w:lvlText w:val="•"/>
      <w:lvlJc w:val="left"/>
      <w:pPr>
        <w:ind w:left="4462" w:hanging="360"/>
      </w:pPr>
      <w:rPr>
        <w:rFonts w:hint="default"/>
        <w:lang w:val="en-US" w:eastAsia="en-US" w:bidi="ar-SA"/>
      </w:rPr>
    </w:lvl>
    <w:lvl w:ilvl="5" w:tplc="31D0596C">
      <w:numFmt w:val="bullet"/>
      <w:lvlText w:val="•"/>
      <w:lvlJc w:val="left"/>
      <w:pPr>
        <w:ind w:left="5343" w:hanging="360"/>
      </w:pPr>
      <w:rPr>
        <w:rFonts w:hint="default"/>
        <w:lang w:val="en-US" w:eastAsia="en-US" w:bidi="ar-SA"/>
      </w:rPr>
    </w:lvl>
    <w:lvl w:ilvl="6" w:tplc="03AC5DAC">
      <w:numFmt w:val="bullet"/>
      <w:lvlText w:val="•"/>
      <w:lvlJc w:val="left"/>
      <w:pPr>
        <w:ind w:left="6223" w:hanging="360"/>
      </w:pPr>
      <w:rPr>
        <w:rFonts w:hint="default"/>
        <w:lang w:val="en-US" w:eastAsia="en-US" w:bidi="ar-SA"/>
      </w:rPr>
    </w:lvl>
    <w:lvl w:ilvl="7" w:tplc="EE1AEE94">
      <w:numFmt w:val="bullet"/>
      <w:lvlText w:val="•"/>
      <w:lvlJc w:val="left"/>
      <w:pPr>
        <w:ind w:left="7104" w:hanging="360"/>
      </w:pPr>
      <w:rPr>
        <w:rFonts w:hint="default"/>
        <w:lang w:val="en-US" w:eastAsia="en-US" w:bidi="ar-SA"/>
      </w:rPr>
    </w:lvl>
    <w:lvl w:ilvl="8" w:tplc="67A6BC96">
      <w:numFmt w:val="bullet"/>
      <w:lvlText w:val="•"/>
      <w:lvlJc w:val="left"/>
      <w:pPr>
        <w:ind w:left="7985" w:hanging="360"/>
      </w:pPr>
      <w:rPr>
        <w:rFonts w:hint="default"/>
        <w:lang w:val="en-US" w:eastAsia="en-US" w:bidi="ar-SA"/>
      </w:rPr>
    </w:lvl>
  </w:abstractNum>
  <w:abstractNum w:abstractNumId="17" w15:restartNumberingAfterBreak="0">
    <w:nsid w:val="239E16D3"/>
    <w:multiLevelType w:val="hybridMultilevel"/>
    <w:tmpl w:val="C6BCBD20"/>
    <w:lvl w:ilvl="0" w:tplc="09F43F0E">
      <w:start w:val="1"/>
      <w:numFmt w:val="upp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49546EC4">
      <w:start w:val="1"/>
      <w:numFmt w:val="decimal"/>
      <w:lvlText w:val="%2."/>
      <w:lvlJc w:val="left"/>
      <w:pPr>
        <w:ind w:left="1886" w:hanging="360"/>
      </w:pPr>
      <w:rPr>
        <w:rFonts w:ascii="Arial" w:eastAsia="Arial" w:hAnsi="Arial" w:cs="Arial" w:hint="default"/>
        <w:b w:val="0"/>
        <w:bCs w:val="0"/>
        <w:i w:val="0"/>
        <w:iCs w:val="0"/>
        <w:spacing w:val="-1"/>
        <w:w w:val="99"/>
        <w:sz w:val="20"/>
        <w:szCs w:val="20"/>
        <w:lang w:val="en-US" w:eastAsia="en-US" w:bidi="ar-SA"/>
      </w:rPr>
    </w:lvl>
    <w:lvl w:ilvl="2" w:tplc="EFB8EBC2">
      <w:start w:val="1"/>
      <w:numFmt w:val="lowerLetter"/>
      <w:lvlText w:val="%3)"/>
      <w:lvlJc w:val="left"/>
      <w:pPr>
        <w:ind w:left="2242" w:hanging="358"/>
      </w:pPr>
      <w:rPr>
        <w:rFonts w:hint="default"/>
        <w:spacing w:val="-1"/>
        <w:w w:val="99"/>
        <w:lang w:val="en-US" w:eastAsia="en-US" w:bidi="ar-SA"/>
      </w:rPr>
    </w:lvl>
    <w:lvl w:ilvl="3" w:tplc="FBEE61DA">
      <w:numFmt w:val="bullet"/>
      <w:lvlText w:val="•"/>
      <w:lvlJc w:val="left"/>
      <w:pPr>
        <w:ind w:left="3178" w:hanging="358"/>
      </w:pPr>
      <w:rPr>
        <w:rFonts w:hint="default"/>
        <w:lang w:val="en-US" w:eastAsia="en-US" w:bidi="ar-SA"/>
      </w:rPr>
    </w:lvl>
    <w:lvl w:ilvl="4" w:tplc="79A07D72">
      <w:numFmt w:val="bullet"/>
      <w:lvlText w:val="•"/>
      <w:lvlJc w:val="left"/>
      <w:pPr>
        <w:ind w:left="4116" w:hanging="358"/>
      </w:pPr>
      <w:rPr>
        <w:rFonts w:hint="default"/>
        <w:lang w:val="en-US" w:eastAsia="en-US" w:bidi="ar-SA"/>
      </w:rPr>
    </w:lvl>
    <w:lvl w:ilvl="5" w:tplc="ED846508">
      <w:numFmt w:val="bullet"/>
      <w:lvlText w:val="•"/>
      <w:lvlJc w:val="left"/>
      <w:pPr>
        <w:ind w:left="5054" w:hanging="358"/>
      </w:pPr>
      <w:rPr>
        <w:rFonts w:hint="default"/>
        <w:lang w:val="en-US" w:eastAsia="en-US" w:bidi="ar-SA"/>
      </w:rPr>
    </w:lvl>
    <w:lvl w:ilvl="6" w:tplc="534E36D6">
      <w:numFmt w:val="bullet"/>
      <w:lvlText w:val="•"/>
      <w:lvlJc w:val="left"/>
      <w:pPr>
        <w:ind w:left="5993" w:hanging="358"/>
      </w:pPr>
      <w:rPr>
        <w:rFonts w:hint="default"/>
        <w:lang w:val="en-US" w:eastAsia="en-US" w:bidi="ar-SA"/>
      </w:rPr>
    </w:lvl>
    <w:lvl w:ilvl="7" w:tplc="1DFEF004">
      <w:numFmt w:val="bullet"/>
      <w:lvlText w:val="•"/>
      <w:lvlJc w:val="left"/>
      <w:pPr>
        <w:ind w:left="6931" w:hanging="358"/>
      </w:pPr>
      <w:rPr>
        <w:rFonts w:hint="default"/>
        <w:lang w:val="en-US" w:eastAsia="en-US" w:bidi="ar-SA"/>
      </w:rPr>
    </w:lvl>
    <w:lvl w:ilvl="8" w:tplc="6AF82468">
      <w:numFmt w:val="bullet"/>
      <w:lvlText w:val="•"/>
      <w:lvlJc w:val="left"/>
      <w:pPr>
        <w:ind w:left="7869" w:hanging="358"/>
      </w:pPr>
      <w:rPr>
        <w:rFonts w:hint="default"/>
        <w:lang w:val="en-US" w:eastAsia="en-US" w:bidi="ar-SA"/>
      </w:rPr>
    </w:lvl>
  </w:abstractNum>
  <w:abstractNum w:abstractNumId="18" w15:restartNumberingAfterBreak="0">
    <w:nsid w:val="27A51E95"/>
    <w:multiLevelType w:val="hybridMultilevel"/>
    <w:tmpl w:val="E2EC398A"/>
    <w:lvl w:ilvl="0" w:tplc="CA40B688">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362EDB0C">
      <w:numFmt w:val="bullet"/>
      <w:lvlText w:val="•"/>
      <w:lvlJc w:val="left"/>
      <w:pPr>
        <w:ind w:left="2432" w:hanging="339"/>
      </w:pPr>
      <w:rPr>
        <w:rFonts w:hint="default"/>
        <w:lang w:val="en-US" w:eastAsia="en-US" w:bidi="ar-SA"/>
      </w:rPr>
    </w:lvl>
    <w:lvl w:ilvl="2" w:tplc="00B0A368">
      <w:numFmt w:val="bullet"/>
      <w:lvlText w:val="•"/>
      <w:lvlJc w:val="left"/>
      <w:pPr>
        <w:ind w:left="3245" w:hanging="339"/>
      </w:pPr>
      <w:rPr>
        <w:rFonts w:hint="default"/>
        <w:lang w:val="en-US" w:eastAsia="en-US" w:bidi="ar-SA"/>
      </w:rPr>
    </w:lvl>
    <w:lvl w:ilvl="3" w:tplc="4190B608">
      <w:numFmt w:val="bullet"/>
      <w:lvlText w:val="•"/>
      <w:lvlJc w:val="left"/>
      <w:pPr>
        <w:ind w:left="4057" w:hanging="339"/>
      </w:pPr>
      <w:rPr>
        <w:rFonts w:hint="default"/>
        <w:lang w:val="en-US" w:eastAsia="en-US" w:bidi="ar-SA"/>
      </w:rPr>
    </w:lvl>
    <w:lvl w:ilvl="4" w:tplc="C95EABB4">
      <w:numFmt w:val="bullet"/>
      <w:lvlText w:val="•"/>
      <w:lvlJc w:val="left"/>
      <w:pPr>
        <w:ind w:left="4870" w:hanging="339"/>
      </w:pPr>
      <w:rPr>
        <w:rFonts w:hint="default"/>
        <w:lang w:val="en-US" w:eastAsia="en-US" w:bidi="ar-SA"/>
      </w:rPr>
    </w:lvl>
    <w:lvl w:ilvl="5" w:tplc="B5F63168">
      <w:numFmt w:val="bullet"/>
      <w:lvlText w:val="•"/>
      <w:lvlJc w:val="left"/>
      <w:pPr>
        <w:ind w:left="5683" w:hanging="339"/>
      </w:pPr>
      <w:rPr>
        <w:rFonts w:hint="default"/>
        <w:lang w:val="en-US" w:eastAsia="en-US" w:bidi="ar-SA"/>
      </w:rPr>
    </w:lvl>
    <w:lvl w:ilvl="6" w:tplc="C43CD6EC">
      <w:numFmt w:val="bullet"/>
      <w:lvlText w:val="•"/>
      <w:lvlJc w:val="left"/>
      <w:pPr>
        <w:ind w:left="6495" w:hanging="339"/>
      </w:pPr>
      <w:rPr>
        <w:rFonts w:hint="default"/>
        <w:lang w:val="en-US" w:eastAsia="en-US" w:bidi="ar-SA"/>
      </w:rPr>
    </w:lvl>
    <w:lvl w:ilvl="7" w:tplc="C07A8B7A">
      <w:numFmt w:val="bullet"/>
      <w:lvlText w:val="•"/>
      <w:lvlJc w:val="left"/>
      <w:pPr>
        <w:ind w:left="7308" w:hanging="339"/>
      </w:pPr>
      <w:rPr>
        <w:rFonts w:hint="default"/>
        <w:lang w:val="en-US" w:eastAsia="en-US" w:bidi="ar-SA"/>
      </w:rPr>
    </w:lvl>
    <w:lvl w:ilvl="8" w:tplc="4704E49E">
      <w:numFmt w:val="bullet"/>
      <w:lvlText w:val="•"/>
      <w:lvlJc w:val="left"/>
      <w:pPr>
        <w:ind w:left="8121" w:hanging="339"/>
      </w:pPr>
      <w:rPr>
        <w:rFonts w:hint="default"/>
        <w:lang w:val="en-US" w:eastAsia="en-US" w:bidi="ar-SA"/>
      </w:rPr>
    </w:lvl>
  </w:abstractNum>
  <w:abstractNum w:abstractNumId="19" w15:restartNumberingAfterBreak="0">
    <w:nsid w:val="28DE19A5"/>
    <w:multiLevelType w:val="hybridMultilevel"/>
    <w:tmpl w:val="28D606EA"/>
    <w:lvl w:ilvl="0" w:tplc="7BECA612">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74FA09EC">
      <w:numFmt w:val="bullet"/>
      <w:lvlText w:val="•"/>
      <w:lvlJc w:val="left"/>
      <w:pPr>
        <w:ind w:left="2432" w:hanging="339"/>
      </w:pPr>
      <w:rPr>
        <w:rFonts w:hint="default"/>
        <w:lang w:val="en-US" w:eastAsia="en-US" w:bidi="ar-SA"/>
      </w:rPr>
    </w:lvl>
    <w:lvl w:ilvl="2" w:tplc="1B1E8E5A">
      <w:numFmt w:val="bullet"/>
      <w:lvlText w:val="•"/>
      <w:lvlJc w:val="left"/>
      <w:pPr>
        <w:ind w:left="3245" w:hanging="339"/>
      </w:pPr>
      <w:rPr>
        <w:rFonts w:hint="default"/>
        <w:lang w:val="en-US" w:eastAsia="en-US" w:bidi="ar-SA"/>
      </w:rPr>
    </w:lvl>
    <w:lvl w:ilvl="3" w:tplc="983E2C38">
      <w:numFmt w:val="bullet"/>
      <w:lvlText w:val="•"/>
      <w:lvlJc w:val="left"/>
      <w:pPr>
        <w:ind w:left="4057" w:hanging="339"/>
      </w:pPr>
      <w:rPr>
        <w:rFonts w:hint="default"/>
        <w:lang w:val="en-US" w:eastAsia="en-US" w:bidi="ar-SA"/>
      </w:rPr>
    </w:lvl>
    <w:lvl w:ilvl="4" w:tplc="EC10B6AA">
      <w:numFmt w:val="bullet"/>
      <w:lvlText w:val="•"/>
      <w:lvlJc w:val="left"/>
      <w:pPr>
        <w:ind w:left="4870" w:hanging="339"/>
      </w:pPr>
      <w:rPr>
        <w:rFonts w:hint="default"/>
        <w:lang w:val="en-US" w:eastAsia="en-US" w:bidi="ar-SA"/>
      </w:rPr>
    </w:lvl>
    <w:lvl w:ilvl="5" w:tplc="0B2272F4">
      <w:numFmt w:val="bullet"/>
      <w:lvlText w:val="•"/>
      <w:lvlJc w:val="left"/>
      <w:pPr>
        <w:ind w:left="5683" w:hanging="339"/>
      </w:pPr>
      <w:rPr>
        <w:rFonts w:hint="default"/>
        <w:lang w:val="en-US" w:eastAsia="en-US" w:bidi="ar-SA"/>
      </w:rPr>
    </w:lvl>
    <w:lvl w:ilvl="6" w:tplc="6D3054F8">
      <w:numFmt w:val="bullet"/>
      <w:lvlText w:val="•"/>
      <w:lvlJc w:val="left"/>
      <w:pPr>
        <w:ind w:left="6495" w:hanging="339"/>
      </w:pPr>
      <w:rPr>
        <w:rFonts w:hint="default"/>
        <w:lang w:val="en-US" w:eastAsia="en-US" w:bidi="ar-SA"/>
      </w:rPr>
    </w:lvl>
    <w:lvl w:ilvl="7" w:tplc="05C81E84">
      <w:numFmt w:val="bullet"/>
      <w:lvlText w:val="•"/>
      <w:lvlJc w:val="left"/>
      <w:pPr>
        <w:ind w:left="7308" w:hanging="339"/>
      </w:pPr>
      <w:rPr>
        <w:rFonts w:hint="default"/>
        <w:lang w:val="en-US" w:eastAsia="en-US" w:bidi="ar-SA"/>
      </w:rPr>
    </w:lvl>
    <w:lvl w:ilvl="8" w:tplc="00368FC2">
      <w:numFmt w:val="bullet"/>
      <w:lvlText w:val="•"/>
      <w:lvlJc w:val="left"/>
      <w:pPr>
        <w:ind w:left="8121" w:hanging="339"/>
      </w:pPr>
      <w:rPr>
        <w:rFonts w:hint="default"/>
        <w:lang w:val="en-US" w:eastAsia="en-US" w:bidi="ar-SA"/>
      </w:rPr>
    </w:lvl>
  </w:abstractNum>
  <w:abstractNum w:abstractNumId="20" w15:restartNumberingAfterBreak="0">
    <w:nsid w:val="2A18098A"/>
    <w:multiLevelType w:val="hybridMultilevel"/>
    <w:tmpl w:val="3022DD96"/>
    <w:lvl w:ilvl="0" w:tplc="5AF83EC4">
      <w:start w:val="1"/>
      <w:numFmt w:val="lowerLetter"/>
      <w:lvlText w:val="%1)"/>
      <w:lvlJc w:val="left"/>
      <w:pPr>
        <w:ind w:left="943" w:hanging="360"/>
      </w:pPr>
      <w:rPr>
        <w:rFonts w:hint="default"/>
        <w:spacing w:val="0"/>
        <w:w w:val="99"/>
        <w:lang w:val="en-US" w:eastAsia="en-US" w:bidi="ar-SA"/>
      </w:rPr>
    </w:lvl>
    <w:lvl w:ilvl="1" w:tplc="4F70E2A2">
      <w:numFmt w:val="bullet"/>
      <w:lvlText w:val="•"/>
      <w:lvlJc w:val="left"/>
      <w:pPr>
        <w:ind w:left="1820" w:hanging="360"/>
      </w:pPr>
      <w:rPr>
        <w:rFonts w:hint="default"/>
        <w:lang w:val="en-US" w:eastAsia="en-US" w:bidi="ar-SA"/>
      </w:rPr>
    </w:lvl>
    <w:lvl w:ilvl="2" w:tplc="0F92C1E4">
      <w:numFmt w:val="bullet"/>
      <w:lvlText w:val="•"/>
      <w:lvlJc w:val="left"/>
      <w:pPr>
        <w:ind w:left="2701" w:hanging="360"/>
      </w:pPr>
      <w:rPr>
        <w:rFonts w:hint="default"/>
        <w:lang w:val="en-US" w:eastAsia="en-US" w:bidi="ar-SA"/>
      </w:rPr>
    </w:lvl>
    <w:lvl w:ilvl="3" w:tplc="D1B244D2">
      <w:numFmt w:val="bullet"/>
      <w:lvlText w:val="•"/>
      <w:lvlJc w:val="left"/>
      <w:pPr>
        <w:ind w:left="3581" w:hanging="360"/>
      </w:pPr>
      <w:rPr>
        <w:rFonts w:hint="default"/>
        <w:lang w:val="en-US" w:eastAsia="en-US" w:bidi="ar-SA"/>
      </w:rPr>
    </w:lvl>
    <w:lvl w:ilvl="4" w:tplc="ADC880E4">
      <w:numFmt w:val="bullet"/>
      <w:lvlText w:val="•"/>
      <w:lvlJc w:val="left"/>
      <w:pPr>
        <w:ind w:left="4462" w:hanging="360"/>
      </w:pPr>
      <w:rPr>
        <w:rFonts w:hint="default"/>
        <w:lang w:val="en-US" w:eastAsia="en-US" w:bidi="ar-SA"/>
      </w:rPr>
    </w:lvl>
    <w:lvl w:ilvl="5" w:tplc="2698F0C6">
      <w:numFmt w:val="bullet"/>
      <w:lvlText w:val="•"/>
      <w:lvlJc w:val="left"/>
      <w:pPr>
        <w:ind w:left="5343" w:hanging="360"/>
      </w:pPr>
      <w:rPr>
        <w:rFonts w:hint="default"/>
        <w:lang w:val="en-US" w:eastAsia="en-US" w:bidi="ar-SA"/>
      </w:rPr>
    </w:lvl>
    <w:lvl w:ilvl="6" w:tplc="9410ADDE">
      <w:numFmt w:val="bullet"/>
      <w:lvlText w:val="•"/>
      <w:lvlJc w:val="left"/>
      <w:pPr>
        <w:ind w:left="6223" w:hanging="360"/>
      </w:pPr>
      <w:rPr>
        <w:rFonts w:hint="default"/>
        <w:lang w:val="en-US" w:eastAsia="en-US" w:bidi="ar-SA"/>
      </w:rPr>
    </w:lvl>
    <w:lvl w:ilvl="7" w:tplc="8EAE1D24">
      <w:numFmt w:val="bullet"/>
      <w:lvlText w:val="•"/>
      <w:lvlJc w:val="left"/>
      <w:pPr>
        <w:ind w:left="7104" w:hanging="360"/>
      </w:pPr>
      <w:rPr>
        <w:rFonts w:hint="default"/>
        <w:lang w:val="en-US" w:eastAsia="en-US" w:bidi="ar-SA"/>
      </w:rPr>
    </w:lvl>
    <w:lvl w:ilvl="8" w:tplc="30C8EF7C">
      <w:numFmt w:val="bullet"/>
      <w:lvlText w:val="•"/>
      <w:lvlJc w:val="left"/>
      <w:pPr>
        <w:ind w:left="7985" w:hanging="360"/>
      </w:pPr>
      <w:rPr>
        <w:rFonts w:hint="default"/>
        <w:lang w:val="en-US" w:eastAsia="en-US" w:bidi="ar-SA"/>
      </w:rPr>
    </w:lvl>
  </w:abstractNum>
  <w:abstractNum w:abstractNumId="21" w15:restartNumberingAfterBreak="0">
    <w:nsid w:val="2C45171B"/>
    <w:multiLevelType w:val="hybridMultilevel"/>
    <w:tmpl w:val="409AA6C4"/>
    <w:lvl w:ilvl="0" w:tplc="292282B6">
      <w:start w:val="1"/>
      <w:numFmt w:val="upperLetter"/>
      <w:lvlText w:val="%1."/>
      <w:lvlJc w:val="left"/>
      <w:pPr>
        <w:ind w:left="931" w:hanging="425"/>
      </w:pPr>
      <w:rPr>
        <w:rFonts w:ascii="Arial" w:eastAsia="Arial" w:hAnsi="Arial" w:cs="Arial" w:hint="default"/>
        <w:b/>
        <w:bCs/>
        <w:i/>
        <w:iCs/>
        <w:color w:val="231F20"/>
        <w:spacing w:val="0"/>
        <w:w w:val="99"/>
        <w:sz w:val="20"/>
        <w:szCs w:val="20"/>
        <w:lang w:val="en-US" w:eastAsia="en-US" w:bidi="ar-SA"/>
      </w:rPr>
    </w:lvl>
    <w:lvl w:ilvl="1" w:tplc="16C863D8">
      <w:numFmt w:val="bullet"/>
      <w:lvlText w:val="•"/>
      <w:lvlJc w:val="left"/>
      <w:pPr>
        <w:ind w:left="1820" w:hanging="425"/>
      </w:pPr>
      <w:rPr>
        <w:rFonts w:hint="default"/>
        <w:lang w:val="en-US" w:eastAsia="en-US" w:bidi="ar-SA"/>
      </w:rPr>
    </w:lvl>
    <w:lvl w:ilvl="2" w:tplc="E75A2848">
      <w:numFmt w:val="bullet"/>
      <w:lvlText w:val="•"/>
      <w:lvlJc w:val="left"/>
      <w:pPr>
        <w:ind w:left="2701" w:hanging="425"/>
      </w:pPr>
      <w:rPr>
        <w:rFonts w:hint="default"/>
        <w:lang w:val="en-US" w:eastAsia="en-US" w:bidi="ar-SA"/>
      </w:rPr>
    </w:lvl>
    <w:lvl w:ilvl="3" w:tplc="A560D402">
      <w:numFmt w:val="bullet"/>
      <w:lvlText w:val="•"/>
      <w:lvlJc w:val="left"/>
      <w:pPr>
        <w:ind w:left="3581" w:hanging="425"/>
      </w:pPr>
      <w:rPr>
        <w:rFonts w:hint="default"/>
        <w:lang w:val="en-US" w:eastAsia="en-US" w:bidi="ar-SA"/>
      </w:rPr>
    </w:lvl>
    <w:lvl w:ilvl="4" w:tplc="0666C6F6">
      <w:numFmt w:val="bullet"/>
      <w:lvlText w:val="•"/>
      <w:lvlJc w:val="left"/>
      <w:pPr>
        <w:ind w:left="4462" w:hanging="425"/>
      </w:pPr>
      <w:rPr>
        <w:rFonts w:hint="default"/>
        <w:lang w:val="en-US" w:eastAsia="en-US" w:bidi="ar-SA"/>
      </w:rPr>
    </w:lvl>
    <w:lvl w:ilvl="5" w:tplc="74E8659C">
      <w:numFmt w:val="bullet"/>
      <w:lvlText w:val="•"/>
      <w:lvlJc w:val="left"/>
      <w:pPr>
        <w:ind w:left="5343" w:hanging="425"/>
      </w:pPr>
      <w:rPr>
        <w:rFonts w:hint="default"/>
        <w:lang w:val="en-US" w:eastAsia="en-US" w:bidi="ar-SA"/>
      </w:rPr>
    </w:lvl>
    <w:lvl w:ilvl="6" w:tplc="84A884B2">
      <w:numFmt w:val="bullet"/>
      <w:lvlText w:val="•"/>
      <w:lvlJc w:val="left"/>
      <w:pPr>
        <w:ind w:left="6223" w:hanging="425"/>
      </w:pPr>
      <w:rPr>
        <w:rFonts w:hint="default"/>
        <w:lang w:val="en-US" w:eastAsia="en-US" w:bidi="ar-SA"/>
      </w:rPr>
    </w:lvl>
    <w:lvl w:ilvl="7" w:tplc="12B61A24">
      <w:numFmt w:val="bullet"/>
      <w:lvlText w:val="•"/>
      <w:lvlJc w:val="left"/>
      <w:pPr>
        <w:ind w:left="7104" w:hanging="425"/>
      </w:pPr>
      <w:rPr>
        <w:rFonts w:hint="default"/>
        <w:lang w:val="en-US" w:eastAsia="en-US" w:bidi="ar-SA"/>
      </w:rPr>
    </w:lvl>
    <w:lvl w:ilvl="8" w:tplc="1EA4E3FE">
      <w:numFmt w:val="bullet"/>
      <w:lvlText w:val="•"/>
      <w:lvlJc w:val="left"/>
      <w:pPr>
        <w:ind w:left="7985" w:hanging="425"/>
      </w:pPr>
      <w:rPr>
        <w:rFonts w:hint="default"/>
        <w:lang w:val="en-US" w:eastAsia="en-US" w:bidi="ar-SA"/>
      </w:rPr>
    </w:lvl>
  </w:abstractNum>
  <w:abstractNum w:abstractNumId="22" w15:restartNumberingAfterBreak="0">
    <w:nsid w:val="2EC90CEE"/>
    <w:multiLevelType w:val="hybridMultilevel"/>
    <w:tmpl w:val="4EBA94CA"/>
    <w:lvl w:ilvl="0" w:tplc="9776272E">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7470614C">
      <w:numFmt w:val="bullet"/>
      <w:lvlText w:val="•"/>
      <w:lvlJc w:val="left"/>
      <w:pPr>
        <w:ind w:left="2432" w:hanging="339"/>
      </w:pPr>
      <w:rPr>
        <w:rFonts w:hint="default"/>
        <w:lang w:val="en-US" w:eastAsia="en-US" w:bidi="ar-SA"/>
      </w:rPr>
    </w:lvl>
    <w:lvl w:ilvl="2" w:tplc="20DE37FC">
      <w:numFmt w:val="bullet"/>
      <w:lvlText w:val="•"/>
      <w:lvlJc w:val="left"/>
      <w:pPr>
        <w:ind w:left="3245" w:hanging="339"/>
      </w:pPr>
      <w:rPr>
        <w:rFonts w:hint="default"/>
        <w:lang w:val="en-US" w:eastAsia="en-US" w:bidi="ar-SA"/>
      </w:rPr>
    </w:lvl>
    <w:lvl w:ilvl="3" w:tplc="45C88B90">
      <w:numFmt w:val="bullet"/>
      <w:lvlText w:val="•"/>
      <w:lvlJc w:val="left"/>
      <w:pPr>
        <w:ind w:left="4057" w:hanging="339"/>
      </w:pPr>
      <w:rPr>
        <w:rFonts w:hint="default"/>
        <w:lang w:val="en-US" w:eastAsia="en-US" w:bidi="ar-SA"/>
      </w:rPr>
    </w:lvl>
    <w:lvl w:ilvl="4" w:tplc="B85AF6EE">
      <w:numFmt w:val="bullet"/>
      <w:lvlText w:val="•"/>
      <w:lvlJc w:val="left"/>
      <w:pPr>
        <w:ind w:left="4870" w:hanging="339"/>
      </w:pPr>
      <w:rPr>
        <w:rFonts w:hint="default"/>
        <w:lang w:val="en-US" w:eastAsia="en-US" w:bidi="ar-SA"/>
      </w:rPr>
    </w:lvl>
    <w:lvl w:ilvl="5" w:tplc="C866917A">
      <w:numFmt w:val="bullet"/>
      <w:lvlText w:val="•"/>
      <w:lvlJc w:val="left"/>
      <w:pPr>
        <w:ind w:left="5683" w:hanging="339"/>
      </w:pPr>
      <w:rPr>
        <w:rFonts w:hint="default"/>
        <w:lang w:val="en-US" w:eastAsia="en-US" w:bidi="ar-SA"/>
      </w:rPr>
    </w:lvl>
    <w:lvl w:ilvl="6" w:tplc="7710176E">
      <w:numFmt w:val="bullet"/>
      <w:lvlText w:val="•"/>
      <w:lvlJc w:val="left"/>
      <w:pPr>
        <w:ind w:left="6495" w:hanging="339"/>
      </w:pPr>
      <w:rPr>
        <w:rFonts w:hint="default"/>
        <w:lang w:val="en-US" w:eastAsia="en-US" w:bidi="ar-SA"/>
      </w:rPr>
    </w:lvl>
    <w:lvl w:ilvl="7" w:tplc="42C039CE">
      <w:numFmt w:val="bullet"/>
      <w:lvlText w:val="•"/>
      <w:lvlJc w:val="left"/>
      <w:pPr>
        <w:ind w:left="7308" w:hanging="339"/>
      </w:pPr>
      <w:rPr>
        <w:rFonts w:hint="default"/>
        <w:lang w:val="en-US" w:eastAsia="en-US" w:bidi="ar-SA"/>
      </w:rPr>
    </w:lvl>
    <w:lvl w:ilvl="8" w:tplc="EA1A9E94">
      <w:numFmt w:val="bullet"/>
      <w:lvlText w:val="•"/>
      <w:lvlJc w:val="left"/>
      <w:pPr>
        <w:ind w:left="8121" w:hanging="339"/>
      </w:pPr>
      <w:rPr>
        <w:rFonts w:hint="default"/>
        <w:lang w:val="en-US" w:eastAsia="en-US" w:bidi="ar-SA"/>
      </w:rPr>
    </w:lvl>
  </w:abstractNum>
  <w:abstractNum w:abstractNumId="23" w15:restartNumberingAfterBreak="0">
    <w:nsid w:val="2F1319AA"/>
    <w:multiLevelType w:val="hybridMultilevel"/>
    <w:tmpl w:val="8BC6B408"/>
    <w:lvl w:ilvl="0" w:tplc="267CC926">
      <w:start w:val="1"/>
      <w:numFmt w:val="upp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5338EB54">
      <w:start w:val="1"/>
      <w:numFmt w:val="decimal"/>
      <w:lvlText w:val="%2."/>
      <w:lvlJc w:val="left"/>
      <w:pPr>
        <w:ind w:left="1886" w:hanging="360"/>
      </w:pPr>
      <w:rPr>
        <w:rFonts w:hint="default"/>
        <w:spacing w:val="-1"/>
        <w:w w:val="99"/>
        <w:lang w:val="en-US" w:eastAsia="en-US" w:bidi="ar-SA"/>
      </w:rPr>
    </w:lvl>
    <w:lvl w:ilvl="2" w:tplc="97DC385A">
      <w:numFmt w:val="bullet"/>
      <w:lvlText w:val="•"/>
      <w:lvlJc w:val="left"/>
      <w:pPr>
        <w:ind w:left="2754" w:hanging="360"/>
      </w:pPr>
      <w:rPr>
        <w:rFonts w:hint="default"/>
        <w:lang w:val="en-US" w:eastAsia="en-US" w:bidi="ar-SA"/>
      </w:rPr>
    </w:lvl>
    <w:lvl w:ilvl="3" w:tplc="582C02E4">
      <w:numFmt w:val="bullet"/>
      <w:lvlText w:val="•"/>
      <w:lvlJc w:val="left"/>
      <w:pPr>
        <w:ind w:left="3628" w:hanging="360"/>
      </w:pPr>
      <w:rPr>
        <w:rFonts w:hint="default"/>
        <w:lang w:val="en-US" w:eastAsia="en-US" w:bidi="ar-SA"/>
      </w:rPr>
    </w:lvl>
    <w:lvl w:ilvl="4" w:tplc="49E8C33C">
      <w:numFmt w:val="bullet"/>
      <w:lvlText w:val="•"/>
      <w:lvlJc w:val="left"/>
      <w:pPr>
        <w:ind w:left="4502" w:hanging="360"/>
      </w:pPr>
      <w:rPr>
        <w:rFonts w:hint="default"/>
        <w:lang w:val="en-US" w:eastAsia="en-US" w:bidi="ar-SA"/>
      </w:rPr>
    </w:lvl>
    <w:lvl w:ilvl="5" w:tplc="5B927882">
      <w:numFmt w:val="bullet"/>
      <w:lvlText w:val="•"/>
      <w:lvlJc w:val="left"/>
      <w:pPr>
        <w:ind w:left="5376" w:hanging="360"/>
      </w:pPr>
      <w:rPr>
        <w:rFonts w:hint="default"/>
        <w:lang w:val="en-US" w:eastAsia="en-US" w:bidi="ar-SA"/>
      </w:rPr>
    </w:lvl>
    <w:lvl w:ilvl="6" w:tplc="750603CA">
      <w:numFmt w:val="bullet"/>
      <w:lvlText w:val="•"/>
      <w:lvlJc w:val="left"/>
      <w:pPr>
        <w:ind w:left="6250" w:hanging="360"/>
      </w:pPr>
      <w:rPr>
        <w:rFonts w:hint="default"/>
        <w:lang w:val="en-US" w:eastAsia="en-US" w:bidi="ar-SA"/>
      </w:rPr>
    </w:lvl>
    <w:lvl w:ilvl="7" w:tplc="D102C020">
      <w:numFmt w:val="bullet"/>
      <w:lvlText w:val="•"/>
      <w:lvlJc w:val="left"/>
      <w:pPr>
        <w:ind w:left="7124" w:hanging="360"/>
      </w:pPr>
      <w:rPr>
        <w:rFonts w:hint="default"/>
        <w:lang w:val="en-US" w:eastAsia="en-US" w:bidi="ar-SA"/>
      </w:rPr>
    </w:lvl>
    <w:lvl w:ilvl="8" w:tplc="2E5AAA54">
      <w:numFmt w:val="bullet"/>
      <w:lvlText w:val="•"/>
      <w:lvlJc w:val="left"/>
      <w:pPr>
        <w:ind w:left="7998" w:hanging="360"/>
      </w:pPr>
      <w:rPr>
        <w:rFonts w:hint="default"/>
        <w:lang w:val="en-US" w:eastAsia="en-US" w:bidi="ar-SA"/>
      </w:rPr>
    </w:lvl>
  </w:abstractNum>
  <w:abstractNum w:abstractNumId="24" w15:restartNumberingAfterBreak="0">
    <w:nsid w:val="2FF34505"/>
    <w:multiLevelType w:val="hybridMultilevel"/>
    <w:tmpl w:val="0F90502C"/>
    <w:lvl w:ilvl="0" w:tplc="1F8CAF72">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5444233E">
      <w:numFmt w:val="bullet"/>
      <w:lvlText w:val="•"/>
      <w:lvlJc w:val="left"/>
      <w:pPr>
        <w:ind w:left="2432" w:hanging="339"/>
      </w:pPr>
      <w:rPr>
        <w:rFonts w:hint="default"/>
        <w:lang w:val="en-US" w:eastAsia="en-US" w:bidi="ar-SA"/>
      </w:rPr>
    </w:lvl>
    <w:lvl w:ilvl="2" w:tplc="4C18A920">
      <w:numFmt w:val="bullet"/>
      <w:lvlText w:val="•"/>
      <w:lvlJc w:val="left"/>
      <w:pPr>
        <w:ind w:left="3245" w:hanging="339"/>
      </w:pPr>
      <w:rPr>
        <w:rFonts w:hint="default"/>
        <w:lang w:val="en-US" w:eastAsia="en-US" w:bidi="ar-SA"/>
      </w:rPr>
    </w:lvl>
    <w:lvl w:ilvl="3" w:tplc="B1CA1DC2">
      <w:numFmt w:val="bullet"/>
      <w:lvlText w:val="•"/>
      <w:lvlJc w:val="left"/>
      <w:pPr>
        <w:ind w:left="4057" w:hanging="339"/>
      </w:pPr>
      <w:rPr>
        <w:rFonts w:hint="default"/>
        <w:lang w:val="en-US" w:eastAsia="en-US" w:bidi="ar-SA"/>
      </w:rPr>
    </w:lvl>
    <w:lvl w:ilvl="4" w:tplc="1AF6A9C4">
      <w:numFmt w:val="bullet"/>
      <w:lvlText w:val="•"/>
      <w:lvlJc w:val="left"/>
      <w:pPr>
        <w:ind w:left="4870" w:hanging="339"/>
      </w:pPr>
      <w:rPr>
        <w:rFonts w:hint="default"/>
        <w:lang w:val="en-US" w:eastAsia="en-US" w:bidi="ar-SA"/>
      </w:rPr>
    </w:lvl>
    <w:lvl w:ilvl="5" w:tplc="3F24AB72">
      <w:numFmt w:val="bullet"/>
      <w:lvlText w:val="•"/>
      <w:lvlJc w:val="left"/>
      <w:pPr>
        <w:ind w:left="5683" w:hanging="339"/>
      </w:pPr>
      <w:rPr>
        <w:rFonts w:hint="default"/>
        <w:lang w:val="en-US" w:eastAsia="en-US" w:bidi="ar-SA"/>
      </w:rPr>
    </w:lvl>
    <w:lvl w:ilvl="6" w:tplc="B54C954C">
      <w:numFmt w:val="bullet"/>
      <w:lvlText w:val="•"/>
      <w:lvlJc w:val="left"/>
      <w:pPr>
        <w:ind w:left="6495" w:hanging="339"/>
      </w:pPr>
      <w:rPr>
        <w:rFonts w:hint="default"/>
        <w:lang w:val="en-US" w:eastAsia="en-US" w:bidi="ar-SA"/>
      </w:rPr>
    </w:lvl>
    <w:lvl w:ilvl="7" w:tplc="0308B950">
      <w:numFmt w:val="bullet"/>
      <w:lvlText w:val="•"/>
      <w:lvlJc w:val="left"/>
      <w:pPr>
        <w:ind w:left="7308" w:hanging="339"/>
      </w:pPr>
      <w:rPr>
        <w:rFonts w:hint="default"/>
        <w:lang w:val="en-US" w:eastAsia="en-US" w:bidi="ar-SA"/>
      </w:rPr>
    </w:lvl>
    <w:lvl w:ilvl="8" w:tplc="D454572C">
      <w:numFmt w:val="bullet"/>
      <w:lvlText w:val="•"/>
      <w:lvlJc w:val="left"/>
      <w:pPr>
        <w:ind w:left="8121" w:hanging="339"/>
      </w:pPr>
      <w:rPr>
        <w:rFonts w:hint="default"/>
        <w:lang w:val="en-US" w:eastAsia="en-US" w:bidi="ar-SA"/>
      </w:rPr>
    </w:lvl>
  </w:abstractNum>
  <w:abstractNum w:abstractNumId="25" w15:restartNumberingAfterBreak="0">
    <w:nsid w:val="31856883"/>
    <w:multiLevelType w:val="hybridMultilevel"/>
    <w:tmpl w:val="5B8EEDA2"/>
    <w:lvl w:ilvl="0" w:tplc="FD8812CC">
      <w:start w:val="1"/>
      <w:numFmt w:val="decimal"/>
      <w:lvlText w:val="%1."/>
      <w:lvlJc w:val="left"/>
      <w:pPr>
        <w:ind w:left="223" w:hanging="720"/>
      </w:pPr>
      <w:rPr>
        <w:rFonts w:hint="default"/>
        <w:spacing w:val="-1"/>
        <w:w w:val="99"/>
        <w:lang w:val="en-US" w:eastAsia="en-US" w:bidi="ar-SA"/>
      </w:rPr>
    </w:lvl>
    <w:lvl w:ilvl="1" w:tplc="61AED33E">
      <w:start w:val="1"/>
      <w:numFmt w:val="lowerLetter"/>
      <w:lvlText w:val="%2)"/>
      <w:lvlJc w:val="left"/>
      <w:pPr>
        <w:ind w:left="943" w:hanging="360"/>
      </w:pPr>
      <w:rPr>
        <w:rFonts w:hint="default"/>
        <w:spacing w:val="-1"/>
        <w:w w:val="99"/>
        <w:lang w:val="en-US" w:eastAsia="en-US" w:bidi="ar-SA"/>
      </w:rPr>
    </w:lvl>
    <w:lvl w:ilvl="2" w:tplc="6D8C2CD8">
      <w:numFmt w:val="bullet"/>
      <w:lvlText w:val="•"/>
      <w:lvlJc w:val="left"/>
      <w:pPr>
        <w:ind w:left="1918" w:hanging="360"/>
      </w:pPr>
      <w:rPr>
        <w:rFonts w:hint="default"/>
        <w:lang w:val="en-US" w:eastAsia="en-US" w:bidi="ar-SA"/>
      </w:rPr>
    </w:lvl>
    <w:lvl w:ilvl="3" w:tplc="DBC6B406">
      <w:numFmt w:val="bullet"/>
      <w:lvlText w:val="•"/>
      <w:lvlJc w:val="left"/>
      <w:pPr>
        <w:ind w:left="2896" w:hanging="360"/>
      </w:pPr>
      <w:rPr>
        <w:rFonts w:hint="default"/>
        <w:lang w:val="en-US" w:eastAsia="en-US" w:bidi="ar-SA"/>
      </w:rPr>
    </w:lvl>
    <w:lvl w:ilvl="4" w:tplc="00C4DD46">
      <w:numFmt w:val="bullet"/>
      <w:lvlText w:val="•"/>
      <w:lvlJc w:val="left"/>
      <w:pPr>
        <w:ind w:left="3875" w:hanging="360"/>
      </w:pPr>
      <w:rPr>
        <w:rFonts w:hint="default"/>
        <w:lang w:val="en-US" w:eastAsia="en-US" w:bidi="ar-SA"/>
      </w:rPr>
    </w:lvl>
    <w:lvl w:ilvl="5" w:tplc="84B0C7E0">
      <w:numFmt w:val="bullet"/>
      <w:lvlText w:val="•"/>
      <w:lvlJc w:val="left"/>
      <w:pPr>
        <w:ind w:left="4853" w:hanging="360"/>
      </w:pPr>
      <w:rPr>
        <w:rFonts w:hint="default"/>
        <w:lang w:val="en-US" w:eastAsia="en-US" w:bidi="ar-SA"/>
      </w:rPr>
    </w:lvl>
    <w:lvl w:ilvl="6" w:tplc="5622B98E">
      <w:numFmt w:val="bullet"/>
      <w:lvlText w:val="•"/>
      <w:lvlJc w:val="left"/>
      <w:pPr>
        <w:ind w:left="5832" w:hanging="360"/>
      </w:pPr>
      <w:rPr>
        <w:rFonts w:hint="default"/>
        <w:lang w:val="en-US" w:eastAsia="en-US" w:bidi="ar-SA"/>
      </w:rPr>
    </w:lvl>
    <w:lvl w:ilvl="7" w:tplc="F42E2F78">
      <w:numFmt w:val="bullet"/>
      <w:lvlText w:val="•"/>
      <w:lvlJc w:val="left"/>
      <w:pPr>
        <w:ind w:left="6810" w:hanging="360"/>
      </w:pPr>
      <w:rPr>
        <w:rFonts w:hint="default"/>
        <w:lang w:val="en-US" w:eastAsia="en-US" w:bidi="ar-SA"/>
      </w:rPr>
    </w:lvl>
    <w:lvl w:ilvl="8" w:tplc="9F96BDB2">
      <w:numFmt w:val="bullet"/>
      <w:lvlText w:val="•"/>
      <w:lvlJc w:val="left"/>
      <w:pPr>
        <w:ind w:left="7789" w:hanging="360"/>
      </w:pPr>
      <w:rPr>
        <w:rFonts w:hint="default"/>
        <w:lang w:val="en-US" w:eastAsia="en-US" w:bidi="ar-SA"/>
      </w:rPr>
    </w:lvl>
  </w:abstractNum>
  <w:abstractNum w:abstractNumId="26" w15:restartNumberingAfterBreak="0">
    <w:nsid w:val="362017B6"/>
    <w:multiLevelType w:val="hybridMultilevel"/>
    <w:tmpl w:val="9F564C5E"/>
    <w:lvl w:ilvl="0" w:tplc="38BC0788">
      <w:start w:val="1"/>
      <w:numFmt w:val="low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4C9EC598">
      <w:start w:val="1"/>
      <w:numFmt w:val="decimal"/>
      <w:lvlText w:val="%2)"/>
      <w:lvlJc w:val="left"/>
      <w:pPr>
        <w:ind w:left="1303" w:hanging="360"/>
      </w:pPr>
      <w:rPr>
        <w:rFonts w:hint="default"/>
        <w:spacing w:val="-1"/>
        <w:w w:val="99"/>
        <w:lang w:val="en-US" w:eastAsia="en-US" w:bidi="ar-SA"/>
      </w:rPr>
    </w:lvl>
    <w:lvl w:ilvl="2" w:tplc="04F2F2F2">
      <w:numFmt w:val="bullet"/>
      <w:lvlText w:val="•"/>
      <w:lvlJc w:val="left"/>
      <w:pPr>
        <w:ind w:left="2238" w:hanging="360"/>
      </w:pPr>
      <w:rPr>
        <w:rFonts w:hint="default"/>
        <w:lang w:val="en-US" w:eastAsia="en-US" w:bidi="ar-SA"/>
      </w:rPr>
    </w:lvl>
    <w:lvl w:ilvl="3" w:tplc="CCA6B172">
      <w:numFmt w:val="bullet"/>
      <w:lvlText w:val="•"/>
      <w:lvlJc w:val="left"/>
      <w:pPr>
        <w:ind w:left="3176" w:hanging="360"/>
      </w:pPr>
      <w:rPr>
        <w:rFonts w:hint="default"/>
        <w:lang w:val="en-US" w:eastAsia="en-US" w:bidi="ar-SA"/>
      </w:rPr>
    </w:lvl>
    <w:lvl w:ilvl="4" w:tplc="CF5A69B2">
      <w:numFmt w:val="bullet"/>
      <w:lvlText w:val="•"/>
      <w:lvlJc w:val="left"/>
      <w:pPr>
        <w:ind w:left="4115" w:hanging="360"/>
      </w:pPr>
      <w:rPr>
        <w:rFonts w:hint="default"/>
        <w:lang w:val="en-US" w:eastAsia="en-US" w:bidi="ar-SA"/>
      </w:rPr>
    </w:lvl>
    <w:lvl w:ilvl="5" w:tplc="68644418">
      <w:numFmt w:val="bullet"/>
      <w:lvlText w:val="•"/>
      <w:lvlJc w:val="left"/>
      <w:pPr>
        <w:ind w:left="5053" w:hanging="360"/>
      </w:pPr>
      <w:rPr>
        <w:rFonts w:hint="default"/>
        <w:lang w:val="en-US" w:eastAsia="en-US" w:bidi="ar-SA"/>
      </w:rPr>
    </w:lvl>
    <w:lvl w:ilvl="6" w:tplc="CD46B4EE">
      <w:numFmt w:val="bullet"/>
      <w:lvlText w:val="•"/>
      <w:lvlJc w:val="left"/>
      <w:pPr>
        <w:ind w:left="5992" w:hanging="360"/>
      </w:pPr>
      <w:rPr>
        <w:rFonts w:hint="default"/>
        <w:lang w:val="en-US" w:eastAsia="en-US" w:bidi="ar-SA"/>
      </w:rPr>
    </w:lvl>
    <w:lvl w:ilvl="7" w:tplc="C5C0041A">
      <w:numFmt w:val="bullet"/>
      <w:lvlText w:val="•"/>
      <w:lvlJc w:val="left"/>
      <w:pPr>
        <w:ind w:left="6930" w:hanging="360"/>
      </w:pPr>
      <w:rPr>
        <w:rFonts w:hint="default"/>
        <w:lang w:val="en-US" w:eastAsia="en-US" w:bidi="ar-SA"/>
      </w:rPr>
    </w:lvl>
    <w:lvl w:ilvl="8" w:tplc="B5A61D76">
      <w:numFmt w:val="bullet"/>
      <w:lvlText w:val="•"/>
      <w:lvlJc w:val="left"/>
      <w:pPr>
        <w:ind w:left="7869" w:hanging="360"/>
      </w:pPr>
      <w:rPr>
        <w:rFonts w:hint="default"/>
        <w:lang w:val="en-US" w:eastAsia="en-US" w:bidi="ar-SA"/>
      </w:rPr>
    </w:lvl>
  </w:abstractNum>
  <w:abstractNum w:abstractNumId="27" w15:restartNumberingAfterBreak="0">
    <w:nsid w:val="37404743"/>
    <w:multiLevelType w:val="hybridMultilevel"/>
    <w:tmpl w:val="22800526"/>
    <w:lvl w:ilvl="0" w:tplc="D2140A22">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13B0CC26">
      <w:numFmt w:val="bullet"/>
      <w:lvlText w:val="•"/>
      <w:lvlJc w:val="left"/>
      <w:pPr>
        <w:ind w:left="2432" w:hanging="339"/>
      </w:pPr>
      <w:rPr>
        <w:rFonts w:hint="default"/>
        <w:lang w:val="en-US" w:eastAsia="en-US" w:bidi="ar-SA"/>
      </w:rPr>
    </w:lvl>
    <w:lvl w:ilvl="2" w:tplc="57DCE94A">
      <w:numFmt w:val="bullet"/>
      <w:lvlText w:val="•"/>
      <w:lvlJc w:val="left"/>
      <w:pPr>
        <w:ind w:left="3245" w:hanging="339"/>
      </w:pPr>
      <w:rPr>
        <w:rFonts w:hint="default"/>
        <w:lang w:val="en-US" w:eastAsia="en-US" w:bidi="ar-SA"/>
      </w:rPr>
    </w:lvl>
    <w:lvl w:ilvl="3" w:tplc="6C0EF522">
      <w:numFmt w:val="bullet"/>
      <w:lvlText w:val="•"/>
      <w:lvlJc w:val="left"/>
      <w:pPr>
        <w:ind w:left="4057" w:hanging="339"/>
      </w:pPr>
      <w:rPr>
        <w:rFonts w:hint="default"/>
        <w:lang w:val="en-US" w:eastAsia="en-US" w:bidi="ar-SA"/>
      </w:rPr>
    </w:lvl>
    <w:lvl w:ilvl="4" w:tplc="C696FB70">
      <w:numFmt w:val="bullet"/>
      <w:lvlText w:val="•"/>
      <w:lvlJc w:val="left"/>
      <w:pPr>
        <w:ind w:left="4870" w:hanging="339"/>
      </w:pPr>
      <w:rPr>
        <w:rFonts w:hint="default"/>
        <w:lang w:val="en-US" w:eastAsia="en-US" w:bidi="ar-SA"/>
      </w:rPr>
    </w:lvl>
    <w:lvl w:ilvl="5" w:tplc="C32ACD48">
      <w:numFmt w:val="bullet"/>
      <w:lvlText w:val="•"/>
      <w:lvlJc w:val="left"/>
      <w:pPr>
        <w:ind w:left="5683" w:hanging="339"/>
      </w:pPr>
      <w:rPr>
        <w:rFonts w:hint="default"/>
        <w:lang w:val="en-US" w:eastAsia="en-US" w:bidi="ar-SA"/>
      </w:rPr>
    </w:lvl>
    <w:lvl w:ilvl="6" w:tplc="F24A8EC4">
      <w:numFmt w:val="bullet"/>
      <w:lvlText w:val="•"/>
      <w:lvlJc w:val="left"/>
      <w:pPr>
        <w:ind w:left="6495" w:hanging="339"/>
      </w:pPr>
      <w:rPr>
        <w:rFonts w:hint="default"/>
        <w:lang w:val="en-US" w:eastAsia="en-US" w:bidi="ar-SA"/>
      </w:rPr>
    </w:lvl>
    <w:lvl w:ilvl="7" w:tplc="5CB02602">
      <w:numFmt w:val="bullet"/>
      <w:lvlText w:val="•"/>
      <w:lvlJc w:val="left"/>
      <w:pPr>
        <w:ind w:left="7308" w:hanging="339"/>
      </w:pPr>
      <w:rPr>
        <w:rFonts w:hint="default"/>
        <w:lang w:val="en-US" w:eastAsia="en-US" w:bidi="ar-SA"/>
      </w:rPr>
    </w:lvl>
    <w:lvl w:ilvl="8" w:tplc="7A0C80D0">
      <w:numFmt w:val="bullet"/>
      <w:lvlText w:val="•"/>
      <w:lvlJc w:val="left"/>
      <w:pPr>
        <w:ind w:left="8121" w:hanging="339"/>
      </w:pPr>
      <w:rPr>
        <w:rFonts w:hint="default"/>
        <w:lang w:val="en-US" w:eastAsia="en-US" w:bidi="ar-SA"/>
      </w:rPr>
    </w:lvl>
  </w:abstractNum>
  <w:abstractNum w:abstractNumId="28" w15:restartNumberingAfterBreak="0">
    <w:nsid w:val="3852682C"/>
    <w:multiLevelType w:val="hybridMultilevel"/>
    <w:tmpl w:val="A23C4270"/>
    <w:lvl w:ilvl="0" w:tplc="FFFFFFFF">
      <w:start w:val="1"/>
      <w:numFmt w:val="decimal"/>
      <w:lvlText w:val="%1."/>
      <w:lvlJc w:val="left"/>
      <w:pPr>
        <w:ind w:left="223" w:hanging="720"/>
        <w:jc w:val="left"/>
      </w:pPr>
      <w:rPr>
        <w:rFonts w:hint="default"/>
        <w:spacing w:val="-1"/>
        <w:w w:val="94"/>
        <w:lang w:val="en-US" w:eastAsia="en-US" w:bidi="ar-SA"/>
      </w:rPr>
    </w:lvl>
    <w:lvl w:ilvl="1" w:tplc="C1522300">
      <w:numFmt w:val="bullet"/>
      <w:lvlText w:val=""/>
      <w:lvlJc w:val="left"/>
      <w:pPr>
        <w:ind w:left="1643" w:hanging="360"/>
      </w:pPr>
      <w:rPr>
        <w:rFonts w:ascii="Symbol" w:eastAsia="Symbol" w:hAnsi="Symbol" w:cs="Symbol" w:hint="default"/>
        <w:b w:val="0"/>
        <w:bCs w:val="0"/>
        <w:i w:val="0"/>
        <w:iCs w:val="0"/>
        <w:color w:val="4E81BD"/>
        <w:spacing w:val="0"/>
        <w:w w:val="99"/>
        <w:sz w:val="20"/>
        <w:szCs w:val="20"/>
        <w:lang w:val="en-US" w:eastAsia="en-US" w:bidi="ar-SA"/>
      </w:rPr>
    </w:lvl>
    <w:lvl w:ilvl="2" w:tplc="FFFFFFFF">
      <w:numFmt w:val="bullet"/>
      <w:lvlText w:val="•"/>
      <w:lvlJc w:val="left"/>
      <w:pPr>
        <w:ind w:left="1620" w:hanging="339"/>
      </w:pPr>
      <w:rPr>
        <w:rFonts w:hint="default"/>
        <w:lang w:val="en-US" w:eastAsia="en-US" w:bidi="ar-SA"/>
      </w:rPr>
    </w:lvl>
    <w:lvl w:ilvl="3" w:tplc="FFFFFFFF">
      <w:numFmt w:val="bullet"/>
      <w:lvlText w:val="•"/>
      <w:lvlJc w:val="left"/>
      <w:pPr>
        <w:ind w:left="2635" w:hanging="339"/>
      </w:pPr>
      <w:rPr>
        <w:rFonts w:hint="default"/>
        <w:lang w:val="en-US" w:eastAsia="en-US" w:bidi="ar-SA"/>
      </w:rPr>
    </w:lvl>
    <w:lvl w:ilvl="4" w:tplc="FFFFFFFF">
      <w:numFmt w:val="bullet"/>
      <w:lvlText w:val="•"/>
      <w:lvlJc w:val="left"/>
      <w:pPr>
        <w:ind w:left="3651" w:hanging="339"/>
      </w:pPr>
      <w:rPr>
        <w:rFonts w:hint="default"/>
        <w:lang w:val="en-US" w:eastAsia="en-US" w:bidi="ar-SA"/>
      </w:rPr>
    </w:lvl>
    <w:lvl w:ilvl="5" w:tplc="FFFFFFFF">
      <w:numFmt w:val="bullet"/>
      <w:lvlText w:val="•"/>
      <w:lvlJc w:val="left"/>
      <w:pPr>
        <w:ind w:left="4667" w:hanging="339"/>
      </w:pPr>
      <w:rPr>
        <w:rFonts w:hint="default"/>
        <w:lang w:val="en-US" w:eastAsia="en-US" w:bidi="ar-SA"/>
      </w:rPr>
    </w:lvl>
    <w:lvl w:ilvl="6" w:tplc="FFFFFFFF">
      <w:numFmt w:val="bullet"/>
      <w:lvlText w:val="•"/>
      <w:lvlJc w:val="left"/>
      <w:pPr>
        <w:ind w:left="5683" w:hanging="339"/>
      </w:pPr>
      <w:rPr>
        <w:rFonts w:hint="default"/>
        <w:lang w:val="en-US" w:eastAsia="en-US" w:bidi="ar-SA"/>
      </w:rPr>
    </w:lvl>
    <w:lvl w:ilvl="7" w:tplc="FFFFFFFF">
      <w:numFmt w:val="bullet"/>
      <w:lvlText w:val="•"/>
      <w:lvlJc w:val="left"/>
      <w:pPr>
        <w:ind w:left="6699" w:hanging="339"/>
      </w:pPr>
      <w:rPr>
        <w:rFonts w:hint="default"/>
        <w:lang w:val="en-US" w:eastAsia="en-US" w:bidi="ar-SA"/>
      </w:rPr>
    </w:lvl>
    <w:lvl w:ilvl="8" w:tplc="FFFFFFFF">
      <w:numFmt w:val="bullet"/>
      <w:lvlText w:val="•"/>
      <w:lvlJc w:val="left"/>
      <w:pPr>
        <w:ind w:left="7714" w:hanging="339"/>
      </w:pPr>
      <w:rPr>
        <w:rFonts w:hint="default"/>
        <w:lang w:val="en-US" w:eastAsia="en-US" w:bidi="ar-SA"/>
      </w:rPr>
    </w:lvl>
  </w:abstractNum>
  <w:abstractNum w:abstractNumId="29" w15:restartNumberingAfterBreak="0">
    <w:nsid w:val="3AB61E6B"/>
    <w:multiLevelType w:val="hybridMultilevel"/>
    <w:tmpl w:val="43F46580"/>
    <w:lvl w:ilvl="0" w:tplc="67A477D4">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7D1C2E2E">
      <w:numFmt w:val="bullet"/>
      <w:lvlText w:val="•"/>
      <w:lvlJc w:val="left"/>
      <w:pPr>
        <w:ind w:left="2432" w:hanging="339"/>
      </w:pPr>
      <w:rPr>
        <w:rFonts w:hint="default"/>
        <w:lang w:val="en-US" w:eastAsia="en-US" w:bidi="ar-SA"/>
      </w:rPr>
    </w:lvl>
    <w:lvl w:ilvl="2" w:tplc="02F02680">
      <w:numFmt w:val="bullet"/>
      <w:lvlText w:val="•"/>
      <w:lvlJc w:val="left"/>
      <w:pPr>
        <w:ind w:left="3245" w:hanging="339"/>
      </w:pPr>
      <w:rPr>
        <w:rFonts w:hint="default"/>
        <w:lang w:val="en-US" w:eastAsia="en-US" w:bidi="ar-SA"/>
      </w:rPr>
    </w:lvl>
    <w:lvl w:ilvl="3" w:tplc="4252BB90">
      <w:numFmt w:val="bullet"/>
      <w:lvlText w:val="•"/>
      <w:lvlJc w:val="left"/>
      <w:pPr>
        <w:ind w:left="4057" w:hanging="339"/>
      </w:pPr>
      <w:rPr>
        <w:rFonts w:hint="default"/>
        <w:lang w:val="en-US" w:eastAsia="en-US" w:bidi="ar-SA"/>
      </w:rPr>
    </w:lvl>
    <w:lvl w:ilvl="4" w:tplc="179C156C">
      <w:numFmt w:val="bullet"/>
      <w:lvlText w:val="•"/>
      <w:lvlJc w:val="left"/>
      <w:pPr>
        <w:ind w:left="4870" w:hanging="339"/>
      </w:pPr>
      <w:rPr>
        <w:rFonts w:hint="default"/>
        <w:lang w:val="en-US" w:eastAsia="en-US" w:bidi="ar-SA"/>
      </w:rPr>
    </w:lvl>
    <w:lvl w:ilvl="5" w:tplc="56BCC3E2">
      <w:numFmt w:val="bullet"/>
      <w:lvlText w:val="•"/>
      <w:lvlJc w:val="left"/>
      <w:pPr>
        <w:ind w:left="5683" w:hanging="339"/>
      </w:pPr>
      <w:rPr>
        <w:rFonts w:hint="default"/>
        <w:lang w:val="en-US" w:eastAsia="en-US" w:bidi="ar-SA"/>
      </w:rPr>
    </w:lvl>
    <w:lvl w:ilvl="6" w:tplc="3F5865C8">
      <w:numFmt w:val="bullet"/>
      <w:lvlText w:val="•"/>
      <w:lvlJc w:val="left"/>
      <w:pPr>
        <w:ind w:left="6495" w:hanging="339"/>
      </w:pPr>
      <w:rPr>
        <w:rFonts w:hint="default"/>
        <w:lang w:val="en-US" w:eastAsia="en-US" w:bidi="ar-SA"/>
      </w:rPr>
    </w:lvl>
    <w:lvl w:ilvl="7" w:tplc="3F74926E">
      <w:numFmt w:val="bullet"/>
      <w:lvlText w:val="•"/>
      <w:lvlJc w:val="left"/>
      <w:pPr>
        <w:ind w:left="7308" w:hanging="339"/>
      </w:pPr>
      <w:rPr>
        <w:rFonts w:hint="default"/>
        <w:lang w:val="en-US" w:eastAsia="en-US" w:bidi="ar-SA"/>
      </w:rPr>
    </w:lvl>
    <w:lvl w:ilvl="8" w:tplc="2582779C">
      <w:numFmt w:val="bullet"/>
      <w:lvlText w:val="•"/>
      <w:lvlJc w:val="left"/>
      <w:pPr>
        <w:ind w:left="8121" w:hanging="339"/>
      </w:pPr>
      <w:rPr>
        <w:rFonts w:hint="default"/>
        <w:lang w:val="en-US" w:eastAsia="en-US" w:bidi="ar-SA"/>
      </w:rPr>
    </w:lvl>
  </w:abstractNum>
  <w:abstractNum w:abstractNumId="30" w15:restartNumberingAfterBreak="0">
    <w:nsid w:val="3DB2186C"/>
    <w:multiLevelType w:val="hybridMultilevel"/>
    <w:tmpl w:val="13E81348"/>
    <w:lvl w:ilvl="0" w:tplc="162CF278">
      <w:start w:val="1"/>
      <w:numFmt w:val="lowerLetter"/>
      <w:lvlText w:val="%1)"/>
      <w:lvlJc w:val="left"/>
      <w:pPr>
        <w:ind w:left="943" w:hanging="360"/>
      </w:pPr>
      <w:rPr>
        <w:rFonts w:hint="default"/>
        <w:spacing w:val="-1"/>
        <w:w w:val="99"/>
        <w:lang w:val="en-US" w:eastAsia="en-US" w:bidi="ar-SA"/>
      </w:rPr>
    </w:lvl>
    <w:lvl w:ilvl="1" w:tplc="73B8FE9E">
      <w:numFmt w:val="bullet"/>
      <w:lvlText w:val="•"/>
      <w:lvlJc w:val="left"/>
      <w:pPr>
        <w:ind w:left="1820" w:hanging="360"/>
      </w:pPr>
      <w:rPr>
        <w:rFonts w:hint="default"/>
        <w:lang w:val="en-US" w:eastAsia="en-US" w:bidi="ar-SA"/>
      </w:rPr>
    </w:lvl>
    <w:lvl w:ilvl="2" w:tplc="7CAE7EE4">
      <w:numFmt w:val="bullet"/>
      <w:lvlText w:val="•"/>
      <w:lvlJc w:val="left"/>
      <w:pPr>
        <w:ind w:left="2701" w:hanging="360"/>
      </w:pPr>
      <w:rPr>
        <w:rFonts w:hint="default"/>
        <w:lang w:val="en-US" w:eastAsia="en-US" w:bidi="ar-SA"/>
      </w:rPr>
    </w:lvl>
    <w:lvl w:ilvl="3" w:tplc="6A76CE44">
      <w:numFmt w:val="bullet"/>
      <w:lvlText w:val="•"/>
      <w:lvlJc w:val="left"/>
      <w:pPr>
        <w:ind w:left="3581" w:hanging="360"/>
      </w:pPr>
      <w:rPr>
        <w:rFonts w:hint="default"/>
        <w:lang w:val="en-US" w:eastAsia="en-US" w:bidi="ar-SA"/>
      </w:rPr>
    </w:lvl>
    <w:lvl w:ilvl="4" w:tplc="A9047358">
      <w:numFmt w:val="bullet"/>
      <w:lvlText w:val="•"/>
      <w:lvlJc w:val="left"/>
      <w:pPr>
        <w:ind w:left="4462" w:hanging="360"/>
      </w:pPr>
      <w:rPr>
        <w:rFonts w:hint="default"/>
        <w:lang w:val="en-US" w:eastAsia="en-US" w:bidi="ar-SA"/>
      </w:rPr>
    </w:lvl>
    <w:lvl w:ilvl="5" w:tplc="6B88BA46">
      <w:numFmt w:val="bullet"/>
      <w:lvlText w:val="•"/>
      <w:lvlJc w:val="left"/>
      <w:pPr>
        <w:ind w:left="5343" w:hanging="360"/>
      </w:pPr>
      <w:rPr>
        <w:rFonts w:hint="default"/>
        <w:lang w:val="en-US" w:eastAsia="en-US" w:bidi="ar-SA"/>
      </w:rPr>
    </w:lvl>
    <w:lvl w:ilvl="6" w:tplc="891A31D2">
      <w:numFmt w:val="bullet"/>
      <w:lvlText w:val="•"/>
      <w:lvlJc w:val="left"/>
      <w:pPr>
        <w:ind w:left="6223" w:hanging="360"/>
      </w:pPr>
      <w:rPr>
        <w:rFonts w:hint="default"/>
        <w:lang w:val="en-US" w:eastAsia="en-US" w:bidi="ar-SA"/>
      </w:rPr>
    </w:lvl>
    <w:lvl w:ilvl="7" w:tplc="A3BE4054">
      <w:numFmt w:val="bullet"/>
      <w:lvlText w:val="•"/>
      <w:lvlJc w:val="left"/>
      <w:pPr>
        <w:ind w:left="7104" w:hanging="360"/>
      </w:pPr>
      <w:rPr>
        <w:rFonts w:hint="default"/>
        <w:lang w:val="en-US" w:eastAsia="en-US" w:bidi="ar-SA"/>
      </w:rPr>
    </w:lvl>
    <w:lvl w:ilvl="8" w:tplc="2E98C700">
      <w:numFmt w:val="bullet"/>
      <w:lvlText w:val="•"/>
      <w:lvlJc w:val="left"/>
      <w:pPr>
        <w:ind w:left="7985" w:hanging="360"/>
      </w:pPr>
      <w:rPr>
        <w:rFonts w:hint="default"/>
        <w:lang w:val="en-US" w:eastAsia="en-US" w:bidi="ar-SA"/>
      </w:rPr>
    </w:lvl>
  </w:abstractNum>
  <w:abstractNum w:abstractNumId="31" w15:restartNumberingAfterBreak="0">
    <w:nsid w:val="3F5B51AE"/>
    <w:multiLevelType w:val="hybridMultilevel"/>
    <w:tmpl w:val="90E2A1E8"/>
    <w:lvl w:ilvl="0" w:tplc="D6589C2C">
      <w:start w:val="1"/>
      <w:numFmt w:val="upp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CBA27988">
      <w:start w:val="1"/>
      <w:numFmt w:val="decimal"/>
      <w:lvlText w:val="%2."/>
      <w:lvlJc w:val="left"/>
      <w:pPr>
        <w:ind w:left="1886" w:hanging="360"/>
        <w:jc w:val="right"/>
      </w:pPr>
      <w:rPr>
        <w:rFonts w:hint="default"/>
        <w:spacing w:val="-1"/>
        <w:w w:val="99"/>
        <w:lang w:val="en-US" w:eastAsia="en-US" w:bidi="ar-SA"/>
      </w:rPr>
    </w:lvl>
    <w:lvl w:ilvl="2" w:tplc="B5D08398">
      <w:start w:val="1"/>
      <w:numFmt w:val="lowerLetter"/>
      <w:lvlText w:val="%3)"/>
      <w:lvlJc w:val="left"/>
      <w:pPr>
        <w:ind w:left="2246" w:hanging="360"/>
      </w:pPr>
      <w:rPr>
        <w:rFonts w:ascii="Arial" w:eastAsia="Arial" w:hAnsi="Arial" w:cs="Arial" w:hint="default"/>
        <w:b w:val="0"/>
        <w:bCs w:val="0"/>
        <w:i w:val="0"/>
        <w:iCs w:val="0"/>
        <w:spacing w:val="-1"/>
        <w:w w:val="99"/>
        <w:sz w:val="20"/>
        <w:szCs w:val="20"/>
        <w:lang w:val="en-US" w:eastAsia="en-US" w:bidi="ar-SA"/>
      </w:rPr>
    </w:lvl>
    <w:lvl w:ilvl="3" w:tplc="E8545B82">
      <w:start w:val="1"/>
      <w:numFmt w:val="lowerRoman"/>
      <w:lvlText w:val="%4)"/>
      <w:lvlJc w:val="left"/>
      <w:pPr>
        <w:ind w:left="2967" w:hanging="360"/>
      </w:pPr>
      <w:rPr>
        <w:rFonts w:ascii="Arial" w:eastAsia="Arial" w:hAnsi="Arial" w:cs="Arial" w:hint="default"/>
        <w:b w:val="0"/>
        <w:bCs w:val="0"/>
        <w:i w:val="0"/>
        <w:iCs w:val="0"/>
        <w:spacing w:val="-2"/>
        <w:w w:val="99"/>
        <w:sz w:val="20"/>
        <w:szCs w:val="20"/>
        <w:lang w:val="en-US" w:eastAsia="en-US" w:bidi="ar-SA"/>
      </w:rPr>
    </w:lvl>
    <w:lvl w:ilvl="4" w:tplc="17D22354">
      <w:numFmt w:val="bullet"/>
      <w:lvlText w:val="•"/>
      <w:lvlJc w:val="left"/>
      <w:pPr>
        <w:ind w:left="3929" w:hanging="360"/>
      </w:pPr>
      <w:rPr>
        <w:rFonts w:hint="default"/>
        <w:lang w:val="en-US" w:eastAsia="en-US" w:bidi="ar-SA"/>
      </w:rPr>
    </w:lvl>
    <w:lvl w:ilvl="5" w:tplc="D898EA0E">
      <w:numFmt w:val="bullet"/>
      <w:lvlText w:val="•"/>
      <w:lvlJc w:val="left"/>
      <w:pPr>
        <w:ind w:left="4898" w:hanging="360"/>
      </w:pPr>
      <w:rPr>
        <w:rFonts w:hint="default"/>
        <w:lang w:val="en-US" w:eastAsia="en-US" w:bidi="ar-SA"/>
      </w:rPr>
    </w:lvl>
    <w:lvl w:ilvl="6" w:tplc="CAD6F120">
      <w:numFmt w:val="bullet"/>
      <w:lvlText w:val="•"/>
      <w:lvlJc w:val="left"/>
      <w:pPr>
        <w:ind w:left="5868" w:hanging="360"/>
      </w:pPr>
      <w:rPr>
        <w:rFonts w:hint="default"/>
        <w:lang w:val="en-US" w:eastAsia="en-US" w:bidi="ar-SA"/>
      </w:rPr>
    </w:lvl>
    <w:lvl w:ilvl="7" w:tplc="049AE2DC">
      <w:numFmt w:val="bullet"/>
      <w:lvlText w:val="•"/>
      <w:lvlJc w:val="left"/>
      <w:pPr>
        <w:ind w:left="6837" w:hanging="360"/>
      </w:pPr>
      <w:rPr>
        <w:rFonts w:hint="default"/>
        <w:lang w:val="en-US" w:eastAsia="en-US" w:bidi="ar-SA"/>
      </w:rPr>
    </w:lvl>
    <w:lvl w:ilvl="8" w:tplc="9BDE09F2">
      <w:numFmt w:val="bullet"/>
      <w:lvlText w:val="•"/>
      <w:lvlJc w:val="left"/>
      <w:pPr>
        <w:ind w:left="7807" w:hanging="360"/>
      </w:pPr>
      <w:rPr>
        <w:rFonts w:hint="default"/>
        <w:lang w:val="en-US" w:eastAsia="en-US" w:bidi="ar-SA"/>
      </w:rPr>
    </w:lvl>
  </w:abstractNum>
  <w:abstractNum w:abstractNumId="32" w15:restartNumberingAfterBreak="0">
    <w:nsid w:val="409B45A4"/>
    <w:multiLevelType w:val="hybridMultilevel"/>
    <w:tmpl w:val="F5660890"/>
    <w:lvl w:ilvl="0" w:tplc="C8E6AA54">
      <w:start w:val="1"/>
      <w:numFmt w:val="lowerLetter"/>
      <w:lvlText w:val="%1)"/>
      <w:lvlJc w:val="left"/>
      <w:pPr>
        <w:ind w:left="943" w:hanging="360"/>
      </w:pPr>
      <w:rPr>
        <w:rFonts w:hint="default"/>
        <w:spacing w:val="-1"/>
        <w:w w:val="99"/>
        <w:lang w:val="en-US" w:eastAsia="en-US" w:bidi="ar-SA"/>
      </w:rPr>
    </w:lvl>
    <w:lvl w:ilvl="1" w:tplc="F1D8A18E">
      <w:numFmt w:val="bullet"/>
      <w:lvlText w:val="•"/>
      <w:lvlJc w:val="left"/>
      <w:pPr>
        <w:ind w:left="1820" w:hanging="360"/>
      </w:pPr>
      <w:rPr>
        <w:rFonts w:hint="default"/>
        <w:lang w:val="en-US" w:eastAsia="en-US" w:bidi="ar-SA"/>
      </w:rPr>
    </w:lvl>
    <w:lvl w:ilvl="2" w:tplc="76C02218">
      <w:numFmt w:val="bullet"/>
      <w:lvlText w:val="•"/>
      <w:lvlJc w:val="left"/>
      <w:pPr>
        <w:ind w:left="2701" w:hanging="360"/>
      </w:pPr>
      <w:rPr>
        <w:rFonts w:hint="default"/>
        <w:lang w:val="en-US" w:eastAsia="en-US" w:bidi="ar-SA"/>
      </w:rPr>
    </w:lvl>
    <w:lvl w:ilvl="3" w:tplc="5D24C688">
      <w:numFmt w:val="bullet"/>
      <w:lvlText w:val="•"/>
      <w:lvlJc w:val="left"/>
      <w:pPr>
        <w:ind w:left="3581" w:hanging="360"/>
      </w:pPr>
      <w:rPr>
        <w:rFonts w:hint="default"/>
        <w:lang w:val="en-US" w:eastAsia="en-US" w:bidi="ar-SA"/>
      </w:rPr>
    </w:lvl>
    <w:lvl w:ilvl="4" w:tplc="04D6C118">
      <w:numFmt w:val="bullet"/>
      <w:lvlText w:val="•"/>
      <w:lvlJc w:val="left"/>
      <w:pPr>
        <w:ind w:left="4462" w:hanging="360"/>
      </w:pPr>
      <w:rPr>
        <w:rFonts w:hint="default"/>
        <w:lang w:val="en-US" w:eastAsia="en-US" w:bidi="ar-SA"/>
      </w:rPr>
    </w:lvl>
    <w:lvl w:ilvl="5" w:tplc="49A4AF38">
      <w:numFmt w:val="bullet"/>
      <w:lvlText w:val="•"/>
      <w:lvlJc w:val="left"/>
      <w:pPr>
        <w:ind w:left="5343" w:hanging="360"/>
      </w:pPr>
      <w:rPr>
        <w:rFonts w:hint="default"/>
        <w:lang w:val="en-US" w:eastAsia="en-US" w:bidi="ar-SA"/>
      </w:rPr>
    </w:lvl>
    <w:lvl w:ilvl="6" w:tplc="6B10CF7E">
      <w:numFmt w:val="bullet"/>
      <w:lvlText w:val="•"/>
      <w:lvlJc w:val="left"/>
      <w:pPr>
        <w:ind w:left="6223" w:hanging="360"/>
      </w:pPr>
      <w:rPr>
        <w:rFonts w:hint="default"/>
        <w:lang w:val="en-US" w:eastAsia="en-US" w:bidi="ar-SA"/>
      </w:rPr>
    </w:lvl>
    <w:lvl w:ilvl="7" w:tplc="B70CE180">
      <w:numFmt w:val="bullet"/>
      <w:lvlText w:val="•"/>
      <w:lvlJc w:val="left"/>
      <w:pPr>
        <w:ind w:left="7104" w:hanging="360"/>
      </w:pPr>
      <w:rPr>
        <w:rFonts w:hint="default"/>
        <w:lang w:val="en-US" w:eastAsia="en-US" w:bidi="ar-SA"/>
      </w:rPr>
    </w:lvl>
    <w:lvl w:ilvl="8" w:tplc="9CD2A4E0">
      <w:numFmt w:val="bullet"/>
      <w:lvlText w:val="•"/>
      <w:lvlJc w:val="left"/>
      <w:pPr>
        <w:ind w:left="7985" w:hanging="360"/>
      </w:pPr>
      <w:rPr>
        <w:rFonts w:hint="default"/>
        <w:lang w:val="en-US" w:eastAsia="en-US" w:bidi="ar-SA"/>
      </w:rPr>
    </w:lvl>
  </w:abstractNum>
  <w:abstractNum w:abstractNumId="33" w15:restartNumberingAfterBreak="0">
    <w:nsid w:val="430A1ACE"/>
    <w:multiLevelType w:val="hybridMultilevel"/>
    <w:tmpl w:val="093CC194"/>
    <w:lvl w:ilvl="0" w:tplc="E6A015A0">
      <w:start w:val="1"/>
      <w:numFmt w:val="lowerLetter"/>
      <w:lvlText w:val="%1)"/>
      <w:lvlJc w:val="left"/>
      <w:pPr>
        <w:ind w:left="943" w:hanging="360"/>
      </w:pPr>
      <w:rPr>
        <w:rFonts w:hint="default"/>
        <w:spacing w:val="-1"/>
        <w:w w:val="99"/>
        <w:lang w:val="en-US" w:eastAsia="en-US" w:bidi="ar-SA"/>
      </w:rPr>
    </w:lvl>
    <w:lvl w:ilvl="1" w:tplc="18C823A8">
      <w:numFmt w:val="bullet"/>
      <w:lvlText w:val="•"/>
      <w:lvlJc w:val="left"/>
      <w:pPr>
        <w:ind w:left="1820" w:hanging="360"/>
      </w:pPr>
      <w:rPr>
        <w:rFonts w:hint="default"/>
        <w:lang w:val="en-US" w:eastAsia="en-US" w:bidi="ar-SA"/>
      </w:rPr>
    </w:lvl>
    <w:lvl w:ilvl="2" w:tplc="5B7ABE16">
      <w:numFmt w:val="bullet"/>
      <w:lvlText w:val="•"/>
      <w:lvlJc w:val="left"/>
      <w:pPr>
        <w:ind w:left="2701" w:hanging="360"/>
      </w:pPr>
      <w:rPr>
        <w:rFonts w:hint="default"/>
        <w:lang w:val="en-US" w:eastAsia="en-US" w:bidi="ar-SA"/>
      </w:rPr>
    </w:lvl>
    <w:lvl w:ilvl="3" w:tplc="D820C392">
      <w:numFmt w:val="bullet"/>
      <w:lvlText w:val="•"/>
      <w:lvlJc w:val="left"/>
      <w:pPr>
        <w:ind w:left="3581" w:hanging="360"/>
      </w:pPr>
      <w:rPr>
        <w:rFonts w:hint="default"/>
        <w:lang w:val="en-US" w:eastAsia="en-US" w:bidi="ar-SA"/>
      </w:rPr>
    </w:lvl>
    <w:lvl w:ilvl="4" w:tplc="5622EF82">
      <w:numFmt w:val="bullet"/>
      <w:lvlText w:val="•"/>
      <w:lvlJc w:val="left"/>
      <w:pPr>
        <w:ind w:left="4462" w:hanging="360"/>
      </w:pPr>
      <w:rPr>
        <w:rFonts w:hint="default"/>
        <w:lang w:val="en-US" w:eastAsia="en-US" w:bidi="ar-SA"/>
      </w:rPr>
    </w:lvl>
    <w:lvl w:ilvl="5" w:tplc="03BEEAB6">
      <w:numFmt w:val="bullet"/>
      <w:lvlText w:val="•"/>
      <w:lvlJc w:val="left"/>
      <w:pPr>
        <w:ind w:left="5343" w:hanging="360"/>
      </w:pPr>
      <w:rPr>
        <w:rFonts w:hint="default"/>
        <w:lang w:val="en-US" w:eastAsia="en-US" w:bidi="ar-SA"/>
      </w:rPr>
    </w:lvl>
    <w:lvl w:ilvl="6" w:tplc="E098E874">
      <w:numFmt w:val="bullet"/>
      <w:lvlText w:val="•"/>
      <w:lvlJc w:val="left"/>
      <w:pPr>
        <w:ind w:left="6223" w:hanging="360"/>
      </w:pPr>
      <w:rPr>
        <w:rFonts w:hint="default"/>
        <w:lang w:val="en-US" w:eastAsia="en-US" w:bidi="ar-SA"/>
      </w:rPr>
    </w:lvl>
    <w:lvl w:ilvl="7" w:tplc="63D09DEA">
      <w:numFmt w:val="bullet"/>
      <w:lvlText w:val="•"/>
      <w:lvlJc w:val="left"/>
      <w:pPr>
        <w:ind w:left="7104" w:hanging="360"/>
      </w:pPr>
      <w:rPr>
        <w:rFonts w:hint="default"/>
        <w:lang w:val="en-US" w:eastAsia="en-US" w:bidi="ar-SA"/>
      </w:rPr>
    </w:lvl>
    <w:lvl w:ilvl="8" w:tplc="C868CEBA">
      <w:numFmt w:val="bullet"/>
      <w:lvlText w:val="•"/>
      <w:lvlJc w:val="left"/>
      <w:pPr>
        <w:ind w:left="7985" w:hanging="360"/>
      </w:pPr>
      <w:rPr>
        <w:rFonts w:hint="default"/>
        <w:lang w:val="en-US" w:eastAsia="en-US" w:bidi="ar-SA"/>
      </w:rPr>
    </w:lvl>
  </w:abstractNum>
  <w:abstractNum w:abstractNumId="34" w15:restartNumberingAfterBreak="0">
    <w:nsid w:val="43C75EBA"/>
    <w:multiLevelType w:val="hybridMultilevel"/>
    <w:tmpl w:val="BB2063B2"/>
    <w:lvl w:ilvl="0" w:tplc="F856C540">
      <w:start w:val="1"/>
      <w:numFmt w:val="lowerLetter"/>
      <w:lvlText w:val="%1)"/>
      <w:lvlJc w:val="left"/>
      <w:pPr>
        <w:ind w:left="943" w:hanging="360"/>
      </w:pPr>
      <w:rPr>
        <w:rFonts w:hint="default"/>
        <w:spacing w:val="-1"/>
        <w:w w:val="99"/>
        <w:lang w:val="en-US" w:eastAsia="en-US" w:bidi="ar-SA"/>
      </w:rPr>
    </w:lvl>
    <w:lvl w:ilvl="1" w:tplc="9EDCE9D6">
      <w:numFmt w:val="bullet"/>
      <w:lvlText w:val="•"/>
      <w:lvlJc w:val="left"/>
      <w:pPr>
        <w:ind w:left="1820" w:hanging="360"/>
      </w:pPr>
      <w:rPr>
        <w:rFonts w:hint="default"/>
        <w:lang w:val="en-US" w:eastAsia="en-US" w:bidi="ar-SA"/>
      </w:rPr>
    </w:lvl>
    <w:lvl w:ilvl="2" w:tplc="443AE33E">
      <w:numFmt w:val="bullet"/>
      <w:lvlText w:val="•"/>
      <w:lvlJc w:val="left"/>
      <w:pPr>
        <w:ind w:left="2701" w:hanging="360"/>
      </w:pPr>
      <w:rPr>
        <w:rFonts w:hint="default"/>
        <w:lang w:val="en-US" w:eastAsia="en-US" w:bidi="ar-SA"/>
      </w:rPr>
    </w:lvl>
    <w:lvl w:ilvl="3" w:tplc="697C3C74">
      <w:numFmt w:val="bullet"/>
      <w:lvlText w:val="•"/>
      <w:lvlJc w:val="left"/>
      <w:pPr>
        <w:ind w:left="3581" w:hanging="360"/>
      </w:pPr>
      <w:rPr>
        <w:rFonts w:hint="default"/>
        <w:lang w:val="en-US" w:eastAsia="en-US" w:bidi="ar-SA"/>
      </w:rPr>
    </w:lvl>
    <w:lvl w:ilvl="4" w:tplc="B9D227C6">
      <w:numFmt w:val="bullet"/>
      <w:lvlText w:val="•"/>
      <w:lvlJc w:val="left"/>
      <w:pPr>
        <w:ind w:left="4462" w:hanging="360"/>
      </w:pPr>
      <w:rPr>
        <w:rFonts w:hint="default"/>
        <w:lang w:val="en-US" w:eastAsia="en-US" w:bidi="ar-SA"/>
      </w:rPr>
    </w:lvl>
    <w:lvl w:ilvl="5" w:tplc="65026D1C">
      <w:numFmt w:val="bullet"/>
      <w:lvlText w:val="•"/>
      <w:lvlJc w:val="left"/>
      <w:pPr>
        <w:ind w:left="5343" w:hanging="360"/>
      </w:pPr>
      <w:rPr>
        <w:rFonts w:hint="default"/>
        <w:lang w:val="en-US" w:eastAsia="en-US" w:bidi="ar-SA"/>
      </w:rPr>
    </w:lvl>
    <w:lvl w:ilvl="6" w:tplc="626413D0">
      <w:numFmt w:val="bullet"/>
      <w:lvlText w:val="•"/>
      <w:lvlJc w:val="left"/>
      <w:pPr>
        <w:ind w:left="6223" w:hanging="360"/>
      </w:pPr>
      <w:rPr>
        <w:rFonts w:hint="default"/>
        <w:lang w:val="en-US" w:eastAsia="en-US" w:bidi="ar-SA"/>
      </w:rPr>
    </w:lvl>
    <w:lvl w:ilvl="7" w:tplc="5E78A0CE">
      <w:numFmt w:val="bullet"/>
      <w:lvlText w:val="•"/>
      <w:lvlJc w:val="left"/>
      <w:pPr>
        <w:ind w:left="7104" w:hanging="360"/>
      </w:pPr>
      <w:rPr>
        <w:rFonts w:hint="default"/>
        <w:lang w:val="en-US" w:eastAsia="en-US" w:bidi="ar-SA"/>
      </w:rPr>
    </w:lvl>
    <w:lvl w:ilvl="8" w:tplc="AEEE639C">
      <w:numFmt w:val="bullet"/>
      <w:lvlText w:val="•"/>
      <w:lvlJc w:val="left"/>
      <w:pPr>
        <w:ind w:left="7985" w:hanging="360"/>
      </w:pPr>
      <w:rPr>
        <w:rFonts w:hint="default"/>
        <w:lang w:val="en-US" w:eastAsia="en-US" w:bidi="ar-SA"/>
      </w:rPr>
    </w:lvl>
  </w:abstractNum>
  <w:abstractNum w:abstractNumId="35" w15:restartNumberingAfterBreak="0">
    <w:nsid w:val="446C1B47"/>
    <w:multiLevelType w:val="hybridMultilevel"/>
    <w:tmpl w:val="4F4EEEEC"/>
    <w:lvl w:ilvl="0" w:tplc="897828A2">
      <w:start w:val="2"/>
      <w:numFmt w:val="lowerRoman"/>
      <w:lvlText w:val="%1)"/>
      <w:lvlJc w:val="left"/>
      <w:pPr>
        <w:ind w:left="618" w:hanging="361"/>
      </w:pPr>
      <w:rPr>
        <w:rFonts w:ascii="Arial" w:eastAsia="Arial" w:hAnsi="Arial" w:cs="Arial" w:hint="default"/>
        <w:b w:val="0"/>
        <w:bCs w:val="0"/>
        <w:i w:val="0"/>
        <w:iCs w:val="0"/>
        <w:spacing w:val="-2"/>
        <w:w w:val="99"/>
        <w:sz w:val="20"/>
        <w:szCs w:val="20"/>
        <w:lang w:val="en-US" w:eastAsia="en-US" w:bidi="ar-SA"/>
      </w:rPr>
    </w:lvl>
    <w:lvl w:ilvl="1" w:tplc="1A5A76D4">
      <w:start w:val="1"/>
      <w:numFmt w:val="decimal"/>
      <w:lvlText w:val="%2."/>
      <w:lvlJc w:val="left"/>
      <w:pPr>
        <w:ind w:left="1886" w:hanging="360"/>
      </w:pPr>
      <w:rPr>
        <w:rFonts w:hint="default"/>
        <w:spacing w:val="-1"/>
        <w:w w:val="87"/>
        <w:lang w:val="en-US" w:eastAsia="en-US" w:bidi="ar-SA"/>
      </w:rPr>
    </w:lvl>
    <w:lvl w:ilvl="2" w:tplc="43DA5F7E">
      <w:start w:val="1"/>
      <w:numFmt w:val="lowerLetter"/>
      <w:lvlText w:val="%3)"/>
      <w:lvlJc w:val="left"/>
      <w:pPr>
        <w:ind w:left="2246" w:hanging="360"/>
      </w:pPr>
      <w:rPr>
        <w:rFonts w:ascii="Arial" w:eastAsia="Arial" w:hAnsi="Arial" w:cs="Arial" w:hint="default"/>
        <w:b w:val="0"/>
        <w:bCs w:val="0"/>
        <w:i w:val="0"/>
        <w:iCs w:val="0"/>
        <w:spacing w:val="-1"/>
        <w:w w:val="99"/>
        <w:sz w:val="20"/>
        <w:szCs w:val="20"/>
        <w:lang w:val="en-US" w:eastAsia="en-US" w:bidi="ar-SA"/>
      </w:rPr>
    </w:lvl>
    <w:lvl w:ilvl="3" w:tplc="EC0AE262">
      <w:numFmt w:val="bullet"/>
      <w:lvlText w:val="•"/>
      <w:lvlJc w:val="left"/>
      <w:pPr>
        <w:ind w:left="2884" w:hanging="360"/>
      </w:pPr>
      <w:rPr>
        <w:rFonts w:hint="default"/>
        <w:lang w:val="en-US" w:eastAsia="en-US" w:bidi="ar-SA"/>
      </w:rPr>
    </w:lvl>
    <w:lvl w:ilvl="4" w:tplc="6660EE16">
      <w:numFmt w:val="bullet"/>
      <w:lvlText w:val="•"/>
      <w:lvlJc w:val="left"/>
      <w:pPr>
        <w:ind w:left="3529" w:hanging="360"/>
      </w:pPr>
      <w:rPr>
        <w:rFonts w:hint="default"/>
        <w:lang w:val="en-US" w:eastAsia="en-US" w:bidi="ar-SA"/>
      </w:rPr>
    </w:lvl>
    <w:lvl w:ilvl="5" w:tplc="56AEE556">
      <w:numFmt w:val="bullet"/>
      <w:lvlText w:val="•"/>
      <w:lvlJc w:val="left"/>
      <w:pPr>
        <w:ind w:left="4174" w:hanging="360"/>
      </w:pPr>
      <w:rPr>
        <w:rFonts w:hint="default"/>
        <w:lang w:val="en-US" w:eastAsia="en-US" w:bidi="ar-SA"/>
      </w:rPr>
    </w:lvl>
    <w:lvl w:ilvl="6" w:tplc="AA08A642">
      <w:numFmt w:val="bullet"/>
      <w:lvlText w:val="•"/>
      <w:lvlJc w:val="left"/>
      <w:pPr>
        <w:ind w:left="4818" w:hanging="360"/>
      </w:pPr>
      <w:rPr>
        <w:rFonts w:hint="default"/>
        <w:lang w:val="en-US" w:eastAsia="en-US" w:bidi="ar-SA"/>
      </w:rPr>
    </w:lvl>
    <w:lvl w:ilvl="7" w:tplc="B2E23B16">
      <w:numFmt w:val="bullet"/>
      <w:lvlText w:val="•"/>
      <w:lvlJc w:val="left"/>
      <w:pPr>
        <w:ind w:left="5463" w:hanging="360"/>
      </w:pPr>
      <w:rPr>
        <w:rFonts w:hint="default"/>
        <w:lang w:val="en-US" w:eastAsia="en-US" w:bidi="ar-SA"/>
      </w:rPr>
    </w:lvl>
    <w:lvl w:ilvl="8" w:tplc="3F9A5822">
      <w:numFmt w:val="bullet"/>
      <w:lvlText w:val="•"/>
      <w:lvlJc w:val="left"/>
      <w:pPr>
        <w:ind w:left="6108" w:hanging="360"/>
      </w:pPr>
      <w:rPr>
        <w:rFonts w:hint="default"/>
        <w:lang w:val="en-US" w:eastAsia="en-US" w:bidi="ar-SA"/>
      </w:rPr>
    </w:lvl>
  </w:abstractNum>
  <w:abstractNum w:abstractNumId="36" w15:restartNumberingAfterBreak="0">
    <w:nsid w:val="48F40325"/>
    <w:multiLevelType w:val="hybridMultilevel"/>
    <w:tmpl w:val="AD3A13E8"/>
    <w:lvl w:ilvl="0" w:tplc="061482C6">
      <w:start w:val="1"/>
      <w:numFmt w:val="lowerLetter"/>
      <w:lvlText w:val="%1)"/>
      <w:lvlJc w:val="left"/>
      <w:pPr>
        <w:ind w:left="943" w:hanging="360"/>
      </w:pPr>
      <w:rPr>
        <w:rFonts w:ascii="Arial" w:eastAsia="Arial" w:hAnsi="Arial" w:cs="Arial" w:hint="default"/>
        <w:b w:val="0"/>
        <w:bCs w:val="0"/>
        <w:i w:val="0"/>
        <w:iCs w:val="0"/>
        <w:color w:val="231F20"/>
        <w:spacing w:val="-1"/>
        <w:w w:val="99"/>
        <w:sz w:val="20"/>
        <w:szCs w:val="20"/>
        <w:lang w:val="en-US" w:eastAsia="en-US" w:bidi="ar-SA"/>
      </w:rPr>
    </w:lvl>
    <w:lvl w:ilvl="1" w:tplc="618E14A6">
      <w:numFmt w:val="bullet"/>
      <w:lvlText w:val="•"/>
      <w:lvlJc w:val="left"/>
      <w:pPr>
        <w:ind w:left="1820" w:hanging="360"/>
      </w:pPr>
      <w:rPr>
        <w:rFonts w:hint="default"/>
        <w:lang w:val="en-US" w:eastAsia="en-US" w:bidi="ar-SA"/>
      </w:rPr>
    </w:lvl>
    <w:lvl w:ilvl="2" w:tplc="9784449C">
      <w:numFmt w:val="bullet"/>
      <w:lvlText w:val="•"/>
      <w:lvlJc w:val="left"/>
      <w:pPr>
        <w:ind w:left="2701" w:hanging="360"/>
      </w:pPr>
      <w:rPr>
        <w:rFonts w:hint="default"/>
        <w:lang w:val="en-US" w:eastAsia="en-US" w:bidi="ar-SA"/>
      </w:rPr>
    </w:lvl>
    <w:lvl w:ilvl="3" w:tplc="9DDA2142">
      <w:numFmt w:val="bullet"/>
      <w:lvlText w:val="•"/>
      <w:lvlJc w:val="left"/>
      <w:pPr>
        <w:ind w:left="3581" w:hanging="360"/>
      </w:pPr>
      <w:rPr>
        <w:rFonts w:hint="default"/>
        <w:lang w:val="en-US" w:eastAsia="en-US" w:bidi="ar-SA"/>
      </w:rPr>
    </w:lvl>
    <w:lvl w:ilvl="4" w:tplc="3EC20F42">
      <w:numFmt w:val="bullet"/>
      <w:lvlText w:val="•"/>
      <w:lvlJc w:val="left"/>
      <w:pPr>
        <w:ind w:left="4462" w:hanging="360"/>
      </w:pPr>
      <w:rPr>
        <w:rFonts w:hint="default"/>
        <w:lang w:val="en-US" w:eastAsia="en-US" w:bidi="ar-SA"/>
      </w:rPr>
    </w:lvl>
    <w:lvl w:ilvl="5" w:tplc="D626289E">
      <w:numFmt w:val="bullet"/>
      <w:lvlText w:val="•"/>
      <w:lvlJc w:val="left"/>
      <w:pPr>
        <w:ind w:left="5343" w:hanging="360"/>
      </w:pPr>
      <w:rPr>
        <w:rFonts w:hint="default"/>
        <w:lang w:val="en-US" w:eastAsia="en-US" w:bidi="ar-SA"/>
      </w:rPr>
    </w:lvl>
    <w:lvl w:ilvl="6" w:tplc="838650A2">
      <w:numFmt w:val="bullet"/>
      <w:lvlText w:val="•"/>
      <w:lvlJc w:val="left"/>
      <w:pPr>
        <w:ind w:left="6223" w:hanging="360"/>
      </w:pPr>
      <w:rPr>
        <w:rFonts w:hint="default"/>
        <w:lang w:val="en-US" w:eastAsia="en-US" w:bidi="ar-SA"/>
      </w:rPr>
    </w:lvl>
    <w:lvl w:ilvl="7" w:tplc="E7BE10E0">
      <w:numFmt w:val="bullet"/>
      <w:lvlText w:val="•"/>
      <w:lvlJc w:val="left"/>
      <w:pPr>
        <w:ind w:left="7104" w:hanging="360"/>
      </w:pPr>
      <w:rPr>
        <w:rFonts w:hint="default"/>
        <w:lang w:val="en-US" w:eastAsia="en-US" w:bidi="ar-SA"/>
      </w:rPr>
    </w:lvl>
    <w:lvl w:ilvl="8" w:tplc="B62685F0">
      <w:numFmt w:val="bullet"/>
      <w:lvlText w:val="•"/>
      <w:lvlJc w:val="left"/>
      <w:pPr>
        <w:ind w:left="7985" w:hanging="360"/>
      </w:pPr>
      <w:rPr>
        <w:rFonts w:hint="default"/>
        <w:lang w:val="en-US" w:eastAsia="en-US" w:bidi="ar-SA"/>
      </w:rPr>
    </w:lvl>
  </w:abstractNum>
  <w:abstractNum w:abstractNumId="37" w15:restartNumberingAfterBreak="0">
    <w:nsid w:val="4C6A43C4"/>
    <w:multiLevelType w:val="hybridMultilevel"/>
    <w:tmpl w:val="15AE3860"/>
    <w:lvl w:ilvl="0" w:tplc="2946B18E">
      <w:start w:val="1"/>
      <w:numFmt w:val="low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0658D01E">
      <w:numFmt w:val="bullet"/>
      <w:lvlText w:val="•"/>
      <w:lvlJc w:val="left"/>
      <w:pPr>
        <w:ind w:left="1820" w:hanging="360"/>
      </w:pPr>
      <w:rPr>
        <w:rFonts w:hint="default"/>
        <w:lang w:val="en-US" w:eastAsia="en-US" w:bidi="ar-SA"/>
      </w:rPr>
    </w:lvl>
    <w:lvl w:ilvl="2" w:tplc="BCCED748">
      <w:numFmt w:val="bullet"/>
      <w:lvlText w:val="•"/>
      <w:lvlJc w:val="left"/>
      <w:pPr>
        <w:ind w:left="2701" w:hanging="360"/>
      </w:pPr>
      <w:rPr>
        <w:rFonts w:hint="default"/>
        <w:lang w:val="en-US" w:eastAsia="en-US" w:bidi="ar-SA"/>
      </w:rPr>
    </w:lvl>
    <w:lvl w:ilvl="3" w:tplc="9A02DF08">
      <w:numFmt w:val="bullet"/>
      <w:lvlText w:val="•"/>
      <w:lvlJc w:val="left"/>
      <w:pPr>
        <w:ind w:left="3581" w:hanging="360"/>
      </w:pPr>
      <w:rPr>
        <w:rFonts w:hint="default"/>
        <w:lang w:val="en-US" w:eastAsia="en-US" w:bidi="ar-SA"/>
      </w:rPr>
    </w:lvl>
    <w:lvl w:ilvl="4" w:tplc="CFD4AF88">
      <w:numFmt w:val="bullet"/>
      <w:lvlText w:val="•"/>
      <w:lvlJc w:val="left"/>
      <w:pPr>
        <w:ind w:left="4462" w:hanging="360"/>
      </w:pPr>
      <w:rPr>
        <w:rFonts w:hint="default"/>
        <w:lang w:val="en-US" w:eastAsia="en-US" w:bidi="ar-SA"/>
      </w:rPr>
    </w:lvl>
    <w:lvl w:ilvl="5" w:tplc="66BA7B90">
      <w:numFmt w:val="bullet"/>
      <w:lvlText w:val="•"/>
      <w:lvlJc w:val="left"/>
      <w:pPr>
        <w:ind w:left="5343" w:hanging="360"/>
      </w:pPr>
      <w:rPr>
        <w:rFonts w:hint="default"/>
        <w:lang w:val="en-US" w:eastAsia="en-US" w:bidi="ar-SA"/>
      </w:rPr>
    </w:lvl>
    <w:lvl w:ilvl="6" w:tplc="DC46214E">
      <w:numFmt w:val="bullet"/>
      <w:lvlText w:val="•"/>
      <w:lvlJc w:val="left"/>
      <w:pPr>
        <w:ind w:left="6223" w:hanging="360"/>
      </w:pPr>
      <w:rPr>
        <w:rFonts w:hint="default"/>
        <w:lang w:val="en-US" w:eastAsia="en-US" w:bidi="ar-SA"/>
      </w:rPr>
    </w:lvl>
    <w:lvl w:ilvl="7" w:tplc="FC468FCA">
      <w:numFmt w:val="bullet"/>
      <w:lvlText w:val="•"/>
      <w:lvlJc w:val="left"/>
      <w:pPr>
        <w:ind w:left="7104" w:hanging="360"/>
      </w:pPr>
      <w:rPr>
        <w:rFonts w:hint="default"/>
        <w:lang w:val="en-US" w:eastAsia="en-US" w:bidi="ar-SA"/>
      </w:rPr>
    </w:lvl>
    <w:lvl w:ilvl="8" w:tplc="B1164916">
      <w:numFmt w:val="bullet"/>
      <w:lvlText w:val="•"/>
      <w:lvlJc w:val="left"/>
      <w:pPr>
        <w:ind w:left="7985" w:hanging="360"/>
      </w:pPr>
      <w:rPr>
        <w:rFonts w:hint="default"/>
        <w:lang w:val="en-US" w:eastAsia="en-US" w:bidi="ar-SA"/>
      </w:rPr>
    </w:lvl>
  </w:abstractNum>
  <w:abstractNum w:abstractNumId="38" w15:restartNumberingAfterBreak="0">
    <w:nsid w:val="4D1E4686"/>
    <w:multiLevelType w:val="hybridMultilevel"/>
    <w:tmpl w:val="A1F48FC4"/>
    <w:lvl w:ilvl="0" w:tplc="E3FAA1BE">
      <w:start w:val="1"/>
      <w:numFmt w:val="upp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9208A61A">
      <w:start w:val="1"/>
      <w:numFmt w:val="decimal"/>
      <w:lvlText w:val="%2."/>
      <w:lvlJc w:val="left"/>
      <w:pPr>
        <w:ind w:left="1356" w:hanging="360"/>
      </w:pPr>
      <w:rPr>
        <w:rFonts w:ascii="Arial" w:eastAsia="Arial" w:hAnsi="Arial" w:cs="Arial" w:hint="default"/>
        <w:b w:val="0"/>
        <w:bCs w:val="0"/>
        <w:i w:val="0"/>
        <w:iCs w:val="0"/>
        <w:spacing w:val="-1"/>
        <w:w w:val="99"/>
        <w:sz w:val="20"/>
        <w:szCs w:val="20"/>
        <w:lang w:val="en-US" w:eastAsia="en-US" w:bidi="ar-SA"/>
      </w:rPr>
    </w:lvl>
    <w:lvl w:ilvl="2" w:tplc="E2CA08A4">
      <w:start w:val="1"/>
      <w:numFmt w:val="lowerLetter"/>
      <w:lvlText w:val="%3)"/>
      <w:lvlJc w:val="left"/>
      <w:pPr>
        <w:ind w:left="2246" w:hanging="360"/>
      </w:pPr>
      <w:rPr>
        <w:rFonts w:ascii="Arial" w:eastAsia="Arial" w:hAnsi="Arial" w:cs="Arial" w:hint="default"/>
        <w:b w:val="0"/>
        <w:bCs w:val="0"/>
        <w:i w:val="0"/>
        <w:iCs w:val="0"/>
        <w:spacing w:val="-1"/>
        <w:w w:val="99"/>
        <w:sz w:val="20"/>
        <w:szCs w:val="20"/>
        <w:lang w:val="en-US" w:eastAsia="en-US" w:bidi="ar-SA"/>
      </w:rPr>
    </w:lvl>
    <w:lvl w:ilvl="3" w:tplc="B598F63A">
      <w:start w:val="1"/>
      <w:numFmt w:val="lowerRoman"/>
      <w:lvlText w:val="%4)"/>
      <w:lvlJc w:val="left"/>
      <w:pPr>
        <w:ind w:left="2967" w:hanging="361"/>
      </w:pPr>
      <w:rPr>
        <w:rFonts w:hint="default"/>
        <w:spacing w:val="-2"/>
        <w:w w:val="99"/>
        <w:lang w:val="en-US" w:eastAsia="en-US" w:bidi="ar-SA"/>
      </w:rPr>
    </w:lvl>
    <w:lvl w:ilvl="4" w:tplc="9BF82716">
      <w:numFmt w:val="bullet"/>
      <w:lvlText w:val="•"/>
      <w:lvlJc w:val="left"/>
      <w:pPr>
        <w:ind w:left="3929" w:hanging="361"/>
      </w:pPr>
      <w:rPr>
        <w:rFonts w:hint="default"/>
        <w:lang w:val="en-US" w:eastAsia="en-US" w:bidi="ar-SA"/>
      </w:rPr>
    </w:lvl>
    <w:lvl w:ilvl="5" w:tplc="C890EEBE">
      <w:numFmt w:val="bullet"/>
      <w:lvlText w:val="•"/>
      <w:lvlJc w:val="left"/>
      <w:pPr>
        <w:ind w:left="4898" w:hanging="361"/>
      </w:pPr>
      <w:rPr>
        <w:rFonts w:hint="default"/>
        <w:lang w:val="en-US" w:eastAsia="en-US" w:bidi="ar-SA"/>
      </w:rPr>
    </w:lvl>
    <w:lvl w:ilvl="6" w:tplc="9F3653FE">
      <w:numFmt w:val="bullet"/>
      <w:lvlText w:val="•"/>
      <w:lvlJc w:val="left"/>
      <w:pPr>
        <w:ind w:left="5868" w:hanging="361"/>
      </w:pPr>
      <w:rPr>
        <w:rFonts w:hint="default"/>
        <w:lang w:val="en-US" w:eastAsia="en-US" w:bidi="ar-SA"/>
      </w:rPr>
    </w:lvl>
    <w:lvl w:ilvl="7" w:tplc="C178A8DC">
      <w:numFmt w:val="bullet"/>
      <w:lvlText w:val="•"/>
      <w:lvlJc w:val="left"/>
      <w:pPr>
        <w:ind w:left="6837" w:hanging="361"/>
      </w:pPr>
      <w:rPr>
        <w:rFonts w:hint="default"/>
        <w:lang w:val="en-US" w:eastAsia="en-US" w:bidi="ar-SA"/>
      </w:rPr>
    </w:lvl>
    <w:lvl w:ilvl="8" w:tplc="B074CD08">
      <w:numFmt w:val="bullet"/>
      <w:lvlText w:val="•"/>
      <w:lvlJc w:val="left"/>
      <w:pPr>
        <w:ind w:left="7807" w:hanging="361"/>
      </w:pPr>
      <w:rPr>
        <w:rFonts w:hint="default"/>
        <w:lang w:val="en-US" w:eastAsia="en-US" w:bidi="ar-SA"/>
      </w:rPr>
    </w:lvl>
  </w:abstractNum>
  <w:abstractNum w:abstractNumId="39" w15:restartNumberingAfterBreak="0">
    <w:nsid w:val="53DD1E40"/>
    <w:multiLevelType w:val="hybridMultilevel"/>
    <w:tmpl w:val="6B24DB9E"/>
    <w:lvl w:ilvl="0" w:tplc="CBB6C0E2">
      <w:start w:val="1"/>
      <w:numFmt w:val="lowerLetter"/>
      <w:lvlText w:val="%1)"/>
      <w:lvlJc w:val="left"/>
      <w:pPr>
        <w:ind w:left="943" w:hanging="360"/>
      </w:pPr>
      <w:rPr>
        <w:rFonts w:ascii="Arial" w:eastAsia="Arial" w:hAnsi="Arial" w:cs="Arial" w:hint="default"/>
        <w:b w:val="0"/>
        <w:bCs w:val="0"/>
        <w:i w:val="0"/>
        <w:iCs w:val="0"/>
        <w:color w:val="231F20"/>
        <w:spacing w:val="-1"/>
        <w:w w:val="99"/>
        <w:sz w:val="20"/>
        <w:szCs w:val="20"/>
        <w:lang w:val="en-US" w:eastAsia="en-US" w:bidi="ar-SA"/>
      </w:rPr>
    </w:lvl>
    <w:lvl w:ilvl="1" w:tplc="14AEBBFE">
      <w:numFmt w:val="bullet"/>
      <w:lvlText w:val="•"/>
      <w:lvlJc w:val="left"/>
      <w:pPr>
        <w:ind w:left="1820" w:hanging="360"/>
      </w:pPr>
      <w:rPr>
        <w:rFonts w:hint="default"/>
        <w:lang w:val="en-US" w:eastAsia="en-US" w:bidi="ar-SA"/>
      </w:rPr>
    </w:lvl>
    <w:lvl w:ilvl="2" w:tplc="85CC77B2">
      <w:numFmt w:val="bullet"/>
      <w:lvlText w:val="•"/>
      <w:lvlJc w:val="left"/>
      <w:pPr>
        <w:ind w:left="2701" w:hanging="360"/>
      </w:pPr>
      <w:rPr>
        <w:rFonts w:hint="default"/>
        <w:lang w:val="en-US" w:eastAsia="en-US" w:bidi="ar-SA"/>
      </w:rPr>
    </w:lvl>
    <w:lvl w:ilvl="3" w:tplc="67EAEC36">
      <w:numFmt w:val="bullet"/>
      <w:lvlText w:val="•"/>
      <w:lvlJc w:val="left"/>
      <w:pPr>
        <w:ind w:left="3581" w:hanging="360"/>
      </w:pPr>
      <w:rPr>
        <w:rFonts w:hint="default"/>
        <w:lang w:val="en-US" w:eastAsia="en-US" w:bidi="ar-SA"/>
      </w:rPr>
    </w:lvl>
    <w:lvl w:ilvl="4" w:tplc="7D80F656">
      <w:numFmt w:val="bullet"/>
      <w:lvlText w:val="•"/>
      <w:lvlJc w:val="left"/>
      <w:pPr>
        <w:ind w:left="4462" w:hanging="360"/>
      </w:pPr>
      <w:rPr>
        <w:rFonts w:hint="default"/>
        <w:lang w:val="en-US" w:eastAsia="en-US" w:bidi="ar-SA"/>
      </w:rPr>
    </w:lvl>
    <w:lvl w:ilvl="5" w:tplc="0308B068">
      <w:numFmt w:val="bullet"/>
      <w:lvlText w:val="•"/>
      <w:lvlJc w:val="left"/>
      <w:pPr>
        <w:ind w:left="5343" w:hanging="360"/>
      </w:pPr>
      <w:rPr>
        <w:rFonts w:hint="default"/>
        <w:lang w:val="en-US" w:eastAsia="en-US" w:bidi="ar-SA"/>
      </w:rPr>
    </w:lvl>
    <w:lvl w:ilvl="6" w:tplc="FD58C9C0">
      <w:numFmt w:val="bullet"/>
      <w:lvlText w:val="•"/>
      <w:lvlJc w:val="left"/>
      <w:pPr>
        <w:ind w:left="6223" w:hanging="360"/>
      </w:pPr>
      <w:rPr>
        <w:rFonts w:hint="default"/>
        <w:lang w:val="en-US" w:eastAsia="en-US" w:bidi="ar-SA"/>
      </w:rPr>
    </w:lvl>
    <w:lvl w:ilvl="7" w:tplc="6CE02A22">
      <w:numFmt w:val="bullet"/>
      <w:lvlText w:val="•"/>
      <w:lvlJc w:val="left"/>
      <w:pPr>
        <w:ind w:left="7104" w:hanging="360"/>
      </w:pPr>
      <w:rPr>
        <w:rFonts w:hint="default"/>
        <w:lang w:val="en-US" w:eastAsia="en-US" w:bidi="ar-SA"/>
      </w:rPr>
    </w:lvl>
    <w:lvl w:ilvl="8" w:tplc="D5F47096">
      <w:numFmt w:val="bullet"/>
      <w:lvlText w:val="•"/>
      <w:lvlJc w:val="left"/>
      <w:pPr>
        <w:ind w:left="7985" w:hanging="360"/>
      </w:pPr>
      <w:rPr>
        <w:rFonts w:hint="default"/>
        <w:lang w:val="en-US" w:eastAsia="en-US" w:bidi="ar-SA"/>
      </w:rPr>
    </w:lvl>
  </w:abstractNum>
  <w:abstractNum w:abstractNumId="40" w15:restartNumberingAfterBreak="0">
    <w:nsid w:val="559D1F91"/>
    <w:multiLevelType w:val="hybridMultilevel"/>
    <w:tmpl w:val="47724752"/>
    <w:lvl w:ilvl="0" w:tplc="A7F4A97A">
      <w:numFmt w:val="bullet"/>
      <w:lvlText w:val=""/>
      <w:lvlJc w:val="left"/>
      <w:pPr>
        <w:ind w:left="943" w:hanging="360"/>
      </w:pPr>
      <w:rPr>
        <w:rFonts w:ascii="Symbol" w:eastAsia="Symbol" w:hAnsi="Symbol" w:cs="Symbol" w:hint="default"/>
        <w:b w:val="0"/>
        <w:bCs w:val="0"/>
        <w:i w:val="0"/>
        <w:iCs w:val="0"/>
        <w:spacing w:val="0"/>
        <w:w w:val="99"/>
        <w:sz w:val="20"/>
        <w:szCs w:val="20"/>
        <w:lang w:val="en-US" w:eastAsia="en-US" w:bidi="ar-SA"/>
      </w:rPr>
    </w:lvl>
    <w:lvl w:ilvl="1" w:tplc="50F42ED4">
      <w:numFmt w:val="bullet"/>
      <w:lvlText w:val="•"/>
      <w:lvlJc w:val="left"/>
      <w:pPr>
        <w:ind w:left="1820" w:hanging="360"/>
      </w:pPr>
      <w:rPr>
        <w:rFonts w:hint="default"/>
        <w:lang w:val="en-US" w:eastAsia="en-US" w:bidi="ar-SA"/>
      </w:rPr>
    </w:lvl>
    <w:lvl w:ilvl="2" w:tplc="01D21AC0">
      <w:numFmt w:val="bullet"/>
      <w:lvlText w:val="•"/>
      <w:lvlJc w:val="left"/>
      <w:pPr>
        <w:ind w:left="2701" w:hanging="360"/>
      </w:pPr>
      <w:rPr>
        <w:rFonts w:hint="default"/>
        <w:lang w:val="en-US" w:eastAsia="en-US" w:bidi="ar-SA"/>
      </w:rPr>
    </w:lvl>
    <w:lvl w:ilvl="3" w:tplc="8984310A">
      <w:numFmt w:val="bullet"/>
      <w:lvlText w:val="•"/>
      <w:lvlJc w:val="left"/>
      <w:pPr>
        <w:ind w:left="3581" w:hanging="360"/>
      </w:pPr>
      <w:rPr>
        <w:rFonts w:hint="default"/>
        <w:lang w:val="en-US" w:eastAsia="en-US" w:bidi="ar-SA"/>
      </w:rPr>
    </w:lvl>
    <w:lvl w:ilvl="4" w:tplc="C0CE457C">
      <w:numFmt w:val="bullet"/>
      <w:lvlText w:val="•"/>
      <w:lvlJc w:val="left"/>
      <w:pPr>
        <w:ind w:left="4462" w:hanging="360"/>
      </w:pPr>
      <w:rPr>
        <w:rFonts w:hint="default"/>
        <w:lang w:val="en-US" w:eastAsia="en-US" w:bidi="ar-SA"/>
      </w:rPr>
    </w:lvl>
    <w:lvl w:ilvl="5" w:tplc="0FCC6286">
      <w:numFmt w:val="bullet"/>
      <w:lvlText w:val="•"/>
      <w:lvlJc w:val="left"/>
      <w:pPr>
        <w:ind w:left="5343" w:hanging="360"/>
      </w:pPr>
      <w:rPr>
        <w:rFonts w:hint="default"/>
        <w:lang w:val="en-US" w:eastAsia="en-US" w:bidi="ar-SA"/>
      </w:rPr>
    </w:lvl>
    <w:lvl w:ilvl="6" w:tplc="0EDA40CA">
      <w:numFmt w:val="bullet"/>
      <w:lvlText w:val="•"/>
      <w:lvlJc w:val="left"/>
      <w:pPr>
        <w:ind w:left="6223" w:hanging="360"/>
      </w:pPr>
      <w:rPr>
        <w:rFonts w:hint="default"/>
        <w:lang w:val="en-US" w:eastAsia="en-US" w:bidi="ar-SA"/>
      </w:rPr>
    </w:lvl>
    <w:lvl w:ilvl="7" w:tplc="E97E2780">
      <w:numFmt w:val="bullet"/>
      <w:lvlText w:val="•"/>
      <w:lvlJc w:val="left"/>
      <w:pPr>
        <w:ind w:left="7104" w:hanging="360"/>
      </w:pPr>
      <w:rPr>
        <w:rFonts w:hint="default"/>
        <w:lang w:val="en-US" w:eastAsia="en-US" w:bidi="ar-SA"/>
      </w:rPr>
    </w:lvl>
    <w:lvl w:ilvl="8" w:tplc="C584DD02">
      <w:numFmt w:val="bullet"/>
      <w:lvlText w:val="•"/>
      <w:lvlJc w:val="left"/>
      <w:pPr>
        <w:ind w:left="7985" w:hanging="360"/>
      </w:pPr>
      <w:rPr>
        <w:rFonts w:hint="default"/>
        <w:lang w:val="en-US" w:eastAsia="en-US" w:bidi="ar-SA"/>
      </w:rPr>
    </w:lvl>
  </w:abstractNum>
  <w:abstractNum w:abstractNumId="41" w15:restartNumberingAfterBreak="0">
    <w:nsid w:val="5653015B"/>
    <w:multiLevelType w:val="hybridMultilevel"/>
    <w:tmpl w:val="7AFEC8F0"/>
    <w:lvl w:ilvl="0" w:tplc="1ED41814">
      <w:start w:val="1"/>
      <w:numFmt w:val="lowerLetter"/>
      <w:lvlText w:val="%1)"/>
      <w:lvlJc w:val="left"/>
      <w:pPr>
        <w:ind w:left="943" w:hanging="360"/>
      </w:pPr>
      <w:rPr>
        <w:rFonts w:ascii="Arial" w:eastAsia="Arial" w:hAnsi="Arial" w:cs="Arial" w:hint="default"/>
        <w:b w:val="0"/>
        <w:bCs w:val="0"/>
        <w:i/>
        <w:iCs/>
        <w:spacing w:val="-1"/>
        <w:w w:val="99"/>
        <w:sz w:val="20"/>
        <w:szCs w:val="20"/>
        <w:lang w:val="en-US" w:eastAsia="en-US" w:bidi="ar-SA"/>
      </w:rPr>
    </w:lvl>
    <w:lvl w:ilvl="1" w:tplc="1A0E02D2">
      <w:numFmt w:val="bullet"/>
      <w:lvlText w:val="•"/>
      <w:lvlJc w:val="left"/>
      <w:pPr>
        <w:ind w:left="1820" w:hanging="360"/>
      </w:pPr>
      <w:rPr>
        <w:rFonts w:hint="default"/>
        <w:lang w:val="en-US" w:eastAsia="en-US" w:bidi="ar-SA"/>
      </w:rPr>
    </w:lvl>
    <w:lvl w:ilvl="2" w:tplc="7736B446">
      <w:numFmt w:val="bullet"/>
      <w:lvlText w:val="•"/>
      <w:lvlJc w:val="left"/>
      <w:pPr>
        <w:ind w:left="2701" w:hanging="360"/>
      </w:pPr>
      <w:rPr>
        <w:rFonts w:hint="default"/>
        <w:lang w:val="en-US" w:eastAsia="en-US" w:bidi="ar-SA"/>
      </w:rPr>
    </w:lvl>
    <w:lvl w:ilvl="3" w:tplc="5E1A7CB6">
      <w:numFmt w:val="bullet"/>
      <w:lvlText w:val="•"/>
      <w:lvlJc w:val="left"/>
      <w:pPr>
        <w:ind w:left="3581" w:hanging="360"/>
      </w:pPr>
      <w:rPr>
        <w:rFonts w:hint="default"/>
        <w:lang w:val="en-US" w:eastAsia="en-US" w:bidi="ar-SA"/>
      </w:rPr>
    </w:lvl>
    <w:lvl w:ilvl="4" w:tplc="ADE6D768">
      <w:numFmt w:val="bullet"/>
      <w:lvlText w:val="•"/>
      <w:lvlJc w:val="left"/>
      <w:pPr>
        <w:ind w:left="4462" w:hanging="360"/>
      </w:pPr>
      <w:rPr>
        <w:rFonts w:hint="default"/>
        <w:lang w:val="en-US" w:eastAsia="en-US" w:bidi="ar-SA"/>
      </w:rPr>
    </w:lvl>
    <w:lvl w:ilvl="5" w:tplc="42A05CF8">
      <w:numFmt w:val="bullet"/>
      <w:lvlText w:val="•"/>
      <w:lvlJc w:val="left"/>
      <w:pPr>
        <w:ind w:left="5343" w:hanging="360"/>
      </w:pPr>
      <w:rPr>
        <w:rFonts w:hint="default"/>
        <w:lang w:val="en-US" w:eastAsia="en-US" w:bidi="ar-SA"/>
      </w:rPr>
    </w:lvl>
    <w:lvl w:ilvl="6" w:tplc="0480FF76">
      <w:numFmt w:val="bullet"/>
      <w:lvlText w:val="•"/>
      <w:lvlJc w:val="left"/>
      <w:pPr>
        <w:ind w:left="6223" w:hanging="360"/>
      </w:pPr>
      <w:rPr>
        <w:rFonts w:hint="default"/>
        <w:lang w:val="en-US" w:eastAsia="en-US" w:bidi="ar-SA"/>
      </w:rPr>
    </w:lvl>
    <w:lvl w:ilvl="7" w:tplc="03E4C2AE">
      <w:numFmt w:val="bullet"/>
      <w:lvlText w:val="•"/>
      <w:lvlJc w:val="left"/>
      <w:pPr>
        <w:ind w:left="7104" w:hanging="360"/>
      </w:pPr>
      <w:rPr>
        <w:rFonts w:hint="default"/>
        <w:lang w:val="en-US" w:eastAsia="en-US" w:bidi="ar-SA"/>
      </w:rPr>
    </w:lvl>
    <w:lvl w:ilvl="8" w:tplc="1C346998">
      <w:numFmt w:val="bullet"/>
      <w:lvlText w:val="•"/>
      <w:lvlJc w:val="left"/>
      <w:pPr>
        <w:ind w:left="7985" w:hanging="360"/>
      </w:pPr>
      <w:rPr>
        <w:rFonts w:hint="default"/>
        <w:lang w:val="en-US" w:eastAsia="en-US" w:bidi="ar-SA"/>
      </w:rPr>
    </w:lvl>
  </w:abstractNum>
  <w:abstractNum w:abstractNumId="42" w15:restartNumberingAfterBreak="0">
    <w:nsid w:val="566E76EE"/>
    <w:multiLevelType w:val="hybridMultilevel"/>
    <w:tmpl w:val="DAFA5910"/>
    <w:lvl w:ilvl="0" w:tplc="4E36F48A">
      <w:start w:val="1"/>
      <w:numFmt w:val="decimal"/>
      <w:lvlText w:val="%1."/>
      <w:lvlJc w:val="left"/>
      <w:pPr>
        <w:ind w:left="223" w:hanging="720"/>
      </w:pPr>
      <w:rPr>
        <w:rFonts w:hint="default"/>
        <w:spacing w:val="-1"/>
        <w:w w:val="99"/>
        <w:lang w:val="en-US" w:eastAsia="en-US" w:bidi="ar-SA"/>
      </w:rPr>
    </w:lvl>
    <w:lvl w:ilvl="1" w:tplc="E4F4E5F4">
      <w:start w:val="1"/>
      <w:numFmt w:val="lowerLetter"/>
      <w:lvlText w:val="%2)"/>
      <w:lvlJc w:val="left"/>
      <w:pPr>
        <w:ind w:left="943" w:hanging="360"/>
      </w:pPr>
      <w:rPr>
        <w:rFonts w:ascii="Arial" w:eastAsia="Arial" w:hAnsi="Arial" w:cs="Arial" w:hint="default"/>
        <w:b w:val="0"/>
        <w:bCs w:val="0"/>
        <w:i w:val="0"/>
        <w:iCs w:val="0"/>
        <w:spacing w:val="-1"/>
        <w:w w:val="99"/>
        <w:sz w:val="20"/>
        <w:szCs w:val="20"/>
        <w:lang w:val="en-US" w:eastAsia="en-US" w:bidi="ar-SA"/>
      </w:rPr>
    </w:lvl>
    <w:lvl w:ilvl="2" w:tplc="8280DEA2">
      <w:start w:val="1"/>
      <w:numFmt w:val="lowerRoman"/>
      <w:lvlText w:val="%3)"/>
      <w:lvlJc w:val="left"/>
      <w:pPr>
        <w:ind w:left="1356" w:hanging="360"/>
      </w:pPr>
      <w:rPr>
        <w:rFonts w:ascii="Arial" w:eastAsia="Arial" w:hAnsi="Arial" w:cs="Arial" w:hint="default"/>
        <w:b w:val="0"/>
        <w:bCs w:val="0"/>
        <w:i w:val="0"/>
        <w:iCs w:val="0"/>
        <w:color w:val="231F20"/>
        <w:spacing w:val="-4"/>
        <w:w w:val="99"/>
        <w:sz w:val="20"/>
        <w:szCs w:val="20"/>
        <w:lang w:val="en-US" w:eastAsia="en-US" w:bidi="ar-SA"/>
      </w:rPr>
    </w:lvl>
    <w:lvl w:ilvl="3" w:tplc="AABA151E">
      <w:numFmt w:val="bullet"/>
      <w:lvlText w:val="•"/>
      <w:lvlJc w:val="left"/>
      <w:pPr>
        <w:ind w:left="2408" w:hanging="360"/>
      </w:pPr>
      <w:rPr>
        <w:rFonts w:hint="default"/>
        <w:lang w:val="en-US" w:eastAsia="en-US" w:bidi="ar-SA"/>
      </w:rPr>
    </w:lvl>
    <w:lvl w:ilvl="4" w:tplc="6BC034A2">
      <w:numFmt w:val="bullet"/>
      <w:lvlText w:val="•"/>
      <w:lvlJc w:val="left"/>
      <w:pPr>
        <w:ind w:left="3456" w:hanging="360"/>
      </w:pPr>
      <w:rPr>
        <w:rFonts w:hint="default"/>
        <w:lang w:val="en-US" w:eastAsia="en-US" w:bidi="ar-SA"/>
      </w:rPr>
    </w:lvl>
    <w:lvl w:ilvl="5" w:tplc="B148BA02">
      <w:numFmt w:val="bullet"/>
      <w:lvlText w:val="•"/>
      <w:lvlJc w:val="left"/>
      <w:pPr>
        <w:ind w:left="4504" w:hanging="360"/>
      </w:pPr>
      <w:rPr>
        <w:rFonts w:hint="default"/>
        <w:lang w:val="en-US" w:eastAsia="en-US" w:bidi="ar-SA"/>
      </w:rPr>
    </w:lvl>
    <w:lvl w:ilvl="6" w:tplc="569E5D30">
      <w:numFmt w:val="bullet"/>
      <w:lvlText w:val="•"/>
      <w:lvlJc w:val="left"/>
      <w:pPr>
        <w:ind w:left="5553" w:hanging="360"/>
      </w:pPr>
      <w:rPr>
        <w:rFonts w:hint="default"/>
        <w:lang w:val="en-US" w:eastAsia="en-US" w:bidi="ar-SA"/>
      </w:rPr>
    </w:lvl>
    <w:lvl w:ilvl="7" w:tplc="6D0846E2">
      <w:numFmt w:val="bullet"/>
      <w:lvlText w:val="•"/>
      <w:lvlJc w:val="left"/>
      <w:pPr>
        <w:ind w:left="6601" w:hanging="360"/>
      </w:pPr>
      <w:rPr>
        <w:rFonts w:hint="default"/>
        <w:lang w:val="en-US" w:eastAsia="en-US" w:bidi="ar-SA"/>
      </w:rPr>
    </w:lvl>
    <w:lvl w:ilvl="8" w:tplc="ACE8D860">
      <w:numFmt w:val="bullet"/>
      <w:lvlText w:val="•"/>
      <w:lvlJc w:val="left"/>
      <w:pPr>
        <w:ind w:left="7649" w:hanging="360"/>
      </w:pPr>
      <w:rPr>
        <w:rFonts w:hint="default"/>
        <w:lang w:val="en-US" w:eastAsia="en-US" w:bidi="ar-SA"/>
      </w:rPr>
    </w:lvl>
  </w:abstractNum>
  <w:abstractNum w:abstractNumId="43" w15:restartNumberingAfterBreak="0">
    <w:nsid w:val="583B1F6C"/>
    <w:multiLevelType w:val="hybridMultilevel"/>
    <w:tmpl w:val="693461DC"/>
    <w:lvl w:ilvl="0" w:tplc="AE021344">
      <w:start w:val="1"/>
      <w:numFmt w:val="low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6C126C62">
      <w:start w:val="1"/>
      <w:numFmt w:val="decimal"/>
      <w:lvlText w:val="%2)"/>
      <w:lvlJc w:val="left"/>
      <w:pPr>
        <w:ind w:left="1303" w:hanging="360"/>
      </w:pPr>
      <w:rPr>
        <w:rFonts w:ascii="Arial" w:eastAsia="Arial" w:hAnsi="Arial" w:cs="Arial" w:hint="default"/>
        <w:b w:val="0"/>
        <w:bCs w:val="0"/>
        <w:i w:val="0"/>
        <w:iCs w:val="0"/>
        <w:spacing w:val="-1"/>
        <w:w w:val="99"/>
        <w:sz w:val="20"/>
        <w:szCs w:val="20"/>
        <w:lang w:val="en-US" w:eastAsia="en-US" w:bidi="ar-SA"/>
      </w:rPr>
    </w:lvl>
    <w:lvl w:ilvl="2" w:tplc="5AB64C2C">
      <w:numFmt w:val="bullet"/>
      <w:lvlText w:val="•"/>
      <w:lvlJc w:val="left"/>
      <w:pPr>
        <w:ind w:left="2238" w:hanging="360"/>
      </w:pPr>
      <w:rPr>
        <w:rFonts w:hint="default"/>
        <w:lang w:val="en-US" w:eastAsia="en-US" w:bidi="ar-SA"/>
      </w:rPr>
    </w:lvl>
    <w:lvl w:ilvl="3" w:tplc="8506C6B6">
      <w:numFmt w:val="bullet"/>
      <w:lvlText w:val="•"/>
      <w:lvlJc w:val="left"/>
      <w:pPr>
        <w:ind w:left="3176" w:hanging="360"/>
      </w:pPr>
      <w:rPr>
        <w:rFonts w:hint="default"/>
        <w:lang w:val="en-US" w:eastAsia="en-US" w:bidi="ar-SA"/>
      </w:rPr>
    </w:lvl>
    <w:lvl w:ilvl="4" w:tplc="C012227A">
      <w:numFmt w:val="bullet"/>
      <w:lvlText w:val="•"/>
      <w:lvlJc w:val="left"/>
      <w:pPr>
        <w:ind w:left="4115" w:hanging="360"/>
      </w:pPr>
      <w:rPr>
        <w:rFonts w:hint="default"/>
        <w:lang w:val="en-US" w:eastAsia="en-US" w:bidi="ar-SA"/>
      </w:rPr>
    </w:lvl>
    <w:lvl w:ilvl="5" w:tplc="F7D659DA">
      <w:numFmt w:val="bullet"/>
      <w:lvlText w:val="•"/>
      <w:lvlJc w:val="left"/>
      <w:pPr>
        <w:ind w:left="5053" w:hanging="360"/>
      </w:pPr>
      <w:rPr>
        <w:rFonts w:hint="default"/>
        <w:lang w:val="en-US" w:eastAsia="en-US" w:bidi="ar-SA"/>
      </w:rPr>
    </w:lvl>
    <w:lvl w:ilvl="6" w:tplc="6A56E0F2">
      <w:numFmt w:val="bullet"/>
      <w:lvlText w:val="•"/>
      <w:lvlJc w:val="left"/>
      <w:pPr>
        <w:ind w:left="5992" w:hanging="360"/>
      </w:pPr>
      <w:rPr>
        <w:rFonts w:hint="default"/>
        <w:lang w:val="en-US" w:eastAsia="en-US" w:bidi="ar-SA"/>
      </w:rPr>
    </w:lvl>
    <w:lvl w:ilvl="7" w:tplc="357C223C">
      <w:numFmt w:val="bullet"/>
      <w:lvlText w:val="•"/>
      <w:lvlJc w:val="left"/>
      <w:pPr>
        <w:ind w:left="6930" w:hanging="360"/>
      </w:pPr>
      <w:rPr>
        <w:rFonts w:hint="default"/>
        <w:lang w:val="en-US" w:eastAsia="en-US" w:bidi="ar-SA"/>
      </w:rPr>
    </w:lvl>
    <w:lvl w:ilvl="8" w:tplc="D3F265EE">
      <w:numFmt w:val="bullet"/>
      <w:lvlText w:val="•"/>
      <w:lvlJc w:val="left"/>
      <w:pPr>
        <w:ind w:left="7869" w:hanging="360"/>
      </w:pPr>
      <w:rPr>
        <w:rFonts w:hint="default"/>
        <w:lang w:val="en-US" w:eastAsia="en-US" w:bidi="ar-SA"/>
      </w:rPr>
    </w:lvl>
  </w:abstractNum>
  <w:abstractNum w:abstractNumId="44" w15:restartNumberingAfterBreak="0">
    <w:nsid w:val="598F17E5"/>
    <w:multiLevelType w:val="hybridMultilevel"/>
    <w:tmpl w:val="E5F6CE0A"/>
    <w:lvl w:ilvl="0" w:tplc="15B636BA">
      <w:start w:val="1"/>
      <w:numFmt w:val="lowerLetter"/>
      <w:lvlText w:val="%1)"/>
      <w:lvlJc w:val="left"/>
      <w:pPr>
        <w:ind w:left="943" w:hanging="360"/>
      </w:pPr>
      <w:rPr>
        <w:rFonts w:hint="default"/>
        <w:spacing w:val="-1"/>
        <w:w w:val="99"/>
        <w:lang w:val="en-US" w:eastAsia="en-US" w:bidi="ar-SA"/>
      </w:rPr>
    </w:lvl>
    <w:lvl w:ilvl="1" w:tplc="C5C0FC92">
      <w:numFmt w:val="bullet"/>
      <w:lvlText w:val="•"/>
      <w:lvlJc w:val="left"/>
      <w:pPr>
        <w:ind w:left="1820" w:hanging="360"/>
      </w:pPr>
      <w:rPr>
        <w:rFonts w:hint="default"/>
        <w:lang w:val="en-US" w:eastAsia="en-US" w:bidi="ar-SA"/>
      </w:rPr>
    </w:lvl>
    <w:lvl w:ilvl="2" w:tplc="34A05F90">
      <w:numFmt w:val="bullet"/>
      <w:lvlText w:val="•"/>
      <w:lvlJc w:val="left"/>
      <w:pPr>
        <w:ind w:left="2701" w:hanging="360"/>
      </w:pPr>
      <w:rPr>
        <w:rFonts w:hint="default"/>
        <w:lang w:val="en-US" w:eastAsia="en-US" w:bidi="ar-SA"/>
      </w:rPr>
    </w:lvl>
    <w:lvl w:ilvl="3" w:tplc="9508E848">
      <w:numFmt w:val="bullet"/>
      <w:lvlText w:val="•"/>
      <w:lvlJc w:val="left"/>
      <w:pPr>
        <w:ind w:left="3581" w:hanging="360"/>
      </w:pPr>
      <w:rPr>
        <w:rFonts w:hint="default"/>
        <w:lang w:val="en-US" w:eastAsia="en-US" w:bidi="ar-SA"/>
      </w:rPr>
    </w:lvl>
    <w:lvl w:ilvl="4" w:tplc="8EAE3AD8">
      <w:numFmt w:val="bullet"/>
      <w:lvlText w:val="•"/>
      <w:lvlJc w:val="left"/>
      <w:pPr>
        <w:ind w:left="4462" w:hanging="360"/>
      </w:pPr>
      <w:rPr>
        <w:rFonts w:hint="default"/>
        <w:lang w:val="en-US" w:eastAsia="en-US" w:bidi="ar-SA"/>
      </w:rPr>
    </w:lvl>
    <w:lvl w:ilvl="5" w:tplc="E47A9BFE">
      <w:numFmt w:val="bullet"/>
      <w:lvlText w:val="•"/>
      <w:lvlJc w:val="left"/>
      <w:pPr>
        <w:ind w:left="5343" w:hanging="360"/>
      </w:pPr>
      <w:rPr>
        <w:rFonts w:hint="default"/>
        <w:lang w:val="en-US" w:eastAsia="en-US" w:bidi="ar-SA"/>
      </w:rPr>
    </w:lvl>
    <w:lvl w:ilvl="6" w:tplc="F8C8DABC">
      <w:numFmt w:val="bullet"/>
      <w:lvlText w:val="•"/>
      <w:lvlJc w:val="left"/>
      <w:pPr>
        <w:ind w:left="6223" w:hanging="360"/>
      </w:pPr>
      <w:rPr>
        <w:rFonts w:hint="default"/>
        <w:lang w:val="en-US" w:eastAsia="en-US" w:bidi="ar-SA"/>
      </w:rPr>
    </w:lvl>
    <w:lvl w:ilvl="7" w:tplc="052488E6">
      <w:numFmt w:val="bullet"/>
      <w:lvlText w:val="•"/>
      <w:lvlJc w:val="left"/>
      <w:pPr>
        <w:ind w:left="7104" w:hanging="360"/>
      </w:pPr>
      <w:rPr>
        <w:rFonts w:hint="default"/>
        <w:lang w:val="en-US" w:eastAsia="en-US" w:bidi="ar-SA"/>
      </w:rPr>
    </w:lvl>
    <w:lvl w:ilvl="8" w:tplc="45E26036">
      <w:numFmt w:val="bullet"/>
      <w:lvlText w:val="•"/>
      <w:lvlJc w:val="left"/>
      <w:pPr>
        <w:ind w:left="7985" w:hanging="360"/>
      </w:pPr>
      <w:rPr>
        <w:rFonts w:hint="default"/>
        <w:lang w:val="en-US" w:eastAsia="en-US" w:bidi="ar-SA"/>
      </w:rPr>
    </w:lvl>
  </w:abstractNum>
  <w:abstractNum w:abstractNumId="45" w15:restartNumberingAfterBreak="0">
    <w:nsid w:val="5EF949E3"/>
    <w:multiLevelType w:val="hybridMultilevel"/>
    <w:tmpl w:val="971A555C"/>
    <w:lvl w:ilvl="0" w:tplc="3F2CDB9E">
      <w:start w:val="1"/>
      <w:numFmt w:val="lowerLetter"/>
      <w:lvlText w:val="%1)"/>
      <w:lvlJc w:val="left"/>
      <w:pPr>
        <w:ind w:left="943" w:hanging="360"/>
      </w:pPr>
      <w:rPr>
        <w:rFonts w:hint="default"/>
        <w:spacing w:val="-1"/>
        <w:w w:val="99"/>
        <w:lang w:val="en-US" w:eastAsia="en-US" w:bidi="ar-SA"/>
      </w:rPr>
    </w:lvl>
    <w:lvl w:ilvl="1" w:tplc="ED125132">
      <w:numFmt w:val="bullet"/>
      <w:lvlText w:val="•"/>
      <w:lvlJc w:val="left"/>
      <w:pPr>
        <w:ind w:left="1820" w:hanging="360"/>
      </w:pPr>
      <w:rPr>
        <w:rFonts w:hint="default"/>
        <w:lang w:val="en-US" w:eastAsia="en-US" w:bidi="ar-SA"/>
      </w:rPr>
    </w:lvl>
    <w:lvl w:ilvl="2" w:tplc="5F4655D2">
      <w:numFmt w:val="bullet"/>
      <w:lvlText w:val="•"/>
      <w:lvlJc w:val="left"/>
      <w:pPr>
        <w:ind w:left="2701" w:hanging="360"/>
      </w:pPr>
      <w:rPr>
        <w:rFonts w:hint="default"/>
        <w:lang w:val="en-US" w:eastAsia="en-US" w:bidi="ar-SA"/>
      </w:rPr>
    </w:lvl>
    <w:lvl w:ilvl="3" w:tplc="EA3A3C44">
      <w:numFmt w:val="bullet"/>
      <w:lvlText w:val="•"/>
      <w:lvlJc w:val="left"/>
      <w:pPr>
        <w:ind w:left="3581" w:hanging="360"/>
      </w:pPr>
      <w:rPr>
        <w:rFonts w:hint="default"/>
        <w:lang w:val="en-US" w:eastAsia="en-US" w:bidi="ar-SA"/>
      </w:rPr>
    </w:lvl>
    <w:lvl w:ilvl="4" w:tplc="73B45D6C">
      <w:numFmt w:val="bullet"/>
      <w:lvlText w:val="•"/>
      <w:lvlJc w:val="left"/>
      <w:pPr>
        <w:ind w:left="4462" w:hanging="360"/>
      </w:pPr>
      <w:rPr>
        <w:rFonts w:hint="default"/>
        <w:lang w:val="en-US" w:eastAsia="en-US" w:bidi="ar-SA"/>
      </w:rPr>
    </w:lvl>
    <w:lvl w:ilvl="5" w:tplc="5130F83E">
      <w:numFmt w:val="bullet"/>
      <w:lvlText w:val="•"/>
      <w:lvlJc w:val="left"/>
      <w:pPr>
        <w:ind w:left="5343" w:hanging="360"/>
      </w:pPr>
      <w:rPr>
        <w:rFonts w:hint="default"/>
        <w:lang w:val="en-US" w:eastAsia="en-US" w:bidi="ar-SA"/>
      </w:rPr>
    </w:lvl>
    <w:lvl w:ilvl="6" w:tplc="29F63F08">
      <w:numFmt w:val="bullet"/>
      <w:lvlText w:val="•"/>
      <w:lvlJc w:val="left"/>
      <w:pPr>
        <w:ind w:left="6223" w:hanging="360"/>
      </w:pPr>
      <w:rPr>
        <w:rFonts w:hint="default"/>
        <w:lang w:val="en-US" w:eastAsia="en-US" w:bidi="ar-SA"/>
      </w:rPr>
    </w:lvl>
    <w:lvl w:ilvl="7" w:tplc="8C0E768C">
      <w:numFmt w:val="bullet"/>
      <w:lvlText w:val="•"/>
      <w:lvlJc w:val="left"/>
      <w:pPr>
        <w:ind w:left="7104" w:hanging="360"/>
      </w:pPr>
      <w:rPr>
        <w:rFonts w:hint="default"/>
        <w:lang w:val="en-US" w:eastAsia="en-US" w:bidi="ar-SA"/>
      </w:rPr>
    </w:lvl>
    <w:lvl w:ilvl="8" w:tplc="4EDCCEC8">
      <w:numFmt w:val="bullet"/>
      <w:lvlText w:val="•"/>
      <w:lvlJc w:val="left"/>
      <w:pPr>
        <w:ind w:left="7985" w:hanging="360"/>
      </w:pPr>
      <w:rPr>
        <w:rFonts w:hint="default"/>
        <w:lang w:val="en-US" w:eastAsia="en-US" w:bidi="ar-SA"/>
      </w:rPr>
    </w:lvl>
  </w:abstractNum>
  <w:abstractNum w:abstractNumId="46" w15:restartNumberingAfterBreak="0">
    <w:nsid w:val="61891F0B"/>
    <w:multiLevelType w:val="hybridMultilevel"/>
    <w:tmpl w:val="29089BB0"/>
    <w:lvl w:ilvl="0" w:tplc="5D6A04C8">
      <w:start w:val="1"/>
      <w:numFmt w:val="decimal"/>
      <w:lvlText w:val="%1."/>
      <w:lvlJc w:val="left"/>
      <w:pPr>
        <w:ind w:left="223" w:hanging="720"/>
      </w:pPr>
      <w:rPr>
        <w:rFonts w:hint="default"/>
        <w:spacing w:val="-1"/>
        <w:w w:val="99"/>
        <w:lang w:val="en-US" w:eastAsia="en-US" w:bidi="ar-SA"/>
      </w:rPr>
    </w:lvl>
    <w:lvl w:ilvl="1" w:tplc="EA8A54DE">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2" w:tplc="32DA2518">
      <w:start w:val="1"/>
      <w:numFmt w:val="decimal"/>
      <w:lvlText w:val="%3."/>
      <w:lvlJc w:val="left"/>
      <w:pPr>
        <w:ind w:left="1622" w:hanging="226"/>
      </w:pPr>
      <w:rPr>
        <w:rFonts w:ascii="Arial" w:eastAsia="Arial" w:hAnsi="Arial" w:cs="Arial" w:hint="default"/>
        <w:b w:val="0"/>
        <w:bCs w:val="0"/>
        <w:i w:val="0"/>
        <w:iCs w:val="0"/>
        <w:spacing w:val="-8"/>
        <w:w w:val="99"/>
        <w:sz w:val="20"/>
        <w:szCs w:val="20"/>
        <w:lang w:val="en-US" w:eastAsia="en-US" w:bidi="ar-SA"/>
      </w:rPr>
    </w:lvl>
    <w:lvl w:ilvl="3" w:tplc="6F5CAD30">
      <w:numFmt w:val="bullet"/>
      <w:lvlText w:val="•"/>
      <w:lvlJc w:val="left"/>
      <w:pPr>
        <w:ind w:left="3425" w:hanging="226"/>
      </w:pPr>
      <w:rPr>
        <w:rFonts w:hint="default"/>
        <w:lang w:val="en-US" w:eastAsia="en-US" w:bidi="ar-SA"/>
      </w:rPr>
    </w:lvl>
    <w:lvl w:ilvl="4" w:tplc="84F4E2E0">
      <w:numFmt w:val="bullet"/>
      <w:lvlText w:val="•"/>
      <w:lvlJc w:val="left"/>
      <w:pPr>
        <w:ind w:left="4328" w:hanging="226"/>
      </w:pPr>
      <w:rPr>
        <w:rFonts w:hint="default"/>
        <w:lang w:val="en-US" w:eastAsia="en-US" w:bidi="ar-SA"/>
      </w:rPr>
    </w:lvl>
    <w:lvl w:ilvl="5" w:tplc="27FA21DE">
      <w:numFmt w:val="bullet"/>
      <w:lvlText w:val="•"/>
      <w:lvlJc w:val="left"/>
      <w:pPr>
        <w:ind w:left="5231" w:hanging="226"/>
      </w:pPr>
      <w:rPr>
        <w:rFonts w:hint="default"/>
        <w:lang w:val="en-US" w:eastAsia="en-US" w:bidi="ar-SA"/>
      </w:rPr>
    </w:lvl>
    <w:lvl w:ilvl="6" w:tplc="C9AC5F80">
      <w:numFmt w:val="bullet"/>
      <w:lvlText w:val="•"/>
      <w:lvlJc w:val="left"/>
      <w:pPr>
        <w:ind w:left="6134" w:hanging="226"/>
      </w:pPr>
      <w:rPr>
        <w:rFonts w:hint="default"/>
        <w:lang w:val="en-US" w:eastAsia="en-US" w:bidi="ar-SA"/>
      </w:rPr>
    </w:lvl>
    <w:lvl w:ilvl="7" w:tplc="4E44FF0E">
      <w:numFmt w:val="bullet"/>
      <w:lvlText w:val="•"/>
      <w:lvlJc w:val="left"/>
      <w:pPr>
        <w:ind w:left="7037" w:hanging="226"/>
      </w:pPr>
      <w:rPr>
        <w:rFonts w:hint="default"/>
        <w:lang w:val="en-US" w:eastAsia="en-US" w:bidi="ar-SA"/>
      </w:rPr>
    </w:lvl>
    <w:lvl w:ilvl="8" w:tplc="4DB6A44C">
      <w:numFmt w:val="bullet"/>
      <w:lvlText w:val="•"/>
      <w:lvlJc w:val="left"/>
      <w:pPr>
        <w:ind w:left="7940" w:hanging="226"/>
      </w:pPr>
      <w:rPr>
        <w:rFonts w:hint="default"/>
        <w:lang w:val="en-US" w:eastAsia="en-US" w:bidi="ar-SA"/>
      </w:rPr>
    </w:lvl>
  </w:abstractNum>
  <w:abstractNum w:abstractNumId="47" w15:restartNumberingAfterBreak="0">
    <w:nsid w:val="64D51DCE"/>
    <w:multiLevelType w:val="hybridMultilevel"/>
    <w:tmpl w:val="4DA654BC"/>
    <w:lvl w:ilvl="0" w:tplc="2B2A305A">
      <w:start w:val="1"/>
      <w:numFmt w:val="lowerLetter"/>
      <w:lvlText w:val="%1)"/>
      <w:lvlJc w:val="left"/>
      <w:pPr>
        <w:ind w:left="943" w:hanging="360"/>
      </w:pPr>
      <w:rPr>
        <w:rFonts w:hint="default"/>
        <w:spacing w:val="-1"/>
        <w:w w:val="88"/>
        <w:lang w:val="en-US" w:eastAsia="en-US" w:bidi="ar-SA"/>
      </w:rPr>
    </w:lvl>
    <w:lvl w:ilvl="1" w:tplc="5F940DD8">
      <w:numFmt w:val="bullet"/>
      <w:lvlText w:val="•"/>
      <w:lvlJc w:val="left"/>
      <w:pPr>
        <w:ind w:left="1820" w:hanging="360"/>
      </w:pPr>
      <w:rPr>
        <w:rFonts w:hint="default"/>
        <w:lang w:val="en-US" w:eastAsia="en-US" w:bidi="ar-SA"/>
      </w:rPr>
    </w:lvl>
    <w:lvl w:ilvl="2" w:tplc="99B413DC">
      <w:numFmt w:val="bullet"/>
      <w:lvlText w:val="•"/>
      <w:lvlJc w:val="left"/>
      <w:pPr>
        <w:ind w:left="2701" w:hanging="360"/>
      </w:pPr>
      <w:rPr>
        <w:rFonts w:hint="default"/>
        <w:lang w:val="en-US" w:eastAsia="en-US" w:bidi="ar-SA"/>
      </w:rPr>
    </w:lvl>
    <w:lvl w:ilvl="3" w:tplc="2870B9C6">
      <w:numFmt w:val="bullet"/>
      <w:lvlText w:val="•"/>
      <w:lvlJc w:val="left"/>
      <w:pPr>
        <w:ind w:left="3581" w:hanging="360"/>
      </w:pPr>
      <w:rPr>
        <w:rFonts w:hint="default"/>
        <w:lang w:val="en-US" w:eastAsia="en-US" w:bidi="ar-SA"/>
      </w:rPr>
    </w:lvl>
    <w:lvl w:ilvl="4" w:tplc="7FF09F7E">
      <w:numFmt w:val="bullet"/>
      <w:lvlText w:val="•"/>
      <w:lvlJc w:val="left"/>
      <w:pPr>
        <w:ind w:left="4462" w:hanging="360"/>
      </w:pPr>
      <w:rPr>
        <w:rFonts w:hint="default"/>
        <w:lang w:val="en-US" w:eastAsia="en-US" w:bidi="ar-SA"/>
      </w:rPr>
    </w:lvl>
    <w:lvl w:ilvl="5" w:tplc="2126F958">
      <w:numFmt w:val="bullet"/>
      <w:lvlText w:val="•"/>
      <w:lvlJc w:val="left"/>
      <w:pPr>
        <w:ind w:left="5343" w:hanging="360"/>
      </w:pPr>
      <w:rPr>
        <w:rFonts w:hint="default"/>
        <w:lang w:val="en-US" w:eastAsia="en-US" w:bidi="ar-SA"/>
      </w:rPr>
    </w:lvl>
    <w:lvl w:ilvl="6" w:tplc="40BAB55A">
      <w:numFmt w:val="bullet"/>
      <w:lvlText w:val="•"/>
      <w:lvlJc w:val="left"/>
      <w:pPr>
        <w:ind w:left="6223" w:hanging="360"/>
      </w:pPr>
      <w:rPr>
        <w:rFonts w:hint="default"/>
        <w:lang w:val="en-US" w:eastAsia="en-US" w:bidi="ar-SA"/>
      </w:rPr>
    </w:lvl>
    <w:lvl w:ilvl="7" w:tplc="C516747C">
      <w:numFmt w:val="bullet"/>
      <w:lvlText w:val="•"/>
      <w:lvlJc w:val="left"/>
      <w:pPr>
        <w:ind w:left="7104" w:hanging="360"/>
      </w:pPr>
      <w:rPr>
        <w:rFonts w:hint="default"/>
        <w:lang w:val="en-US" w:eastAsia="en-US" w:bidi="ar-SA"/>
      </w:rPr>
    </w:lvl>
    <w:lvl w:ilvl="8" w:tplc="2DBA9100">
      <w:numFmt w:val="bullet"/>
      <w:lvlText w:val="•"/>
      <w:lvlJc w:val="left"/>
      <w:pPr>
        <w:ind w:left="7985" w:hanging="360"/>
      </w:pPr>
      <w:rPr>
        <w:rFonts w:hint="default"/>
        <w:lang w:val="en-US" w:eastAsia="en-US" w:bidi="ar-SA"/>
      </w:rPr>
    </w:lvl>
  </w:abstractNum>
  <w:abstractNum w:abstractNumId="48" w15:restartNumberingAfterBreak="0">
    <w:nsid w:val="694A06D6"/>
    <w:multiLevelType w:val="hybridMultilevel"/>
    <w:tmpl w:val="DB562F36"/>
    <w:lvl w:ilvl="0" w:tplc="8C68132A">
      <w:start w:val="1"/>
      <w:numFmt w:val="lowerLetter"/>
      <w:lvlText w:val="%1)"/>
      <w:lvlJc w:val="left"/>
      <w:pPr>
        <w:ind w:left="943" w:hanging="360"/>
      </w:pPr>
      <w:rPr>
        <w:rFonts w:ascii="Arial" w:eastAsia="Arial" w:hAnsi="Arial" w:cs="Arial" w:hint="default"/>
        <w:b/>
        <w:bCs/>
        <w:i/>
        <w:iCs/>
        <w:spacing w:val="-1"/>
        <w:w w:val="99"/>
        <w:sz w:val="20"/>
        <w:szCs w:val="20"/>
        <w:u w:val="thick" w:color="000000"/>
        <w:lang w:val="en-US" w:eastAsia="en-US" w:bidi="ar-SA"/>
      </w:rPr>
    </w:lvl>
    <w:lvl w:ilvl="1" w:tplc="AFFCC6DC">
      <w:numFmt w:val="bullet"/>
      <w:lvlText w:val="•"/>
      <w:lvlJc w:val="left"/>
      <w:pPr>
        <w:ind w:left="1820" w:hanging="360"/>
      </w:pPr>
      <w:rPr>
        <w:rFonts w:hint="default"/>
        <w:lang w:val="en-US" w:eastAsia="en-US" w:bidi="ar-SA"/>
      </w:rPr>
    </w:lvl>
    <w:lvl w:ilvl="2" w:tplc="98EE7B48">
      <w:numFmt w:val="bullet"/>
      <w:lvlText w:val="•"/>
      <w:lvlJc w:val="left"/>
      <w:pPr>
        <w:ind w:left="2701" w:hanging="360"/>
      </w:pPr>
      <w:rPr>
        <w:rFonts w:hint="default"/>
        <w:lang w:val="en-US" w:eastAsia="en-US" w:bidi="ar-SA"/>
      </w:rPr>
    </w:lvl>
    <w:lvl w:ilvl="3" w:tplc="09B49CDE">
      <w:numFmt w:val="bullet"/>
      <w:lvlText w:val="•"/>
      <w:lvlJc w:val="left"/>
      <w:pPr>
        <w:ind w:left="3581" w:hanging="360"/>
      </w:pPr>
      <w:rPr>
        <w:rFonts w:hint="default"/>
        <w:lang w:val="en-US" w:eastAsia="en-US" w:bidi="ar-SA"/>
      </w:rPr>
    </w:lvl>
    <w:lvl w:ilvl="4" w:tplc="A202BE5A">
      <w:numFmt w:val="bullet"/>
      <w:lvlText w:val="•"/>
      <w:lvlJc w:val="left"/>
      <w:pPr>
        <w:ind w:left="4462" w:hanging="360"/>
      </w:pPr>
      <w:rPr>
        <w:rFonts w:hint="default"/>
        <w:lang w:val="en-US" w:eastAsia="en-US" w:bidi="ar-SA"/>
      </w:rPr>
    </w:lvl>
    <w:lvl w:ilvl="5" w:tplc="FD22B246">
      <w:numFmt w:val="bullet"/>
      <w:lvlText w:val="•"/>
      <w:lvlJc w:val="left"/>
      <w:pPr>
        <w:ind w:left="5343" w:hanging="360"/>
      </w:pPr>
      <w:rPr>
        <w:rFonts w:hint="default"/>
        <w:lang w:val="en-US" w:eastAsia="en-US" w:bidi="ar-SA"/>
      </w:rPr>
    </w:lvl>
    <w:lvl w:ilvl="6" w:tplc="9C5A94AC">
      <w:numFmt w:val="bullet"/>
      <w:lvlText w:val="•"/>
      <w:lvlJc w:val="left"/>
      <w:pPr>
        <w:ind w:left="6223" w:hanging="360"/>
      </w:pPr>
      <w:rPr>
        <w:rFonts w:hint="default"/>
        <w:lang w:val="en-US" w:eastAsia="en-US" w:bidi="ar-SA"/>
      </w:rPr>
    </w:lvl>
    <w:lvl w:ilvl="7" w:tplc="F42CEDDE">
      <w:numFmt w:val="bullet"/>
      <w:lvlText w:val="•"/>
      <w:lvlJc w:val="left"/>
      <w:pPr>
        <w:ind w:left="7104" w:hanging="360"/>
      </w:pPr>
      <w:rPr>
        <w:rFonts w:hint="default"/>
        <w:lang w:val="en-US" w:eastAsia="en-US" w:bidi="ar-SA"/>
      </w:rPr>
    </w:lvl>
    <w:lvl w:ilvl="8" w:tplc="203CE000">
      <w:numFmt w:val="bullet"/>
      <w:lvlText w:val="•"/>
      <w:lvlJc w:val="left"/>
      <w:pPr>
        <w:ind w:left="7985" w:hanging="360"/>
      </w:pPr>
      <w:rPr>
        <w:rFonts w:hint="default"/>
        <w:lang w:val="en-US" w:eastAsia="en-US" w:bidi="ar-SA"/>
      </w:rPr>
    </w:lvl>
  </w:abstractNum>
  <w:abstractNum w:abstractNumId="49" w15:restartNumberingAfterBreak="0">
    <w:nsid w:val="695124AB"/>
    <w:multiLevelType w:val="hybridMultilevel"/>
    <w:tmpl w:val="DBF83948"/>
    <w:lvl w:ilvl="0" w:tplc="CBE6C23A">
      <w:start w:val="1"/>
      <w:numFmt w:val="decimal"/>
      <w:lvlText w:val="%1."/>
      <w:lvlJc w:val="left"/>
      <w:pPr>
        <w:ind w:left="223" w:hanging="720"/>
      </w:pPr>
      <w:rPr>
        <w:rFonts w:hint="default"/>
        <w:spacing w:val="-1"/>
        <w:w w:val="99"/>
        <w:lang w:val="en-US" w:eastAsia="en-US" w:bidi="ar-SA"/>
      </w:rPr>
    </w:lvl>
    <w:lvl w:ilvl="1" w:tplc="C1522300">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2" w:tplc="3B7A039A">
      <w:numFmt w:val="bullet"/>
      <w:lvlText w:val="•"/>
      <w:lvlJc w:val="left"/>
      <w:pPr>
        <w:ind w:left="2522" w:hanging="339"/>
      </w:pPr>
      <w:rPr>
        <w:rFonts w:hint="default"/>
        <w:lang w:val="en-US" w:eastAsia="en-US" w:bidi="ar-SA"/>
      </w:rPr>
    </w:lvl>
    <w:lvl w:ilvl="3" w:tplc="A84C176A">
      <w:numFmt w:val="bullet"/>
      <w:lvlText w:val="•"/>
      <w:lvlJc w:val="left"/>
      <w:pPr>
        <w:ind w:left="3425" w:hanging="339"/>
      </w:pPr>
      <w:rPr>
        <w:rFonts w:hint="default"/>
        <w:lang w:val="en-US" w:eastAsia="en-US" w:bidi="ar-SA"/>
      </w:rPr>
    </w:lvl>
    <w:lvl w:ilvl="4" w:tplc="A4888254">
      <w:numFmt w:val="bullet"/>
      <w:lvlText w:val="•"/>
      <w:lvlJc w:val="left"/>
      <w:pPr>
        <w:ind w:left="4328" w:hanging="339"/>
      </w:pPr>
      <w:rPr>
        <w:rFonts w:hint="default"/>
        <w:lang w:val="en-US" w:eastAsia="en-US" w:bidi="ar-SA"/>
      </w:rPr>
    </w:lvl>
    <w:lvl w:ilvl="5" w:tplc="34CE3936">
      <w:numFmt w:val="bullet"/>
      <w:lvlText w:val="•"/>
      <w:lvlJc w:val="left"/>
      <w:pPr>
        <w:ind w:left="5231" w:hanging="339"/>
      </w:pPr>
      <w:rPr>
        <w:rFonts w:hint="default"/>
        <w:lang w:val="en-US" w:eastAsia="en-US" w:bidi="ar-SA"/>
      </w:rPr>
    </w:lvl>
    <w:lvl w:ilvl="6" w:tplc="4C2E12A0">
      <w:numFmt w:val="bullet"/>
      <w:lvlText w:val="•"/>
      <w:lvlJc w:val="left"/>
      <w:pPr>
        <w:ind w:left="6134" w:hanging="339"/>
      </w:pPr>
      <w:rPr>
        <w:rFonts w:hint="default"/>
        <w:lang w:val="en-US" w:eastAsia="en-US" w:bidi="ar-SA"/>
      </w:rPr>
    </w:lvl>
    <w:lvl w:ilvl="7" w:tplc="EB34C8A2">
      <w:numFmt w:val="bullet"/>
      <w:lvlText w:val="•"/>
      <w:lvlJc w:val="left"/>
      <w:pPr>
        <w:ind w:left="7037" w:hanging="339"/>
      </w:pPr>
      <w:rPr>
        <w:rFonts w:hint="default"/>
        <w:lang w:val="en-US" w:eastAsia="en-US" w:bidi="ar-SA"/>
      </w:rPr>
    </w:lvl>
    <w:lvl w:ilvl="8" w:tplc="8DFEBA5C">
      <w:numFmt w:val="bullet"/>
      <w:lvlText w:val="•"/>
      <w:lvlJc w:val="left"/>
      <w:pPr>
        <w:ind w:left="7940" w:hanging="339"/>
      </w:pPr>
      <w:rPr>
        <w:rFonts w:hint="default"/>
        <w:lang w:val="en-US" w:eastAsia="en-US" w:bidi="ar-SA"/>
      </w:rPr>
    </w:lvl>
  </w:abstractNum>
  <w:abstractNum w:abstractNumId="50" w15:restartNumberingAfterBreak="0">
    <w:nsid w:val="6A5928E5"/>
    <w:multiLevelType w:val="hybridMultilevel"/>
    <w:tmpl w:val="24BEFA8A"/>
    <w:lvl w:ilvl="0" w:tplc="3D960FEE">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686C816C">
      <w:numFmt w:val="bullet"/>
      <w:lvlText w:val="•"/>
      <w:lvlJc w:val="left"/>
      <w:pPr>
        <w:ind w:left="2432" w:hanging="339"/>
      </w:pPr>
      <w:rPr>
        <w:rFonts w:hint="default"/>
        <w:lang w:val="en-US" w:eastAsia="en-US" w:bidi="ar-SA"/>
      </w:rPr>
    </w:lvl>
    <w:lvl w:ilvl="2" w:tplc="9D88D430">
      <w:numFmt w:val="bullet"/>
      <w:lvlText w:val="•"/>
      <w:lvlJc w:val="left"/>
      <w:pPr>
        <w:ind w:left="3245" w:hanging="339"/>
      </w:pPr>
      <w:rPr>
        <w:rFonts w:hint="default"/>
        <w:lang w:val="en-US" w:eastAsia="en-US" w:bidi="ar-SA"/>
      </w:rPr>
    </w:lvl>
    <w:lvl w:ilvl="3" w:tplc="E10E6CDC">
      <w:numFmt w:val="bullet"/>
      <w:lvlText w:val="•"/>
      <w:lvlJc w:val="left"/>
      <w:pPr>
        <w:ind w:left="4057" w:hanging="339"/>
      </w:pPr>
      <w:rPr>
        <w:rFonts w:hint="default"/>
        <w:lang w:val="en-US" w:eastAsia="en-US" w:bidi="ar-SA"/>
      </w:rPr>
    </w:lvl>
    <w:lvl w:ilvl="4" w:tplc="D4C64598">
      <w:numFmt w:val="bullet"/>
      <w:lvlText w:val="•"/>
      <w:lvlJc w:val="left"/>
      <w:pPr>
        <w:ind w:left="4870" w:hanging="339"/>
      </w:pPr>
      <w:rPr>
        <w:rFonts w:hint="default"/>
        <w:lang w:val="en-US" w:eastAsia="en-US" w:bidi="ar-SA"/>
      </w:rPr>
    </w:lvl>
    <w:lvl w:ilvl="5" w:tplc="31D8B330">
      <w:numFmt w:val="bullet"/>
      <w:lvlText w:val="•"/>
      <w:lvlJc w:val="left"/>
      <w:pPr>
        <w:ind w:left="5683" w:hanging="339"/>
      </w:pPr>
      <w:rPr>
        <w:rFonts w:hint="default"/>
        <w:lang w:val="en-US" w:eastAsia="en-US" w:bidi="ar-SA"/>
      </w:rPr>
    </w:lvl>
    <w:lvl w:ilvl="6" w:tplc="DBF00D22">
      <w:numFmt w:val="bullet"/>
      <w:lvlText w:val="•"/>
      <w:lvlJc w:val="left"/>
      <w:pPr>
        <w:ind w:left="6495" w:hanging="339"/>
      </w:pPr>
      <w:rPr>
        <w:rFonts w:hint="default"/>
        <w:lang w:val="en-US" w:eastAsia="en-US" w:bidi="ar-SA"/>
      </w:rPr>
    </w:lvl>
    <w:lvl w:ilvl="7" w:tplc="15665F74">
      <w:numFmt w:val="bullet"/>
      <w:lvlText w:val="•"/>
      <w:lvlJc w:val="left"/>
      <w:pPr>
        <w:ind w:left="7308" w:hanging="339"/>
      </w:pPr>
      <w:rPr>
        <w:rFonts w:hint="default"/>
        <w:lang w:val="en-US" w:eastAsia="en-US" w:bidi="ar-SA"/>
      </w:rPr>
    </w:lvl>
    <w:lvl w:ilvl="8" w:tplc="7DFEFC44">
      <w:numFmt w:val="bullet"/>
      <w:lvlText w:val="•"/>
      <w:lvlJc w:val="left"/>
      <w:pPr>
        <w:ind w:left="8121" w:hanging="339"/>
      </w:pPr>
      <w:rPr>
        <w:rFonts w:hint="default"/>
        <w:lang w:val="en-US" w:eastAsia="en-US" w:bidi="ar-SA"/>
      </w:rPr>
    </w:lvl>
  </w:abstractNum>
  <w:abstractNum w:abstractNumId="51" w15:restartNumberingAfterBreak="0">
    <w:nsid w:val="6C2505F6"/>
    <w:multiLevelType w:val="hybridMultilevel"/>
    <w:tmpl w:val="CE1A50DC"/>
    <w:lvl w:ilvl="0" w:tplc="699E37A0">
      <w:start w:val="9"/>
      <w:numFmt w:val="decimal"/>
      <w:lvlText w:val="%1."/>
      <w:lvlJc w:val="left"/>
      <w:pPr>
        <w:ind w:left="1061" w:hanging="214"/>
      </w:pPr>
      <w:rPr>
        <w:rFonts w:ascii="Arial" w:eastAsia="Arial" w:hAnsi="Arial" w:cs="Arial" w:hint="default"/>
        <w:b w:val="0"/>
        <w:bCs w:val="0"/>
        <w:i/>
        <w:iCs/>
        <w:spacing w:val="-3"/>
        <w:w w:val="99"/>
        <w:sz w:val="20"/>
        <w:szCs w:val="20"/>
        <w:lang w:val="en-US" w:eastAsia="en-US" w:bidi="ar-SA"/>
      </w:rPr>
    </w:lvl>
    <w:lvl w:ilvl="1" w:tplc="64AC9CAC">
      <w:start w:val="1"/>
      <w:numFmt w:val="lowerLetter"/>
      <w:lvlText w:val="%2)"/>
      <w:lvlJc w:val="left"/>
      <w:pPr>
        <w:ind w:left="1567" w:hanging="360"/>
      </w:pPr>
      <w:rPr>
        <w:rFonts w:ascii="Arial" w:eastAsia="Arial" w:hAnsi="Arial" w:cs="Arial" w:hint="default"/>
        <w:b w:val="0"/>
        <w:bCs w:val="0"/>
        <w:i/>
        <w:iCs/>
        <w:spacing w:val="-1"/>
        <w:w w:val="99"/>
        <w:sz w:val="20"/>
        <w:szCs w:val="20"/>
        <w:lang w:val="en-US" w:eastAsia="en-US" w:bidi="ar-SA"/>
      </w:rPr>
    </w:lvl>
    <w:lvl w:ilvl="2" w:tplc="DB087568">
      <w:start w:val="1"/>
      <w:numFmt w:val="lowerRoman"/>
      <w:lvlText w:val="%3)"/>
      <w:lvlJc w:val="left"/>
      <w:pPr>
        <w:ind w:left="1925" w:hanging="315"/>
      </w:pPr>
      <w:rPr>
        <w:rFonts w:ascii="Arial" w:eastAsia="Arial" w:hAnsi="Arial" w:cs="Arial" w:hint="default"/>
        <w:b w:val="0"/>
        <w:bCs w:val="0"/>
        <w:i/>
        <w:iCs/>
        <w:color w:val="231F20"/>
        <w:spacing w:val="-8"/>
        <w:w w:val="96"/>
        <w:sz w:val="20"/>
        <w:szCs w:val="20"/>
        <w:lang w:val="en-US" w:eastAsia="en-US" w:bidi="ar-SA"/>
      </w:rPr>
    </w:lvl>
    <w:lvl w:ilvl="3" w:tplc="89805D42">
      <w:numFmt w:val="bullet"/>
      <w:lvlText w:val="•"/>
      <w:lvlJc w:val="left"/>
      <w:pPr>
        <w:ind w:left="2898" w:hanging="315"/>
      </w:pPr>
      <w:rPr>
        <w:rFonts w:hint="default"/>
        <w:lang w:val="en-US" w:eastAsia="en-US" w:bidi="ar-SA"/>
      </w:rPr>
    </w:lvl>
    <w:lvl w:ilvl="4" w:tplc="2C32EE8C">
      <w:numFmt w:val="bullet"/>
      <w:lvlText w:val="•"/>
      <w:lvlJc w:val="left"/>
      <w:pPr>
        <w:ind w:left="3876" w:hanging="315"/>
      </w:pPr>
      <w:rPr>
        <w:rFonts w:hint="default"/>
        <w:lang w:val="en-US" w:eastAsia="en-US" w:bidi="ar-SA"/>
      </w:rPr>
    </w:lvl>
    <w:lvl w:ilvl="5" w:tplc="368AB20C">
      <w:numFmt w:val="bullet"/>
      <w:lvlText w:val="•"/>
      <w:lvlJc w:val="left"/>
      <w:pPr>
        <w:ind w:left="4854" w:hanging="315"/>
      </w:pPr>
      <w:rPr>
        <w:rFonts w:hint="default"/>
        <w:lang w:val="en-US" w:eastAsia="en-US" w:bidi="ar-SA"/>
      </w:rPr>
    </w:lvl>
    <w:lvl w:ilvl="6" w:tplc="082E4C52">
      <w:numFmt w:val="bullet"/>
      <w:lvlText w:val="•"/>
      <w:lvlJc w:val="left"/>
      <w:pPr>
        <w:ind w:left="5833" w:hanging="315"/>
      </w:pPr>
      <w:rPr>
        <w:rFonts w:hint="default"/>
        <w:lang w:val="en-US" w:eastAsia="en-US" w:bidi="ar-SA"/>
      </w:rPr>
    </w:lvl>
    <w:lvl w:ilvl="7" w:tplc="60E0C7C6">
      <w:numFmt w:val="bullet"/>
      <w:lvlText w:val="•"/>
      <w:lvlJc w:val="left"/>
      <w:pPr>
        <w:ind w:left="6811" w:hanging="315"/>
      </w:pPr>
      <w:rPr>
        <w:rFonts w:hint="default"/>
        <w:lang w:val="en-US" w:eastAsia="en-US" w:bidi="ar-SA"/>
      </w:rPr>
    </w:lvl>
    <w:lvl w:ilvl="8" w:tplc="8AD22F64">
      <w:numFmt w:val="bullet"/>
      <w:lvlText w:val="•"/>
      <w:lvlJc w:val="left"/>
      <w:pPr>
        <w:ind w:left="7789" w:hanging="315"/>
      </w:pPr>
      <w:rPr>
        <w:rFonts w:hint="default"/>
        <w:lang w:val="en-US" w:eastAsia="en-US" w:bidi="ar-SA"/>
      </w:rPr>
    </w:lvl>
  </w:abstractNum>
  <w:abstractNum w:abstractNumId="52" w15:restartNumberingAfterBreak="0">
    <w:nsid w:val="6DF109B0"/>
    <w:multiLevelType w:val="hybridMultilevel"/>
    <w:tmpl w:val="BC48C27A"/>
    <w:lvl w:ilvl="0" w:tplc="44CCB668">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21622018">
      <w:numFmt w:val="bullet"/>
      <w:lvlText w:val="•"/>
      <w:lvlJc w:val="left"/>
      <w:pPr>
        <w:ind w:left="2432" w:hanging="339"/>
      </w:pPr>
      <w:rPr>
        <w:rFonts w:hint="default"/>
        <w:lang w:val="en-US" w:eastAsia="en-US" w:bidi="ar-SA"/>
      </w:rPr>
    </w:lvl>
    <w:lvl w:ilvl="2" w:tplc="82D83B36">
      <w:numFmt w:val="bullet"/>
      <w:lvlText w:val="•"/>
      <w:lvlJc w:val="left"/>
      <w:pPr>
        <w:ind w:left="3245" w:hanging="339"/>
      </w:pPr>
      <w:rPr>
        <w:rFonts w:hint="default"/>
        <w:lang w:val="en-US" w:eastAsia="en-US" w:bidi="ar-SA"/>
      </w:rPr>
    </w:lvl>
    <w:lvl w:ilvl="3" w:tplc="F1DE8298">
      <w:numFmt w:val="bullet"/>
      <w:lvlText w:val="•"/>
      <w:lvlJc w:val="left"/>
      <w:pPr>
        <w:ind w:left="4057" w:hanging="339"/>
      </w:pPr>
      <w:rPr>
        <w:rFonts w:hint="default"/>
        <w:lang w:val="en-US" w:eastAsia="en-US" w:bidi="ar-SA"/>
      </w:rPr>
    </w:lvl>
    <w:lvl w:ilvl="4" w:tplc="7C9CF968">
      <w:numFmt w:val="bullet"/>
      <w:lvlText w:val="•"/>
      <w:lvlJc w:val="left"/>
      <w:pPr>
        <w:ind w:left="4870" w:hanging="339"/>
      </w:pPr>
      <w:rPr>
        <w:rFonts w:hint="default"/>
        <w:lang w:val="en-US" w:eastAsia="en-US" w:bidi="ar-SA"/>
      </w:rPr>
    </w:lvl>
    <w:lvl w:ilvl="5" w:tplc="A57E4EE0">
      <w:numFmt w:val="bullet"/>
      <w:lvlText w:val="•"/>
      <w:lvlJc w:val="left"/>
      <w:pPr>
        <w:ind w:left="5683" w:hanging="339"/>
      </w:pPr>
      <w:rPr>
        <w:rFonts w:hint="default"/>
        <w:lang w:val="en-US" w:eastAsia="en-US" w:bidi="ar-SA"/>
      </w:rPr>
    </w:lvl>
    <w:lvl w:ilvl="6" w:tplc="641CFDEC">
      <w:numFmt w:val="bullet"/>
      <w:lvlText w:val="•"/>
      <w:lvlJc w:val="left"/>
      <w:pPr>
        <w:ind w:left="6495" w:hanging="339"/>
      </w:pPr>
      <w:rPr>
        <w:rFonts w:hint="default"/>
        <w:lang w:val="en-US" w:eastAsia="en-US" w:bidi="ar-SA"/>
      </w:rPr>
    </w:lvl>
    <w:lvl w:ilvl="7" w:tplc="05F4BD4E">
      <w:numFmt w:val="bullet"/>
      <w:lvlText w:val="•"/>
      <w:lvlJc w:val="left"/>
      <w:pPr>
        <w:ind w:left="7308" w:hanging="339"/>
      </w:pPr>
      <w:rPr>
        <w:rFonts w:hint="default"/>
        <w:lang w:val="en-US" w:eastAsia="en-US" w:bidi="ar-SA"/>
      </w:rPr>
    </w:lvl>
    <w:lvl w:ilvl="8" w:tplc="D848E2C8">
      <w:numFmt w:val="bullet"/>
      <w:lvlText w:val="•"/>
      <w:lvlJc w:val="left"/>
      <w:pPr>
        <w:ind w:left="8121" w:hanging="339"/>
      </w:pPr>
      <w:rPr>
        <w:rFonts w:hint="default"/>
        <w:lang w:val="en-US" w:eastAsia="en-US" w:bidi="ar-SA"/>
      </w:rPr>
    </w:lvl>
  </w:abstractNum>
  <w:abstractNum w:abstractNumId="53" w15:restartNumberingAfterBreak="0">
    <w:nsid w:val="708F7378"/>
    <w:multiLevelType w:val="hybridMultilevel"/>
    <w:tmpl w:val="2558EC82"/>
    <w:lvl w:ilvl="0" w:tplc="B99C400C">
      <w:start w:val="1"/>
      <w:numFmt w:val="lowerLetter"/>
      <w:lvlText w:val="%1)"/>
      <w:lvlJc w:val="left"/>
      <w:pPr>
        <w:ind w:left="943" w:hanging="360"/>
      </w:pPr>
      <w:rPr>
        <w:rFonts w:hint="default"/>
        <w:spacing w:val="-1"/>
        <w:w w:val="99"/>
        <w:lang w:val="en-US" w:eastAsia="en-US" w:bidi="ar-SA"/>
      </w:rPr>
    </w:lvl>
    <w:lvl w:ilvl="1" w:tplc="7C4CE4E0">
      <w:numFmt w:val="bullet"/>
      <w:lvlText w:val="•"/>
      <w:lvlJc w:val="left"/>
      <w:pPr>
        <w:ind w:left="1820" w:hanging="360"/>
      </w:pPr>
      <w:rPr>
        <w:rFonts w:hint="default"/>
        <w:lang w:val="en-US" w:eastAsia="en-US" w:bidi="ar-SA"/>
      </w:rPr>
    </w:lvl>
    <w:lvl w:ilvl="2" w:tplc="2388A532">
      <w:numFmt w:val="bullet"/>
      <w:lvlText w:val="•"/>
      <w:lvlJc w:val="left"/>
      <w:pPr>
        <w:ind w:left="2701" w:hanging="360"/>
      </w:pPr>
      <w:rPr>
        <w:rFonts w:hint="default"/>
        <w:lang w:val="en-US" w:eastAsia="en-US" w:bidi="ar-SA"/>
      </w:rPr>
    </w:lvl>
    <w:lvl w:ilvl="3" w:tplc="0B3EB362">
      <w:numFmt w:val="bullet"/>
      <w:lvlText w:val="•"/>
      <w:lvlJc w:val="left"/>
      <w:pPr>
        <w:ind w:left="3581" w:hanging="360"/>
      </w:pPr>
      <w:rPr>
        <w:rFonts w:hint="default"/>
        <w:lang w:val="en-US" w:eastAsia="en-US" w:bidi="ar-SA"/>
      </w:rPr>
    </w:lvl>
    <w:lvl w:ilvl="4" w:tplc="6BCA96B4">
      <w:numFmt w:val="bullet"/>
      <w:lvlText w:val="•"/>
      <w:lvlJc w:val="left"/>
      <w:pPr>
        <w:ind w:left="4462" w:hanging="360"/>
      </w:pPr>
      <w:rPr>
        <w:rFonts w:hint="default"/>
        <w:lang w:val="en-US" w:eastAsia="en-US" w:bidi="ar-SA"/>
      </w:rPr>
    </w:lvl>
    <w:lvl w:ilvl="5" w:tplc="F006CA6A">
      <w:numFmt w:val="bullet"/>
      <w:lvlText w:val="•"/>
      <w:lvlJc w:val="left"/>
      <w:pPr>
        <w:ind w:left="5343" w:hanging="360"/>
      </w:pPr>
      <w:rPr>
        <w:rFonts w:hint="default"/>
        <w:lang w:val="en-US" w:eastAsia="en-US" w:bidi="ar-SA"/>
      </w:rPr>
    </w:lvl>
    <w:lvl w:ilvl="6" w:tplc="E0327E66">
      <w:numFmt w:val="bullet"/>
      <w:lvlText w:val="•"/>
      <w:lvlJc w:val="left"/>
      <w:pPr>
        <w:ind w:left="6223" w:hanging="360"/>
      </w:pPr>
      <w:rPr>
        <w:rFonts w:hint="default"/>
        <w:lang w:val="en-US" w:eastAsia="en-US" w:bidi="ar-SA"/>
      </w:rPr>
    </w:lvl>
    <w:lvl w:ilvl="7" w:tplc="86FE3662">
      <w:numFmt w:val="bullet"/>
      <w:lvlText w:val="•"/>
      <w:lvlJc w:val="left"/>
      <w:pPr>
        <w:ind w:left="7104" w:hanging="360"/>
      </w:pPr>
      <w:rPr>
        <w:rFonts w:hint="default"/>
        <w:lang w:val="en-US" w:eastAsia="en-US" w:bidi="ar-SA"/>
      </w:rPr>
    </w:lvl>
    <w:lvl w:ilvl="8" w:tplc="B6BE4C1A">
      <w:numFmt w:val="bullet"/>
      <w:lvlText w:val="•"/>
      <w:lvlJc w:val="left"/>
      <w:pPr>
        <w:ind w:left="7985" w:hanging="360"/>
      </w:pPr>
      <w:rPr>
        <w:rFonts w:hint="default"/>
        <w:lang w:val="en-US" w:eastAsia="en-US" w:bidi="ar-SA"/>
      </w:rPr>
    </w:lvl>
  </w:abstractNum>
  <w:abstractNum w:abstractNumId="54" w15:restartNumberingAfterBreak="0">
    <w:nsid w:val="74B215AA"/>
    <w:multiLevelType w:val="hybridMultilevel"/>
    <w:tmpl w:val="AF04A650"/>
    <w:lvl w:ilvl="0" w:tplc="B518F0A6">
      <w:start w:val="1"/>
      <w:numFmt w:val="low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A5D0CDD6">
      <w:numFmt w:val="bullet"/>
      <w:lvlText w:val="•"/>
      <w:lvlJc w:val="left"/>
      <w:pPr>
        <w:ind w:left="1820" w:hanging="360"/>
      </w:pPr>
      <w:rPr>
        <w:rFonts w:hint="default"/>
        <w:lang w:val="en-US" w:eastAsia="en-US" w:bidi="ar-SA"/>
      </w:rPr>
    </w:lvl>
    <w:lvl w:ilvl="2" w:tplc="1FC87FF2">
      <w:numFmt w:val="bullet"/>
      <w:lvlText w:val="•"/>
      <w:lvlJc w:val="left"/>
      <w:pPr>
        <w:ind w:left="2701" w:hanging="360"/>
      </w:pPr>
      <w:rPr>
        <w:rFonts w:hint="default"/>
        <w:lang w:val="en-US" w:eastAsia="en-US" w:bidi="ar-SA"/>
      </w:rPr>
    </w:lvl>
    <w:lvl w:ilvl="3" w:tplc="06647A1E">
      <w:numFmt w:val="bullet"/>
      <w:lvlText w:val="•"/>
      <w:lvlJc w:val="left"/>
      <w:pPr>
        <w:ind w:left="3581" w:hanging="360"/>
      </w:pPr>
      <w:rPr>
        <w:rFonts w:hint="default"/>
        <w:lang w:val="en-US" w:eastAsia="en-US" w:bidi="ar-SA"/>
      </w:rPr>
    </w:lvl>
    <w:lvl w:ilvl="4" w:tplc="4EBC12A8">
      <w:numFmt w:val="bullet"/>
      <w:lvlText w:val="•"/>
      <w:lvlJc w:val="left"/>
      <w:pPr>
        <w:ind w:left="4462" w:hanging="360"/>
      </w:pPr>
      <w:rPr>
        <w:rFonts w:hint="default"/>
        <w:lang w:val="en-US" w:eastAsia="en-US" w:bidi="ar-SA"/>
      </w:rPr>
    </w:lvl>
    <w:lvl w:ilvl="5" w:tplc="104A6B78">
      <w:numFmt w:val="bullet"/>
      <w:lvlText w:val="•"/>
      <w:lvlJc w:val="left"/>
      <w:pPr>
        <w:ind w:left="5343" w:hanging="360"/>
      </w:pPr>
      <w:rPr>
        <w:rFonts w:hint="default"/>
        <w:lang w:val="en-US" w:eastAsia="en-US" w:bidi="ar-SA"/>
      </w:rPr>
    </w:lvl>
    <w:lvl w:ilvl="6" w:tplc="4022BA50">
      <w:numFmt w:val="bullet"/>
      <w:lvlText w:val="•"/>
      <w:lvlJc w:val="left"/>
      <w:pPr>
        <w:ind w:left="6223" w:hanging="360"/>
      </w:pPr>
      <w:rPr>
        <w:rFonts w:hint="default"/>
        <w:lang w:val="en-US" w:eastAsia="en-US" w:bidi="ar-SA"/>
      </w:rPr>
    </w:lvl>
    <w:lvl w:ilvl="7" w:tplc="08E0D410">
      <w:numFmt w:val="bullet"/>
      <w:lvlText w:val="•"/>
      <w:lvlJc w:val="left"/>
      <w:pPr>
        <w:ind w:left="7104" w:hanging="360"/>
      </w:pPr>
      <w:rPr>
        <w:rFonts w:hint="default"/>
        <w:lang w:val="en-US" w:eastAsia="en-US" w:bidi="ar-SA"/>
      </w:rPr>
    </w:lvl>
    <w:lvl w:ilvl="8" w:tplc="E03AA39C">
      <w:numFmt w:val="bullet"/>
      <w:lvlText w:val="•"/>
      <w:lvlJc w:val="left"/>
      <w:pPr>
        <w:ind w:left="7985" w:hanging="360"/>
      </w:pPr>
      <w:rPr>
        <w:rFonts w:hint="default"/>
        <w:lang w:val="en-US" w:eastAsia="en-US" w:bidi="ar-SA"/>
      </w:rPr>
    </w:lvl>
  </w:abstractNum>
  <w:abstractNum w:abstractNumId="55" w15:restartNumberingAfterBreak="0">
    <w:nsid w:val="750C175E"/>
    <w:multiLevelType w:val="hybridMultilevel"/>
    <w:tmpl w:val="40D6B8DE"/>
    <w:lvl w:ilvl="0" w:tplc="8CEA8782">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0E5AE5B4">
      <w:numFmt w:val="bullet"/>
      <w:lvlText w:val="•"/>
      <w:lvlJc w:val="left"/>
      <w:pPr>
        <w:ind w:left="2432" w:hanging="339"/>
      </w:pPr>
      <w:rPr>
        <w:rFonts w:hint="default"/>
        <w:lang w:val="en-US" w:eastAsia="en-US" w:bidi="ar-SA"/>
      </w:rPr>
    </w:lvl>
    <w:lvl w:ilvl="2" w:tplc="BF70CEAA">
      <w:numFmt w:val="bullet"/>
      <w:lvlText w:val="•"/>
      <w:lvlJc w:val="left"/>
      <w:pPr>
        <w:ind w:left="3245" w:hanging="339"/>
      </w:pPr>
      <w:rPr>
        <w:rFonts w:hint="default"/>
        <w:lang w:val="en-US" w:eastAsia="en-US" w:bidi="ar-SA"/>
      </w:rPr>
    </w:lvl>
    <w:lvl w:ilvl="3" w:tplc="F0B4D1AE">
      <w:numFmt w:val="bullet"/>
      <w:lvlText w:val="•"/>
      <w:lvlJc w:val="left"/>
      <w:pPr>
        <w:ind w:left="4057" w:hanging="339"/>
      </w:pPr>
      <w:rPr>
        <w:rFonts w:hint="default"/>
        <w:lang w:val="en-US" w:eastAsia="en-US" w:bidi="ar-SA"/>
      </w:rPr>
    </w:lvl>
    <w:lvl w:ilvl="4" w:tplc="B94636BE">
      <w:numFmt w:val="bullet"/>
      <w:lvlText w:val="•"/>
      <w:lvlJc w:val="left"/>
      <w:pPr>
        <w:ind w:left="4870" w:hanging="339"/>
      </w:pPr>
      <w:rPr>
        <w:rFonts w:hint="default"/>
        <w:lang w:val="en-US" w:eastAsia="en-US" w:bidi="ar-SA"/>
      </w:rPr>
    </w:lvl>
    <w:lvl w:ilvl="5" w:tplc="995E5ABC">
      <w:numFmt w:val="bullet"/>
      <w:lvlText w:val="•"/>
      <w:lvlJc w:val="left"/>
      <w:pPr>
        <w:ind w:left="5683" w:hanging="339"/>
      </w:pPr>
      <w:rPr>
        <w:rFonts w:hint="default"/>
        <w:lang w:val="en-US" w:eastAsia="en-US" w:bidi="ar-SA"/>
      </w:rPr>
    </w:lvl>
    <w:lvl w:ilvl="6" w:tplc="45A07358">
      <w:numFmt w:val="bullet"/>
      <w:lvlText w:val="•"/>
      <w:lvlJc w:val="left"/>
      <w:pPr>
        <w:ind w:left="6495" w:hanging="339"/>
      </w:pPr>
      <w:rPr>
        <w:rFonts w:hint="default"/>
        <w:lang w:val="en-US" w:eastAsia="en-US" w:bidi="ar-SA"/>
      </w:rPr>
    </w:lvl>
    <w:lvl w:ilvl="7" w:tplc="52945E82">
      <w:numFmt w:val="bullet"/>
      <w:lvlText w:val="•"/>
      <w:lvlJc w:val="left"/>
      <w:pPr>
        <w:ind w:left="7308" w:hanging="339"/>
      </w:pPr>
      <w:rPr>
        <w:rFonts w:hint="default"/>
        <w:lang w:val="en-US" w:eastAsia="en-US" w:bidi="ar-SA"/>
      </w:rPr>
    </w:lvl>
    <w:lvl w:ilvl="8" w:tplc="38625178">
      <w:numFmt w:val="bullet"/>
      <w:lvlText w:val="•"/>
      <w:lvlJc w:val="left"/>
      <w:pPr>
        <w:ind w:left="8121" w:hanging="339"/>
      </w:pPr>
      <w:rPr>
        <w:rFonts w:hint="default"/>
        <w:lang w:val="en-US" w:eastAsia="en-US" w:bidi="ar-SA"/>
      </w:rPr>
    </w:lvl>
  </w:abstractNum>
  <w:abstractNum w:abstractNumId="56" w15:restartNumberingAfterBreak="0">
    <w:nsid w:val="75F343F8"/>
    <w:multiLevelType w:val="hybridMultilevel"/>
    <w:tmpl w:val="92623CD8"/>
    <w:lvl w:ilvl="0" w:tplc="BC9657E4">
      <w:start w:val="1"/>
      <w:numFmt w:val="lowerLetter"/>
      <w:lvlText w:val="%1)"/>
      <w:lvlJc w:val="left"/>
      <w:pPr>
        <w:ind w:left="943" w:hanging="360"/>
      </w:pPr>
      <w:rPr>
        <w:rFonts w:ascii="Arial" w:eastAsia="Arial" w:hAnsi="Arial" w:cs="Arial" w:hint="default"/>
        <w:b w:val="0"/>
        <w:bCs w:val="0"/>
        <w:i w:val="0"/>
        <w:iCs w:val="0"/>
        <w:color w:val="231F20"/>
        <w:spacing w:val="-1"/>
        <w:w w:val="99"/>
        <w:sz w:val="20"/>
        <w:szCs w:val="20"/>
        <w:lang w:val="en-US" w:eastAsia="en-US" w:bidi="ar-SA"/>
      </w:rPr>
    </w:lvl>
    <w:lvl w:ilvl="1" w:tplc="4B6CDB70">
      <w:numFmt w:val="bullet"/>
      <w:lvlText w:val="•"/>
      <w:lvlJc w:val="left"/>
      <w:pPr>
        <w:ind w:left="1820" w:hanging="360"/>
      </w:pPr>
      <w:rPr>
        <w:rFonts w:hint="default"/>
        <w:lang w:val="en-US" w:eastAsia="en-US" w:bidi="ar-SA"/>
      </w:rPr>
    </w:lvl>
    <w:lvl w:ilvl="2" w:tplc="F6F49238">
      <w:numFmt w:val="bullet"/>
      <w:lvlText w:val="•"/>
      <w:lvlJc w:val="left"/>
      <w:pPr>
        <w:ind w:left="2701" w:hanging="360"/>
      </w:pPr>
      <w:rPr>
        <w:rFonts w:hint="default"/>
        <w:lang w:val="en-US" w:eastAsia="en-US" w:bidi="ar-SA"/>
      </w:rPr>
    </w:lvl>
    <w:lvl w:ilvl="3" w:tplc="06728F78">
      <w:numFmt w:val="bullet"/>
      <w:lvlText w:val="•"/>
      <w:lvlJc w:val="left"/>
      <w:pPr>
        <w:ind w:left="3581" w:hanging="360"/>
      </w:pPr>
      <w:rPr>
        <w:rFonts w:hint="default"/>
        <w:lang w:val="en-US" w:eastAsia="en-US" w:bidi="ar-SA"/>
      </w:rPr>
    </w:lvl>
    <w:lvl w:ilvl="4" w:tplc="70284406">
      <w:numFmt w:val="bullet"/>
      <w:lvlText w:val="•"/>
      <w:lvlJc w:val="left"/>
      <w:pPr>
        <w:ind w:left="4462" w:hanging="360"/>
      </w:pPr>
      <w:rPr>
        <w:rFonts w:hint="default"/>
        <w:lang w:val="en-US" w:eastAsia="en-US" w:bidi="ar-SA"/>
      </w:rPr>
    </w:lvl>
    <w:lvl w:ilvl="5" w:tplc="0388EC6C">
      <w:numFmt w:val="bullet"/>
      <w:lvlText w:val="•"/>
      <w:lvlJc w:val="left"/>
      <w:pPr>
        <w:ind w:left="5343" w:hanging="360"/>
      </w:pPr>
      <w:rPr>
        <w:rFonts w:hint="default"/>
        <w:lang w:val="en-US" w:eastAsia="en-US" w:bidi="ar-SA"/>
      </w:rPr>
    </w:lvl>
    <w:lvl w:ilvl="6" w:tplc="7318D02E">
      <w:numFmt w:val="bullet"/>
      <w:lvlText w:val="•"/>
      <w:lvlJc w:val="left"/>
      <w:pPr>
        <w:ind w:left="6223" w:hanging="360"/>
      </w:pPr>
      <w:rPr>
        <w:rFonts w:hint="default"/>
        <w:lang w:val="en-US" w:eastAsia="en-US" w:bidi="ar-SA"/>
      </w:rPr>
    </w:lvl>
    <w:lvl w:ilvl="7" w:tplc="F58A580E">
      <w:numFmt w:val="bullet"/>
      <w:lvlText w:val="•"/>
      <w:lvlJc w:val="left"/>
      <w:pPr>
        <w:ind w:left="7104" w:hanging="360"/>
      </w:pPr>
      <w:rPr>
        <w:rFonts w:hint="default"/>
        <w:lang w:val="en-US" w:eastAsia="en-US" w:bidi="ar-SA"/>
      </w:rPr>
    </w:lvl>
    <w:lvl w:ilvl="8" w:tplc="A7D2A50A">
      <w:numFmt w:val="bullet"/>
      <w:lvlText w:val="•"/>
      <w:lvlJc w:val="left"/>
      <w:pPr>
        <w:ind w:left="7985" w:hanging="360"/>
      </w:pPr>
      <w:rPr>
        <w:rFonts w:hint="default"/>
        <w:lang w:val="en-US" w:eastAsia="en-US" w:bidi="ar-SA"/>
      </w:rPr>
    </w:lvl>
  </w:abstractNum>
  <w:abstractNum w:abstractNumId="57" w15:restartNumberingAfterBreak="0">
    <w:nsid w:val="77BE7574"/>
    <w:multiLevelType w:val="hybridMultilevel"/>
    <w:tmpl w:val="7F429E1E"/>
    <w:lvl w:ilvl="0" w:tplc="926A62F4">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836AEBDC">
      <w:numFmt w:val="bullet"/>
      <w:lvlText w:val="•"/>
      <w:lvlJc w:val="left"/>
      <w:pPr>
        <w:ind w:left="2432" w:hanging="339"/>
      </w:pPr>
      <w:rPr>
        <w:rFonts w:hint="default"/>
        <w:lang w:val="en-US" w:eastAsia="en-US" w:bidi="ar-SA"/>
      </w:rPr>
    </w:lvl>
    <w:lvl w:ilvl="2" w:tplc="E668DE4E">
      <w:numFmt w:val="bullet"/>
      <w:lvlText w:val="•"/>
      <w:lvlJc w:val="left"/>
      <w:pPr>
        <w:ind w:left="3245" w:hanging="339"/>
      </w:pPr>
      <w:rPr>
        <w:rFonts w:hint="default"/>
        <w:lang w:val="en-US" w:eastAsia="en-US" w:bidi="ar-SA"/>
      </w:rPr>
    </w:lvl>
    <w:lvl w:ilvl="3" w:tplc="E46EFA22">
      <w:numFmt w:val="bullet"/>
      <w:lvlText w:val="•"/>
      <w:lvlJc w:val="left"/>
      <w:pPr>
        <w:ind w:left="4057" w:hanging="339"/>
      </w:pPr>
      <w:rPr>
        <w:rFonts w:hint="default"/>
        <w:lang w:val="en-US" w:eastAsia="en-US" w:bidi="ar-SA"/>
      </w:rPr>
    </w:lvl>
    <w:lvl w:ilvl="4" w:tplc="76203214">
      <w:numFmt w:val="bullet"/>
      <w:lvlText w:val="•"/>
      <w:lvlJc w:val="left"/>
      <w:pPr>
        <w:ind w:left="4870" w:hanging="339"/>
      </w:pPr>
      <w:rPr>
        <w:rFonts w:hint="default"/>
        <w:lang w:val="en-US" w:eastAsia="en-US" w:bidi="ar-SA"/>
      </w:rPr>
    </w:lvl>
    <w:lvl w:ilvl="5" w:tplc="856A930E">
      <w:numFmt w:val="bullet"/>
      <w:lvlText w:val="•"/>
      <w:lvlJc w:val="left"/>
      <w:pPr>
        <w:ind w:left="5683" w:hanging="339"/>
      </w:pPr>
      <w:rPr>
        <w:rFonts w:hint="default"/>
        <w:lang w:val="en-US" w:eastAsia="en-US" w:bidi="ar-SA"/>
      </w:rPr>
    </w:lvl>
    <w:lvl w:ilvl="6" w:tplc="12E2BAC6">
      <w:numFmt w:val="bullet"/>
      <w:lvlText w:val="•"/>
      <w:lvlJc w:val="left"/>
      <w:pPr>
        <w:ind w:left="6495" w:hanging="339"/>
      </w:pPr>
      <w:rPr>
        <w:rFonts w:hint="default"/>
        <w:lang w:val="en-US" w:eastAsia="en-US" w:bidi="ar-SA"/>
      </w:rPr>
    </w:lvl>
    <w:lvl w:ilvl="7" w:tplc="B9E4E880">
      <w:numFmt w:val="bullet"/>
      <w:lvlText w:val="•"/>
      <w:lvlJc w:val="left"/>
      <w:pPr>
        <w:ind w:left="7308" w:hanging="339"/>
      </w:pPr>
      <w:rPr>
        <w:rFonts w:hint="default"/>
        <w:lang w:val="en-US" w:eastAsia="en-US" w:bidi="ar-SA"/>
      </w:rPr>
    </w:lvl>
    <w:lvl w:ilvl="8" w:tplc="21FE775A">
      <w:numFmt w:val="bullet"/>
      <w:lvlText w:val="•"/>
      <w:lvlJc w:val="left"/>
      <w:pPr>
        <w:ind w:left="8121" w:hanging="339"/>
      </w:pPr>
      <w:rPr>
        <w:rFonts w:hint="default"/>
        <w:lang w:val="en-US" w:eastAsia="en-US" w:bidi="ar-SA"/>
      </w:rPr>
    </w:lvl>
  </w:abstractNum>
  <w:abstractNum w:abstractNumId="58" w15:restartNumberingAfterBreak="0">
    <w:nsid w:val="7AAD21A5"/>
    <w:multiLevelType w:val="hybridMultilevel"/>
    <w:tmpl w:val="E45C418E"/>
    <w:lvl w:ilvl="0" w:tplc="3C2605D0">
      <w:numFmt w:val="bullet"/>
      <w:lvlText w:val=""/>
      <w:lvlJc w:val="left"/>
      <w:pPr>
        <w:ind w:left="1622" w:hanging="339"/>
      </w:pPr>
      <w:rPr>
        <w:rFonts w:ascii="Symbol" w:eastAsia="Symbol" w:hAnsi="Symbol" w:cs="Symbol" w:hint="default"/>
        <w:b w:val="0"/>
        <w:bCs w:val="0"/>
        <w:i w:val="0"/>
        <w:iCs w:val="0"/>
        <w:color w:val="4E81BD"/>
        <w:spacing w:val="0"/>
        <w:w w:val="99"/>
        <w:sz w:val="20"/>
        <w:szCs w:val="20"/>
        <w:lang w:val="en-US" w:eastAsia="en-US" w:bidi="ar-SA"/>
      </w:rPr>
    </w:lvl>
    <w:lvl w:ilvl="1" w:tplc="4C2A369E">
      <w:numFmt w:val="bullet"/>
      <w:lvlText w:val="•"/>
      <w:lvlJc w:val="left"/>
      <w:pPr>
        <w:ind w:left="2432" w:hanging="339"/>
      </w:pPr>
      <w:rPr>
        <w:rFonts w:hint="default"/>
        <w:lang w:val="en-US" w:eastAsia="en-US" w:bidi="ar-SA"/>
      </w:rPr>
    </w:lvl>
    <w:lvl w:ilvl="2" w:tplc="D968EA52">
      <w:numFmt w:val="bullet"/>
      <w:lvlText w:val="•"/>
      <w:lvlJc w:val="left"/>
      <w:pPr>
        <w:ind w:left="3245" w:hanging="339"/>
      </w:pPr>
      <w:rPr>
        <w:rFonts w:hint="default"/>
        <w:lang w:val="en-US" w:eastAsia="en-US" w:bidi="ar-SA"/>
      </w:rPr>
    </w:lvl>
    <w:lvl w:ilvl="3" w:tplc="DCE8565C">
      <w:numFmt w:val="bullet"/>
      <w:lvlText w:val="•"/>
      <w:lvlJc w:val="left"/>
      <w:pPr>
        <w:ind w:left="4057" w:hanging="339"/>
      </w:pPr>
      <w:rPr>
        <w:rFonts w:hint="default"/>
        <w:lang w:val="en-US" w:eastAsia="en-US" w:bidi="ar-SA"/>
      </w:rPr>
    </w:lvl>
    <w:lvl w:ilvl="4" w:tplc="8A22DF98">
      <w:numFmt w:val="bullet"/>
      <w:lvlText w:val="•"/>
      <w:lvlJc w:val="left"/>
      <w:pPr>
        <w:ind w:left="4870" w:hanging="339"/>
      </w:pPr>
      <w:rPr>
        <w:rFonts w:hint="default"/>
        <w:lang w:val="en-US" w:eastAsia="en-US" w:bidi="ar-SA"/>
      </w:rPr>
    </w:lvl>
    <w:lvl w:ilvl="5" w:tplc="86C48C7E">
      <w:numFmt w:val="bullet"/>
      <w:lvlText w:val="•"/>
      <w:lvlJc w:val="left"/>
      <w:pPr>
        <w:ind w:left="5683" w:hanging="339"/>
      </w:pPr>
      <w:rPr>
        <w:rFonts w:hint="default"/>
        <w:lang w:val="en-US" w:eastAsia="en-US" w:bidi="ar-SA"/>
      </w:rPr>
    </w:lvl>
    <w:lvl w:ilvl="6" w:tplc="3244E40C">
      <w:numFmt w:val="bullet"/>
      <w:lvlText w:val="•"/>
      <w:lvlJc w:val="left"/>
      <w:pPr>
        <w:ind w:left="6495" w:hanging="339"/>
      </w:pPr>
      <w:rPr>
        <w:rFonts w:hint="default"/>
        <w:lang w:val="en-US" w:eastAsia="en-US" w:bidi="ar-SA"/>
      </w:rPr>
    </w:lvl>
    <w:lvl w:ilvl="7" w:tplc="4EA47A24">
      <w:numFmt w:val="bullet"/>
      <w:lvlText w:val="•"/>
      <w:lvlJc w:val="left"/>
      <w:pPr>
        <w:ind w:left="7308" w:hanging="339"/>
      </w:pPr>
      <w:rPr>
        <w:rFonts w:hint="default"/>
        <w:lang w:val="en-US" w:eastAsia="en-US" w:bidi="ar-SA"/>
      </w:rPr>
    </w:lvl>
    <w:lvl w:ilvl="8" w:tplc="375A059A">
      <w:numFmt w:val="bullet"/>
      <w:lvlText w:val="•"/>
      <w:lvlJc w:val="left"/>
      <w:pPr>
        <w:ind w:left="8121" w:hanging="339"/>
      </w:pPr>
      <w:rPr>
        <w:rFonts w:hint="default"/>
        <w:lang w:val="en-US" w:eastAsia="en-US" w:bidi="ar-SA"/>
      </w:rPr>
    </w:lvl>
  </w:abstractNum>
  <w:abstractNum w:abstractNumId="59" w15:restartNumberingAfterBreak="0">
    <w:nsid w:val="7AE450CC"/>
    <w:multiLevelType w:val="hybridMultilevel"/>
    <w:tmpl w:val="AEAEE582"/>
    <w:lvl w:ilvl="0" w:tplc="3DDEEB62">
      <w:start w:val="1"/>
      <w:numFmt w:val="lowerLetter"/>
      <w:lvlText w:val="%1)"/>
      <w:lvlJc w:val="left"/>
      <w:pPr>
        <w:ind w:left="943" w:hanging="360"/>
      </w:pPr>
      <w:rPr>
        <w:rFonts w:ascii="Arial" w:eastAsia="Arial" w:hAnsi="Arial" w:cs="Arial" w:hint="default"/>
        <w:b w:val="0"/>
        <w:bCs w:val="0"/>
        <w:i w:val="0"/>
        <w:iCs w:val="0"/>
        <w:color w:val="231F20"/>
        <w:spacing w:val="-1"/>
        <w:w w:val="99"/>
        <w:sz w:val="20"/>
        <w:szCs w:val="20"/>
        <w:lang w:val="en-US" w:eastAsia="en-US" w:bidi="ar-SA"/>
      </w:rPr>
    </w:lvl>
    <w:lvl w:ilvl="1" w:tplc="CC1037C8">
      <w:numFmt w:val="bullet"/>
      <w:lvlText w:val="•"/>
      <w:lvlJc w:val="left"/>
      <w:pPr>
        <w:ind w:left="1820" w:hanging="360"/>
      </w:pPr>
      <w:rPr>
        <w:rFonts w:hint="default"/>
        <w:lang w:val="en-US" w:eastAsia="en-US" w:bidi="ar-SA"/>
      </w:rPr>
    </w:lvl>
    <w:lvl w:ilvl="2" w:tplc="51629460">
      <w:numFmt w:val="bullet"/>
      <w:lvlText w:val="•"/>
      <w:lvlJc w:val="left"/>
      <w:pPr>
        <w:ind w:left="2701" w:hanging="360"/>
      </w:pPr>
      <w:rPr>
        <w:rFonts w:hint="default"/>
        <w:lang w:val="en-US" w:eastAsia="en-US" w:bidi="ar-SA"/>
      </w:rPr>
    </w:lvl>
    <w:lvl w:ilvl="3" w:tplc="AAA05D96">
      <w:numFmt w:val="bullet"/>
      <w:lvlText w:val="•"/>
      <w:lvlJc w:val="left"/>
      <w:pPr>
        <w:ind w:left="3581" w:hanging="360"/>
      </w:pPr>
      <w:rPr>
        <w:rFonts w:hint="default"/>
        <w:lang w:val="en-US" w:eastAsia="en-US" w:bidi="ar-SA"/>
      </w:rPr>
    </w:lvl>
    <w:lvl w:ilvl="4" w:tplc="98AEE3F4">
      <w:numFmt w:val="bullet"/>
      <w:lvlText w:val="•"/>
      <w:lvlJc w:val="left"/>
      <w:pPr>
        <w:ind w:left="4462" w:hanging="360"/>
      </w:pPr>
      <w:rPr>
        <w:rFonts w:hint="default"/>
        <w:lang w:val="en-US" w:eastAsia="en-US" w:bidi="ar-SA"/>
      </w:rPr>
    </w:lvl>
    <w:lvl w:ilvl="5" w:tplc="A0345912">
      <w:numFmt w:val="bullet"/>
      <w:lvlText w:val="•"/>
      <w:lvlJc w:val="left"/>
      <w:pPr>
        <w:ind w:left="5343" w:hanging="360"/>
      </w:pPr>
      <w:rPr>
        <w:rFonts w:hint="default"/>
        <w:lang w:val="en-US" w:eastAsia="en-US" w:bidi="ar-SA"/>
      </w:rPr>
    </w:lvl>
    <w:lvl w:ilvl="6" w:tplc="8AEAC3A4">
      <w:numFmt w:val="bullet"/>
      <w:lvlText w:val="•"/>
      <w:lvlJc w:val="left"/>
      <w:pPr>
        <w:ind w:left="6223" w:hanging="360"/>
      </w:pPr>
      <w:rPr>
        <w:rFonts w:hint="default"/>
        <w:lang w:val="en-US" w:eastAsia="en-US" w:bidi="ar-SA"/>
      </w:rPr>
    </w:lvl>
    <w:lvl w:ilvl="7" w:tplc="E44E2E1C">
      <w:numFmt w:val="bullet"/>
      <w:lvlText w:val="•"/>
      <w:lvlJc w:val="left"/>
      <w:pPr>
        <w:ind w:left="7104" w:hanging="360"/>
      </w:pPr>
      <w:rPr>
        <w:rFonts w:hint="default"/>
        <w:lang w:val="en-US" w:eastAsia="en-US" w:bidi="ar-SA"/>
      </w:rPr>
    </w:lvl>
    <w:lvl w:ilvl="8" w:tplc="51B26C20">
      <w:numFmt w:val="bullet"/>
      <w:lvlText w:val="•"/>
      <w:lvlJc w:val="left"/>
      <w:pPr>
        <w:ind w:left="7985" w:hanging="360"/>
      </w:pPr>
      <w:rPr>
        <w:rFonts w:hint="default"/>
        <w:lang w:val="en-US" w:eastAsia="en-US" w:bidi="ar-SA"/>
      </w:rPr>
    </w:lvl>
  </w:abstractNum>
  <w:abstractNum w:abstractNumId="60" w15:restartNumberingAfterBreak="0">
    <w:nsid w:val="7BCE5AE6"/>
    <w:multiLevelType w:val="hybridMultilevel"/>
    <w:tmpl w:val="E6D61FC4"/>
    <w:lvl w:ilvl="0" w:tplc="2E62BD06">
      <w:start w:val="1"/>
      <w:numFmt w:val="lowerLetter"/>
      <w:lvlText w:val="%1)"/>
      <w:lvlJc w:val="left"/>
      <w:pPr>
        <w:ind w:left="943" w:hanging="360"/>
      </w:pPr>
      <w:rPr>
        <w:rFonts w:hint="default"/>
        <w:spacing w:val="-1"/>
        <w:w w:val="99"/>
        <w:lang w:val="en-US" w:eastAsia="en-US" w:bidi="ar-SA"/>
      </w:rPr>
    </w:lvl>
    <w:lvl w:ilvl="1" w:tplc="06401A86">
      <w:numFmt w:val="bullet"/>
      <w:lvlText w:val="•"/>
      <w:lvlJc w:val="left"/>
      <w:pPr>
        <w:ind w:left="1820" w:hanging="360"/>
      </w:pPr>
      <w:rPr>
        <w:rFonts w:hint="default"/>
        <w:lang w:val="en-US" w:eastAsia="en-US" w:bidi="ar-SA"/>
      </w:rPr>
    </w:lvl>
    <w:lvl w:ilvl="2" w:tplc="D29A1C44">
      <w:numFmt w:val="bullet"/>
      <w:lvlText w:val="•"/>
      <w:lvlJc w:val="left"/>
      <w:pPr>
        <w:ind w:left="2701" w:hanging="360"/>
      </w:pPr>
      <w:rPr>
        <w:rFonts w:hint="default"/>
        <w:lang w:val="en-US" w:eastAsia="en-US" w:bidi="ar-SA"/>
      </w:rPr>
    </w:lvl>
    <w:lvl w:ilvl="3" w:tplc="B40EF0A2">
      <w:numFmt w:val="bullet"/>
      <w:lvlText w:val="•"/>
      <w:lvlJc w:val="left"/>
      <w:pPr>
        <w:ind w:left="3581" w:hanging="360"/>
      </w:pPr>
      <w:rPr>
        <w:rFonts w:hint="default"/>
        <w:lang w:val="en-US" w:eastAsia="en-US" w:bidi="ar-SA"/>
      </w:rPr>
    </w:lvl>
    <w:lvl w:ilvl="4" w:tplc="0E58A008">
      <w:numFmt w:val="bullet"/>
      <w:lvlText w:val="•"/>
      <w:lvlJc w:val="left"/>
      <w:pPr>
        <w:ind w:left="4462" w:hanging="360"/>
      </w:pPr>
      <w:rPr>
        <w:rFonts w:hint="default"/>
        <w:lang w:val="en-US" w:eastAsia="en-US" w:bidi="ar-SA"/>
      </w:rPr>
    </w:lvl>
    <w:lvl w:ilvl="5" w:tplc="E2E62E02">
      <w:numFmt w:val="bullet"/>
      <w:lvlText w:val="•"/>
      <w:lvlJc w:val="left"/>
      <w:pPr>
        <w:ind w:left="5343" w:hanging="360"/>
      </w:pPr>
      <w:rPr>
        <w:rFonts w:hint="default"/>
        <w:lang w:val="en-US" w:eastAsia="en-US" w:bidi="ar-SA"/>
      </w:rPr>
    </w:lvl>
    <w:lvl w:ilvl="6" w:tplc="8FC4B99C">
      <w:numFmt w:val="bullet"/>
      <w:lvlText w:val="•"/>
      <w:lvlJc w:val="left"/>
      <w:pPr>
        <w:ind w:left="6223" w:hanging="360"/>
      </w:pPr>
      <w:rPr>
        <w:rFonts w:hint="default"/>
        <w:lang w:val="en-US" w:eastAsia="en-US" w:bidi="ar-SA"/>
      </w:rPr>
    </w:lvl>
    <w:lvl w:ilvl="7" w:tplc="3578B42E">
      <w:numFmt w:val="bullet"/>
      <w:lvlText w:val="•"/>
      <w:lvlJc w:val="left"/>
      <w:pPr>
        <w:ind w:left="7104" w:hanging="360"/>
      </w:pPr>
      <w:rPr>
        <w:rFonts w:hint="default"/>
        <w:lang w:val="en-US" w:eastAsia="en-US" w:bidi="ar-SA"/>
      </w:rPr>
    </w:lvl>
    <w:lvl w:ilvl="8" w:tplc="FD5096DC">
      <w:numFmt w:val="bullet"/>
      <w:lvlText w:val="•"/>
      <w:lvlJc w:val="left"/>
      <w:pPr>
        <w:ind w:left="7985" w:hanging="360"/>
      </w:pPr>
      <w:rPr>
        <w:rFonts w:hint="default"/>
        <w:lang w:val="en-US" w:eastAsia="en-US" w:bidi="ar-SA"/>
      </w:rPr>
    </w:lvl>
  </w:abstractNum>
  <w:abstractNum w:abstractNumId="61" w15:restartNumberingAfterBreak="0">
    <w:nsid w:val="7EC35148"/>
    <w:multiLevelType w:val="hybridMultilevel"/>
    <w:tmpl w:val="DFC65864"/>
    <w:lvl w:ilvl="0" w:tplc="6FE29778">
      <w:start w:val="1"/>
      <w:numFmt w:val="lowerLetter"/>
      <w:lvlText w:val="%1)"/>
      <w:lvlJc w:val="left"/>
      <w:pPr>
        <w:ind w:left="943" w:hanging="360"/>
      </w:pPr>
      <w:rPr>
        <w:rFonts w:hint="default"/>
        <w:spacing w:val="-1"/>
        <w:w w:val="99"/>
        <w:lang w:val="en-US" w:eastAsia="en-US" w:bidi="ar-SA"/>
      </w:rPr>
    </w:lvl>
    <w:lvl w:ilvl="1" w:tplc="53F09C1A">
      <w:numFmt w:val="bullet"/>
      <w:lvlText w:val="•"/>
      <w:lvlJc w:val="left"/>
      <w:pPr>
        <w:ind w:left="1820" w:hanging="360"/>
      </w:pPr>
      <w:rPr>
        <w:rFonts w:hint="default"/>
        <w:lang w:val="en-US" w:eastAsia="en-US" w:bidi="ar-SA"/>
      </w:rPr>
    </w:lvl>
    <w:lvl w:ilvl="2" w:tplc="0C4AD66E">
      <w:numFmt w:val="bullet"/>
      <w:lvlText w:val="•"/>
      <w:lvlJc w:val="left"/>
      <w:pPr>
        <w:ind w:left="2701" w:hanging="360"/>
      </w:pPr>
      <w:rPr>
        <w:rFonts w:hint="default"/>
        <w:lang w:val="en-US" w:eastAsia="en-US" w:bidi="ar-SA"/>
      </w:rPr>
    </w:lvl>
    <w:lvl w:ilvl="3" w:tplc="E78ED6C4">
      <w:numFmt w:val="bullet"/>
      <w:lvlText w:val="•"/>
      <w:lvlJc w:val="left"/>
      <w:pPr>
        <w:ind w:left="3581" w:hanging="360"/>
      </w:pPr>
      <w:rPr>
        <w:rFonts w:hint="default"/>
        <w:lang w:val="en-US" w:eastAsia="en-US" w:bidi="ar-SA"/>
      </w:rPr>
    </w:lvl>
    <w:lvl w:ilvl="4" w:tplc="DC80C3E2">
      <w:numFmt w:val="bullet"/>
      <w:lvlText w:val="•"/>
      <w:lvlJc w:val="left"/>
      <w:pPr>
        <w:ind w:left="4462" w:hanging="360"/>
      </w:pPr>
      <w:rPr>
        <w:rFonts w:hint="default"/>
        <w:lang w:val="en-US" w:eastAsia="en-US" w:bidi="ar-SA"/>
      </w:rPr>
    </w:lvl>
    <w:lvl w:ilvl="5" w:tplc="635679BA">
      <w:numFmt w:val="bullet"/>
      <w:lvlText w:val="•"/>
      <w:lvlJc w:val="left"/>
      <w:pPr>
        <w:ind w:left="5343" w:hanging="360"/>
      </w:pPr>
      <w:rPr>
        <w:rFonts w:hint="default"/>
        <w:lang w:val="en-US" w:eastAsia="en-US" w:bidi="ar-SA"/>
      </w:rPr>
    </w:lvl>
    <w:lvl w:ilvl="6" w:tplc="732CC9BA">
      <w:numFmt w:val="bullet"/>
      <w:lvlText w:val="•"/>
      <w:lvlJc w:val="left"/>
      <w:pPr>
        <w:ind w:left="6223" w:hanging="360"/>
      </w:pPr>
      <w:rPr>
        <w:rFonts w:hint="default"/>
        <w:lang w:val="en-US" w:eastAsia="en-US" w:bidi="ar-SA"/>
      </w:rPr>
    </w:lvl>
    <w:lvl w:ilvl="7" w:tplc="688EA3FE">
      <w:numFmt w:val="bullet"/>
      <w:lvlText w:val="•"/>
      <w:lvlJc w:val="left"/>
      <w:pPr>
        <w:ind w:left="7104" w:hanging="360"/>
      </w:pPr>
      <w:rPr>
        <w:rFonts w:hint="default"/>
        <w:lang w:val="en-US" w:eastAsia="en-US" w:bidi="ar-SA"/>
      </w:rPr>
    </w:lvl>
    <w:lvl w:ilvl="8" w:tplc="E0A4B11A">
      <w:numFmt w:val="bullet"/>
      <w:lvlText w:val="•"/>
      <w:lvlJc w:val="left"/>
      <w:pPr>
        <w:ind w:left="7985" w:hanging="360"/>
      </w:pPr>
      <w:rPr>
        <w:rFonts w:hint="default"/>
        <w:lang w:val="en-US" w:eastAsia="en-US" w:bidi="ar-SA"/>
      </w:rPr>
    </w:lvl>
  </w:abstractNum>
  <w:abstractNum w:abstractNumId="62" w15:restartNumberingAfterBreak="0">
    <w:nsid w:val="7F7044C3"/>
    <w:multiLevelType w:val="hybridMultilevel"/>
    <w:tmpl w:val="25D00B44"/>
    <w:lvl w:ilvl="0" w:tplc="7DD4B95E">
      <w:start w:val="1"/>
      <w:numFmt w:val="decimal"/>
      <w:lvlText w:val="%1."/>
      <w:lvlJc w:val="left"/>
      <w:pPr>
        <w:ind w:left="223" w:hanging="720"/>
      </w:pPr>
      <w:rPr>
        <w:rFonts w:ascii="Arial" w:eastAsia="Arial" w:hAnsi="Arial" w:cs="Arial" w:hint="default"/>
        <w:b/>
        <w:bCs/>
        <w:i/>
        <w:iCs/>
        <w:spacing w:val="-1"/>
        <w:w w:val="87"/>
        <w:sz w:val="20"/>
        <w:szCs w:val="20"/>
        <w:u w:val="thick" w:color="000000"/>
        <w:lang w:val="en-US" w:eastAsia="en-US" w:bidi="ar-SA"/>
      </w:rPr>
    </w:lvl>
    <w:lvl w:ilvl="1" w:tplc="E1DE84BA">
      <w:numFmt w:val="bullet"/>
      <w:lvlText w:val="•"/>
      <w:lvlJc w:val="left"/>
      <w:pPr>
        <w:ind w:left="1172" w:hanging="720"/>
      </w:pPr>
      <w:rPr>
        <w:rFonts w:hint="default"/>
        <w:lang w:val="en-US" w:eastAsia="en-US" w:bidi="ar-SA"/>
      </w:rPr>
    </w:lvl>
    <w:lvl w:ilvl="2" w:tplc="6958B962">
      <w:numFmt w:val="bullet"/>
      <w:lvlText w:val="•"/>
      <w:lvlJc w:val="left"/>
      <w:pPr>
        <w:ind w:left="2125" w:hanging="720"/>
      </w:pPr>
      <w:rPr>
        <w:rFonts w:hint="default"/>
        <w:lang w:val="en-US" w:eastAsia="en-US" w:bidi="ar-SA"/>
      </w:rPr>
    </w:lvl>
    <w:lvl w:ilvl="3" w:tplc="9040883C">
      <w:numFmt w:val="bullet"/>
      <w:lvlText w:val="•"/>
      <w:lvlJc w:val="left"/>
      <w:pPr>
        <w:ind w:left="3077" w:hanging="720"/>
      </w:pPr>
      <w:rPr>
        <w:rFonts w:hint="default"/>
        <w:lang w:val="en-US" w:eastAsia="en-US" w:bidi="ar-SA"/>
      </w:rPr>
    </w:lvl>
    <w:lvl w:ilvl="4" w:tplc="F2CE5A4C">
      <w:numFmt w:val="bullet"/>
      <w:lvlText w:val="•"/>
      <w:lvlJc w:val="left"/>
      <w:pPr>
        <w:ind w:left="4030" w:hanging="720"/>
      </w:pPr>
      <w:rPr>
        <w:rFonts w:hint="default"/>
        <w:lang w:val="en-US" w:eastAsia="en-US" w:bidi="ar-SA"/>
      </w:rPr>
    </w:lvl>
    <w:lvl w:ilvl="5" w:tplc="78A4D006">
      <w:numFmt w:val="bullet"/>
      <w:lvlText w:val="•"/>
      <w:lvlJc w:val="left"/>
      <w:pPr>
        <w:ind w:left="4983" w:hanging="720"/>
      </w:pPr>
      <w:rPr>
        <w:rFonts w:hint="default"/>
        <w:lang w:val="en-US" w:eastAsia="en-US" w:bidi="ar-SA"/>
      </w:rPr>
    </w:lvl>
    <w:lvl w:ilvl="6" w:tplc="1A1AA54A">
      <w:numFmt w:val="bullet"/>
      <w:lvlText w:val="•"/>
      <w:lvlJc w:val="left"/>
      <w:pPr>
        <w:ind w:left="5935" w:hanging="720"/>
      </w:pPr>
      <w:rPr>
        <w:rFonts w:hint="default"/>
        <w:lang w:val="en-US" w:eastAsia="en-US" w:bidi="ar-SA"/>
      </w:rPr>
    </w:lvl>
    <w:lvl w:ilvl="7" w:tplc="8BA850A8">
      <w:numFmt w:val="bullet"/>
      <w:lvlText w:val="•"/>
      <w:lvlJc w:val="left"/>
      <w:pPr>
        <w:ind w:left="6888" w:hanging="720"/>
      </w:pPr>
      <w:rPr>
        <w:rFonts w:hint="default"/>
        <w:lang w:val="en-US" w:eastAsia="en-US" w:bidi="ar-SA"/>
      </w:rPr>
    </w:lvl>
    <w:lvl w:ilvl="8" w:tplc="D5689616">
      <w:numFmt w:val="bullet"/>
      <w:lvlText w:val="•"/>
      <w:lvlJc w:val="left"/>
      <w:pPr>
        <w:ind w:left="7841" w:hanging="720"/>
      </w:pPr>
      <w:rPr>
        <w:rFonts w:hint="default"/>
        <w:lang w:val="en-US" w:eastAsia="en-US" w:bidi="ar-SA"/>
      </w:rPr>
    </w:lvl>
  </w:abstractNum>
  <w:abstractNum w:abstractNumId="63" w15:restartNumberingAfterBreak="0">
    <w:nsid w:val="7F815807"/>
    <w:multiLevelType w:val="hybridMultilevel"/>
    <w:tmpl w:val="A8902F0C"/>
    <w:lvl w:ilvl="0" w:tplc="53266CC6">
      <w:start w:val="1"/>
      <w:numFmt w:val="upperLetter"/>
      <w:lvlText w:val="%1."/>
      <w:lvlJc w:val="left"/>
      <w:pPr>
        <w:ind w:left="943" w:hanging="360"/>
      </w:pPr>
      <w:rPr>
        <w:rFonts w:ascii="Arial" w:eastAsia="Arial" w:hAnsi="Arial" w:cs="Arial" w:hint="default"/>
        <w:b w:val="0"/>
        <w:bCs w:val="0"/>
        <w:i w:val="0"/>
        <w:iCs w:val="0"/>
        <w:spacing w:val="-1"/>
        <w:w w:val="99"/>
        <w:sz w:val="20"/>
        <w:szCs w:val="20"/>
        <w:lang w:val="en-US" w:eastAsia="en-US" w:bidi="ar-SA"/>
      </w:rPr>
    </w:lvl>
    <w:lvl w:ilvl="1" w:tplc="81287EE4">
      <w:start w:val="1"/>
      <w:numFmt w:val="decimal"/>
      <w:lvlText w:val="%2."/>
      <w:lvlJc w:val="left"/>
      <w:pPr>
        <w:ind w:left="1886" w:hanging="360"/>
      </w:pPr>
      <w:rPr>
        <w:rFonts w:hint="default"/>
        <w:spacing w:val="-1"/>
        <w:w w:val="99"/>
        <w:lang w:val="en-US" w:eastAsia="en-US" w:bidi="ar-SA"/>
      </w:rPr>
    </w:lvl>
    <w:lvl w:ilvl="2" w:tplc="5EA8D138">
      <w:start w:val="1"/>
      <w:numFmt w:val="lowerLetter"/>
      <w:lvlText w:val="%3)"/>
      <w:lvlJc w:val="left"/>
      <w:pPr>
        <w:ind w:left="2246" w:hanging="360"/>
        <w:jc w:val="right"/>
      </w:pPr>
      <w:rPr>
        <w:rFonts w:hint="default"/>
        <w:spacing w:val="-1"/>
        <w:w w:val="99"/>
        <w:lang w:val="en-US" w:eastAsia="en-US" w:bidi="ar-SA"/>
      </w:rPr>
    </w:lvl>
    <w:lvl w:ilvl="3" w:tplc="E4C60CB0">
      <w:start w:val="1"/>
      <w:numFmt w:val="lowerRoman"/>
      <w:lvlText w:val="%4)"/>
      <w:lvlJc w:val="left"/>
      <w:pPr>
        <w:ind w:left="2967" w:hanging="360"/>
      </w:pPr>
      <w:rPr>
        <w:rFonts w:hint="default"/>
        <w:spacing w:val="-2"/>
        <w:w w:val="99"/>
        <w:lang w:val="en-US" w:eastAsia="en-US" w:bidi="ar-SA"/>
      </w:rPr>
    </w:lvl>
    <w:lvl w:ilvl="4" w:tplc="1286E94E">
      <w:start w:val="1"/>
      <w:numFmt w:val="lowerRoman"/>
      <w:lvlText w:val="%5."/>
      <w:lvlJc w:val="left"/>
      <w:pPr>
        <w:ind w:left="3485" w:hanging="360"/>
        <w:jc w:val="right"/>
      </w:pPr>
      <w:rPr>
        <w:rFonts w:hint="default"/>
        <w:spacing w:val="-1"/>
        <w:w w:val="99"/>
        <w:lang w:val="en-US" w:eastAsia="en-US" w:bidi="ar-SA"/>
      </w:rPr>
    </w:lvl>
    <w:lvl w:ilvl="5" w:tplc="FBA220E2">
      <w:numFmt w:val="bullet"/>
      <w:lvlText w:val="•"/>
      <w:lvlJc w:val="left"/>
      <w:pPr>
        <w:ind w:left="2960" w:hanging="360"/>
      </w:pPr>
      <w:rPr>
        <w:rFonts w:hint="default"/>
        <w:lang w:val="en-US" w:eastAsia="en-US" w:bidi="ar-SA"/>
      </w:rPr>
    </w:lvl>
    <w:lvl w:ilvl="6" w:tplc="EAF8E17A">
      <w:numFmt w:val="bullet"/>
      <w:lvlText w:val="•"/>
      <w:lvlJc w:val="left"/>
      <w:pPr>
        <w:ind w:left="3480" w:hanging="360"/>
      </w:pPr>
      <w:rPr>
        <w:rFonts w:hint="default"/>
        <w:lang w:val="en-US" w:eastAsia="en-US" w:bidi="ar-SA"/>
      </w:rPr>
    </w:lvl>
    <w:lvl w:ilvl="7" w:tplc="9D08B53C">
      <w:numFmt w:val="bullet"/>
      <w:lvlText w:val="•"/>
      <w:lvlJc w:val="left"/>
      <w:pPr>
        <w:ind w:left="5046" w:hanging="360"/>
      </w:pPr>
      <w:rPr>
        <w:rFonts w:hint="default"/>
        <w:lang w:val="en-US" w:eastAsia="en-US" w:bidi="ar-SA"/>
      </w:rPr>
    </w:lvl>
    <w:lvl w:ilvl="8" w:tplc="42CAA8F4">
      <w:numFmt w:val="bullet"/>
      <w:lvlText w:val="•"/>
      <w:lvlJc w:val="left"/>
      <w:pPr>
        <w:ind w:left="6613" w:hanging="360"/>
      </w:pPr>
      <w:rPr>
        <w:rFonts w:hint="default"/>
        <w:lang w:val="en-US" w:eastAsia="en-US" w:bidi="ar-SA"/>
      </w:rPr>
    </w:lvl>
  </w:abstractNum>
  <w:abstractNum w:abstractNumId="64" w15:restartNumberingAfterBreak="0">
    <w:nsid w:val="7FD97B86"/>
    <w:multiLevelType w:val="hybridMultilevel"/>
    <w:tmpl w:val="1D62AA04"/>
    <w:lvl w:ilvl="0" w:tplc="F214B3CE">
      <w:start w:val="1"/>
      <w:numFmt w:val="lowerLetter"/>
      <w:lvlText w:val="%1)"/>
      <w:lvlJc w:val="left"/>
      <w:pPr>
        <w:ind w:left="1303" w:hanging="360"/>
      </w:pPr>
      <w:rPr>
        <w:rFonts w:ascii="Arial" w:eastAsia="Arial" w:hAnsi="Arial" w:cs="Arial" w:hint="default"/>
        <w:b/>
        <w:bCs/>
        <w:i/>
        <w:iCs/>
        <w:color w:val="231F20"/>
        <w:spacing w:val="-3"/>
        <w:w w:val="99"/>
        <w:sz w:val="20"/>
        <w:szCs w:val="20"/>
        <w:lang w:val="en-US" w:eastAsia="en-US" w:bidi="ar-SA"/>
      </w:rPr>
    </w:lvl>
    <w:lvl w:ilvl="1" w:tplc="8D349288">
      <w:numFmt w:val="bullet"/>
      <w:lvlText w:val="•"/>
      <w:lvlJc w:val="left"/>
      <w:pPr>
        <w:ind w:left="2144" w:hanging="360"/>
      </w:pPr>
      <w:rPr>
        <w:rFonts w:hint="default"/>
        <w:lang w:val="en-US" w:eastAsia="en-US" w:bidi="ar-SA"/>
      </w:rPr>
    </w:lvl>
    <w:lvl w:ilvl="2" w:tplc="D2AEDA66">
      <w:numFmt w:val="bullet"/>
      <w:lvlText w:val="•"/>
      <w:lvlJc w:val="left"/>
      <w:pPr>
        <w:ind w:left="2989" w:hanging="360"/>
      </w:pPr>
      <w:rPr>
        <w:rFonts w:hint="default"/>
        <w:lang w:val="en-US" w:eastAsia="en-US" w:bidi="ar-SA"/>
      </w:rPr>
    </w:lvl>
    <w:lvl w:ilvl="3" w:tplc="3F04D63E">
      <w:numFmt w:val="bullet"/>
      <w:lvlText w:val="•"/>
      <w:lvlJc w:val="left"/>
      <w:pPr>
        <w:ind w:left="3833" w:hanging="360"/>
      </w:pPr>
      <w:rPr>
        <w:rFonts w:hint="default"/>
        <w:lang w:val="en-US" w:eastAsia="en-US" w:bidi="ar-SA"/>
      </w:rPr>
    </w:lvl>
    <w:lvl w:ilvl="4" w:tplc="99B6483C">
      <w:numFmt w:val="bullet"/>
      <w:lvlText w:val="•"/>
      <w:lvlJc w:val="left"/>
      <w:pPr>
        <w:ind w:left="4678" w:hanging="360"/>
      </w:pPr>
      <w:rPr>
        <w:rFonts w:hint="default"/>
        <w:lang w:val="en-US" w:eastAsia="en-US" w:bidi="ar-SA"/>
      </w:rPr>
    </w:lvl>
    <w:lvl w:ilvl="5" w:tplc="B1EC3E52">
      <w:numFmt w:val="bullet"/>
      <w:lvlText w:val="•"/>
      <w:lvlJc w:val="left"/>
      <w:pPr>
        <w:ind w:left="5523" w:hanging="360"/>
      </w:pPr>
      <w:rPr>
        <w:rFonts w:hint="default"/>
        <w:lang w:val="en-US" w:eastAsia="en-US" w:bidi="ar-SA"/>
      </w:rPr>
    </w:lvl>
    <w:lvl w:ilvl="6" w:tplc="61FA390A">
      <w:numFmt w:val="bullet"/>
      <w:lvlText w:val="•"/>
      <w:lvlJc w:val="left"/>
      <w:pPr>
        <w:ind w:left="6367" w:hanging="360"/>
      </w:pPr>
      <w:rPr>
        <w:rFonts w:hint="default"/>
        <w:lang w:val="en-US" w:eastAsia="en-US" w:bidi="ar-SA"/>
      </w:rPr>
    </w:lvl>
    <w:lvl w:ilvl="7" w:tplc="AFDE7962">
      <w:numFmt w:val="bullet"/>
      <w:lvlText w:val="•"/>
      <w:lvlJc w:val="left"/>
      <w:pPr>
        <w:ind w:left="7212" w:hanging="360"/>
      </w:pPr>
      <w:rPr>
        <w:rFonts w:hint="default"/>
        <w:lang w:val="en-US" w:eastAsia="en-US" w:bidi="ar-SA"/>
      </w:rPr>
    </w:lvl>
    <w:lvl w:ilvl="8" w:tplc="26308C04">
      <w:numFmt w:val="bullet"/>
      <w:lvlText w:val="•"/>
      <w:lvlJc w:val="left"/>
      <w:pPr>
        <w:ind w:left="8057" w:hanging="360"/>
      </w:pPr>
      <w:rPr>
        <w:rFonts w:hint="default"/>
        <w:lang w:val="en-US" w:eastAsia="en-US" w:bidi="ar-SA"/>
      </w:rPr>
    </w:lvl>
  </w:abstractNum>
  <w:num w:numId="1" w16cid:durableId="1047797693">
    <w:abstractNumId w:val="62"/>
  </w:num>
  <w:num w:numId="2" w16cid:durableId="2019457572">
    <w:abstractNumId w:val="49"/>
  </w:num>
  <w:num w:numId="3" w16cid:durableId="1895896519">
    <w:abstractNumId w:val="39"/>
  </w:num>
  <w:num w:numId="4" w16cid:durableId="911040326">
    <w:abstractNumId w:val="60"/>
  </w:num>
  <w:num w:numId="5" w16cid:durableId="160507150">
    <w:abstractNumId w:val="13"/>
  </w:num>
  <w:num w:numId="6" w16cid:durableId="324433382">
    <w:abstractNumId w:val="8"/>
  </w:num>
  <w:num w:numId="7" w16cid:durableId="507643124">
    <w:abstractNumId w:val="34"/>
  </w:num>
  <w:num w:numId="8" w16cid:durableId="940799136">
    <w:abstractNumId w:val="43"/>
  </w:num>
  <w:num w:numId="9" w16cid:durableId="1222212975">
    <w:abstractNumId w:val="20"/>
  </w:num>
  <w:num w:numId="10" w16cid:durableId="1477529082">
    <w:abstractNumId w:val="54"/>
  </w:num>
  <w:num w:numId="11" w16cid:durableId="129834587">
    <w:abstractNumId w:val="47"/>
  </w:num>
  <w:num w:numId="12" w16cid:durableId="1112242158">
    <w:abstractNumId w:val="53"/>
  </w:num>
  <w:num w:numId="13" w16cid:durableId="986782139">
    <w:abstractNumId w:val="59"/>
  </w:num>
  <w:num w:numId="14" w16cid:durableId="543834142">
    <w:abstractNumId w:val="45"/>
  </w:num>
  <w:num w:numId="15" w16cid:durableId="1257061574">
    <w:abstractNumId w:val="51"/>
  </w:num>
  <w:num w:numId="16" w16cid:durableId="1209298947">
    <w:abstractNumId w:val="33"/>
  </w:num>
  <w:num w:numId="17" w16cid:durableId="532615716">
    <w:abstractNumId w:val="61"/>
  </w:num>
  <w:num w:numId="18" w16cid:durableId="1261836854">
    <w:abstractNumId w:val="48"/>
  </w:num>
  <w:num w:numId="19" w16cid:durableId="581961011">
    <w:abstractNumId w:val="56"/>
  </w:num>
  <w:num w:numId="20" w16cid:durableId="1963418478">
    <w:abstractNumId w:val="32"/>
  </w:num>
  <w:num w:numId="21" w16cid:durableId="1771772955">
    <w:abstractNumId w:val="26"/>
  </w:num>
  <w:num w:numId="22" w16cid:durableId="1485003081">
    <w:abstractNumId w:val="30"/>
  </w:num>
  <w:num w:numId="23" w16cid:durableId="842358023">
    <w:abstractNumId w:val="37"/>
  </w:num>
  <w:num w:numId="24" w16cid:durableId="1721707272">
    <w:abstractNumId w:val="12"/>
  </w:num>
  <w:num w:numId="25" w16cid:durableId="42142112">
    <w:abstractNumId w:val="14"/>
  </w:num>
  <w:num w:numId="26" w16cid:durableId="462384541">
    <w:abstractNumId w:val="3"/>
  </w:num>
  <w:num w:numId="27" w16cid:durableId="1805998569">
    <w:abstractNumId w:val="64"/>
  </w:num>
  <w:num w:numId="28" w16cid:durableId="323976165">
    <w:abstractNumId w:val="11"/>
  </w:num>
  <w:num w:numId="29" w16cid:durableId="86315668">
    <w:abstractNumId w:val="36"/>
  </w:num>
  <w:num w:numId="30" w16cid:durableId="1965961385">
    <w:abstractNumId w:val="44"/>
  </w:num>
  <w:num w:numId="31" w16cid:durableId="1070352423">
    <w:abstractNumId w:val="0"/>
  </w:num>
  <w:num w:numId="32" w16cid:durableId="139462223">
    <w:abstractNumId w:val="41"/>
  </w:num>
  <w:num w:numId="33" w16cid:durableId="1936161222">
    <w:abstractNumId w:val="46"/>
  </w:num>
  <w:num w:numId="34" w16cid:durableId="1922789007">
    <w:abstractNumId w:val="19"/>
  </w:num>
  <w:num w:numId="35" w16cid:durableId="1418092151">
    <w:abstractNumId w:val="24"/>
  </w:num>
  <w:num w:numId="36" w16cid:durableId="1320109192">
    <w:abstractNumId w:val="50"/>
  </w:num>
  <w:num w:numId="37" w16cid:durableId="351958245">
    <w:abstractNumId w:val="25"/>
  </w:num>
  <w:num w:numId="38" w16cid:durableId="217475826">
    <w:abstractNumId w:val="29"/>
  </w:num>
  <w:num w:numId="39" w16cid:durableId="317153178">
    <w:abstractNumId w:val="57"/>
  </w:num>
  <w:num w:numId="40" w16cid:durableId="1218469247">
    <w:abstractNumId w:val="5"/>
  </w:num>
  <w:num w:numId="41" w16cid:durableId="802774825">
    <w:abstractNumId w:val="16"/>
  </w:num>
  <w:num w:numId="42" w16cid:durableId="919024773">
    <w:abstractNumId w:val="9"/>
  </w:num>
  <w:num w:numId="43" w16cid:durableId="315649267">
    <w:abstractNumId w:val="52"/>
  </w:num>
  <w:num w:numId="44" w16cid:durableId="283082564">
    <w:abstractNumId w:val="22"/>
  </w:num>
  <w:num w:numId="45" w16cid:durableId="1586189837">
    <w:abstractNumId w:val="55"/>
  </w:num>
  <w:num w:numId="46" w16cid:durableId="471605871">
    <w:abstractNumId w:val="42"/>
  </w:num>
  <w:num w:numId="47" w16cid:durableId="177934439">
    <w:abstractNumId w:val="6"/>
  </w:num>
  <w:num w:numId="48" w16cid:durableId="862282310">
    <w:abstractNumId w:val="18"/>
  </w:num>
  <w:num w:numId="49" w16cid:durableId="145319720">
    <w:abstractNumId w:val="27"/>
  </w:num>
  <w:num w:numId="50" w16cid:durableId="1485701852">
    <w:abstractNumId w:val="58"/>
  </w:num>
  <w:num w:numId="51" w16cid:durableId="317466989">
    <w:abstractNumId w:val="15"/>
  </w:num>
  <w:num w:numId="52" w16cid:durableId="178351331">
    <w:abstractNumId w:val="40"/>
  </w:num>
  <w:num w:numId="53" w16cid:durableId="1514101321">
    <w:abstractNumId w:val="2"/>
  </w:num>
  <w:num w:numId="54" w16cid:durableId="2126150100">
    <w:abstractNumId w:val="21"/>
  </w:num>
  <w:num w:numId="55" w16cid:durableId="1226797606">
    <w:abstractNumId w:val="1"/>
  </w:num>
  <w:num w:numId="56" w16cid:durableId="1546142547">
    <w:abstractNumId w:val="35"/>
  </w:num>
  <w:num w:numId="57" w16cid:durableId="1815950608">
    <w:abstractNumId w:val="63"/>
  </w:num>
  <w:num w:numId="58" w16cid:durableId="1442601543">
    <w:abstractNumId w:val="23"/>
  </w:num>
  <w:num w:numId="59" w16cid:durableId="804812749">
    <w:abstractNumId w:val="17"/>
  </w:num>
  <w:num w:numId="60" w16cid:durableId="2012218622">
    <w:abstractNumId w:val="31"/>
  </w:num>
  <w:num w:numId="61" w16cid:durableId="1418555083">
    <w:abstractNumId w:val="7"/>
  </w:num>
  <w:num w:numId="62" w16cid:durableId="651909930">
    <w:abstractNumId w:val="38"/>
  </w:num>
  <w:num w:numId="63" w16cid:durableId="1500274452">
    <w:abstractNumId w:val="10"/>
  </w:num>
  <w:num w:numId="64" w16cid:durableId="999500073">
    <w:abstractNumId w:val="28"/>
  </w:num>
  <w:num w:numId="65" w16cid:durableId="220404284">
    <w:abstractNumId w:val="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92EDD"/>
    <w:rsid w:val="00006867"/>
    <w:rsid w:val="00080348"/>
    <w:rsid w:val="00135FA5"/>
    <w:rsid w:val="0017229E"/>
    <w:rsid w:val="001834C5"/>
    <w:rsid w:val="001A36E8"/>
    <w:rsid w:val="001B0491"/>
    <w:rsid w:val="00211613"/>
    <w:rsid w:val="002336AF"/>
    <w:rsid w:val="00334F87"/>
    <w:rsid w:val="00336261"/>
    <w:rsid w:val="0034181A"/>
    <w:rsid w:val="00342687"/>
    <w:rsid w:val="0036353A"/>
    <w:rsid w:val="003670C3"/>
    <w:rsid w:val="0038202A"/>
    <w:rsid w:val="00384E25"/>
    <w:rsid w:val="003C3205"/>
    <w:rsid w:val="003C366A"/>
    <w:rsid w:val="003D08F7"/>
    <w:rsid w:val="003E6C53"/>
    <w:rsid w:val="003E77A2"/>
    <w:rsid w:val="00457C48"/>
    <w:rsid w:val="00465656"/>
    <w:rsid w:val="0048535E"/>
    <w:rsid w:val="00487A9E"/>
    <w:rsid w:val="00495E35"/>
    <w:rsid w:val="004B6758"/>
    <w:rsid w:val="004C20E3"/>
    <w:rsid w:val="004D5B08"/>
    <w:rsid w:val="004E2356"/>
    <w:rsid w:val="004E478C"/>
    <w:rsid w:val="00512F64"/>
    <w:rsid w:val="00563DC8"/>
    <w:rsid w:val="00572A36"/>
    <w:rsid w:val="0058783E"/>
    <w:rsid w:val="00595198"/>
    <w:rsid w:val="00596901"/>
    <w:rsid w:val="005974B8"/>
    <w:rsid w:val="005A37E0"/>
    <w:rsid w:val="005A5740"/>
    <w:rsid w:val="005D1125"/>
    <w:rsid w:val="005F6228"/>
    <w:rsid w:val="006256F7"/>
    <w:rsid w:val="00627B67"/>
    <w:rsid w:val="006370FD"/>
    <w:rsid w:val="00644FE2"/>
    <w:rsid w:val="00653D43"/>
    <w:rsid w:val="00661B99"/>
    <w:rsid w:val="00680845"/>
    <w:rsid w:val="006929A0"/>
    <w:rsid w:val="006A2501"/>
    <w:rsid w:val="006A7FBB"/>
    <w:rsid w:val="006E0CB8"/>
    <w:rsid w:val="006E3973"/>
    <w:rsid w:val="006E48F3"/>
    <w:rsid w:val="006E60B2"/>
    <w:rsid w:val="0071782B"/>
    <w:rsid w:val="00774B72"/>
    <w:rsid w:val="00785FF4"/>
    <w:rsid w:val="007A163A"/>
    <w:rsid w:val="007D191C"/>
    <w:rsid w:val="00801745"/>
    <w:rsid w:val="00824CC7"/>
    <w:rsid w:val="00825120"/>
    <w:rsid w:val="00852ADA"/>
    <w:rsid w:val="008546FA"/>
    <w:rsid w:val="00876107"/>
    <w:rsid w:val="008A7D90"/>
    <w:rsid w:val="008D0153"/>
    <w:rsid w:val="00906122"/>
    <w:rsid w:val="0094454A"/>
    <w:rsid w:val="00961ED6"/>
    <w:rsid w:val="00971F84"/>
    <w:rsid w:val="009B7409"/>
    <w:rsid w:val="009E5AB5"/>
    <w:rsid w:val="009F0EBA"/>
    <w:rsid w:val="00A248D6"/>
    <w:rsid w:val="00A350CA"/>
    <w:rsid w:val="00A3775D"/>
    <w:rsid w:val="00A8311A"/>
    <w:rsid w:val="00A92BD6"/>
    <w:rsid w:val="00A95AFB"/>
    <w:rsid w:val="00AC7889"/>
    <w:rsid w:val="00AE1EAB"/>
    <w:rsid w:val="00B221D0"/>
    <w:rsid w:val="00B27AD2"/>
    <w:rsid w:val="00B54246"/>
    <w:rsid w:val="00B625B5"/>
    <w:rsid w:val="00B92B5A"/>
    <w:rsid w:val="00BC7304"/>
    <w:rsid w:val="00BD3047"/>
    <w:rsid w:val="00BF1EEF"/>
    <w:rsid w:val="00C15C76"/>
    <w:rsid w:val="00C21151"/>
    <w:rsid w:val="00C3467B"/>
    <w:rsid w:val="00C43266"/>
    <w:rsid w:val="00C80D6E"/>
    <w:rsid w:val="00C92EDD"/>
    <w:rsid w:val="00CA7B19"/>
    <w:rsid w:val="00CB441B"/>
    <w:rsid w:val="00CE720A"/>
    <w:rsid w:val="00D056A7"/>
    <w:rsid w:val="00D44639"/>
    <w:rsid w:val="00D57908"/>
    <w:rsid w:val="00D61E5A"/>
    <w:rsid w:val="00D70279"/>
    <w:rsid w:val="00D90B0A"/>
    <w:rsid w:val="00DA3881"/>
    <w:rsid w:val="00DB0F45"/>
    <w:rsid w:val="00DB30B8"/>
    <w:rsid w:val="00DC2779"/>
    <w:rsid w:val="00E13577"/>
    <w:rsid w:val="00E26BDD"/>
    <w:rsid w:val="00E46DB5"/>
    <w:rsid w:val="00E53FF4"/>
    <w:rsid w:val="00E60F2A"/>
    <w:rsid w:val="00E63F3B"/>
    <w:rsid w:val="00EC087E"/>
    <w:rsid w:val="00EC37E3"/>
    <w:rsid w:val="00EC4A2A"/>
    <w:rsid w:val="00ED5059"/>
    <w:rsid w:val="00EE5795"/>
    <w:rsid w:val="00F02FF0"/>
    <w:rsid w:val="00F04231"/>
    <w:rsid w:val="00F17515"/>
    <w:rsid w:val="00F3683E"/>
    <w:rsid w:val="00F54EB1"/>
    <w:rsid w:val="00F66ED4"/>
    <w:rsid w:val="00F7687B"/>
    <w:rsid w:val="00F8103B"/>
    <w:rsid w:val="00F85495"/>
    <w:rsid w:val="00F97C5A"/>
    <w:rsid w:val="00FC4107"/>
    <w:rsid w:val="00FC5A33"/>
    <w:rsid w:val="00FD01CE"/>
    <w:rsid w:val="00FD391F"/>
    <w:rsid w:val="00FE7E48"/>
    <w:rsid w:val="00FF2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3E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294"/>
      <w:ind w:left="223"/>
      <w:outlineLvl w:val="0"/>
    </w:pPr>
    <w:rPr>
      <w:b/>
      <w:bCs/>
      <w:sz w:val="72"/>
      <w:szCs w:val="72"/>
    </w:rPr>
  </w:style>
  <w:style w:type="paragraph" w:styleId="Heading2">
    <w:name w:val="heading 2"/>
    <w:basedOn w:val="Normal"/>
    <w:link w:val="Heading2Char"/>
    <w:uiPriority w:val="9"/>
    <w:unhideWhenUsed/>
    <w:qFormat/>
    <w:pPr>
      <w:ind w:left="338"/>
      <w:outlineLvl w:val="1"/>
    </w:pPr>
    <w:rPr>
      <w:b/>
      <w:bCs/>
      <w:sz w:val="56"/>
      <w:szCs w:val="56"/>
    </w:rPr>
  </w:style>
  <w:style w:type="paragraph" w:styleId="Heading3">
    <w:name w:val="heading 3"/>
    <w:basedOn w:val="Normal"/>
    <w:link w:val="Heading3Char"/>
    <w:uiPriority w:val="9"/>
    <w:unhideWhenUsed/>
    <w:qFormat/>
    <w:pPr>
      <w:spacing w:before="348"/>
      <w:ind w:left="223" w:right="216"/>
      <w:outlineLvl w:val="2"/>
    </w:pPr>
    <w:rPr>
      <w:b/>
      <w:bCs/>
      <w:i/>
      <w:iCs/>
      <w:sz w:val="56"/>
      <w:szCs w:val="56"/>
      <w:u w:val="single" w:color="000000"/>
    </w:rPr>
  </w:style>
  <w:style w:type="paragraph" w:styleId="Heading4">
    <w:name w:val="heading 4"/>
    <w:basedOn w:val="Normal"/>
    <w:link w:val="Heading4Char"/>
    <w:uiPriority w:val="9"/>
    <w:unhideWhenUsed/>
    <w:qFormat/>
    <w:pPr>
      <w:spacing w:before="65"/>
      <w:ind w:left="259"/>
      <w:outlineLvl w:val="3"/>
    </w:pPr>
    <w:rPr>
      <w:rFonts w:ascii="Arial Black" w:eastAsia="Arial Black" w:hAnsi="Arial Black" w:cs="Arial Black"/>
      <w:b/>
      <w:bCs/>
      <w:sz w:val="45"/>
      <w:szCs w:val="45"/>
    </w:rPr>
  </w:style>
  <w:style w:type="paragraph" w:styleId="Heading5">
    <w:name w:val="heading 5"/>
    <w:basedOn w:val="Normal"/>
    <w:link w:val="Heading5Char"/>
    <w:uiPriority w:val="9"/>
    <w:unhideWhenUsed/>
    <w:qFormat/>
    <w:pPr>
      <w:ind w:left="223"/>
      <w:outlineLvl w:val="4"/>
    </w:pPr>
    <w:rPr>
      <w:b/>
      <w:bCs/>
      <w:sz w:val="24"/>
      <w:szCs w:val="24"/>
    </w:rPr>
  </w:style>
  <w:style w:type="paragraph" w:styleId="Heading6">
    <w:name w:val="heading 6"/>
    <w:basedOn w:val="Normal"/>
    <w:link w:val="Heading6Char"/>
    <w:uiPriority w:val="9"/>
    <w:unhideWhenUsed/>
    <w:qFormat/>
    <w:pPr>
      <w:ind w:left="223"/>
      <w:outlineLvl w:val="5"/>
    </w:pPr>
    <w:rPr>
      <w:b/>
      <w:bCs/>
      <w:i/>
      <w:iCs/>
      <w:sz w:val="24"/>
      <w:szCs w:val="24"/>
      <w:u w:val="single" w:color="000000"/>
    </w:rPr>
  </w:style>
  <w:style w:type="paragraph" w:styleId="Heading7">
    <w:name w:val="heading 7"/>
    <w:basedOn w:val="Normal"/>
    <w:link w:val="Heading7Char"/>
    <w:uiPriority w:val="1"/>
    <w:qFormat/>
    <w:pPr>
      <w:ind w:left="902"/>
      <w:outlineLvl w:val="6"/>
    </w:pPr>
    <w:rPr>
      <w:b/>
      <w:bCs/>
      <w:i/>
      <w:iCs/>
    </w:rPr>
  </w:style>
  <w:style w:type="paragraph" w:styleId="Heading8">
    <w:name w:val="heading 8"/>
    <w:basedOn w:val="Normal"/>
    <w:link w:val="Heading8Char"/>
    <w:uiPriority w:val="1"/>
    <w:qFormat/>
    <w:pPr>
      <w:ind w:left="902"/>
      <w:outlineLvl w:val="7"/>
    </w:pPr>
    <w:rPr>
      <w:i/>
      <w:iCs/>
    </w:rPr>
  </w:style>
  <w:style w:type="paragraph" w:styleId="Heading9">
    <w:name w:val="heading 9"/>
    <w:basedOn w:val="Normal"/>
    <w:link w:val="Heading9Char"/>
    <w:uiPriority w:val="1"/>
    <w:qFormat/>
    <w:pPr>
      <w:ind w:left="941" w:hanging="358"/>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18"/>
      <w:ind w:left="223"/>
    </w:pPr>
    <w:rPr>
      <w:sz w:val="28"/>
      <w:szCs w:val="28"/>
    </w:rPr>
  </w:style>
  <w:style w:type="paragraph" w:styleId="TOC2">
    <w:name w:val="toc 2"/>
    <w:basedOn w:val="Normal"/>
    <w:uiPriority w:val="39"/>
    <w:qFormat/>
    <w:pPr>
      <w:spacing w:before="29"/>
      <w:ind w:left="506"/>
    </w:pPr>
    <w:rPr>
      <w:sz w:val="20"/>
      <w:szCs w:val="20"/>
    </w:rPr>
  </w:style>
  <w:style w:type="paragraph" w:styleId="BodyText">
    <w:name w:val="Body Text"/>
    <w:basedOn w:val="Normal"/>
    <w:link w:val="BodyTextChar"/>
    <w:uiPriority w:val="1"/>
    <w:qFormat/>
    <w:pPr>
      <w:jc w:val="both"/>
    </w:pPr>
    <w:rPr>
      <w:sz w:val="20"/>
      <w:szCs w:val="20"/>
    </w:rPr>
  </w:style>
  <w:style w:type="paragraph" w:styleId="Title">
    <w:name w:val="Title"/>
    <w:basedOn w:val="Normal"/>
    <w:link w:val="TitleChar"/>
    <w:uiPriority w:val="10"/>
    <w:qFormat/>
    <w:pPr>
      <w:ind w:left="259"/>
    </w:pPr>
    <w:rPr>
      <w:rFonts w:ascii="Calibri" w:eastAsia="Calibri" w:hAnsi="Calibri" w:cs="Calibri"/>
      <w:b/>
      <w:bCs/>
      <w:sz w:val="80"/>
      <w:szCs w:val="80"/>
    </w:rPr>
  </w:style>
  <w:style w:type="paragraph" w:styleId="ListParagraph">
    <w:name w:val="List Paragraph"/>
    <w:basedOn w:val="Normal"/>
    <w:uiPriority w:val="1"/>
    <w:qFormat/>
    <w:pPr>
      <w:spacing w:before="120"/>
      <w:ind w:left="22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02FF0"/>
    <w:pPr>
      <w:tabs>
        <w:tab w:val="center" w:pos="4680"/>
        <w:tab w:val="right" w:pos="9360"/>
      </w:tabs>
    </w:pPr>
  </w:style>
  <w:style w:type="character" w:customStyle="1" w:styleId="HeaderChar">
    <w:name w:val="Header Char"/>
    <w:basedOn w:val="DefaultParagraphFont"/>
    <w:link w:val="Header"/>
    <w:uiPriority w:val="99"/>
    <w:rsid w:val="00F02FF0"/>
    <w:rPr>
      <w:rFonts w:ascii="Arial" w:eastAsia="Arial" w:hAnsi="Arial" w:cs="Arial"/>
    </w:rPr>
  </w:style>
  <w:style w:type="paragraph" w:styleId="Footer">
    <w:name w:val="footer"/>
    <w:basedOn w:val="Normal"/>
    <w:link w:val="FooterChar"/>
    <w:uiPriority w:val="99"/>
    <w:unhideWhenUsed/>
    <w:rsid w:val="00F02FF0"/>
    <w:pPr>
      <w:tabs>
        <w:tab w:val="center" w:pos="4680"/>
        <w:tab w:val="right" w:pos="9360"/>
      </w:tabs>
    </w:pPr>
  </w:style>
  <w:style w:type="character" w:customStyle="1" w:styleId="FooterChar">
    <w:name w:val="Footer Char"/>
    <w:basedOn w:val="DefaultParagraphFont"/>
    <w:link w:val="Footer"/>
    <w:uiPriority w:val="99"/>
    <w:rsid w:val="00F02FF0"/>
    <w:rPr>
      <w:rFonts w:ascii="Arial" w:eastAsia="Arial" w:hAnsi="Arial" w:cs="Arial"/>
    </w:rPr>
  </w:style>
  <w:style w:type="paragraph" w:styleId="FootnoteText">
    <w:name w:val="footnote text"/>
    <w:basedOn w:val="Normal"/>
    <w:link w:val="FootnoteTextChar"/>
    <w:uiPriority w:val="99"/>
    <w:semiHidden/>
    <w:unhideWhenUsed/>
    <w:rsid w:val="006A2501"/>
    <w:rPr>
      <w:sz w:val="20"/>
      <w:szCs w:val="20"/>
    </w:rPr>
  </w:style>
  <w:style w:type="character" w:customStyle="1" w:styleId="FootnoteTextChar">
    <w:name w:val="Footnote Text Char"/>
    <w:basedOn w:val="DefaultParagraphFont"/>
    <w:link w:val="FootnoteText"/>
    <w:uiPriority w:val="99"/>
    <w:semiHidden/>
    <w:rsid w:val="006A2501"/>
    <w:rPr>
      <w:rFonts w:ascii="Arial" w:eastAsia="Arial" w:hAnsi="Arial" w:cs="Arial"/>
      <w:sz w:val="20"/>
      <w:szCs w:val="20"/>
    </w:rPr>
  </w:style>
  <w:style w:type="character" w:styleId="FootnoteReference">
    <w:name w:val="footnote reference"/>
    <w:basedOn w:val="DefaultParagraphFont"/>
    <w:uiPriority w:val="99"/>
    <w:semiHidden/>
    <w:unhideWhenUsed/>
    <w:rsid w:val="006A2501"/>
    <w:rPr>
      <w:vertAlign w:val="superscript"/>
    </w:rPr>
  </w:style>
  <w:style w:type="character" w:customStyle="1" w:styleId="Heading1Char">
    <w:name w:val="Heading 1 Char"/>
    <w:basedOn w:val="DefaultParagraphFont"/>
    <w:link w:val="Heading1"/>
    <w:uiPriority w:val="9"/>
    <w:rsid w:val="00DB30B8"/>
    <w:rPr>
      <w:rFonts w:ascii="Arial" w:eastAsia="Arial" w:hAnsi="Arial" w:cs="Arial"/>
      <w:b/>
      <w:bCs/>
      <w:sz w:val="72"/>
      <w:szCs w:val="72"/>
    </w:rPr>
  </w:style>
  <w:style w:type="character" w:customStyle="1" w:styleId="Heading2Char">
    <w:name w:val="Heading 2 Char"/>
    <w:basedOn w:val="DefaultParagraphFont"/>
    <w:link w:val="Heading2"/>
    <w:uiPriority w:val="9"/>
    <w:rsid w:val="00DB30B8"/>
    <w:rPr>
      <w:rFonts w:ascii="Arial" w:eastAsia="Arial" w:hAnsi="Arial" w:cs="Arial"/>
      <w:b/>
      <w:bCs/>
      <w:sz w:val="56"/>
      <w:szCs w:val="56"/>
    </w:rPr>
  </w:style>
  <w:style w:type="character" w:customStyle="1" w:styleId="Heading3Char">
    <w:name w:val="Heading 3 Char"/>
    <w:basedOn w:val="DefaultParagraphFont"/>
    <w:link w:val="Heading3"/>
    <w:uiPriority w:val="9"/>
    <w:rsid w:val="00DB30B8"/>
    <w:rPr>
      <w:rFonts w:ascii="Arial" w:eastAsia="Arial" w:hAnsi="Arial" w:cs="Arial"/>
      <w:b/>
      <w:bCs/>
      <w:i/>
      <w:iCs/>
      <w:sz w:val="56"/>
      <w:szCs w:val="56"/>
      <w:u w:val="single" w:color="000000"/>
    </w:rPr>
  </w:style>
  <w:style w:type="character" w:customStyle="1" w:styleId="Heading4Char">
    <w:name w:val="Heading 4 Char"/>
    <w:basedOn w:val="DefaultParagraphFont"/>
    <w:link w:val="Heading4"/>
    <w:uiPriority w:val="9"/>
    <w:rsid w:val="00DB30B8"/>
    <w:rPr>
      <w:rFonts w:ascii="Arial Black" w:eastAsia="Arial Black" w:hAnsi="Arial Black" w:cs="Arial Black"/>
      <w:b/>
      <w:bCs/>
      <w:sz w:val="45"/>
      <w:szCs w:val="45"/>
    </w:rPr>
  </w:style>
  <w:style w:type="character" w:customStyle="1" w:styleId="Heading5Char">
    <w:name w:val="Heading 5 Char"/>
    <w:basedOn w:val="DefaultParagraphFont"/>
    <w:link w:val="Heading5"/>
    <w:uiPriority w:val="9"/>
    <w:rsid w:val="00DB30B8"/>
    <w:rPr>
      <w:rFonts w:ascii="Arial" w:eastAsia="Arial" w:hAnsi="Arial" w:cs="Arial"/>
      <w:b/>
      <w:bCs/>
      <w:sz w:val="24"/>
      <w:szCs w:val="24"/>
    </w:rPr>
  </w:style>
  <w:style w:type="character" w:customStyle="1" w:styleId="Heading6Char">
    <w:name w:val="Heading 6 Char"/>
    <w:basedOn w:val="DefaultParagraphFont"/>
    <w:link w:val="Heading6"/>
    <w:uiPriority w:val="9"/>
    <w:rsid w:val="00DB30B8"/>
    <w:rPr>
      <w:rFonts w:ascii="Arial" w:eastAsia="Arial" w:hAnsi="Arial" w:cs="Arial"/>
      <w:b/>
      <w:bCs/>
      <w:i/>
      <w:iCs/>
      <w:sz w:val="24"/>
      <w:szCs w:val="24"/>
      <w:u w:val="single" w:color="000000"/>
    </w:rPr>
  </w:style>
  <w:style w:type="character" w:customStyle="1" w:styleId="Heading7Char">
    <w:name w:val="Heading 7 Char"/>
    <w:basedOn w:val="DefaultParagraphFont"/>
    <w:link w:val="Heading7"/>
    <w:uiPriority w:val="1"/>
    <w:rsid w:val="00DB30B8"/>
    <w:rPr>
      <w:rFonts w:ascii="Arial" w:eastAsia="Arial" w:hAnsi="Arial" w:cs="Arial"/>
      <w:b/>
      <w:bCs/>
      <w:i/>
      <w:iCs/>
    </w:rPr>
  </w:style>
  <w:style w:type="character" w:customStyle="1" w:styleId="Heading8Char">
    <w:name w:val="Heading 8 Char"/>
    <w:basedOn w:val="DefaultParagraphFont"/>
    <w:link w:val="Heading8"/>
    <w:uiPriority w:val="1"/>
    <w:rsid w:val="00DB30B8"/>
    <w:rPr>
      <w:rFonts w:ascii="Arial" w:eastAsia="Arial" w:hAnsi="Arial" w:cs="Arial"/>
      <w:i/>
      <w:iCs/>
    </w:rPr>
  </w:style>
  <w:style w:type="character" w:customStyle="1" w:styleId="Heading9Char">
    <w:name w:val="Heading 9 Char"/>
    <w:basedOn w:val="DefaultParagraphFont"/>
    <w:link w:val="Heading9"/>
    <w:uiPriority w:val="1"/>
    <w:rsid w:val="00DB30B8"/>
    <w:rPr>
      <w:rFonts w:ascii="Arial" w:eastAsia="Arial" w:hAnsi="Arial" w:cs="Arial"/>
      <w:b/>
      <w:bCs/>
      <w:sz w:val="20"/>
      <w:szCs w:val="20"/>
    </w:rPr>
  </w:style>
  <w:style w:type="character" w:customStyle="1" w:styleId="TitleChar">
    <w:name w:val="Title Char"/>
    <w:basedOn w:val="DefaultParagraphFont"/>
    <w:link w:val="Title"/>
    <w:uiPriority w:val="10"/>
    <w:rsid w:val="00DB30B8"/>
    <w:rPr>
      <w:rFonts w:ascii="Calibri" w:eastAsia="Calibri" w:hAnsi="Calibri" w:cs="Calibri"/>
      <w:b/>
      <w:bCs/>
      <w:sz w:val="80"/>
      <w:szCs w:val="80"/>
    </w:rPr>
  </w:style>
  <w:style w:type="paragraph" w:styleId="Subtitle">
    <w:name w:val="Subtitle"/>
    <w:basedOn w:val="Normal"/>
    <w:next w:val="Normal"/>
    <w:link w:val="SubtitleChar"/>
    <w:uiPriority w:val="11"/>
    <w:qFormat/>
    <w:rsid w:val="00DB30B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30B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DB30B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B30B8"/>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DB30B8"/>
    <w:rPr>
      <w:i/>
      <w:iCs/>
      <w:color w:val="365F91" w:themeColor="accent1" w:themeShade="BF"/>
    </w:rPr>
  </w:style>
  <w:style w:type="paragraph" w:styleId="IntenseQuote">
    <w:name w:val="Intense Quote"/>
    <w:basedOn w:val="Normal"/>
    <w:next w:val="Normal"/>
    <w:link w:val="IntenseQuoteChar"/>
    <w:uiPriority w:val="30"/>
    <w:qFormat/>
    <w:rsid w:val="00DB30B8"/>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B30B8"/>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DB30B8"/>
    <w:rPr>
      <w:b/>
      <w:bCs/>
      <w:smallCaps/>
      <w:color w:val="365F91" w:themeColor="accent1" w:themeShade="BF"/>
      <w:spacing w:val="5"/>
    </w:rPr>
  </w:style>
  <w:style w:type="numbering" w:customStyle="1" w:styleId="NoList1">
    <w:name w:val="No List1"/>
    <w:next w:val="NoList"/>
    <w:uiPriority w:val="99"/>
    <w:semiHidden/>
    <w:unhideWhenUsed/>
    <w:rsid w:val="00DB30B8"/>
  </w:style>
  <w:style w:type="character" w:customStyle="1" w:styleId="BodyTextChar">
    <w:name w:val="Body Text Char"/>
    <w:basedOn w:val="DefaultParagraphFont"/>
    <w:link w:val="BodyText"/>
    <w:uiPriority w:val="1"/>
    <w:rsid w:val="00DB30B8"/>
    <w:rPr>
      <w:rFonts w:ascii="Arial" w:eastAsia="Arial" w:hAnsi="Arial" w:cs="Arial"/>
      <w:sz w:val="20"/>
      <w:szCs w:val="20"/>
    </w:rPr>
  </w:style>
  <w:style w:type="paragraph" w:styleId="TOCHeading">
    <w:name w:val="TOC Heading"/>
    <w:basedOn w:val="Heading1"/>
    <w:next w:val="Normal"/>
    <w:uiPriority w:val="39"/>
    <w:unhideWhenUsed/>
    <w:qFormat/>
    <w:rsid w:val="00135FA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character" w:styleId="Hyperlink">
    <w:name w:val="Hyperlink"/>
    <w:basedOn w:val="DefaultParagraphFont"/>
    <w:uiPriority w:val="99"/>
    <w:unhideWhenUsed/>
    <w:rsid w:val="00135FA5"/>
    <w:rPr>
      <w:color w:val="0000FF" w:themeColor="hyperlink"/>
      <w:u w:val="single"/>
    </w:rPr>
  </w:style>
  <w:style w:type="paragraph" w:styleId="TOC5">
    <w:name w:val="toc 5"/>
    <w:basedOn w:val="Normal"/>
    <w:next w:val="Normal"/>
    <w:autoRedefine/>
    <w:uiPriority w:val="39"/>
    <w:unhideWhenUsed/>
    <w:rsid w:val="00D056A7"/>
    <w:pPr>
      <w:spacing w:after="100"/>
      <w:ind w:left="880"/>
    </w:pPr>
  </w:style>
  <w:style w:type="paragraph" w:styleId="TOC4">
    <w:name w:val="toc 4"/>
    <w:basedOn w:val="Normal"/>
    <w:next w:val="Normal"/>
    <w:autoRedefine/>
    <w:uiPriority w:val="39"/>
    <w:unhideWhenUsed/>
    <w:rsid w:val="00D056A7"/>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reativecommons.org/licenses/by/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g20.org/" TargetMode="External"/><Relationship Id="rId2" Type="http://schemas.openxmlformats.org/officeDocument/2006/relationships/hyperlink" Target="file://localhost/C:/Users/garnier_k/AppData/Local/Microsoft/Windows/INetCache/Content.Outlook/K19H0EHZ/www.fatf-gafi.org/media/fatf/documents/recommendations/pdfs/FATF_Recommendations.pdf" TargetMode="External"/><Relationship Id="rId1" Type="http://schemas.openxmlformats.org/officeDocument/2006/relationships/hyperlink" Target="file://localhost/C:/Users/garnier_k/AppData/Local/Microsoft/Windows/INetCache/Content.Outlook/K19H0EHZ/www.fatf-gafi.org/media/fatf/documents/recommendations/pdfs/FATF_Recommend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2C9D0-50EE-4EE3-ACE4-A420EAAD4844}"/>
</file>

<file path=customXml/itemProps2.xml><?xml version="1.0" encoding="utf-8"?>
<ds:datastoreItem xmlns:ds="http://schemas.openxmlformats.org/officeDocument/2006/customXml" ds:itemID="{B4F98B90-7DE6-4171-80FA-2FB8AB8AC24F}">
  <ds:schemaRefs>
    <ds:schemaRef ds:uri="http://schemas.openxmlformats.org/officeDocument/2006/bibliography"/>
  </ds:schemaRefs>
</ds:datastoreItem>
</file>

<file path=customXml/itemProps3.xml><?xml version="1.0" encoding="utf-8"?>
<ds:datastoreItem xmlns:ds="http://schemas.openxmlformats.org/officeDocument/2006/customXml" ds:itemID="{3BD05F46-C506-4413-9F6A-E59F70132E93}">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4.xml><?xml version="1.0" encoding="utf-8"?>
<ds:datastoreItem xmlns:ds="http://schemas.openxmlformats.org/officeDocument/2006/customXml" ds:itemID="{DB33A90C-843C-4A5A-B1E4-38C56A06EE8E}">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129</Pages>
  <Words>64457</Words>
  <Characters>367411</Characters>
  <DocSecurity>0</DocSecurity>
  <Lines>3061</Lines>
  <Paragraphs>862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dcterms:created xsi:type="dcterms:W3CDTF">2026-04-02T09:20:00Z</dcterms:created>
  <dcterms:modified xsi:type="dcterms:W3CDTF">2026-10-02T07:08:00Z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