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3D158" w14:textId="0239C236" w:rsidR="00335C80" w:rsidRPr="00994507" w:rsidRDefault="00920B62" w:rsidP="00994507">
      <w:pPr>
        <w:widowControl w:val="0"/>
        <w:autoSpaceDE w:val="0"/>
        <w:autoSpaceDN w:val="0"/>
        <w:spacing w:after="0" w:line="240" w:lineRule="auto"/>
        <w:jc w:val="both"/>
        <w:rPr>
          <w:rFonts w:ascii="Times New Roman" w:eastAsia="Arial" w:hAnsi="Times New Roman" w:cs="Times New Roman"/>
          <w:noProof/>
          <w:kern w:val="0"/>
          <w:sz w:val="54"/>
          <w:szCs w:val="20"/>
          <w14:ligatures w14:val="none"/>
        </w:rPr>
      </w:pPr>
      <w:r>
        <w:rPr>
          <w:rFonts w:ascii="Times New Roman" w:hAnsi="Times New Roman"/>
          <w:noProof/>
          <w:sz w:val="20"/>
        </w:rPr>
        <mc:AlternateContent>
          <mc:Choice Requires="wpg">
            <w:drawing>
              <wp:anchor distT="0" distB="0" distL="0" distR="0" simplePos="0" relativeHeight="251658241" behindDoc="1" locked="0" layoutInCell="1" allowOverlap="1" wp14:anchorId="2ED1746C" wp14:editId="4CE38B6D">
                <wp:simplePos x="0" y="0"/>
                <wp:positionH relativeFrom="page">
                  <wp:posOffset>19477</wp:posOffset>
                </wp:positionH>
                <wp:positionV relativeFrom="page">
                  <wp:posOffset>742406</wp:posOffset>
                </wp:positionV>
                <wp:extent cx="7777800" cy="8871639"/>
                <wp:effectExtent l="0" t="0" r="0" b="57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7800" cy="8871639"/>
                          <a:chOff x="-19961" y="-139730"/>
                          <a:chExt cx="7739494" cy="9017889"/>
                        </a:xfrm>
                      </wpg:grpSpPr>
                      <wps:wsp>
                        <wps:cNvPr id="2" name="Graphic 2"/>
                        <wps:cNvSpPr/>
                        <wps:spPr>
                          <a:xfrm>
                            <a:off x="-19961" y="-139730"/>
                            <a:ext cx="7667251" cy="9017889"/>
                          </a:xfrm>
                          <a:custGeom>
                            <a:avLst/>
                            <a:gdLst/>
                            <a:ahLst/>
                            <a:cxnLst/>
                            <a:rect l="l" t="t" r="r" b="b"/>
                            <a:pathLst>
                              <a:path w="7559675" h="10080625">
                                <a:moveTo>
                                  <a:pt x="7559382" y="0"/>
                                </a:moveTo>
                                <a:lnTo>
                                  <a:pt x="3380168" y="0"/>
                                </a:lnTo>
                                <a:lnTo>
                                  <a:pt x="0" y="5470994"/>
                                </a:lnTo>
                                <a:lnTo>
                                  <a:pt x="0" y="10080015"/>
                                </a:lnTo>
                                <a:lnTo>
                                  <a:pt x="7559382" y="10080015"/>
                                </a:lnTo>
                                <a:lnTo>
                                  <a:pt x="7559382" y="0"/>
                                </a:lnTo>
                                <a:close/>
                              </a:path>
                            </a:pathLst>
                          </a:custGeom>
                          <a:solidFill>
                            <a:srgbClr val="151941"/>
                          </a:solidFill>
                        </wps:spPr>
                        <wps:bodyPr wrap="square" lIns="0" tIns="0" rIns="0" bIns="0" rtlCol="0">
                          <a:prstTxWarp prst="textNoShape">
                            <a:avLst/>
                          </a:prstTxWarp>
                          <a:noAutofit/>
                        </wps:bodyPr>
                      </wps:wsp>
                      <wps:wsp>
                        <wps:cNvPr id="3" name="Graphic 3"/>
                        <wps:cNvSpPr/>
                        <wps:spPr>
                          <a:xfrm>
                            <a:off x="4059393" y="2955514"/>
                            <a:ext cx="3660140" cy="5922645"/>
                          </a:xfrm>
                          <a:custGeom>
                            <a:avLst/>
                            <a:gdLst/>
                            <a:ahLst/>
                            <a:cxnLst/>
                            <a:rect l="l" t="t" r="r" b="b"/>
                            <a:pathLst>
                              <a:path w="3660140" h="5922645">
                                <a:moveTo>
                                  <a:pt x="3659771" y="0"/>
                                </a:moveTo>
                                <a:lnTo>
                                  <a:pt x="0" y="5922327"/>
                                </a:lnTo>
                                <a:lnTo>
                                  <a:pt x="3659771" y="5922327"/>
                                </a:lnTo>
                                <a:lnTo>
                                  <a:pt x="3659771"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431375" y="1368003"/>
                            <a:ext cx="424180" cy="899794"/>
                          </a:xfrm>
                          <a:custGeom>
                            <a:avLst/>
                            <a:gdLst/>
                            <a:ahLst/>
                            <a:cxnLst/>
                            <a:rect l="l" t="t" r="r" b="b"/>
                            <a:pathLst>
                              <a:path w="424180" h="899794">
                                <a:moveTo>
                                  <a:pt x="0" y="0"/>
                                </a:moveTo>
                                <a:lnTo>
                                  <a:pt x="0" y="434403"/>
                                </a:lnTo>
                                <a:lnTo>
                                  <a:pt x="288912" y="899566"/>
                                </a:lnTo>
                                <a:lnTo>
                                  <a:pt x="423811" y="682371"/>
                                </a:lnTo>
                                <a:lnTo>
                                  <a:pt x="0" y="0"/>
                                </a:lnTo>
                                <a:close/>
                              </a:path>
                            </a:pathLst>
                          </a:custGeom>
                          <a:solidFill>
                            <a:srgbClr val="8DC63F"/>
                          </a:solidFill>
                        </wps:spPr>
                        <wps:bodyPr wrap="square" lIns="0" tIns="0" rIns="0" bIns="0" rtlCol="0">
                          <a:prstTxWarp prst="textNoShape">
                            <a:avLst/>
                          </a:prstTxWarp>
                          <a:noAutofit/>
                        </wps:bodyPr>
                      </wps:wsp>
                      <wps:wsp>
                        <wps:cNvPr id="5" name="Graphic 5"/>
                        <wps:cNvSpPr/>
                        <wps:spPr>
                          <a:xfrm>
                            <a:off x="431374" y="2050375"/>
                            <a:ext cx="424180" cy="1116965"/>
                          </a:xfrm>
                          <a:custGeom>
                            <a:avLst/>
                            <a:gdLst/>
                            <a:ahLst/>
                            <a:cxnLst/>
                            <a:rect l="l" t="t" r="r" b="b"/>
                            <a:pathLst>
                              <a:path w="424180" h="1116965">
                                <a:moveTo>
                                  <a:pt x="423811" y="0"/>
                                </a:moveTo>
                                <a:lnTo>
                                  <a:pt x="0" y="682370"/>
                                </a:lnTo>
                                <a:lnTo>
                                  <a:pt x="0" y="1116761"/>
                                </a:lnTo>
                                <a:lnTo>
                                  <a:pt x="423811" y="434378"/>
                                </a:lnTo>
                                <a:lnTo>
                                  <a:pt x="423811" y="0"/>
                                </a:lnTo>
                                <a:close/>
                              </a:path>
                            </a:pathLst>
                          </a:custGeom>
                          <a:solidFill>
                            <a:srgbClr val="6D6E71"/>
                          </a:solidFill>
                        </wps:spPr>
                        <wps:bodyPr wrap="square" lIns="0" tIns="0" rIns="0" bIns="0" rtlCol="0">
                          <a:prstTxWarp prst="textNoShape">
                            <a:avLst/>
                          </a:prstTxWarp>
                          <a:noAutofit/>
                        </wps:bodyPr>
                      </wps:wsp>
                      <wps:wsp>
                        <wps:cNvPr id="6" name="Graphic 6"/>
                        <wps:cNvSpPr/>
                        <wps:spPr>
                          <a:xfrm>
                            <a:off x="872779" y="1368003"/>
                            <a:ext cx="424180" cy="899794"/>
                          </a:xfrm>
                          <a:custGeom>
                            <a:avLst/>
                            <a:gdLst/>
                            <a:ahLst/>
                            <a:cxnLst/>
                            <a:rect l="l" t="t" r="r" b="b"/>
                            <a:pathLst>
                              <a:path w="424180" h="899794">
                                <a:moveTo>
                                  <a:pt x="0" y="0"/>
                                </a:moveTo>
                                <a:lnTo>
                                  <a:pt x="0" y="434403"/>
                                </a:lnTo>
                                <a:lnTo>
                                  <a:pt x="288925" y="899566"/>
                                </a:lnTo>
                                <a:lnTo>
                                  <a:pt x="423824" y="682371"/>
                                </a:lnTo>
                                <a:lnTo>
                                  <a:pt x="0" y="0"/>
                                </a:lnTo>
                                <a:close/>
                              </a:path>
                            </a:pathLst>
                          </a:custGeom>
                          <a:solidFill>
                            <a:srgbClr val="8DC63F"/>
                          </a:solidFill>
                        </wps:spPr>
                        <wps:bodyPr wrap="square" lIns="0" tIns="0" rIns="0" bIns="0" rtlCol="0">
                          <a:prstTxWarp prst="textNoShape">
                            <a:avLst/>
                          </a:prstTxWarp>
                          <a:noAutofit/>
                        </wps:bodyPr>
                      </wps:wsp>
                      <wps:wsp>
                        <wps:cNvPr id="7" name="Graphic 7"/>
                        <wps:cNvSpPr/>
                        <wps:spPr>
                          <a:xfrm>
                            <a:off x="872780" y="2050375"/>
                            <a:ext cx="424180" cy="1116965"/>
                          </a:xfrm>
                          <a:custGeom>
                            <a:avLst/>
                            <a:gdLst/>
                            <a:ahLst/>
                            <a:cxnLst/>
                            <a:rect l="l" t="t" r="r" b="b"/>
                            <a:pathLst>
                              <a:path w="424180" h="1116965">
                                <a:moveTo>
                                  <a:pt x="423824" y="0"/>
                                </a:moveTo>
                                <a:lnTo>
                                  <a:pt x="0" y="682370"/>
                                </a:lnTo>
                                <a:lnTo>
                                  <a:pt x="0" y="1116761"/>
                                </a:lnTo>
                                <a:lnTo>
                                  <a:pt x="423824" y="434378"/>
                                </a:lnTo>
                                <a:lnTo>
                                  <a:pt x="423824" y="0"/>
                                </a:lnTo>
                                <a:close/>
                              </a:path>
                            </a:pathLst>
                          </a:custGeom>
                          <a:solidFill>
                            <a:srgbClr val="6D6E71"/>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201E96" id="Group 1" o:spid="_x0000_s1026" style="position:absolute;margin-left:1.55pt;margin-top:58.45pt;width:612.45pt;height:698.55pt;z-index:-251658239;mso-wrap-distance-left:0;mso-wrap-distance-right:0;mso-position-horizontal-relative:page;mso-position-vertical-relative:page;mso-width-relative:margin;mso-height-relative:margin" coordorigin="-199,-1397" coordsize="77394,90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">
                <v:shape id="Graphic 2" o:spid="_x0000_s1027" style="position:absolute;left:-199;top:-1397;width:76671;height:90178;visibility:visible;mso-wrap-style:square;v-text-anchor:top" coordsize="7559675,1008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" path="m7559382,l3380168,,,5470994r,4609021l7559382,10080015,7559382,xe" fillcolor="#151941" stroked="f">
                  <v:path arrowok="t"/>
                </v:shape>
                <v:shape id="Graphic 3" o:spid="_x0000_s1028" style="position:absolute;left:40593;top:29555;width:36602;height:59226;visibility:visible;mso-wrap-style:square;v-text-anchor:top" coordsize="3660140,5922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" path="m3659771,l,5922327r3659771,l3659771,xe" stroked="f">
                  <v:path arrowok="t"/>
                </v:shape>
                <v:shape id="Graphic 4" o:spid="_x0000_s1029" style="position:absolute;left:4313;top:13680;width:4242;height:8997;visibility:visible;mso-wrap-style:square;v-text-anchor:top" coordsize="424180,899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" path="m,l,434403,288912,899566,423811,682371,,xe" fillcolor="#8dc63f" stroked="f">
                  <v:path arrowok="t"/>
                </v:shape>
                <v:shape id="Graphic 5" o:spid="_x0000_s1030" style="position:absolute;left:4313;top:20503;width:4242;height:11170;visibility:visible;mso-wrap-style:square;v-text-anchor:top" coordsize="424180,111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" path="m423811,l,682370r,434391l423811,434378,423811,xe" fillcolor="#6d6e71" stroked="f">
                  <v:path arrowok="t"/>
                </v:shape>
                <v:shape id="Graphic 6" o:spid="_x0000_s1031" style="position:absolute;left:8727;top:13680;width:4242;height:8997;visibility:visible;mso-wrap-style:square;v-text-anchor:top" coordsize="424180,899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" path="m,l,434403,288925,899566,423824,682371,,xe" fillcolor="#8dc63f" stroked="f">
                  <v:path arrowok="t"/>
                </v:shape>
                <v:shape id="Graphic 7" o:spid="_x0000_s1032" style="position:absolute;left:8727;top:20503;width:4242;height:11170;visibility:visible;mso-wrap-style:square;v-text-anchor:top" coordsize="424180,111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" path="m423824,l,682370r,434391l423824,434378,423824,xe" fillcolor="#6d6e71" stroked="f">
                  <v:path arrowok="t"/>
                </v:shape>
                <w10:wrap anchorx="page" anchory="page"/>
              </v:group>
            </w:pict>
          </mc:Fallback>
        </mc:AlternateContent>
      </w:r>
      <w:r>
        <w:rPr>
          <w:rFonts w:ascii="Times New Roman" w:hAnsi="Times New Roman"/>
          <w:noProof/>
          <w:sz w:val="20"/>
        </w:rPr>
        <mc:AlternateContent>
          <mc:Choice Requires="wpg">
            <w:drawing>
              <wp:anchor distT="0" distB="0" distL="0" distR="0" simplePos="0" relativeHeight="251658240" behindDoc="0" locked="0" layoutInCell="1" allowOverlap="1" wp14:anchorId="351E22AB" wp14:editId="7CDC54D3">
                <wp:simplePos x="0" y="0"/>
                <wp:positionH relativeFrom="page">
                  <wp:posOffset>2473325</wp:posOffset>
                </wp:positionH>
                <wp:positionV relativeFrom="page">
                  <wp:posOffset>1139825</wp:posOffset>
                </wp:positionV>
                <wp:extent cx="5242560" cy="847852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2560" cy="8478520"/>
                          <a:chOff x="0" y="0"/>
                          <a:chExt cx="5242560" cy="8478520"/>
                        </a:xfrm>
                      </wpg:grpSpPr>
                      <wps:wsp>
                        <wps:cNvPr id="9" name="Graphic 9"/>
                        <wps:cNvSpPr/>
                        <wps:spPr>
                          <a:xfrm>
                            <a:off x="3529043" y="7609967"/>
                            <a:ext cx="1068705" cy="296545"/>
                          </a:xfrm>
                          <a:custGeom>
                            <a:avLst/>
                            <a:gdLst/>
                            <a:ahLst/>
                            <a:cxnLst/>
                            <a:rect l="l" t="t" r="r" b="b"/>
                            <a:pathLst>
                              <a:path w="1068705" h="296545">
                                <a:moveTo>
                                  <a:pt x="295579" y="147612"/>
                                </a:moveTo>
                                <a:lnTo>
                                  <a:pt x="288696" y="102450"/>
                                </a:lnTo>
                                <a:lnTo>
                                  <a:pt x="288582" y="101739"/>
                                </a:lnTo>
                                <a:lnTo>
                                  <a:pt x="268706" y="61747"/>
                                </a:lnTo>
                                <a:lnTo>
                                  <a:pt x="252450" y="45237"/>
                                </a:lnTo>
                                <a:lnTo>
                                  <a:pt x="252450" y="148424"/>
                                </a:lnTo>
                                <a:lnTo>
                                  <a:pt x="244792" y="191058"/>
                                </a:lnTo>
                                <a:lnTo>
                                  <a:pt x="223354" y="225882"/>
                                </a:lnTo>
                                <a:lnTo>
                                  <a:pt x="190411" y="249339"/>
                                </a:lnTo>
                                <a:lnTo>
                                  <a:pt x="148234" y="257949"/>
                                </a:lnTo>
                                <a:lnTo>
                                  <a:pt x="105905" y="249212"/>
                                </a:lnTo>
                                <a:lnTo>
                                  <a:pt x="72656" y="225450"/>
                                </a:lnTo>
                                <a:lnTo>
                                  <a:pt x="50914" y="190334"/>
                                </a:lnTo>
                                <a:lnTo>
                                  <a:pt x="43141" y="147612"/>
                                </a:lnTo>
                                <a:lnTo>
                                  <a:pt x="50774" y="104927"/>
                                </a:lnTo>
                                <a:lnTo>
                                  <a:pt x="72212" y="70116"/>
                                </a:lnTo>
                                <a:lnTo>
                                  <a:pt x="105156" y="46634"/>
                                </a:lnTo>
                                <a:lnTo>
                                  <a:pt x="147332" y="38036"/>
                                </a:lnTo>
                                <a:lnTo>
                                  <a:pt x="189661" y="46774"/>
                                </a:lnTo>
                                <a:lnTo>
                                  <a:pt x="222923" y="70548"/>
                                </a:lnTo>
                                <a:lnTo>
                                  <a:pt x="244665" y="105651"/>
                                </a:lnTo>
                                <a:lnTo>
                                  <a:pt x="252450" y="148424"/>
                                </a:lnTo>
                                <a:lnTo>
                                  <a:pt x="252450" y="45237"/>
                                </a:lnTo>
                                <a:lnTo>
                                  <a:pt x="245376" y="38036"/>
                                </a:lnTo>
                                <a:lnTo>
                                  <a:pt x="237578" y="30111"/>
                                </a:lnTo>
                                <a:lnTo>
                                  <a:pt x="197027" y="9398"/>
                                </a:lnTo>
                                <a:lnTo>
                                  <a:pt x="197396" y="9398"/>
                                </a:lnTo>
                                <a:lnTo>
                                  <a:pt x="148196" y="1828"/>
                                </a:lnTo>
                                <a:lnTo>
                                  <a:pt x="99441" y="9398"/>
                                </a:lnTo>
                                <a:lnTo>
                                  <a:pt x="58521" y="30391"/>
                                </a:lnTo>
                                <a:lnTo>
                                  <a:pt x="27165" y="62268"/>
                                </a:lnTo>
                                <a:lnTo>
                                  <a:pt x="7073" y="102450"/>
                                </a:lnTo>
                                <a:lnTo>
                                  <a:pt x="114" y="147612"/>
                                </a:lnTo>
                                <a:lnTo>
                                  <a:pt x="0" y="148424"/>
                                </a:lnTo>
                                <a:lnTo>
                                  <a:pt x="6883" y="193548"/>
                                </a:lnTo>
                                <a:lnTo>
                                  <a:pt x="26873" y="234251"/>
                                </a:lnTo>
                                <a:lnTo>
                                  <a:pt x="58000" y="265887"/>
                                </a:lnTo>
                                <a:lnTo>
                                  <a:pt x="98704" y="286689"/>
                                </a:lnTo>
                                <a:lnTo>
                                  <a:pt x="147370" y="294182"/>
                                </a:lnTo>
                                <a:lnTo>
                                  <a:pt x="195605" y="286689"/>
                                </a:lnTo>
                                <a:lnTo>
                                  <a:pt x="195961" y="286689"/>
                                </a:lnTo>
                                <a:lnTo>
                                  <a:pt x="237045" y="265607"/>
                                </a:lnTo>
                                <a:lnTo>
                                  <a:pt x="268414" y="233743"/>
                                </a:lnTo>
                                <a:lnTo>
                                  <a:pt x="288505" y="193548"/>
                                </a:lnTo>
                                <a:lnTo>
                                  <a:pt x="295452" y="148424"/>
                                </a:lnTo>
                                <a:lnTo>
                                  <a:pt x="295579" y="147612"/>
                                </a:lnTo>
                                <a:close/>
                              </a:path>
                              <a:path w="1068705" h="296545">
                                <a:moveTo>
                                  <a:pt x="530860" y="253822"/>
                                </a:moveTo>
                                <a:lnTo>
                                  <a:pt x="360591" y="253822"/>
                                </a:lnTo>
                                <a:lnTo>
                                  <a:pt x="360591" y="164922"/>
                                </a:lnTo>
                                <a:lnTo>
                                  <a:pt x="511251" y="164922"/>
                                </a:lnTo>
                                <a:lnTo>
                                  <a:pt x="511251" y="128092"/>
                                </a:lnTo>
                                <a:lnTo>
                                  <a:pt x="360591" y="128092"/>
                                </a:lnTo>
                                <a:lnTo>
                                  <a:pt x="360591" y="41732"/>
                                </a:lnTo>
                                <a:lnTo>
                                  <a:pt x="528828" y="41732"/>
                                </a:lnTo>
                                <a:lnTo>
                                  <a:pt x="528828" y="4902"/>
                                </a:lnTo>
                                <a:lnTo>
                                  <a:pt x="319290" y="4902"/>
                                </a:lnTo>
                                <a:lnTo>
                                  <a:pt x="319290" y="41732"/>
                                </a:lnTo>
                                <a:lnTo>
                                  <a:pt x="319290" y="128092"/>
                                </a:lnTo>
                                <a:lnTo>
                                  <a:pt x="319290" y="164922"/>
                                </a:lnTo>
                                <a:lnTo>
                                  <a:pt x="319290" y="253822"/>
                                </a:lnTo>
                                <a:lnTo>
                                  <a:pt x="319290" y="290652"/>
                                </a:lnTo>
                                <a:lnTo>
                                  <a:pt x="530860" y="290652"/>
                                </a:lnTo>
                                <a:lnTo>
                                  <a:pt x="530860" y="253822"/>
                                </a:lnTo>
                                <a:close/>
                              </a:path>
                              <a:path w="1068705" h="296545">
                                <a:moveTo>
                                  <a:pt x="798995" y="245503"/>
                                </a:moveTo>
                                <a:lnTo>
                                  <a:pt x="772223" y="218732"/>
                                </a:lnTo>
                                <a:lnTo>
                                  <a:pt x="752779" y="235292"/>
                                </a:lnTo>
                                <a:lnTo>
                                  <a:pt x="732866" y="247624"/>
                                </a:lnTo>
                                <a:lnTo>
                                  <a:pt x="710819" y="255320"/>
                                </a:lnTo>
                                <a:lnTo>
                                  <a:pt x="684923" y="257975"/>
                                </a:lnTo>
                                <a:lnTo>
                                  <a:pt x="644055" y="249288"/>
                                </a:lnTo>
                                <a:lnTo>
                                  <a:pt x="611543" y="225628"/>
                                </a:lnTo>
                                <a:lnTo>
                                  <a:pt x="590067" y="190525"/>
                                </a:lnTo>
                                <a:lnTo>
                                  <a:pt x="582307" y="147561"/>
                                </a:lnTo>
                                <a:lnTo>
                                  <a:pt x="590067" y="104724"/>
                                </a:lnTo>
                                <a:lnTo>
                                  <a:pt x="611543" y="69926"/>
                                </a:lnTo>
                                <a:lnTo>
                                  <a:pt x="644055" y="46558"/>
                                </a:lnTo>
                                <a:lnTo>
                                  <a:pt x="684923" y="38023"/>
                                </a:lnTo>
                                <a:lnTo>
                                  <a:pt x="709599" y="40640"/>
                                </a:lnTo>
                                <a:lnTo>
                                  <a:pt x="731431" y="48107"/>
                                </a:lnTo>
                                <a:lnTo>
                                  <a:pt x="751293" y="59893"/>
                                </a:lnTo>
                                <a:lnTo>
                                  <a:pt x="770013" y="75425"/>
                                </a:lnTo>
                                <a:lnTo>
                                  <a:pt x="797166" y="44970"/>
                                </a:lnTo>
                                <a:lnTo>
                                  <a:pt x="774903" y="26555"/>
                                </a:lnTo>
                                <a:lnTo>
                                  <a:pt x="750023" y="12369"/>
                                </a:lnTo>
                                <a:lnTo>
                                  <a:pt x="720763" y="3225"/>
                                </a:lnTo>
                                <a:lnTo>
                                  <a:pt x="685342" y="0"/>
                                </a:lnTo>
                                <a:lnTo>
                                  <a:pt x="637794" y="7581"/>
                                </a:lnTo>
                                <a:lnTo>
                                  <a:pt x="597712" y="28689"/>
                                </a:lnTo>
                                <a:lnTo>
                                  <a:pt x="566902" y="60845"/>
                                </a:lnTo>
                                <a:lnTo>
                                  <a:pt x="547116" y="101574"/>
                                </a:lnTo>
                                <a:lnTo>
                                  <a:pt x="540118" y="148412"/>
                                </a:lnTo>
                                <a:lnTo>
                                  <a:pt x="547141" y="195465"/>
                                </a:lnTo>
                                <a:lnTo>
                                  <a:pt x="566953" y="236029"/>
                                </a:lnTo>
                                <a:lnTo>
                                  <a:pt x="597636" y="267830"/>
                                </a:lnTo>
                                <a:lnTo>
                                  <a:pt x="637324" y="288569"/>
                                </a:lnTo>
                                <a:lnTo>
                                  <a:pt x="684110" y="295998"/>
                                </a:lnTo>
                                <a:lnTo>
                                  <a:pt x="719848" y="292366"/>
                                </a:lnTo>
                                <a:lnTo>
                                  <a:pt x="749871" y="282092"/>
                                </a:lnTo>
                                <a:lnTo>
                                  <a:pt x="775741" y="266153"/>
                                </a:lnTo>
                                <a:lnTo>
                                  <a:pt x="798995" y="245503"/>
                                </a:lnTo>
                                <a:close/>
                              </a:path>
                              <a:path w="1068705" h="296545">
                                <a:moveTo>
                                  <a:pt x="1068273" y="147574"/>
                                </a:moveTo>
                                <a:lnTo>
                                  <a:pt x="1061085" y="101663"/>
                                </a:lnTo>
                                <a:lnTo>
                                  <a:pt x="1040638" y="62395"/>
                                </a:lnTo>
                                <a:lnTo>
                                  <a:pt x="1025144" y="47612"/>
                                </a:lnTo>
                                <a:lnTo>
                                  <a:pt x="1025144" y="148450"/>
                                </a:lnTo>
                                <a:lnTo>
                                  <a:pt x="1017397" y="190576"/>
                                </a:lnTo>
                                <a:lnTo>
                                  <a:pt x="995400" y="223748"/>
                                </a:lnTo>
                                <a:lnTo>
                                  <a:pt x="961059" y="245478"/>
                                </a:lnTo>
                                <a:lnTo>
                                  <a:pt x="916266" y="253263"/>
                                </a:lnTo>
                                <a:lnTo>
                                  <a:pt x="854468" y="253263"/>
                                </a:lnTo>
                                <a:lnTo>
                                  <a:pt x="854468" y="42722"/>
                                </a:lnTo>
                                <a:lnTo>
                                  <a:pt x="916266" y="42722"/>
                                </a:lnTo>
                                <a:lnTo>
                                  <a:pt x="961059" y="50660"/>
                                </a:lnTo>
                                <a:lnTo>
                                  <a:pt x="995400" y="72694"/>
                                </a:lnTo>
                                <a:lnTo>
                                  <a:pt x="1017397" y="106184"/>
                                </a:lnTo>
                                <a:lnTo>
                                  <a:pt x="1025144" y="148450"/>
                                </a:lnTo>
                                <a:lnTo>
                                  <a:pt x="1025144" y="47612"/>
                                </a:lnTo>
                                <a:lnTo>
                                  <a:pt x="1020025" y="42722"/>
                                </a:lnTo>
                                <a:lnTo>
                                  <a:pt x="1008583" y="31813"/>
                                </a:lnTo>
                                <a:lnTo>
                                  <a:pt x="966546" y="11976"/>
                                </a:lnTo>
                                <a:lnTo>
                                  <a:pt x="916178" y="4902"/>
                                </a:lnTo>
                                <a:lnTo>
                                  <a:pt x="813168" y="4902"/>
                                </a:lnTo>
                                <a:lnTo>
                                  <a:pt x="813168" y="291084"/>
                                </a:lnTo>
                                <a:lnTo>
                                  <a:pt x="916178" y="291084"/>
                                </a:lnTo>
                                <a:lnTo>
                                  <a:pt x="966584" y="283933"/>
                                </a:lnTo>
                                <a:lnTo>
                                  <a:pt x="1008634" y="263893"/>
                                </a:lnTo>
                                <a:lnTo>
                                  <a:pt x="1019683" y="253263"/>
                                </a:lnTo>
                                <a:lnTo>
                                  <a:pt x="1040676" y="233070"/>
                                </a:lnTo>
                                <a:lnTo>
                                  <a:pt x="1061097" y="193598"/>
                                </a:lnTo>
                                <a:lnTo>
                                  <a:pt x="1068273" y="147574"/>
                                </a:lnTo>
                                <a:close/>
                              </a:path>
                            </a:pathLst>
                          </a:custGeom>
                          <a:solidFill>
                            <a:srgbClr val="6D6E71"/>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1" cstate="print"/>
                          <a:stretch>
                            <a:fillRect/>
                          </a:stretch>
                        </pic:blipFill>
                        <pic:spPr>
                          <a:xfrm>
                            <a:off x="2793916" y="7542555"/>
                            <a:ext cx="430796" cy="430796"/>
                          </a:xfrm>
                          <a:prstGeom prst="rect">
                            <a:avLst/>
                          </a:prstGeom>
                        </pic:spPr>
                      </pic:pic>
                      <wps:wsp>
                        <wps:cNvPr id="11" name="Graphic 11"/>
                        <wps:cNvSpPr/>
                        <wps:spPr>
                          <a:xfrm>
                            <a:off x="3252999" y="7542562"/>
                            <a:ext cx="101600" cy="215900"/>
                          </a:xfrm>
                          <a:custGeom>
                            <a:avLst/>
                            <a:gdLst/>
                            <a:ahLst/>
                            <a:cxnLst/>
                            <a:rect l="l" t="t" r="r" b="b"/>
                            <a:pathLst>
                              <a:path w="101600" h="215900">
                                <a:moveTo>
                                  <a:pt x="0" y="0"/>
                                </a:moveTo>
                                <a:lnTo>
                                  <a:pt x="0" y="104012"/>
                                </a:lnTo>
                                <a:lnTo>
                                  <a:pt x="69176" y="215404"/>
                                </a:lnTo>
                                <a:lnTo>
                                  <a:pt x="101473" y="163398"/>
                                </a:lnTo>
                                <a:lnTo>
                                  <a:pt x="0" y="0"/>
                                </a:lnTo>
                                <a:close/>
                              </a:path>
                            </a:pathLst>
                          </a:custGeom>
                          <a:solidFill>
                            <a:srgbClr val="8DC63F"/>
                          </a:solidFill>
                        </wps:spPr>
                        <wps:bodyPr wrap="square" lIns="0" tIns="0" rIns="0" bIns="0" rtlCol="0">
                          <a:prstTxWarp prst="textNoShape">
                            <a:avLst/>
                          </a:prstTxWarp>
                          <a:noAutofit/>
                        </wps:bodyPr>
                      </wps:wsp>
                      <wps:wsp>
                        <wps:cNvPr id="12" name="Graphic 12"/>
                        <wps:cNvSpPr/>
                        <wps:spPr>
                          <a:xfrm>
                            <a:off x="3253004" y="7705963"/>
                            <a:ext cx="101600" cy="267970"/>
                          </a:xfrm>
                          <a:custGeom>
                            <a:avLst/>
                            <a:gdLst/>
                            <a:ahLst/>
                            <a:cxnLst/>
                            <a:rect l="l" t="t" r="r" b="b"/>
                            <a:pathLst>
                              <a:path w="101600" h="267970">
                                <a:moveTo>
                                  <a:pt x="101473" y="0"/>
                                </a:moveTo>
                                <a:lnTo>
                                  <a:pt x="0" y="163385"/>
                                </a:lnTo>
                                <a:lnTo>
                                  <a:pt x="0" y="267385"/>
                                </a:lnTo>
                                <a:lnTo>
                                  <a:pt x="101473" y="103987"/>
                                </a:lnTo>
                                <a:lnTo>
                                  <a:pt x="101473" y="0"/>
                                </a:lnTo>
                                <a:close/>
                              </a:path>
                            </a:pathLst>
                          </a:custGeom>
                          <a:solidFill>
                            <a:srgbClr val="6D6E71"/>
                          </a:solidFill>
                        </wps:spPr>
                        <wps:bodyPr wrap="square" lIns="0" tIns="0" rIns="0" bIns="0" rtlCol="0">
                          <a:prstTxWarp prst="textNoShape">
                            <a:avLst/>
                          </a:prstTxWarp>
                          <a:noAutofit/>
                        </wps:bodyPr>
                      </wps:wsp>
                      <wps:wsp>
                        <wps:cNvPr id="13" name="Graphic 13"/>
                        <wps:cNvSpPr/>
                        <wps:spPr>
                          <a:xfrm>
                            <a:off x="3358692" y="7542562"/>
                            <a:ext cx="101600" cy="215900"/>
                          </a:xfrm>
                          <a:custGeom>
                            <a:avLst/>
                            <a:gdLst/>
                            <a:ahLst/>
                            <a:cxnLst/>
                            <a:rect l="l" t="t" r="r" b="b"/>
                            <a:pathLst>
                              <a:path w="101600" h="215900">
                                <a:moveTo>
                                  <a:pt x="0" y="0"/>
                                </a:moveTo>
                                <a:lnTo>
                                  <a:pt x="0" y="104012"/>
                                </a:lnTo>
                                <a:lnTo>
                                  <a:pt x="69176" y="215404"/>
                                </a:lnTo>
                                <a:lnTo>
                                  <a:pt x="101485" y="163398"/>
                                </a:lnTo>
                                <a:lnTo>
                                  <a:pt x="0" y="0"/>
                                </a:lnTo>
                                <a:close/>
                              </a:path>
                            </a:pathLst>
                          </a:custGeom>
                          <a:solidFill>
                            <a:srgbClr val="8DC63F"/>
                          </a:solidFill>
                        </wps:spPr>
                        <wps:bodyPr wrap="square" lIns="0" tIns="0" rIns="0" bIns="0" rtlCol="0">
                          <a:prstTxWarp prst="textNoShape">
                            <a:avLst/>
                          </a:prstTxWarp>
                          <a:noAutofit/>
                        </wps:bodyPr>
                      </wps:wsp>
                      <wps:wsp>
                        <wps:cNvPr id="14" name="Graphic 14"/>
                        <wps:cNvSpPr/>
                        <wps:spPr>
                          <a:xfrm>
                            <a:off x="3358697" y="7705963"/>
                            <a:ext cx="101600" cy="267970"/>
                          </a:xfrm>
                          <a:custGeom>
                            <a:avLst/>
                            <a:gdLst/>
                            <a:ahLst/>
                            <a:cxnLst/>
                            <a:rect l="l" t="t" r="r" b="b"/>
                            <a:pathLst>
                              <a:path w="101600" h="267970">
                                <a:moveTo>
                                  <a:pt x="101485" y="0"/>
                                </a:moveTo>
                                <a:lnTo>
                                  <a:pt x="0" y="163385"/>
                                </a:lnTo>
                                <a:lnTo>
                                  <a:pt x="0" y="267385"/>
                                </a:lnTo>
                                <a:lnTo>
                                  <a:pt x="101485" y="103987"/>
                                </a:lnTo>
                                <a:lnTo>
                                  <a:pt x="101485" y="0"/>
                                </a:lnTo>
                                <a:close/>
                              </a:path>
                            </a:pathLst>
                          </a:custGeom>
                          <a:solidFill>
                            <a:srgbClr val="6D6E71"/>
                          </a:solidFill>
                        </wps:spPr>
                        <wps:bodyPr wrap="square" lIns="0" tIns="0" rIns="0" bIns="0" rtlCol="0">
                          <a:prstTxWarp prst="textNoShape">
                            <a:avLst/>
                          </a:prstTxWarp>
                          <a:noAutofit/>
                        </wps:bodyPr>
                      </wps:wsp>
                      <wps:wsp>
                        <wps:cNvPr id="15" name="Graphic 15"/>
                        <wps:cNvSpPr/>
                        <wps:spPr>
                          <a:xfrm>
                            <a:off x="0" y="0"/>
                            <a:ext cx="5241925" cy="8478520"/>
                          </a:xfrm>
                          <a:custGeom>
                            <a:avLst/>
                            <a:gdLst/>
                            <a:ahLst/>
                            <a:cxnLst/>
                            <a:rect l="l" t="t" r="r" b="b"/>
                            <a:pathLst>
                              <a:path w="5241925" h="8478520">
                                <a:moveTo>
                                  <a:pt x="5241925" y="0"/>
                                </a:moveTo>
                                <a:lnTo>
                                  <a:pt x="0" y="8478469"/>
                                </a:lnTo>
                                <a:lnTo>
                                  <a:pt x="838758" y="8478469"/>
                                </a:lnTo>
                                <a:lnTo>
                                  <a:pt x="5241925" y="1353731"/>
                                </a:lnTo>
                                <a:lnTo>
                                  <a:pt x="5241925" y="0"/>
                                </a:lnTo>
                                <a:close/>
                              </a:path>
                            </a:pathLst>
                          </a:custGeom>
                          <a:solidFill>
                            <a:srgbClr val="9994A7"/>
                          </a:solidFill>
                        </wps:spPr>
                        <wps:bodyPr wrap="square" lIns="0" tIns="0" rIns="0" bIns="0" rtlCol="0">
                          <a:prstTxWarp prst="textNoShape">
                            <a:avLst/>
                          </a:prstTxWarp>
                          <a:noAutofit/>
                        </wps:bodyPr>
                      </wps:wsp>
                      <wps:wsp>
                        <wps:cNvPr id="16" name="Graphic 16"/>
                        <wps:cNvSpPr/>
                        <wps:spPr>
                          <a:xfrm>
                            <a:off x="1443622" y="2336342"/>
                            <a:ext cx="3798570" cy="6142355"/>
                          </a:xfrm>
                          <a:custGeom>
                            <a:avLst/>
                            <a:gdLst/>
                            <a:ahLst/>
                            <a:cxnLst/>
                            <a:rect l="l" t="t" r="r" b="b"/>
                            <a:pathLst>
                              <a:path w="3798570" h="6142355">
                                <a:moveTo>
                                  <a:pt x="3798303" y="0"/>
                                </a:moveTo>
                                <a:lnTo>
                                  <a:pt x="0" y="6142126"/>
                                </a:lnTo>
                                <a:lnTo>
                                  <a:pt x="43243" y="6142126"/>
                                </a:lnTo>
                                <a:lnTo>
                                  <a:pt x="3798303" y="71894"/>
                                </a:lnTo>
                                <a:lnTo>
                                  <a:pt x="3798303" y="0"/>
                                </a:lnTo>
                                <a:close/>
                              </a:path>
                            </a:pathLst>
                          </a:custGeom>
                          <a:solidFill>
                            <a:srgbClr val="E7E6EA"/>
                          </a:solidFill>
                        </wps:spPr>
                        <wps:bodyPr wrap="square" lIns="0" tIns="0" rIns="0" bIns="0" rtlCol="0">
                          <a:prstTxWarp prst="textNoShape">
                            <a:avLst/>
                          </a:prstTxWarp>
                          <a:noAutofit/>
                        </wps:bodyPr>
                      </wps:wsp>
                      <wps:wsp>
                        <wps:cNvPr id="17" name="Graphic 17"/>
                        <wps:cNvSpPr/>
                        <wps:spPr>
                          <a:xfrm>
                            <a:off x="1000818" y="1619948"/>
                            <a:ext cx="4241165" cy="6858634"/>
                          </a:xfrm>
                          <a:custGeom>
                            <a:avLst/>
                            <a:gdLst/>
                            <a:ahLst/>
                            <a:cxnLst/>
                            <a:rect l="l" t="t" r="r" b="b"/>
                            <a:pathLst>
                              <a:path w="4241165" h="6858634">
                                <a:moveTo>
                                  <a:pt x="4241101" y="0"/>
                                </a:moveTo>
                                <a:lnTo>
                                  <a:pt x="0" y="6858520"/>
                                </a:lnTo>
                                <a:lnTo>
                                  <a:pt x="104457" y="6858520"/>
                                </a:lnTo>
                                <a:lnTo>
                                  <a:pt x="4241101" y="172643"/>
                                </a:lnTo>
                                <a:lnTo>
                                  <a:pt x="4241101" y="0"/>
                                </a:lnTo>
                                <a:close/>
                              </a:path>
                            </a:pathLst>
                          </a:custGeom>
                          <a:solidFill>
                            <a:srgbClr val="C7CEE9"/>
                          </a:solidFill>
                        </wps:spPr>
                        <wps:bodyPr wrap="square" lIns="0" tIns="0" rIns="0" bIns="0" rtlCol="0">
                          <a:prstTxWarp prst="textNoShape">
                            <a:avLst/>
                          </a:prstTxWarp>
                          <a:noAutofit/>
                        </wps:bodyPr>
                      </wps:wsp>
                      <wps:wsp>
                        <wps:cNvPr id="18" name="Graphic 18"/>
                        <wps:cNvSpPr/>
                        <wps:spPr>
                          <a:xfrm>
                            <a:off x="1252874" y="2030222"/>
                            <a:ext cx="3989070" cy="6448425"/>
                          </a:xfrm>
                          <a:custGeom>
                            <a:avLst/>
                            <a:gdLst/>
                            <a:ahLst/>
                            <a:cxnLst/>
                            <a:rect l="l" t="t" r="r" b="b"/>
                            <a:pathLst>
                              <a:path w="3989070" h="6448425">
                                <a:moveTo>
                                  <a:pt x="3989057" y="0"/>
                                </a:moveTo>
                                <a:lnTo>
                                  <a:pt x="0" y="6448247"/>
                                </a:lnTo>
                                <a:lnTo>
                                  <a:pt x="68478" y="6448247"/>
                                </a:lnTo>
                                <a:lnTo>
                                  <a:pt x="3989057" y="115011"/>
                                </a:lnTo>
                                <a:lnTo>
                                  <a:pt x="3989057" y="0"/>
                                </a:lnTo>
                                <a:close/>
                              </a:path>
                            </a:pathLst>
                          </a:custGeom>
                          <a:solidFill>
                            <a:srgbClr val="D6D4DB"/>
                          </a:solidFill>
                        </wps:spPr>
                        <wps:bodyPr wrap="square" lIns="0" tIns="0" rIns="0" bIns="0" rtlCol="0">
                          <a:prstTxWarp prst="textNoShape">
                            <a:avLst/>
                          </a:prstTxWarp>
                          <a:noAutofit/>
                        </wps:bodyPr>
                      </wps:wsp>
                    </wpg:wgp>
                  </a:graphicData>
                </a:graphic>
              </wp:anchor>
            </w:drawing>
          </mc:Choice>
          <mc:Fallback>
            <w:pict>
              <v:group w14:anchorId="241719FC" id="Group 8" o:spid="_x0000_s1026" style="position:absolute;margin-left:194.75pt;margin-top:89.75pt;width:412.8pt;height:667.6pt;z-index:251658240;mso-wrap-distance-left:0;mso-wrap-distance-right:0;mso-position-horizontal-relative:page;mso-position-vertical-relative:page" coordsize="52425,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">
                <v:shape id="Graphic 9" o:spid="_x0000_s1027" style="position:absolute;left:35290;top:76099;width:10687;height:2966;visibility:visible;mso-wrap-style:square;v-text-anchor:top" coordsize="1068705,29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" path="m295579,147612r-6883,-45162l288582,101739,268706,61747,252450,45237r,103187l244792,191058r-21438,34824l190411,249339r-42177,8610l105905,249212,72656,225450,50914,190334,43141,147612r7633,-42685l72212,70116,105156,46634r42176,-8598l189661,46774r33262,23774l244665,105651r7785,42773l252450,45237r-7074,-7201l237578,30111,197027,9398r369,l148196,1828,99441,9398,58521,30391,27165,62268,7073,102450,114,147612,,148424r6883,45124l26873,234251r31127,31636l98704,286689r48666,7493l195605,286689r356,l237045,265607r31369,-31864l288505,193548r6947,-45124l295579,147612xem530860,253822r-170269,l360591,164922r150660,l511251,128092r-150660,l360591,41732r168237,l528828,4902r-209538,l319290,41732r,86360l319290,164922r,88900l319290,290652r211570,l530860,253822xem798995,245503l772223,218732r-19444,16560l732866,247624r-22047,7696l684923,257975r-40868,-8687l611543,225628,590067,190525r-7760,-42964l590067,104724,611543,69926,644055,46558r40868,-8535l709599,40640r21832,7467l751293,59893r18720,15532l797166,44970,774903,26555,750023,12369,720763,3225,685342,,637794,7581,597712,28689,566902,60845r-19786,40729l540118,148412r7023,47053l566953,236029r30683,31801l637324,288569r46786,7429l719848,292366r30023,-10274l775741,266153r23254,-20650xem1068273,147574r-7188,-45911l1040638,62395,1025144,47612r,100838l1017397,190576r-21997,33172l961059,245478r-44793,7785l854468,253263r,-210541l916266,42722r44793,7938l995400,72694r21997,33490l1025144,148450r,-100838l1020025,42722,1008583,31813,966546,11976,916178,4902r-103010,l813168,291084r103010,l966584,283933r42050,-20040l1019683,253263r20993,-20193l1061097,193598r7176,-46024xe" fillcolor="#6d6e7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8" type="#_x0000_t75" style="position:absolute;left:27939;top:75425;width:4308;height:4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">
                  <v:imagedata r:id="rId12" o:title=""/>
                </v:shape>
                <v:shape id="Graphic 11" o:spid="_x0000_s1029" style="position:absolute;left:32529;top:75425;width:1016;height:2159;visibility:visible;mso-wrap-style:square;v-text-anchor:top" coordsize="1016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" path="m,l,104012,69176,215404r32297,-52006l,xe" fillcolor="#8dc63f" stroked="f">
                  <v:path arrowok="t"/>
                </v:shape>
                <v:shape id="Graphic 12" o:spid="_x0000_s1030" style="position:absolute;left:32530;top:77059;width:1016;height:2680;visibility:visible;mso-wrap-style:square;v-text-anchor:top" coordsize="101600,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" path="m101473,l,163385,,267385,101473,103987,101473,xe" fillcolor="#6d6e71" stroked="f">
                  <v:path arrowok="t"/>
                </v:shape>
                <v:shape id="Graphic 13" o:spid="_x0000_s1031" style="position:absolute;left:33586;top:75425;width:1016;height:2159;visibility:visible;mso-wrap-style:square;v-text-anchor:top" coordsize="1016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" path="m,l,104012,69176,215404r32309,-52006l,xe" fillcolor="#8dc63f" stroked="f">
                  <v:path arrowok="t"/>
                </v:shape>
                <v:shape id="Graphic 14" o:spid="_x0000_s1032" style="position:absolute;left:33586;top:77059;width:1016;height:2680;visibility:visible;mso-wrap-style:square;v-text-anchor:top" coordsize="101600,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" path="m101485,l,163385,,267385,101485,103987,101485,xe" fillcolor="#6d6e71" stroked="f">
                  <v:path arrowok="t"/>
                </v:shape>
                <v:shape id="Graphic 15" o:spid="_x0000_s1033" style="position:absolute;width:52419;height:84785;visibility:visible;mso-wrap-style:square;v-text-anchor:top" coordsize="5241925,847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" path="m5241925,l,8478469r838758,l5241925,1353731,5241925,xe" fillcolor="#9994a7" stroked="f">
                  <v:path arrowok="t"/>
                </v:shape>
                <v:shape id="Graphic 16" o:spid="_x0000_s1034" style="position:absolute;left:14436;top:23363;width:37985;height:61423;visibility:visible;mso-wrap-style:square;v-text-anchor:top" coordsize="3798570,6142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" path="m3798303,l,6142126r43243,l3798303,71894r,-71894xe" fillcolor="#e7e6ea" stroked="f">
                  <v:path arrowok="t"/>
                </v:shape>
                <v:shape id="Graphic 17" o:spid="_x0000_s1035" style="position:absolute;left:10008;top:16199;width:42411;height:68586;visibility:visible;mso-wrap-style:square;v-text-anchor:top" coordsize="4241165,685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" path="m4241101,l,6858520r104457,l4241101,172643,4241101,xe" fillcolor="#c7cee9" stroked="f">
                  <v:path arrowok="t"/>
                </v:shape>
                <v:shape id="Graphic 18" o:spid="_x0000_s1036" style="position:absolute;left:12528;top:20302;width:39891;height:64484;visibility:visible;mso-wrap-style:square;v-text-anchor:top" coordsize="3989070,644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" path="m3989057,l,6448247r68478,l3989057,115011,3989057,xe" fillcolor="#d6d4db" stroked="f">
                  <v:path arrowok="t"/>
                </v:shape>
                <w10:wrap anchorx="page" anchory="page"/>
              </v:group>
            </w:pict>
          </mc:Fallback>
        </mc:AlternateContent>
      </w:r>
    </w:p>
    <w:p w14:paraId="0CE2DE4F" w14:textId="062C6916"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54"/>
          <w:szCs w:val="20"/>
          <w14:ligatures w14:val="none"/>
        </w:rPr>
      </w:pPr>
      <w:bookmarkStart w:id="0" w:name="Commentary_on_Section_IV:_Defined_terms"/>
      <w:bookmarkStart w:id="1" w:name="_bookmark21"/>
      <w:bookmarkEnd w:id="0"/>
      <w:bookmarkEnd w:id="1"/>
    </w:p>
    <w:p w14:paraId="76773F28"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54"/>
          <w:szCs w:val="20"/>
          <w14:ligatures w14:val="none"/>
        </w:rPr>
      </w:pPr>
    </w:p>
    <w:p w14:paraId="57BEE627"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54"/>
          <w:szCs w:val="20"/>
          <w14:ligatures w14:val="none"/>
        </w:rPr>
      </w:pPr>
    </w:p>
    <w:p w14:paraId="5190537D"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54"/>
          <w:szCs w:val="20"/>
          <w14:ligatures w14:val="none"/>
        </w:rPr>
      </w:pPr>
    </w:p>
    <w:p w14:paraId="28DFBCC7" w14:textId="77777777" w:rsidR="00335C80" w:rsidRPr="00994507" w:rsidRDefault="00335C80" w:rsidP="00A4328D">
      <w:pPr>
        <w:widowControl w:val="0"/>
        <w:autoSpaceDE w:val="0"/>
        <w:autoSpaceDN w:val="0"/>
        <w:spacing w:after="0" w:line="240" w:lineRule="auto"/>
        <w:ind w:left="1985" w:right="1559"/>
        <w:rPr>
          <w:rFonts w:ascii="Times New Roman" w:eastAsia="Arial" w:hAnsi="Times New Roman" w:cs="Times New Roman"/>
          <w:b/>
          <w:noProof/>
          <w:color w:val="FFFFFF"/>
          <w:kern w:val="0"/>
          <w:sz w:val="54"/>
          <w14:ligatures w14:val="none"/>
        </w:rPr>
      </w:pPr>
      <w:r>
        <w:rPr>
          <w:rFonts w:ascii="Times New Roman" w:hAnsi="Times New Roman"/>
          <w:b/>
          <w:color w:val="FFFFFF"/>
          <w:sz w:val="54"/>
        </w:rPr>
        <w:t>Starptautiskie standarti informācijas automātiskai apmaiņai nodokļu jomā</w:t>
      </w:r>
    </w:p>
    <w:p w14:paraId="2A59D405" w14:textId="77777777" w:rsidR="00335C80" w:rsidRPr="00994507" w:rsidRDefault="00335C80" w:rsidP="002F55E6">
      <w:pPr>
        <w:widowControl w:val="0"/>
        <w:autoSpaceDE w:val="0"/>
        <w:autoSpaceDN w:val="0"/>
        <w:spacing w:before="360" w:after="0" w:line="240" w:lineRule="auto"/>
        <w:ind w:left="1985" w:right="3119"/>
        <w:rPr>
          <w:rFonts w:ascii="Times New Roman" w:eastAsia="Arial" w:hAnsi="Times New Roman" w:cs="Times New Roman"/>
          <w:b/>
          <w:noProof/>
          <w:kern w:val="0"/>
          <w:sz w:val="32"/>
          <w14:ligatures w14:val="none"/>
        </w:rPr>
      </w:pPr>
      <w:r>
        <w:rPr>
          <w:rFonts w:ascii="Times New Roman" w:hAnsi="Times New Roman"/>
          <w:b/>
          <w:color w:val="B8B5C2"/>
          <w:sz w:val="32"/>
        </w:rPr>
        <w:t>KRIPTOAKTĪVU ZIŅOŠANAS SISTĒMA UN KOPĒJĀ ZIŅOŠANAS STANDARTA 2023. GADA ATJAUNINĀJUMS</w:t>
      </w:r>
    </w:p>
    <w:p w14:paraId="111AD645" w14:textId="77777777" w:rsidR="00994507" w:rsidRPr="00994507" w:rsidRDefault="00994507" w:rsidP="00994507">
      <w:pPr>
        <w:widowControl w:val="0"/>
        <w:autoSpaceDE w:val="0"/>
        <w:autoSpaceDN w:val="0"/>
        <w:spacing w:after="0" w:line="240" w:lineRule="auto"/>
        <w:jc w:val="both"/>
        <w:rPr>
          <w:rFonts w:ascii="Times New Roman" w:eastAsia="Arial" w:hAnsi="Times New Roman" w:cs="Times New Roman"/>
          <w:noProof/>
          <w:kern w:val="0"/>
          <w:sz w:val="32"/>
          <w14:ligatures w14:val="none"/>
        </w:rPr>
      </w:pPr>
    </w:p>
    <w:p w14:paraId="2D741A45"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17"/>
          <w:szCs w:val="20"/>
          <w14:ligatures w14:val="none"/>
        </w:rPr>
      </w:pPr>
    </w:p>
    <w:p w14:paraId="7E045549" w14:textId="77777777" w:rsidR="00994507" w:rsidRPr="00994507" w:rsidRDefault="00994507" w:rsidP="00994507">
      <w:pPr>
        <w:widowControl w:val="0"/>
        <w:autoSpaceDE w:val="0"/>
        <w:autoSpaceDN w:val="0"/>
        <w:spacing w:after="0" w:line="240" w:lineRule="auto"/>
        <w:jc w:val="both"/>
        <w:rPr>
          <w:rFonts w:ascii="Times New Roman" w:eastAsia="Arial" w:hAnsi="Times New Roman" w:cs="Times New Roman"/>
          <w:noProof/>
          <w:kern w:val="0"/>
          <w:sz w:val="17"/>
          <w14:ligatures w14:val="none"/>
        </w:rPr>
      </w:pPr>
    </w:p>
    <w:p w14:paraId="3108109A"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66"/>
          <w:szCs w:val="20"/>
          <w14:ligatures w14:val="none"/>
        </w:rPr>
      </w:pPr>
    </w:p>
    <w:p w14:paraId="666CACD4" w14:textId="77777777" w:rsidR="009146ED" w:rsidRDefault="009146ED">
      <w:pPr>
        <w:rPr>
          <w:rFonts w:ascii="Times New Roman" w:eastAsia="Arial" w:hAnsi="Times New Roman" w:cs="Times New Roman"/>
          <w:b/>
          <w:noProof/>
          <w:color w:val="231F20"/>
          <w:kern w:val="0"/>
          <w:sz w:val="66"/>
          <w14:ligatures w14:val="none"/>
        </w:rPr>
      </w:pPr>
      <w:r>
        <w:br w:type="page"/>
      </w:r>
    </w:p>
    <w:p w14:paraId="1681BA13" w14:textId="77777777" w:rsidR="009146ED" w:rsidRDefault="009146ED" w:rsidP="009146ED">
      <w:pPr>
        <w:widowControl w:val="0"/>
        <w:autoSpaceDE w:val="0"/>
        <w:autoSpaceDN w:val="0"/>
        <w:spacing w:after="0" w:line="240" w:lineRule="auto"/>
        <w:jc w:val="center"/>
        <w:rPr>
          <w:rFonts w:ascii="Times New Roman" w:eastAsia="Arial" w:hAnsi="Times New Roman" w:cs="Times New Roman"/>
          <w:b/>
          <w:noProof/>
          <w:color w:val="231F20"/>
          <w:kern w:val="0"/>
          <w:sz w:val="66"/>
          <w14:ligatures w14:val="none"/>
        </w:rPr>
      </w:pPr>
    </w:p>
    <w:p w14:paraId="792EA475" w14:textId="77777777" w:rsidR="009146ED" w:rsidRDefault="009146ED" w:rsidP="009146ED">
      <w:pPr>
        <w:widowControl w:val="0"/>
        <w:autoSpaceDE w:val="0"/>
        <w:autoSpaceDN w:val="0"/>
        <w:spacing w:after="0" w:line="240" w:lineRule="auto"/>
        <w:jc w:val="center"/>
        <w:rPr>
          <w:rFonts w:ascii="Times New Roman" w:eastAsia="Arial" w:hAnsi="Times New Roman" w:cs="Times New Roman"/>
          <w:b/>
          <w:noProof/>
          <w:color w:val="231F20"/>
          <w:kern w:val="0"/>
          <w:sz w:val="66"/>
          <w14:ligatures w14:val="none"/>
        </w:rPr>
      </w:pPr>
    </w:p>
    <w:p w14:paraId="1D71AB94" w14:textId="09CC2EDE" w:rsidR="00335C80" w:rsidRPr="00994507" w:rsidRDefault="00335C80" w:rsidP="009146ED">
      <w:pPr>
        <w:widowControl w:val="0"/>
        <w:autoSpaceDE w:val="0"/>
        <w:autoSpaceDN w:val="0"/>
        <w:spacing w:after="0" w:line="240" w:lineRule="auto"/>
        <w:jc w:val="center"/>
        <w:rPr>
          <w:rFonts w:ascii="Times New Roman" w:eastAsia="Arial" w:hAnsi="Times New Roman" w:cs="Times New Roman"/>
          <w:b/>
          <w:noProof/>
          <w:color w:val="231F20"/>
          <w:kern w:val="0"/>
          <w:sz w:val="66"/>
          <w14:ligatures w14:val="none"/>
        </w:rPr>
      </w:pPr>
      <w:r>
        <w:rPr>
          <w:rFonts w:ascii="Times New Roman" w:hAnsi="Times New Roman"/>
          <w:b/>
          <w:color w:val="231F20"/>
          <w:sz w:val="66"/>
        </w:rPr>
        <w:t>Starptautiskie standarti informācijas automātiskai apmaiņai nodokļu jomā</w:t>
      </w:r>
    </w:p>
    <w:p w14:paraId="2CD0191E" w14:textId="77777777" w:rsidR="00335C80" w:rsidRPr="00994507" w:rsidRDefault="00335C80" w:rsidP="009146ED">
      <w:pPr>
        <w:widowControl w:val="0"/>
        <w:autoSpaceDE w:val="0"/>
        <w:autoSpaceDN w:val="0"/>
        <w:spacing w:after="0" w:line="240" w:lineRule="auto"/>
        <w:jc w:val="center"/>
        <w:rPr>
          <w:rFonts w:ascii="Times New Roman" w:eastAsia="Arial" w:hAnsi="Times New Roman" w:cs="Times New Roman"/>
          <w:b/>
          <w:noProof/>
          <w:color w:val="231F20"/>
          <w:kern w:val="0"/>
          <w:sz w:val="66"/>
          <w14:ligatures w14:val="none"/>
        </w:rPr>
      </w:pPr>
    </w:p>
    <w:p w14:paraId="46607142"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66"/>
          <w:szCs w:val="20"/>
          <w14:ligatures w14:val="none"/>
        </w:rPr>
      </w:pPr>
    </w:p>
    <w:p w14:paraId="187FB022" w14:textId="42B93A1D" w:rsidR="00335C80" w:rsidRPr="009146ED" w:rsidRDefault="00335C80" w:rsidP="009146ED">
      <w:pPr>
        <w:widowControl w:val="0"/>
        <w:autoSpaceDE w:val="0"/>
        <w:autoSpaceDN w:val="0"/>
        <w:spacing w:after="0" w:line="240" w:lineRule="auto"/>
        <w:ind w:left="426" w:right="567"/>
        <w:jc w:val="center"/>
        <w:rPr>
          <w:rFonts w:ascii="Times New Roman" w:eastAsia="Arial" w:hAnsi="Times New Roman" w:cs="Times New Roman"/>
          <w:noProof/>
          <w:kern w:val="0"/>
          <w:sz w:val="36"/>
          <w14:ligatures w14:val="none"/>
        </w:rPr>
      </w:pPr>
      <w:r>
        <w:rPr>
          <w:rFonts w:ascii="Times New Roman" w:hAnsi="Times New Roman"/>
          <w:color w:val="231F20"/>
          <w:sz w:val="36"/>
        </w:rPr>
        <w:t>KRIPTOAKTĪVU ZIŅOŠANAS SISTĒMA UN KOPĒJĀ ZIŅOŠANAS STANDARTA 2023. GADA ATJAUNINĀJUMS</w:t>
      </w:r>
    </w:p>
    <w:p w14:paraId="7594C1D2"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66DC7B57"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3374A1BB"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1C6D56B5"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29A41414"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16A31132"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08D75B0C"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48CC9175"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6AF514E3"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572F2B12"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47942CE0"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1A8A7754"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4D107ED9"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0CDF208E"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66F09344"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364E93EF"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7F8E17CE"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09342DD4"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31CED863"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6750148C"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06311CC0"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252895B8"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21046E84"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42107A0C"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0D26EBC4"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292F63AB"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5AE086A9" w14:textId="77777777" w:rsidR="002F7216" w:rsidRDefault="002F7216"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38F9288F" w14:textId="77777777" w:rsidR="002F7216" w:rsidRDefault="002F7216"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0FADF3F6" w14:textId="77777777" w:rsidR="002F7216" w:rsidRDefault="002F7216"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p>
    <w:p w14:paraId="1A0F6A12" w14:textId="4995B783"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0"/>
          <w:szCs w:val="20"/>
          <w14:ligatures w14:val="none"/>
        </w:rPr>
      </w:pPr>
      <w:r>
        <w:rPr>
          <w:rFonts w:ascii="Times New Roman" w:hAnsi="Times New Roman"/>
          <w:noProof/>
          <w:sz w:val="20"/>
        </w:rPr>
        <mc:AlternateContent>
          <mc:Choice Requires="wpg">
            <w:drawing>
              <wp:anchor distT="0" distB="0" distL="0" distR="0" simplePos="0" relativeHeight="251658242" behindDoc="1" locked="0" layoutInCell="1" allowOverlap="1" wp14:anchorId="01402665" wp14:editId="150DA3CC">
                <wp:simplePos x="0" y="0"/>
                <wp:positionH relativeFrom="page">
                  <wp:posOffset>2880014</wp:posOffset>
                </wp:positionH>
                <wp:positionV relativeFrom="paragraph">
                  <wp:posOffset>285522</wp:posOffset>
                </wp:positionV>
                <wp:extent cx="665480" cy="43053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480" cy="430530"/>
                          <a:chOff x="0" y="0"/>
                          <a:chExt cx="665480" cy="430530"/>
                        </a:xfrm>
                      </wpg:grpSpPr>
                      <pic:pic xmlns:pic="http://schemas.openxmlformats.org/drawingml/2006/picture">
                        <pic:nvPicPr>
                          <pic:cNvPr id="20" name="Image 20"/>
                          <pic:cNvPicPr/>
                        </pic:nvPicPr>
                        <pic:blipFill>
                          <a:blip r:embed="rId13" cstate="print"/>
                          <a:stretch>
                            <a:fillRect/>
                          </a:stretch>
                        </pic:blipFill>
                        <pic:spPr>
                          <a:xfrm>
                            <a:off x="0" y="1"/>
                            <a:ext cx="429958" cy="429971"/>
                          </a:xfrm>
                          <a:prstGeom prst="rect">
                            <a:avLst/>
                          </a:prstGeom>
                        </pic:spPr>
                      </pic:pic>
                      <wps:wsp>
                        <wps:cNvPr id="21" name="Graphic 21"/>
                        <wps:cNvSpPr/>
                        <wps:spPr>
                          <a:xfrm>
                            <a:off x="458204" y="0"/>
                            <a:ext cx="101600" cy="215265"/>
                          </a:xfrm>
                          <a:custGeom>
                            <a:avLst/>
                            <a:gdLst/>
                            <a:ahLst/>
                            <a:cxnLst/>
                            <a:rect l="l" t="t" r="r" b="b"/>
                            <a:pathLst>
                              <a:path w="101600" h="215265">
                                <a:moveTo>
                                  <a:pt x="0" y="0"/>
                                </a:moveTo>
                                <a:lnTo>
                                  <a:pt x="0" y="103809"/>
                                </a:lnTo>
                                <a:lnTo>
                                  <a:pt x="69037" y="214985"/>
                                </a:lnTo>
                                <a:lnTo>
                                  <a:pt x="101282" y="163080"/>
                                </a:lnTo>
                                <a:lnTo>
                                  <a:pt x="0" y="0"/>
                                </a:lnTo>
                                <a:close/>
                              </a:path>
                            </a:pathLst>
                          </a:custGeom>
                          <a:solidFill>
                            <a:srgbClr val="8DC63F"/>
                          </a:solidFill>
                        </wps:spPr>
                        <wps:bodyPr wrap="square" lIns="0" tIns="0" rIns="0" bIns="0" rtlCol="0">
                          <a:prstTxWarp prst="textNoShape">
                            <a:avLst/>
                          </a:prstTxWarp>
                          <a:noAutofit/>
                        </wps:bodyPr>
                      </wps:wsp>
                      <wps:wsp>
                        <wps:cNvPr id="22" name="Graphic 22"/>
                        <wps:cNvSpPr/>
                        <wps:spPr>
                          <a:xfrm>
                            <a:off x="458203" y="163075"/>
                            <a:ext cx="101600" cy="267335"/>
                          </a:xfrm>
                          <a:custGeom>
                            <a:avLst/>
                            <a:gdLst/>
                            <a:ahLst/>
                            <a:cxnLst/>
                            <a:rect l="l" t="t" r="r" b="b"/>
                            <a:pathLst>
                              <a:path w="101600" h="267335">
                                <a:moveTo>
                                  <a:pt x="101282" y="0"/>
                                </a:moveTo>
                                <a:lnTo>
                                  <a:pt x="0" y="163080"/>
                                </a:lnTo>
                                <a:lnTo>
                                  <a:pt x="0" y="266890"/>
                                </a:lnTo>
                                <a:lnTo>
                                  <a:pt x="101282" y="103809"/>
                                </a:lnTo>
                                <a:lnTo>
                                  <a:pt x="101282" y="0"/>
                                </a:lnTo>
                                <a:close/>
                              </a:path>
                            </a:pathLst>
                          </a:custGeom>
                          <a:solidFill>
                            <a:srgbClr val="6D6E71"/>
                          </a:solidFill>
                        </wps:spPr>
                        <wps:bodyPr wrap="square" lIns="0" tIns="0" rIns="0" bIns="0" rtlCol="0">
                          <a:prstTxWarp prst="textNoShape">
                            <a:avLst/>
                          </a:prstTxWarp>
                          <a:noAutofit/>
                        </wps:bodyPr>
                      </wps:wsp>
                      <wps:wsp>
                        <wps:cNvPr id="23" name="Graphic 23"/>
                        <wps:cNvSpPr/>
                        <wps:spPr>
                          <a:xfrm>
                            <a:off x="563693" y="0"/>
                            <a:ext cx="101600" cy="215265"/>
                          </a:xfrm>
                          <a:custGeom>
                            <a:avLst/>
                            <a:gdLst/>
                            <a:ahLst/>
                            <a:cxnLst/>
                            <a:rect l="l" t="t" r="r" b="b"/>
                            <a:pathLst>
                              <a:path w="101600" h="215265">
                                <a:moveTo>
                                  <a:pt x="0" y="0"/>
                                </a:moveTo>
                                <a:lnTo>
                                  <a:pt x="0" y="103809"/>
                                </a:lnTo>
                                <a:lnTo>
                                  <a:pt x="69049" y="214985"/>
                                </a:lnTo>
                                <a:lnTo>
                                  <a:pt x="101295" y="163080"/>
                                </a:lnTo>
                                <a:lnTo>
                                  <a:pt x="0" y="0"/>
                                </a:lnTo>
                                <a:close/>
                              </a:path>
                            </a:pathLst>
                          </a:custGeom>
                          <a:solidFill>
                            <a:srgbClr val="8DC63F"/>
                          </a:solidFill>
                        </wps:spPr>
                        <wps:bodyPr wrap="square" lIns="0" tIns="0" rIns="0" bIns="0" rtlCol="0">
                          <a:prstTxWarp prst="textNoShape">
                            <a:avLst/>
                          </a:prstTxWarp>
                          <a:noAutofit/>
                        </wps:bodyPr>
                      </wps:wsp>
                      <wps:wsp>
                        <wps:cNvPr id="24" name="Graphic 24"/>
                        <wps:cNvSpPr/>
                        <wps:spPr>
                          <a:xfrm>
                            <a:off x="563692" y="163075"/>
                            <a:ext cx="101600" cy="267335"/>
                          </a:xfrm>
                          <a:custGeom>
                            <a:avLst/>
                            <a:gdLst/>
                            <a:ahLst/>
                            <a:cxnLst/>
                            <a:rect l="l" t="t" r="r" b="b"/>
                            <a:pathLst>
                              <a:path w="101600" h="267335">
                                <a:moveTo>
                                  <a:pt x="101295" y="0"/>
                                </a:moveTo>
                                <a:lnTo>
                                  <a:pt x="0" y="163080"/>
                                </a:lnTo>
                                <a:lnTo>
                                  <a:pt x="0" y="266890"/>
                                </a:lnTo>
                                <a:lnTo>
                                  <a:pt x="101295" y="103809"/>
                                </a:lnTo>
                                <a:lnTo>
                                  <a:pt x="101295" y="0"/>
                                </a:lnTo>
                                <a:close/>
                              </a:path>
                            </a:pathLst>
                          </a:custGeom>
                          <a:solidFill>
                            <a:srgbClr val="6D6E71"/>
                          </a:solidFill>
                        </wps:spPr>
                        <wps:bodyPr wrap="square" lIns="0" tIns="0" rIns="0" bIns="0" rtlCol="0">
                          <a:prstTxWarp prst="textNoShape">
                            <a:avLst/>
                          </a:prstTxWarp>
                          <a:noAutofit/>
                        </wps:bodyPr>
                      </wps:wsp>
                    </wpg:wgp>
                  </a:graphicData>
                </a:graphic>
              </wp:anchor>
            </w:drawing>
          </mc:Choice>
          <mc:Fallback>
            <w:pict>
              <v:group w14:anchorId="5AEF5E9A" id="Group 19" o:spid="_x0000_s1026" style="position:absolute;margin-left:226.75pt;margin-top:22.5pt;width:52.4pt;height:33.9pt;z-index:-251652096;mso-wrap-distance-left:0;mso-wrap-distance-right:0;mso-position-horizontal-relative:page" coordsize="6654,4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">
                <v:shape id="Image 20" o:spid="_x0000_s1027" type="#_x0000_t75" style="position:absolute;width:4299;height:4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">
                  <v:imagedata r:id="rId14" o:title=""/>
                </v:shape>
                <v:shape id="Graphic 21" o:spid="_x0000_s1028" style="position:absolute;left:4582;width:1016;height:2152;visibility:visible;mso-wrap-style:square;v-text-anchor:top" coordsize="10160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" path="m,l,103809,69037,214985r32245,-51905l,xe" fillcolor="#8dc63f" stroked="f">
                  <v:path arrowok="t"/>
                </v:shape>
                <v:shape id="Graphic 22" o:spid="_x0000_s1029" style="position:absolute;left:4582;top:1630;width:1016;height:2674;visibility:visible;mso-wrap-style:square;v-text-anchor:top" coordsize="10160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" path="m101282,l,163080,,266890,101282,103809,101282,xe" fillcolor="#6d6e71" stroked="f">
                  <v:path arrowok="t"/>
                </v:shape>
                <v:shape id="Graphic 23" o:spid="_x0000_s1030" style="position:absolute;left:5636;width:1016;height:2152;visibility:visible;mso-wrap-style:square;v-text-anchor:top" coordsize="10160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" path="m,l,103809,69049,214985r32246,-51905l,xe" fillcolor="#8dc63f" stroked="f">
                  <v:path arrowok="t"/>
                </v:shape>
                <v:shape id="Graphic 24" o:spid="_x0000_s1031" style="position:absolute;left:5636;top:1630;width:1016;height:2674;visibility:visible;mso-wrap-style:square;v-text-anchor:top" coordsize="10160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" path="m101295,l,163080,,266890,101295,103809,101295,xe" fillcolor="#6d6e71" stroked="f">
                  <v:path arrowok="t"/>
                </v:shape>
                <w10:wrap type="topAndBottom" anchorx="page"/>
              </v:group>
            </w:pict>
          </mc:Fallback>
        </mc:AlternateContent>
      </w:r>
      <w:r>
        <w:rPr>
          <w:rFonts w:ascii="Times New Roman" w:hAnsi="Times New Roman"/>
          <w:noProof/>
          <w:sz w:val="20"/>
        </w:rPr>
        <mc:AlternateContent>
          <mc:Choice Requires="wps">
            <w:drawing>
              <wp:anchor distT="0" distB="0" distL="0" distR="0" simplePos="0" relativeHeight="251658243" behindDoc="1" locked="0" layoutInCell="1" allowOverlap="1" wp14:anchorId="475177F1" wp14:editId="1B732BB0">
                <wp:simplePos x="0" y="0"/>
                <wp:positionH relativeFrom="page">
                  <wp:posOffset>3613747</wp:posOffset>
                </wp:positionH>
                <wp:positionV relativeFrom="paragraph">
                  <wp:posOffset>352800</wp:posOffset>
                </wp:positionV>
                <wp:extent cx="1066800" cy="29591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295910"/>
                        </a:xfrm>
                        <a:custGeom>
                          <a:avLst/>
                          <a:gdLst/>
                          <a:ahLst/>
                          <a:cxnLst/>
                          <a:rect l="l" t="t" r="r" b="b"/>
                          <a:pathLst>
                            <a:path w="1066800" h="295910">
                              <a:moveTo>
                                <a:pt x="295008" y="147320"/>
                              </a:moveTo>
                              <a:lnTo>
                                <a:pt x="288137" y="102247"/>
                              </a:lnTo>
                              <a:lnTo>
                                <a:pt x="288036" y="101536"/>
                              </a:lnTo>
                              <a:lnTo>
                                <a:pt x="268185" y="61620"/>
                              </a:lnTo>
                              <a:lnTo>
                                <a:pt x="251955" y="45135"/>
                              </a:lnTo>
                              <a:lnTo>
                                <a:pt x="251955" y="148145"/>
                              </a:lnTo>
                              <a:lnTo>
                                <a:pt x="244322" y="190703"/>
                              </a:lnTo>
                              <a:lnTo>
                                <a:pt x="222923" y="225450"/>
                              </a:lnTo>
                              <a:lnTo>
                                <a:pt x="190042" y="248869"/>
                              </a:lnTo>
                              <a:lnTo>
                                <a:pt x="147929" y="257467"/>
                              </a:lnTo>
                              <a:lnTo>
                                <a:pt x="105689" y="248729"/>
                              </a:lnTo>
                              <a:lnTo>
                                <a:pt x="72504" y="225005"/>
                              </a:lnTo>
                              <a:lnTo>
                                <a:pt x="50800" y="189966"/>
                              </a:lnTo>
                              <a:lnTo>
                                <a:pt x="43040" y="147320"/>
                              </a:lnTo>
                              <a:lnTo>
                                <a:pt x="50673" y="104724"/>
                              </a:lnTo>
                              <a:lnTo>
                                <a:pt x="72072" y="69964"/>
                              </a:lnTo>
                              <a:lnTo>
                                <a:pt x="104952" y="46545"/>
                              </a:lnTo>
                              <a:lnTo>
                                <a:pt x="147040" y="37960"/>
                              </a:lnTo>
                              <a:lnTo>
                                <a:pt x="189280" y="46685"/>
                              </a:lnTo>
                              <a:lnTo>
                                <a:pt x="222478" y="70408"/>
                              </a:lnTo>
                              <a:lnTo>
                                <a:pt x="244182" y="105448"/>
                              </a:lnTo>
                              <a:lnTo>
                                <a:pt x="251955" y="148145"/>
                              </a:lnTo>
                              <a:lnTo>
                                <a:pt x="251955" y="45135"/>
                              </a:lnTo>
                              <a:lnTo>
                                <a:pt x="244906" y="37960"/>
                              </a:lnTo>
                              <a:lnTo>
                                <a:pt x="237121" y="30048"/>
                              </a:lnTo>
                              <a:lnTo>
                                <a:pt x="196646" y="9359"/>
                              </a:lnTo>
                              <a:lnTo>
                                <a:pt x="197015" y="9359"/>
                              </a:lnTo>
                              <a:lnTo>
                                <a:pt x="147904" y="1816"/>
                              </a:lnTo>
                              <a:lnTo>
                                <a:pt x="99237" y="9359"/>
                              </a:lnTo>
                              <a:lnTo>
                                <a:pt x="58394" y="30327"/>
                              </a:lnTo>
                              <a:lnTo>
                                <a:pt x="27101" y="62141"/>
                              </a:lnTo>
                              <a:lnTo>
                                <a:pt x="7048" y="102247"/>
                              </a:lnTo>
                              <a:lnTo>
                                <a:pt x="114" y="147320"/>
                              </a:lnTo>
                              <a:lnTo>
                                <a:pt x="0" y="148145"/>
                              </a:lnTo>
                              <a:lnTo>
                                <a:pt x="6858" y="193167"/>
                              </a:lnTo>
                              <a:lnTo>
                                <a:pt x="26809" y="233807"/>
                              </a:lnTo>
                              <a:lnTo>
                                <a:pt x="57873" y="265379"/>
                              </a:lnTo>
                              <a:lnTo>
                                <a:pt x="98513" y="286143"/>
                              </a:lnTo>
                              <a:lnTo>
                                <a:pt x="147091" y="293624"/>
                              </a:lnTo>
                              <a:lnTo>
                                <a:pt x="195211" y="286143"/>
                              </a:lnTo>
                              <a:lnTo>
                                <a:pt x="195592" y="286143"/>
                              </a:lnTo>
                              <a:lnTo>
                                <a:pt x="236588" y="265099"/>
                              </a:lnTo>
                              <a:lnTo>
                                <a:pt x="244106" y="257467"/>
                              </a:lnTo>
                              <a:lnTo>
                                <a:pt x="267893" y="233286"/>
                              </a:lnTo>
                              <a:lnTo>
                                <a:pt x="287947" y="193167"/>
                              </a:lnTo>
                              <a:lnTo>
                                <a:pt x="295008" y="147320"/>
                              </a:lnTo>
                              <a:close/>
                            </a:path>
                            <a:path w="1066800" h="295910">
                              <a:moveTo>
                                <a:pt x="529869" y="253809"/>
                              </a:moveTo>
                              <a:lnTo>
                                <a:pt x="359905" y="253809"/>
                              </a:lnTo>
                              <a:lnTo>
                                <a:pt x="359905" y="164909"/>
                              </a:lnTo>
                              <a:lnTo>
                                <a:pt x="510273" y="164909"/>
                              </a:lnTo>
                              <a:lnTo>
                                <a:pt x="510273" y="128079"/>
                              </a:lnTo>
                              <a:lnTo>
                                <a:pt x="359905" y="128079"/>
                              </a:lnTo>
                              <a:lnTo>
                                <a:pt x="359905" y="41719"/>
                              </a:lnTo>
                              <a:lnTo>
                                <a:pt x="527824" y="41719"/>
                              </a:lnTo>
                              <a:lnTo>
                                <a:pt x="527824" y="4889"/>
                              </a:lnTo>
                              <a:lnTo>
                                <a:pt x="318681" y="4889"/>
                              </a:lnTo>
                              <a:lnTo>
                                <a:pt x="318681" y="41719"/>
                              </a:lnTo>
                              <a:lnTo>
                                <a:pt x="318681" y="128079"/>
                              </a:lnTo>
                              <a:lnTo>
                                <a:pt x="318681" y="164909"/>
                              </a:lnTo>
                              <a:lnTo>
                                <a:pt x="318681" y="253809"/>
                              </a:lnTo>
                              <a:lnTo>
                                <a:pt x="318681" y="290639"/>
                              </a:lnTo>
                              <a:lnTo>
                                <a:pt x="529869" y="290639"/>
                              </a:lnTo>
                              <a:lnTo>
                                <a:pt x="529869" y="253809"/>
                              </a:lnTo>
                              <a:close/>
                            </a:path>
                            <a:path w="1066800" h="295910">
                              <a:moveTo>
                                <a:pt x="797483" y="245033"/>
                              </a:moveTo>
                              <a:lnTo>
                                <a:pt x="770763" y="218300"/>
                              </a:lnTo>
                              <a:lnTo>
                                <a:pt x="751344" y="234835"/>
                              </a:lnTo>
                              <a:lnTo>
                                <a:pt x="731481" y="247142"/>
                              </a:lnTo>
                              <a:lnTo>
                                <a:pt x="709472" y="254825"/>
                              </a:lnTo>
                              <a:lnTo>
                                <a:pt x="683641" y="257467"/>
                              </a:lnTo>
                              <a:lnTo>
                                <a:pt x="642835" y="248805"/>
                              </a:lnTo>
                              <a:lnTo>
                                <a:pt x="610374" y="225183"/>
                              </a:lnTo>
                              <a:lnTo>
                                <a:pt x="588949" y="190144"/>
                              </a:lnTo>
                              <a:lnTo>
                                <a:pt x="581215" y="147256"/>
                              </a:lnTo>
                              <a:lnTo>
                                <a:pt x="588949" y="104508"/>
                              </a:lnTo>
                              <a:lnTo>
                                <a:pt x="610374" y="69786"/>
                              </a:lnTo>
                              <a:lnTo>
                                <a:pt x="642835" y="46469"/>
                              </a:lnTo>
                              <a:lnTo>
                                <a:pt x="683641" y="37947"/>
                              </a:lnTo>
                              <a:lnTo>
                                <a:pt x="708266" y="40563"/>
                              </a:lnTo>
                              <a:lnTo>
                                <a:pt x="730046" y="48018"/>
                              </a:lnTo>
                              <a:lnTo>
                                <a:pt x="749858" y="59778"/>
                              </a:lnTo>
                              <a:lnTo>
                                <a:pt x="768553" y="75272"/>
                              </a:lnTo>
                              <a:lnTo>
                                <a:pt x="795655" y="44881"/>
                              </a:lnTo>
                              <a:lnTo>
                                <a:pt x="773442" y="26504"/>
                              </a:lnTo>
                              <a:lnTo>
                                <a:pt x="748614" y="12344"/>
                              </a:lnTo>
                              <a:lnTo>
                                <a:pt x="719404" y="3225"/>
                              </a:lnTo>
                              <a:lnTo>
                                <a:pt x="684060" y="0"/>
                              </a:lnTo>
                              <a:lnTo>
                                <a:pt x="636574" y="7569"/>
                              </a:lnTo>
                              <a:lnTo>
                                <a:pt x="596569" y="28625"/>
                              </a:lnTo>
                              <a:lnTo>
                                <a:pt x="565810" y="60718"/>
                              </a:lnTo>
                              <a:lnTo>
                                <a:pt x="546061" y="101371"/>
                              </a:lnTo>
                              <a:lnTo>
                                <a:pt x="539089" y="148120"/>
                              </a:lnTo>
                              <a:lnTo>
                                <a:pt x="546087" y="195097"/>
                              </a:lnTo>
                              <a:lnTo>
                                <a:pt x="565861" y="235585"/>
                              </a:lnTo>
                              <a:lnTo>
                                <a:pt x="596493" y="267322"/>
                              </a:lnTo>
                              <a:lnTo>
                                <a:pt x="636117" y="288036"/>
                              </a:lnTo>
                              <a:lnTo>
                                <a:pt x="682828" y="295440"/>
                              </a:lnTo>
                              <a:lnTo>
                                <a:pt x="718477" y="291807"/>
                              </a:lnTo>
                              <a:lnTo>
                                <a:pt x="748449" y="281559"/>
                              </a:lnTo>
                              <a:lnTo>
                                <a:pt x="774268" y="265645"/>
                              </a:lnTo>
                              <a:lnTo>
                                <a:pt x="797483" y="245033"/>
                              </a:lnTo>
                              <a:close/>
                            </a:path>
                            <a:path w="1066800" h="295910">
                              <a:moveTo>
                                <a:pt x="1066241" y="147294"/>
                              </a:moveTo>
                              <a:lnTo>
                                <a:pt x="1059078" y="101460"/>
                              </a:lnTo>
                              <a:lnTo>
                                <a:pt x="1038669" y="62268"/>
                              </a:lnTo>
                              <a:lnTo>
                                <a:pt x="1023188" y="47510"/>
                              </a:lnTo>
                              <a:lnTo>
                                <a:pt x="1023188" y="148158"/>
                              </a:lnTo>
                              <a:lnTo>
                                <a:pt x="1015453" y="190207"/>
                              </a:lnTo>
                              <a:lnTo>
                                <a:pt x="993508" y="223316"/>
                              </a:lnTo>
                              <a:lnTo>
                                <a:pt x="959243" y="245008"/>
                              </a:lnTo>
                              <a:lnTo>
                                <a:pt x="914527" y="252793"/>
                              </a:lnTo>
                              <a:lnTo>
                                <a:pt x="852830" y="252793"/>
                              </a:lnTo>
                              <a:lnTo>
                                <a:pt x="852830" y="42646"/>
                              </a:lnTo>
                              <a:lnTo>
                                <a:pt x="914527" y="42646"/>
                              </a:lnTo>
                              <a:lnTo>
                                <a:pt x="959243" y="50558"/>
                              </a:lnTo>
                              <a:lnTo>
                                <a:pt x="993508" y="72555"/>
                              </a:lnTo>
                              <a:lnTo>
                                <a:pt x="1015453" y="105956"/>
                              </a:lnTo>
                              <a:lnTo>
                                <a:pt x="1023188" y="148158"/>
                              </a:lnTo>
                              <a:lnTo>
                                <a:pt x="1023188" y="47510"/>
                              </a:lnTo>
                              <a:lnTo>
                                <a:pt x="1018095" y="42646"/>
                              </a:lnTo>
                              <a:lnTo>
                                <a:pt x="1006665" y="31750"/>
                              </a:lnTo>
                              <a:lnTo>
                                <a:pt x="964704" y="11938"/>
                              </a:lnTo>
                              <a:lnTo>
                                <a:pt x="914438" y="4889"/>
                              </a:lnTo>
                              <a:lnTo>
                                <a:pt x="811606" y="4889"/>
                              </a:lnTo>
                              <a:lnTo>
                                <a:pt x="811606" y="290525"/>
                              </a:lnTo>
                              <a:lnTo>
                                <a:pt x="914438" y="290525"/>
                              </a:lnTo>
                              <a:lnTo>
                                <a:pt x="964755" y="283387"/>
                              </a:lnTo>
                              <a:lnTo>
                                <a:pt x="1006729" y="263372"/>
                              </a:lnTo>
                              <a:lnTo>
                                <a:pt x="1017727" y="252793"/>
                              </a:lnTo>
                              <a:lnTo>
                                <a:pt x="1038707" y="232613"/>
                              </a:lnTo>
                              <a:lnTo>
                                <a:pt x="1059091" y="193217"/>
                              </a:lnTo>
                              <a:lnTo>
                                <a:pt x="1066241" y="147294"/>
                              </a:lnTo>
                              <a:close/>
                            </a:path>
                          </a:pathLst>
                        </a:custGeom>
                        <a:solidFill>
                          <a:srgbClr val="6D6E71"/>
                        </a:solidFill>
                      </wps:spPr>
                      <wps:bodyPr wrap="square" lIns="0" tIns="0" rIns="0" bIns="0" rtlCol="0">
                        <a:prstTxWarp prst="textNoShape">
                          <a:avLst/>
                        </a:prstTxWarp>
                        <a:noAutofit/>
                      </wps:bodyPr>
                    </wps:wsp>
                  </a:graphicData>
                </a:graphic>
              </wp:anchor>
            </w:drawing>
          </mc:Choice>
          <mc:Fallback>
            <w:pict>
              <v:shape w14:anchorId="3E4859EE" id="Graphic 25" o:spid="_x0000_s1026" style="position:absolute;margin-left:284.55pt;margin-top:27.8pt;width:84pt;height:23.3pt;z-index:-251651072;visibility:visible;mso-wrap-style:square;mso-wrap-distance-left:0;mso-wrap-distance-top:0;mso-wrap-distance-right:0;mso-wrap-distance-bottom:0;mso-position-horizontal:absolute;mso-position-horizontal-relative:page;mso-position-vertical:absolute;mso-position-vertical-relative:text;v-text-anchor:top" coordsize="1066800,295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" path="m295008,147320r-6871,-45073l288036,101536,268185,61620,251955,45135r,103010l244322,190703r-21399,34747l190042,248869r-42113,8598l105689,248729,72504,225005,50800,189966,43040,147320r7633,-42596l72072,69964,104952,46545r42088,-8585l189280,46685r33198,23723l244182,105448r7773,42697l251955,45135r-7049,-7175l237121,30048,196646,9359r369,l147904,1816,99237,9359,58394,30327,27101,62141,7048,102247,114,147320,,148145r6858,45022l26809,233807r31064,31572l98513,286143r48578,7481l195211,286143r381,l236588,265099r7518,-7632l267893,233286r20054,-40119l295008,147320xem529869,253809r-169964,l359905,164909r150368,l510273,128079r-150368,l359905,41719r167919,l527824,4889r-209143,l318681,41719r,86360l318681,164909r,88900l318681,290639r211188,l529869,253809xem797483,245033l770763,218300r-19419,16535l731481,247142r-22009,7683l683641,257467r-40806,-8662l610374,225183,588949,190144r-7734,-42888l588949,104508,610374,69786,642835,46469r40806,-8522l708266,40563r21780,7455l749858,59778r18695,15494l795655,44881,773442,26504,748614,12344,719404,3225,684060,,636574,7569,596569,28625,565810,60718r-19749,40653l539089,148120r6998,46977l565861,235585r30632,31737l636117,288036r46711,7404l718477,291807r29972,-10248l774268,265645r23215,-20612xem1066241,147294r-7163,-45834l1038669,62268,1023188,47510r,100648l1015453,190207r-21945,33109l959243,245008r-44716,7785l852830,252793r,-210147l914527,42646r44716,7912l993508,72555r21945,33401l1023188,148158r,-100648l1018095,42646,1006665,31750,964704,11938,914438,4889r-102832,l811606,290525r102832,l964755,283387r41974,-20015l1017727,252793r20980,-20180l1059091,193217r7150,-45923xe" fillcolor="#6d6e71" stroked="f">
                <v:path arrowok="t"/>
                <w10:wrap type="topAndBottom" anchorx="page"/>
              </v:shape>
            </w:pict>
          </mc:Fallback>
        </mc:AlternateContent>
      </w:r>
      <w:r>
        <w:rPr>
          <w:rFonts w:ascii="Times New Roman" w:hAnsi="Times New Roman"/>
          <w:noProof/>
          <w:sz w:val="20"/>
        </w:rPr>
        <w:drawing>
          <wp:anchor distT="0" distB="0" distL="0" distR="0" simplePos="0" relativeHeight="251658244" behindDoc="1" locked="0" layoutInCell="1" allowOverlap="1" wp14:anchorId="2C5FB38A" wp14:editId="6E777C3D">
            <wp:simplePos x="0" y="0"/>
            <wp:positionH relativeFrom="page">
              <wp:posOffset>2880005</wp:posOffset>
            </wp:positionH>
            <wp:positionV relativeFrom="paragraph">
              <wp:posOffset>760577</wp:posOffset>
            </wp:positionV>
            <wp:extent cx="1799568" cy="76200"/>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5" cstate="print"/>
                    <a:stretch>
                      <a:fillRect/>
                    </a:stretch>
                  </pic:blipFill>
                  <pic:spPr>
                    <a:xfrm>
                      <a:off x="0" y="0"/>
                      <a:ext cx="1799568" cy="76200"/>
                    </a:xfrm>
                    <a:prstGeom prst="rect">
                      <a:avLst/>
                    </a:prstGeom>
                  </pic:spPr>
                </pic:pic>
              </a:graphicData>
            </a:graphic>
          </wp:anchor>
        </w:drawing>
      </w:r>
    </w:p>
    <w:p w14:paraId="5C64EAF0"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4"/>
          <w:szCs w:val="20"/>
          <w14:ligatures w14:val="none"/>
        </w:rPr>
      </w:pPr>
    </w:p>
    <w:p w14:paraId="0C3ABC49" w14:textId="77777777" w:rsidR="00994507" w:rsidRPr="00994507" w:rsidRDefault="00994507" w:rsidP="00994507">
      <w:pPr>
        <w:widowControl w:val="0"/>
        <w:autoSpaceDE w:val="0"/>
        <w:autoSpaceDN w:val="0"/>
        <w:spacing w:after="0" w:line="240" w:lineRule="auto"/>
        <w:jc w:val="both"/>
        <w:rPr>
          <w:rFonts w:ascii="Times New Roman" w:eastAsia="Arial" w:hAnsi="Times New Roman" w:cs="Times New Roman"/>
          <w:noProof/>
          <w:kern w:val="0"/>
          <w:sz w:val="4"/>
          <w14:ligatures w14:val="none"/>
        </w:rPr>
      </w:pPr>
    </w:p>
    <w:p w14:paraId="2FD2A1AB" w14:textId="59CFF26A" w:rsidR="009146ED" w:rsidRDefault="009146ED">
      <w:pPr>
        <w:rPr>
          <w:rFonts w:ascii="Times New Roman" w:eastAsia="Arial" w:hAnsi="Times New Roman" w:cs="Times New Roman"/>
          <w:noProof/>
          <w:color w:val="231F20"/>
          <w:kern w:val="0"/>
          <w:sz w:val="18"/>
          <w14:ligatures w14:val="none"/>
        </w:rPr>
      </w:pPr>
    </w:p>
    <w:p w14:paraId="5C0FCDC0" w14:textId="6314CB93"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Kriptoaktīvu ziņošanas sistēmu (</w:t>
      </w:r>
      <w:r>
        <w:rPr>
          <w:rFonts w:ascii="Times New Roman" w:hAnsi="Times New Roman"/>
          <w:i/>
          <w:iCs/>
          <w:color w:val="231F20"/>
          <w:sz w:val="18"/>
        </w:rPr>
        <w:t>CARF</w:t>
      </w:r>
      <w:r>
        <w:rPr>
          <w:rFonts w:ascii="Times New Roman" w:hAnsi="Times New Roman"/>
          <w:color w:val="231F20"/>
          <w:sz w:val="18"/>
        </w:rPr>
        <w:t>) un Kopējā ziņošanas standarta (</w:t>
      </w:r>
      <w:r>
        <w:rPr>
          <w:rFonts w:ascii="Times New Roman" w:hAnsi="Times New Roman"/>
          <w:i/>
          <w:iCs/>
          <w:color w:val="231F20"/>
          <w:sz w:val="18"/>
        </w:rPr>
        <w:t>CRS</w:t>
      </w:r>
      <w:r>
        <w:rPr>
          <w:rFonts w:ascii="Times New Roman" w:hAnsi="Times New Roman"/>
          <w:color w:val="231F20"/>
          <w:sz w:val="18"/>
        </w:rPr>
        <w:t xml:space="preserve">) grozījumu kopumu, kā arī saistītos komentārus un informācijas apmaiņas sistēmas (kopā dēvēti kā starptautiskie standarti informācijas automātiskai apmaiņai nodokļu jomā) </w:t>
      </w:r>
      <w:r>
        <w:rPr>
          <w:rFonts w:ascii="Times New Roman" w:hAnsi="Times New Roman"/>
          <w:i/>
          <w:iCs/>
          <w:color w:val="231F20"/>
          <w:sz w:val="18"/>
        </w:rPr>
        <w:t>OECD</w:t>
      </w:r>
      <w:r>
        <w:rPr>
          <w:rFonts w:ascii="Times New Roman" w:hAnsi="Times New Roman"/>
          <w:color w:val="231F20"/>
          <w:sz w:val="18"/>
        </w:rPr>
        <w:t xml:space="preserve"> Fiskālo lietu komiteja apstiprināja 2022./2023. gadā (CTPA/CFA(2022)16 un CTPA/CFA(2023)5).</w:t>
      </w:r>
    </w:p>
    <w:p w14:paraId="65551B96"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r>
        <w:rPr>
          <w:rFonts w:ascii="Times New Roman" w:hAnsi="Times New Roman"/>
          <w:i/>
          <w:iCs/>
          <w:color w:val="231F20"/>
          <w:sz w:val="18"/>
        </w:rPr>
        <w:t>OECD</w:t>
      </w:r>
      <w:r>
        <w:rPr>
          <w:rFonts w:ascii="Times New Roman" w:hAnsi="Times New Roman"/>
          <w:color w:val="231F20"/>
          <w:sz w:val="18"/>
        </w:rPr>
        <w:t xml:space="preserve"> Ieteikumu par starptautiskajiem standartiem automātiskai informācijas apmaiņai nodokļu jomā (</w:t>
      </w:r>
      <w:hyperlink r:id="rId16">
        <w:r>
          <w:rPr>
            <w:rFonts w:ascii="Times New Roman" w:hAnsi="Times New Roman"/>
            <w:color w:val="3A53A4"/>
            <w:sz w:val="18"/>
            <w:u w:val="single" w:color="3A53A4"/>
          </w:rPr>
          <w:t>OECD/LEGAL/0407</w:t>
        </w:r>
      </w:hyperlink>
      <w:r>
        <w:rPr>
          <w:rFonts w:ascii="Times New Roman" w:hAnsi="Times New Roman"/>
          <w:color w:val="231F20"/>
          <w:sz w:val="18"/>
        </w:rPr>
        <w:t xml:space="preserve">) </w:t>
      </w:r>
      <w:r>
        <w:rPr>
          <w:rFonts w:ascii="Times New Roman" w:hAnsi="Times New Roman"/>
          <w:i/>
          <w:iCs/>
          <w:color w:val="231F20"/>
          <w:sz w:val="18"/>
        </w:rPr>
        <w:t>OECD</w:t>
      </w:r>
      <w:r>
        <w:rPr>
          <w:rFonts w:ascii="Times New Roman" w:hAnsi="Times New Roman"/>
          <w:color w:val="231F20"/>
          <w:sz w:val="18"/>
        </w:rPr>
        <w:t xml:space="preserve"> Padome pieņēma 2014. gada 15. jūlijā un pārskatīja 2023. gada 8. jūnijā. Ieteikuma oficiālo un aktuālo teksta versiju, kā arī citu saistīto informāciju skat. </w:t>
      </w:r>
      <w:r>
        <w:rPr>
          <w:rFonts w:ascii="Times New Roman" w:hAnsi="Times New Roman"/>
          <w:i/>
          <w:iCs/>
          <w:color w:val="231F20"/>
          <w:sz w:val="18"/>
        </w:rPr>
        <w:t>OECD</w:t>
      </w:r>
      <w:r>
        <w:rPr>
          <w:rFonts w:ascii="Times New Roman" w:hAnsi="Times New Roman"/>
          <w:color w:val="231F20"/>
          <w:sz w:val="18"/>
        </w:rPr>
        <w:t xml:space="preserve"> juridisko dokumentu apkopojumā tīmekļa vietnē </w:t>
      </w:r>
      <w:hyperlink r:id="rId17">
        <w:r>
          <w:rPr>
            <w:rFonts w:ascii="Times New Roman" w:hAnsi="Times New Roman"/>
            <w:color w:val="3A53A4"/>
            <w:sz w:val="18"/>
            <w:u w:val="single" w:color="3A53A4"/>
          </w:rPr>
          <w:t>http://legalinstruments.oecd.org</w:t>
        </w:r>
      </w:hyperlink>
      <w:r>
        <w:rPr>
          <w:rFonts w:ascii="Times New Roman" w:hAnsi="Times New Roman"/>
          <w:color w:val="231F20"/>
          <w:sz w:val="18"/>
        </w:rPr>
        <w:t>.</w:t>
      </w:r>
    </w:p>
    <w:p w14:paraId="0D10255C"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Šis dokuments un tajā iekļautie dati un kartes nemaina nevienas teritorijas statusu vai suverenitāti pār šādu teritoriju, starptautiskās robežas un nevienas teritorijas, pilsētas vai apgabala nosaukumu.</w:t>
      </w:r>
    </w:p>
    <w:p w14:paraId="3F75E20F"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 xml:space="preserve">Statistikas datus par Izraēlu ir sniegušas attiecīgās Izraēlas iestādes, un tās uzņemas atbildību par šiem statistikas datiem. Tas, ka </w:t>
      </w:r>
      <w:r>
        <w:rPr>
          <w:rFonts w:ascii="Times New Roman" w:hAnsi="Times New Roman"/>
          <w:i/>
          <w:iCs/>
          <w:color w:val="231F20"/>
          <w:sz w:val="18"/>
        </w:rPr>
        <w:t>OECD</w:t>
      </w:r>
      <w:r>
        <w:rPr>
          <w:rFonts w:ascii="Times New Roman" w:hAnsi="Times New Roman"/>
          <w:color w:val="231F20"/>
          <w:sz w:val="18"/>
        </w:rPr>
        <w:t xml:space="preserve"> izmanto šādus datus, neskar starptautiskajās tiesībās noteikto Golānas augstieņu, Jeruzalemes austrumu daļas un izraēliešu Rietumkrasta apmetņu statusu.</w:t>
      </w:r>
    </w:p>
    <w:p w14:paraId="286E36A9"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Turcijas Republikas piezīme</w:t>
      </w:r>
    </w:p>
    <w:p w14:paraId="2733C9BD"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Šajā dokumentā informācija ar atsauci uz “Kipru” attiecas uz salas dienvidu daļu. Šajā salā nav vienas varas iestādes, kas pārstāvētu gan Kipras turku, gan Kipras grieķu tautu. Turcija atzīst Ziemeļkipras Turku Republiku (ZKTR). Turcija saglabā savu nostāju attiecībā uz “Kipras jautājumu”, līdz tiks atrasts ilglaicīgs un taisnīgs risinājums Apvienoto Nāciju Organizācijas kontekstā.</w:t>
      </w:r>
    </w:p>
    <w:p w14:paraId="08CF110F"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 xml:space="preserve">Visu </w:t>
      </w:r>
      <w:r>
        <w:rPr>
          <w:rFonts w:ascii="Times New Roman" w:hAnsi="Times New Roman"/>
          <w:i/>
          <w:iCs/>
          <w:color w:val="231F20"/>
          <w:sz w:val="18"/>
        </w:rPr>
        <w:t>OECD</w:t>
      </w:r>
      <w:r>
        <w:rPr>
          <w:rFonts w:ascii="Times New Roman" w:hAnsi="Times New Roman"/>
          <w:color w:val="231F20"/>
          <w:sz w:val="18"/>
        </w:rPr>
        <w:t xml:space="preserve"> Eiropas Savienības dalībvalstu un Eiropas Savienības piezīme</w:t>
      </w:r>
    </w:p>
    <w:p w14:paraId="0ACE252C"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Kipras Republiku atzīst visi Apvienoto Nāciju Organizācijas dalībnieki, izņemot Turciju. Šajā dokumentā informācija attiecas uz teritoriju, kuru faktiski kontrolē Kipras Republikas valdība.</w:t>
      </w:r>
    </w:p>
    <w:p w14:paraId="2174CFB8"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r>
        <w:rPr>
          <w:rFonts w:ascii="Times New Roman" w:hAnsi="Times New Roman"/>
          <w:noProof/>
          <w:sz w:val="18"/>
        </w:rPr>
        <mc:AlternateContent>
          <mc:Choice Requires="wps">
            <w:drawing>
              <wp:anchor distT="0" distB="0" distL="0" distR="0" simplePos="0" relativeHeight="251658245" behindDoc="1" locked="0" layoutInCell="1" allowOverlap="1" wp14:anchorId="78E61875" wp14:editId="7A89EFAD">
                <wp:simplePos x="0" y="0"/>
                <wp:positionH relativeFrom="page">
                  <wp:posOffset>1074420</wp:posOffset>
                </wp:positionH>
                <wp:positionV relativeFrom="paragraph">
                  <wp:posOffset>245110</wp:posOffset>
                </wp:positionV>
                <wp:extent cx="5876925" cy="900430"/>
                <wp:effectExtent l="0" t="0" r="9525"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925" cy="900430"/>
                        </a:xfrm>
                        <a:prstGeom prst="rect">
                          <a:avLst/>
                        </a:prstGeom>
                        <a:solidFill>
                          <a:srgbClr val="EDEDEE"/>
                        </a:solidFill>
                      </wps:spPr>
                      <wps:txbx>
                        <w:txbxContent>
                          <w:p w14:paraId="3CA2F147" w14:textId="77777777" w:rsidR="00335C80" w:rsidRPr="009146ED" w:rsidRDefault="00335C80" w:rsidP="009146ED">
                            <w:pPr>
                              <w:spacing w:before="126"/>
                              <w:ind w:left="57"/>
                              <w:rPr>
                                <w:rFonts w:ascii="Times New Roman" w:hAnsi="Times New Roman" w:cs="Times New Roman"/>
                                <w:b/>
                                <w:noProof/>
                                <w:color w:val="231F20"/>
                                <w:kern w:val="0"/>
                                <w:sz w:val="20"/>
                                <w:szCs w:val="20"/>
                              </w:rPr>
                            </w:pPr>
                            <w:r>
                              <w:rPr>
                                <w:rFonts w:ascii="Times New Roman" w:hAnsi="Times New Roman"/>
                                <w:b/>
                                <w:color w:val="231F20"/>
                                <w:sz w:val="20"/>
                              </w:rPr>
                              <w:t>Citējot šo publikāciju, lūdzam izmantot šādu atsauci:</w:t>
                            </w:r>
                          </w:p>
                          <w:p w14:paraId="520F0FF3" w14:textId="77777777" w:rsidR="00335C80" w:rsidRPr="009146ED" w:rsidRDefault="00335C80" w:rsidP="009146ED">
                            <w:pPr>
                              <w:spacing w:before="36" w:line="288" w:lineRule="auto"/>
                              <w:ind w:left="57" w:right="230"/>
                              <w:rPr>
                                <w:rFonts w:ascii="Times New Roman" w:hAnsi="Times New Roman" w:cs="Times New Roman"/>
                                <w:noProof/>
                                <w:color w:val="000000"/>
                                <w:kern w:val="0"/>
                                <w:sz w:val="20"/>
                                <w:szCs w:val="20"/>
                              </w:rPr>
                            </w:pPr>
                            <w:r>
                              <w:rPr>
                                <w:rFonts w:ascii="Times New Roman" w:hAnsi="Times New Roman"/>
                                <w:i/>
                                <w:iCs/>
                                <w:color w:val="231F20"/>
                                <w:sz w:val="20"/>
                              </w:rPr>
                              <w:t>OECD</w:t>
                            </w:r>
                            <w:r>
                              <w:rPr>
                                <w:rFonts w:ascii="Times New Roman" w:hAnsi="Times New Roman"/>
                                <w:color w:val="231F20"/>
                                <w:sz w:val="20"/>
                              </w:rPr>
                              <w:t xml:space="preserve"> (2023), </w:t>
                            </w:r>
                            <w:r>
                              <w:rPr>
                                <w:rFonts w:ascii="Times New Roman" w:hAnsi="Times New Roman"/>
                                <w:i/>
                                <w:color w:val="231F20"/>
                                <w:sz w:val="20"/>
                              </w:rPr>
                              <w:t>Starptautiskie standarti informācijas automātiskai apmaiņai nodokļu jomā. Kriptoaktīvu ziņošanas sistēma un Kopējā ziņošanas standarta 2023. gada atjauninājums</w:t>
                            </w:r>
                            <w:r>
                              <w:rPr>
                                <w:rFonts w:ascii="Times New Roman" w:hAnsi="Times New Roman"/>
                                <w:color w:val="231F20"/>
                                <w:sz w:val="20"/>
                              </w:rPr>
                              <w:t xml:space="preserve">, “OECD Publishing”, Parīze, </w:t>
                            </w:r>
                            <w:hyperlink r:id="rId18">
                              <w:r>
                                <w:rPr>
                                  <w:rFonts w:ascii="Times New Roman" w:hAnsi="Times New Roman"/>
                                  <w:color w:val="3A53A4"/>
                                  <w:sz w:val="20"/>
                                  <w:u w:val="single" w:color="3A53A4"/>
                                </w:rPr>
                                <w:t>https://doi.org/10.1787/896d79d1-en</w:t>
                              </w:r>
                            </w:hyperlink>
                            <w:r>
                              <w:rPr>
                                <w:rFonts w:ascii="Times New Roman" w:hAnsi="Times New Roman"/>
                                <w:color w:val="231F20"/>
                                <w:sz w:val="20"/>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8E61875" id="_x0000_t202" coordsize="21600,21600" o:spt="202" path="m,l,21600r21600,l21600,xe">
                <v:stroke joinstyle="miter"/>
                <v:path gradientshapeok="t" o:connecttype="rect"/>
              </v:shapetype>
              <v:shape id="Textbox 27" o:spid="_x0000_s1026" type="#_x0000_t202" style="position:absolute;left:0;text-align:left;margin-left:84.6pt;margin-top:19.3pt;width:462.75pt;height:70.9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" fillcolor="#ededee" stroked="f">
                <v:textbox inset="0,0,0,0">
                  <w:txbxContent>
                    <w:p w14:paraId="3CA2F147" w14:textId="77777777" w:rsidR="00335C80" w:rsidRPr="009146ED" w:rsidRDefault="00335C80" w:rsidP="009146ED">
                      <w:pPr>
                        <w:spacing w:before="126"/>
                        <w:ind w:left="57"/>
                        <w:rPr>
                          <w:rFonts w:ascii="Times New Roman" w:hAnsi="Times New Roman" w:cs="Times New Roman"/>
                          <w:b/>
                          <w:noProof/>
                          <w:color w:val="231F20"/>
                          <w:kern w:val="0"/>
                          <w:sz w:val="20"/>
                          <w:szCs w:val="20"/>
                        </w:rPr>
                      </w:pPr>
                      <w:r>
                        <w:rPr>
                          <w:rFonts w:ascii="Times New Roman" w:hAnsi="Times New Roman"/>
                          <w:b/>
                          <w:color w:val="231F20"/>
                          <w:sz w:val="20"/>
                        </w:rPr>
                        <w:t>Citējot šo publikāciju, lūdzam izmantot šādu atsauci:</w:t>
                      </w:r>
                    </w:p>
                    <w:p w14:paraId="520F0FF3" w14:textId="77777777" w:rsidR="00335C80" w:rsidRPr="009146ED" w:rsidRDefault="00335C80" w:rsidP="009146ED">
                      <w:pPr>
                        <w:spacing w:before="36" w:line="288" w:lineRule="auto"/>
                        <w:ind w:left="57" w:right="230"/>
                        <w:rPr>
                          <w:rFonts w:ascii="Times New Roman" w:hAnsi="Times New Roman" w:cs="Times New Roman"/>
                          <w:noProof/>
                          <w:color w:val="000000"/>
                          <w:kern w:val="0"/>
                          <w:sz w:val="20"/>
                          <w:szCs w:val="20"/>
                        </w:rPr>
                      </w:pPr>
                      <w:r>
                        <w:rPr>
                          <w:rFonts w:ascii="Times New Roman" w:hAnsi="Times New Roman"/>
                          <w:i/>
                          <w:iCs/>
                          <w:color w:val="231F20"/>
                          <w:sz w:val="20"/>
                        </w:rPr>
                        <w:t>OECD</w:t>
                      </w:r>
                      <w:r>
                        <w:rPr>
                          <w:rFonts w:ascii="Times New Roman" w:hAnsi="Times New Roman"/>
                          <w:color w:val="231F20"/>
                          <w:sz w:val="20"/>
                        </w:rPr>
                        <w:t xml:space="preserve"> (2023), </w:t>
                      </w:r>
                      <w:r>
                        <w:rPr>
                          <w:rFonts w:ascii="Times New Roman" w:hAnsi="Times New Roman"/>
                          <w:i/>
                          <w:color w:val="231F20"/>
                          <w:sz w:val="20"/>
                        </w:rPr>
                        <w:t>Starptautiskie standarti informācijas automātiskai apmaiņai nodokļu jomā. Kriptoaktīvu ziņošanas sistēma un Kopējā ziņošanas standarta 2023. gada atjauninājums</w:t>
                      </w:r>
                      <w:r>
                        <w:rPr>
                          <w:rFonts w:ascii="Times New Roman" w:hAnsi="Times New Roman"/>
                          <w:color w:val="231F20"/>
                          <w:sz w:val="20"/>
                        </w:rPr>
                        <w:t xml:space="preserve">, “OECD Publishing”, Parīze, </w:t>
                      </w:r>
                      <w:hyperlink r:id="rId19">
                        <w:r>
                          <w:rPr>
                            <w:rFonts w:ascii="Times New Roman" w:hAnsi="Times New Roman"/>
                            <w:color w:val="3A53A4"/>
                            <w:sz w:val="20"/>
                            <w:u w:val="single" w:color="3A53A4"/>
                          </w:rPr>
                          <w:t>https://doi.org/10.1787/896d79d1-en</w:t>
                        </w:r>
                      </w:hyperlink>
                      <w:r>
                        <w:rPr>
                          <w:rFonts w:ascii="Times New Roman" w:hAnsi="Times New Roman"/>
                          <w:color w:val="231F20"/>
                          <w:sz w:val="20"/>
                        </w:rPr>
                        <w:t>.</w:t>
                      </w:r>
                    </w:p>
                  </w:txbxContent>
                </v:textbox>
                <w10:wrap type="topAndBottom" anchorx="page"/>
              </v:shape>
            </w:pict>
          </mc:Fallback>
        </mc:AlternateContent>
      </w:r>
    </w:p>
    <w:p w14:paraId="19518B4E"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p>
    <w:p w14:paraId="6859F16C"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p>
    <w:p w14:paraId="5D8F9E04"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ISBN 978-92-64-41061-9 (drukātais izdevums)</w:t>
      </w:r>
    </w:p>
    <w:p w14:paraId="69ADDADD"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ISBN 978-92-64-89395-5 (pdf)</w:t>
      </w:r>
    </w:p>
    <w:p w14:paraId="4DB24134"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ISBN 978-92-64-48115-2 (HTML)</w:t>
      </w:r>
    </w:p>
    <w:p w14:paraId="4A7C3777"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ISBN 978-92-64-32841-9 (epub)</w:t>
      </w:r>
    </w:p>
    <w:p w14:paraId="1A68A653"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p>
    <w:p w14:paraId="3BC18CAE"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p>
    <w:p w14:paraId="0B3EB07A"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color w:val="231F20"/>
          <w:kern w:val="0"/>
          <w:sz w:val="18"/>
          <w:szCs w:val="18"/>
          <w14:ligatures w14:val="none"/>
        </w:rPr>
      </w:pPr>
      <w:r>
        <w:rPr>
          <w:rFonts w:ascii="Times New Roman" w:hAnsi="Times New Roman"/>
          <w:color w:val="231F20"/>
          <w:sz w:val="18"/>
        </w:rPr>
        <w:t>Pārskatītā redakcija, 2023. gada oktobris</w:t>
      </w:r>
    </w:p>
    <w:p w14:paraId="7F04F3CF" w14:textId="77777777" w:rsidR="00335C80" w:rsidRDefault="00335C80" w:rsidP="009146ED">
      <w:pPr>
        <w:widowControl w:val="0"/>
        <w:autoSpaceDE w:val="0"/>
        <w:autoSpaceDN w:val="0"/>
        <w:spacing w:before="120" w:after="0" w:line="240" w:lineRule="auto"/>
        <w:jc w:val="both"/>
        <w:rPr>
          <w:rFonts w:ascii="Times New Roman" w:hAnsi="Times New Roman" w:cs="Times New Roman"/>
          <w:sz w:val="18"/>
          <w:szCs w:val="18"/>
        </w:rPr>
      </w:pPr>
      <w:r>
        <w:rPr>
          <w:rFonts w:ascii="Times New Roman" w:hAnsi="Times New Roman"/>
          <w:color w:val="231F20"/>
          <w:sz w:val="18"/>
        </w:rPr>
        <w:t xml:space="preserve">Sīkāka informācija par pārskatīšanu pieejama: </w:t>
      </w:r>
      <w:hyperlink r:id="rId20">
        <w:r>
          <w:rPr>
            <w:rFonts w:ascii="Times New Roman" w:hAnsi="Times New Roman"/>
            <w:color w:val="3A53A4"/>
            <w:sz w:val="18"/>
            <w:u w:val="single" w:color="3A53A4"/>
          </w:rPr>
          <w:t>https://www.oecd.org/about/publishing/Corrigendum_International-Standards-for-Automatic-Exchange-of-Information-</w:t>
        </w:r>
      </w:hyperlink>
      <w:r>
        <w:rPr>
          <w:rFonts w:ascii="Times New Roman" w:hAnsi="Times New Roman"/>
          <w:color w:val="3A53A4"/>
          <w:sz w:val="18"/>
        </w:rPr>
        <w:t xml:space="preserve"> </w:t>
      </w:r>
      <w:hyperlink r:id="rId21">
        <w:r>
          <w:rPr>
            <w:rFonts w:ascii="Times New Roman" w:hAnsi="Times New Roman"/>
            <w:color w:val="3A53A4"/>
            <w:sz w:val="18"/>
            <w:u w:val="single" w:color="3A53A4"/>
          </w:rPr>
          <w:t>in-Tax-Matters.pd</w:t>
        </w:r>
        <w:r>
          <w:rPr>
            <w:rFonts w:ascii="Times New Roman" w:hAnsi="Times New Roman"/>
            <w:color w:val="3A53A4"/>
            <w:sz w:val="18"/>
          </w:rPr>
          <w:t>f</w:t>
        </w:r>
      </w:hyperlink>
    </w:p>
    <w:p w14:paraId="5F5898D9" w14:textId="77777777" w:rsidR="002F7216" w:rsidRDefault="002F7216" w:rsidP="009146ED">
      <w:pPr>
        <w:widowControl w:val="0"/>
        <w:autoSpaceDE w:val="0"/>
        <w:autoSpaceDN w:val="0"/>
        <w:spacing w:before="120" w:after="0" w:line="240" w:lineRule="auto"/>
        <w:jc w:val="both"/>
        <w:rPr>
          <w:rFonts w:ascii="Times New Roman" w:hAnsi="Times New Roman" w:cs="Times New Roman"/>
          <w:sz w:val="18"/>
          <w:szCs w:val="18"/>
        </w:rPr>
      </w:pPr>
    </w:p>
    <w:p w14:paraId="6584FD53" w14:textId="77777777" w:rsidR="002F7216" w:rsidRDefault="002F7216" w:rsidP="009146ED">
      <w:pPr>
        <w:widowControl w:val="0"/>
        <w:autoSpaceDE w:val="0"/>
        <w:autoSpaceDN w:val="0"/>
        <w:spacing w:before="120" w:after="0" w:line="240" w:lineRule="auto"/>
        <w:jc w:val="both"/>
        <w:rPr>
          <w:rFonts w:ascii="Times New Roman" w:hAnsi="Times New Roman" w:cs="Times New Roman"/>
          <w:sz w:val="18"/>
          <w:szCs w:val="18"/>
        </w:rPr>
      </w:pPr>
    </w:p>
    <w:p w14:paraId="5D82B3E4" w14:textId="77777777" w:rsidR="002F7216" w:rsidRDefault="002F7216" w:rsidP="009146ED">
      <w:pPr>
        <w:widowControl w:val="0"/>
        <w:autoSpaceDE w:val="0"/>
        <w:autoSpaceDN w:val="0"/>
        <w:spacing w:before="120" w:after="0" w:line="240" w:lineRule="auto"/>
        <w:jc w:val="both"/>
        <w:rPr>
          <w:rFonts w:ascii="Times New Roman" w:hAnsi="Times New Roman" w:cs="Times New Roman"/>
          <w:sz w:val="18"/>
          <w:szCs w:val="18"/>
        </w:rPr>
      </w:pPr>
    </w:p>
    <w:p w14:paraId="6CA3F046" w14:textId="77777777" w:rsidR="002F7216" w:rsidRPr="004E06A7" w:rsidRDefault="002F7216"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p>
    <w:p w14:paraId="28C17284" w14:textId="77777777" w:rsidR="00335C80" w:rsidRPr="004E06A7" w:rsidRDefault="00335C80"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p>
    <w:p w14:paraId="2052EB93" w14:textId="77777777" w:rsidR="00335C80" w:rsidRDefault="00335C80"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p>
    <w:p w14:paraId="0DC02CFF" w14:textId="77777777" w:rsidR="004E06A7" w:rsidRDefault="004E06A7" w:rsidP="009146ED">
      <w:pPr>
        <w:widowControl w:val="0"/>
        <w:autoSpaceDE w:val="0"/>
        <w:autoSpaceDN w:val="0"/>
        <w:spacing w:before="120" w:after="0" w:line="240" w:lineRule="auto"/>
        <w:jc w:val="both"/>
        <w:rPr>
          <w:rFonts w:ascii="Times New Roman" w:eastAsia="Arial" w:hAnsi="Times New Roman" w:cs="Times New Roman"/>
          <w:noProof/>
          <w:kern w:val="0"/>
          <w:sz w:val="18"/>
          <w:szCs w:val="18"/>
          <w14:ligatures w14:val="none"/>
        </w:rPr>
      </w:pPr>
    </w:p>
    <w:p w14:paraId="28243408" w14:textId="77777777" w:rsidR="00335C80" w:rsidRPr="004E06A7" w:rsidRDefault="00335C80" w:rsidP="00FB46B9">
      <w:pPr>
        <w:widowControl w:val="0"/>
        <w:autoSpaceDE w:val="0"/>
        <w:autoSpaceDN w:val="0"/>
        <w:spacing w:before="120" w:after="0" w:line="240" w:lineRule="auto"/>
        <w:rPr>
          <w:rFonts w:ascii="Times New Roman" w:eastAsia="Arial" w:hAnsi="Times New Roman" w:cs="Times New Roman"/>
          <w:noProof/>
          <w:kern w:val="0"/>
          <w:sz w:val="18"/>
          <w:szCs w:val="18"/>
          <w14:ligatures w14:val="none"/>
        </w:rPr>
      </w:pPr>
      <w:r>
        <w:rPr>
          <w:rFonts w:ascii="Times New Roman" w:hAnsi="Times New Roman"/>
          <w:i/>
          <w:iCs/>
          <w:color w:val="231F20"/>
          <w:sz w:val="18"/>
        </w:rPr>
        <w:t>OECD</w:t>
      </w:r>
      <w:r>
        <w:rPr>
          <w:rFonts w:ascii="Times New Roman" w:hAnsi="Times New Roman"/>
          <w:color w:val="231F20"/>
          <w:sz w:val="18"/>
        </w:rPr>
        <w:t xml:space="preserve"> publikāciju kļūdu labojumi ir pieejami tīmekļa vietnē: </w:t>
      </w:r>
      <w:hyperlink r:id="rId22">
        <w:r>
          <w:rPr>
            <w:rFonts w:ascii="Times New Roman" w:hAnsi="Times New Roman"/>
            <w:color w:val="3A53A4"/>
            <w:sz w:val="18"/>
            <w:u w:val="single" w:color="3A53A4"/>
          </w:rPr>
          <w:t>www.oecd.org/about/publishing/corrigenda.htm</w:t>
        </w:r>
      </w:hyperlink>
      <w:r>
        <w:rPr>
          <w:rFonts w:ascii="Times New Roman" w:hAnsi="Times New Roman"/>
          <w:color w:val="231F20"/>
          <w:sz w:val="18"/>
        </w:rPr>
        <w:t>.</w:t>
      </w:r>
    </w:p>
    <w:p w14:paraId="0FECD147" w14:textId="40145468" w:rsidR="00335C80" w:rsidRPr="004E06A7" w:rsidRDefault="004E06A7" w:rsidP="00FB46B9">
      <w:pPr>
        <w:widowControl w:val="0"/>
        <w:autoSpaceDE w:val="0"/>
        <w:autoSpaceDN w:val="0"/>
        <w:spacing w:before="120" w:after="0" w:line="240" w:lineRule="auto"/>
        <w:rPr>
          <w:rFonts w:ascii="Times New Roman" w:eastAsia="Arial" w:hAnsi="Times New Roman" w:cs="Times New Roman"/>
          <w:noProof/>
          <w:color w:val="231F20"/>
          <w:kern w:val="0"/>
          <w:sz w:val="18"/>
          <w:szCs w:val="18"/>
          <w14:ligatures w14:val="none"/>
        </w:rPr>
      </w:pPr>
      <w:r>
        <w:rPr>
          <w:rFonts w:ascii="Times New Roman" w:hAnsi="Times New Roman"/>
          <w:noProof/>
          <w:sz w:val="18"/>
        </w:rPr>
        <mc:AlternateContent>
          <mc:Choice Requires="wps">
            <w:drawing>
              <wp:anchor distT="0" distB="0" distL="0" distR="0" simplePos="0" relativeHeight="251658246" behindDoc="1" locked="0" layoutInCell="1" allowOverlap="1" wp14:anchorId="30EA3BD9" wp14:editId="2AB9BE95">
                <wp:simplePos x="0" y="0"/>
                <wp:positionH relativeFrom="page">
                  <wp:posOffset>1074420</wp:posOffset>
                </wp:positionH>
                <wp:positionV relativeFrom="paragraph">
                  <wp:posOffset>269240</wp:posOffset>
                </wp:positionV>
                <wp:extent cx="5716270" cy="901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716270" cy="90170"/>
                        </a:xfrm>
                        <a:custGeom>
                          <a:avLst/>
                          <a:gdLst/>
                          <a:ahLst/>
                          <a:cxnLst/>
                          <a:rect l="l" t="t" r="r" b="b"/>
                          <a:pathLst>
                            <a:path w="5904230">
                              <a:moveTo>
                                <a:pt x="0" y="0"/>
                              </a:moveTo>
                              <a:lnTo>
                                <a:pt x="5904001" y="0"/>
                              </a:lnTo>
                            </a:path>
                          </a:pathLst>
                        </a:custGeom>
                        <a:ln w="6350">
                          <a:solidFill>
                            <a:srgbClr val="231F2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D1FF3" id="Graphic 28" o:spid="_x0000_s1026" style="position:absolute;margin-left:84.6pt;margin-top:21.2pt;width:450.1pt;height:7.1pt;flip:y;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90423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" path="m,l5904001,e" filled="f" strokecolor="#231f20" strokeweight=".5pt">
                <v:path arrowok="t"/>
                <w10:wrap type="topAndBottom" anchorx="page"/>
              </v:shape>
            </w:pict>
          </mc:Fallback>
        </mc:AlternateContent>
      </w:r>
      <w:r>
        <w:rPr>
          <w:rFonts w:ascii="Times New Roman" w:hAnsi="Times New Roman"/>
          <w:color w:val="231F20"/>
          <w:sz w:val="18"/>
        </w:rPr>
        <w:t>© OECD 2023</w:t>
      </w:r>
    </w:p>
    <w:p w14:paraId="3295DBC3" w14:textId="768FF191" w:rsidR="00335C80" w:rsidRPr="004E06A7" w:rsidRDefault="004E06A7" w:rsidP="00FB46B9">
      <w:pPr>
        <w:widowControl w:val="0"/>
        <w:autoSpaceDE w:val="0"/>
        <w:autoSpaceDN w:val="0"/>
        <w:spacing w:before="120" w:after="0" w:line="240" w:lineRule="auto"/>
        <w:rPr>
          <w:rFonts w:ascii="Times New Roman" w:eastAsia="Arial" w:hAnsi="Times New Roman" w:cs="Times New Roman"/>
          <w:noProof/>
          <w:kern w:val="0"/>
          <w:sz w:val="18"/>
          <w:szCs w:val="18"/>
          <w14:ligatures w14:val="none"/>
        </w:rPr>
      </w:pPr>
      <w:r>
        <w:rPr>
          <w:rFonts w:ascii="Times New Roman" w:hAnsi="Times New Roman"/>
          <w:noProof/>
          <w:sz w:val="20"/>
        </w:rPr>
        <mc:AlternateContent>
          <mc:Choice Requires="wps">
            <w:drawing>
              <wp:anchor distT="0" distB="0" distL="0" distR="0" simplePos="0" relativeHeight="251658247" behindDoc="1" locked="0" layoutInCell="1" allowOverlap="1" wp14:anchorId="0FB140CF" wp14:editId="777F89FF">
                <wp:simplePos x="0" y="0"/>
                <wp:positionH relativeFrom="page">
                  <wp:posOffset>1074420</wp:posOffset>
                </wp:positionH>
                <wp:positionV relativeFrom="paragraph">
                  <wp:posOffset>501015</wp:posOffset>
                </wp:positionV>
                <wp:extent cx="5716270" cy="4508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716270" cy="45085"/>
                        </a:xfrm>
                        <a:custGeom>
                          <a:avLst/>
                          <a:gdLst/>
                          <a:ahLst/>
                          <a:cxnLst/>
                          <a:rect l="l" t="t" r="r" b="b"/>
                          <a:pathLst>
                            <a:path w="5904230">
                              <a:moveTo>
                                <a:pt x="5904001" y="0"/>
                              </a:moveTo>
                              <a:lnTo>
                                <a:pt x="0" y="0"/>
                              </a:lnTo>
                            </a:path>
                          </a:pathLst>
                        </a:custGeom>
                        <a:ln w="6350">
                          <a:solidFill>
                            <a:srgbClr val="231F2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D5C13" id="Graphic 29" o:spid="_x0000_s1026" style="position:absolute;margin-left:84.6pt;margin-top:39.45pt;width:450.1pt;height:3.55pt;flip:y;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90423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" path="m5904001,l,e" filled="f" strokecolor="#231f20" strokeweight=".5pt">
                <v:path arrowok="t"/>
                <w10:wrap type="topAndBottom" anchorx="page"/>
              </v:shape>
            </w:pict>
          </mc:Fallback>
        </mc:AlternateContent>
      </w:r>
      <w:r>
        <w:rPr>
          <w:rFonts w:ascii="Times New Roman" w:hAnsi="Times New Roman"/>
          <w:color w:val="231F20"/>
          <w:sz w:val="18"/>
        </w:rPr>
        <w:t xml:space="preserve">Šā darba izmantošanu gan digitālā, gan drukātā formā reglamentē noteikumi, kas pieejami tīmekļa vietnē: </w:t>
      </w:r>
      <w:hyperlink r:id="rId23" w:history="1">
        <w:r>
          <w:rPr>
            <w:rStyle w:val="Hyperlink"/>
            <w:rFonts w:ascii="Times New Roman" w:hAnsi="Times New Roman"/>
            <w:sz w:val="18"/>
          </w:rPr>
          <w:t>http://www.oecd.org/termsandconditions.</w:t>
        </w:r>
      </w:hyperlink>
    </w:p>
    <w:p w14:paraId="758F551F" w14:textId="523D52FD"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bCs/>
          <w:noProof/>
          <w:color w:val="4E81BD"/>
          <w:kern w:val="0"/>
          <w:sz w:val="48"/>
          <w:szCs w:val="48"/>
          <w14:ligatures w14:val="none"/>
        </w:rPr>
      </w:pPr>
      <w:bookmarkStart w:id="2" w:name="Foreword"/>
      <w:bookmarkStart w:id="3" w:name="_bookmark0"/>
      <w:bookmarkEnd w:id="2"/>
      <w:bookmarkEnd w:id="3"/>
      <w:r>
        <w:rPr>
          <w:rFonts w:ascii="Times New Roman" w:hAnsi="Times New Roman"/>
          <w:b/>
          <w:color w:val="4E81BD"/>
          <w:sz w:val="48"/>
        </w:rPr>
        <w:lastRenderedPageBreak/>
        <w:t>Priekšvārds</w:t>
      </w:r>
    </w:p>
    <w:p w14:paraId="16C17A2E"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72"/>
          <w:szCs w:val="20"/>
          <w14:ligatures w14:val="none"/>
        </w:rPr>
      </w:pPr>
    </w:p>
    <w:p w14:paraId="1778EA31"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72"/>
          <w:szCs w:val="20"/>
          <w14:ligatures w14:val="none"/>
        </w:rPr>
      </w:pPr>
    </w:p>
    <w:p w14:paraId="14BD051D" w14:textId="77777777" w:rsidR="00335C80" w:rsidRDefault="00335C80"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Šajā publikācijā ir ietverta Kriptoaktīvu ziņošanas sistēma (</w:t>
      </w:r>
      <w:r>
        <w:rPr>
          <w:rFonts w:ascii="Times New Roman" w:hAnsi="Times New Roman"/>
          <w:i/>
          <w:iCs/>
          <w:sz w:val="24"/>
        </w:rPr>
        <w:t>CARF</w:t>
      </w:r>
      <w:r>
        <w:rPr>
          <w:rFonts w:ascii="Times New Roman" w:hAnsi="Times New Roman"/>
          <w:sz w:val="24"/>
        </w:rPr>
        <w:t>) un Kopējā ziņošanas standarta (</w:t>
      </w:r>
      <w:r>
        <w:rPr>
          <w:rFonts w:ascii="Times New Roman" w:hAnsi="Times New Roman"/>
          <w:i/>
          <w:iCs/>
          <w:sz w:val="24"/>
        </w:rPr>
        <w:t>CRS</w:t>
      </w:r>
      <w:r>
        <w:rPr>
          <w:rFonts w:ascii="Times New Roman" w:hAnsi="Times New Roman"/>
          <w:sz w:val="24"/>
        </w:rPr>
        <w:t xml:space="preserve">) grozījumu kopums, kā arī saistītie komentāri un informācijas apmaiņas sistēmas (kopā dēvēti kā starptautiskie standarti informācijas automātiskai apmaiņai nodokļu jomā), ko </w:t>
      </w:r>
      <w:r>
        <w:rPr>
          <w:rFonts w:ascii="Times New Roman" w:hAnsi="Times New Roman"/>
          <w:i/>
          <w:iCs/>
          <w:sz w:val="24"/>
        </w:rPr>
        <w:t>OECD</w:t>
      </w:r>
      <w:r>
        <w:rPr>
          <w:rFonts w:ascii="Times New Roman" w:hAnsi="Times New Roman"/>
          <w:sz w:val="24"/>
        </w:rPr>
        <w:t xml:space="preserve"> Fiskālo lietu komiteja apstiprināja 2022./2023. gadā.</w:t>
      </w:r>
    </w:p>
    <w:p w14:paraId="4EF2E739" w14:textId="77777777" w:rsidR="00994507" w:rsidRPr="00994507" w:rsidRDefault="00994507"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p>
    <w:p w14:paraId="3279DC90" w14:textId="77777777" w:rsidR="00335C80" w:rsidRDefault="00335C80"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Gan </w:t>
      </w:r>
      <w:r>
        <w:rPr>
          <w:rFonts w:ascii="Times New Roman" w:hAnsi="Times New Roman"/>
          <w:i/>
          <w:iCs/>
          <w:sz w:val="24"/>
        </w:rPr>
        <w:t>CARF</w:t>
      </w:r>
      <w:r>
        <w:rPr>
          <w:rFonts w:ascii="Times New Roman" w:hAnsi="Times New Roman"/>
          <w:sz w:val="24"/>
        </w:rPr>
        <w:t xml:space="preserve">, gan </w:t>
      </w:r>
      <w:r>
        <w:rPr>
          <w:rFonts w:ascii="Times New Roman" w:hAnsi="Times New Roman"/>
          <w:i/>
          <w:iCs/>
          <w:sz w:val="24"/>
        </w:rPr>
        <w:t>CRS</w:t>
      </w:r>
      <w:r>
        <w:rPr>
          <w:rFonts w:ascii="Times New Roman" w:hAnsi="Times New Roman"/>
          <w:sz w:val="24"/>
        </w:rPr>
        <w:t xml:space="preserve"> grozījumi tika pieņemti, visaptveroši pārskatot Standartu finanšu konta informācijas automātiskajai apmaiņai nodokļu jomā. Šis standarts, kas sākotnēji izstrādāts, reaģējot uz G20 pieprasījumu, tika iekļauts </w:t>
      </w:r>
      <w:r>
        <w:rPr>
          <w:rFonts w:ascii="Times New Roman" w:hAnsi="Times New Roman"/>
          <w:i/>
          <w:iCs/>
          <w:sz w:val="24"/>
        </w:rPr>
        <w:t>OECD</w:t>
      </w:r>
      <w:r>
        <w:rPr>
          <w:rFonts w:ascii="Times New Roman" w:hAnsi="Times New Roman"/>
          <w:sz w:val="24"/>
        </w:rPr>
        <w:t xml:space="preserve"> Ieteikumā par Standartu finanšu konta informācijas automātiskajai apmaiņai nodokļu jomā [</w:t>
      </w:r>
      <w:hyperlink r:id="rId24">
        <w:r>
          <w:rPr>
            <w:rFonts w:ascii="Times New Roman" w:hAnsi="Times New Roman"/>
            <w:color w:val="0000FF"/>
            <w:sz w:val="24"/>
            <w:u w:val="single" w:color="0000FF"/>
          </w:rPr>
          <w:t>OECD/LEGAL/0407</w:t>
        </w:r>
        <w:r>
          <w:rPr>
            <w:rFonts w:ascii="Times New Roman" w:hAnsi="Times New Roman"/>
            <w:sz w:val="24"/>
          </w:rPr>
          <w:t>]</w:t>
        </w:r>
      </w:hyperlink>
      <w:r>
        <w:rPr>
          <w:rFonts w:ascii="Times New Roman" w:hAnsi="Times New Roman"/>
          <w:sz w:val="24"/>
        </w:rPr>
        <w:t xml:space="preserve"> (Ieteikums) un apstiprināts </w:t>
      </w:r>
      <w:r>
        <w:rPr>
          <w:rFonts w:ascii="Times New Roman" w:hAnsi="Times New Roman"/>
          <w:i/>
          <w:iCs/>
          <w:sz w:val="24"/>
        </w:rPr>
        <w:t>OECD</w:t>
      </w:r>
      <w:r>
        <w:rPr>
          <w:rFonts w:ascii="Times New Roman" w:hAnsi="Times New Roman"/>
          <w:sz w:val="24"/>
        </w:rPr>
        <w:t xml:space="preserve"> Padomē 2014. gada 15. jūlijā un aicina jurisdikcijas iegūt informāciju no savām finanšu iestādēm un automātiski katru gadu apmainīties ar šo informāciju ar citām jurisdikcijām.</w:t>
      </w:r>
    </w:p>
    <w:p w14:paraId="4985B995" w14:textId="77777777" w:rsidR="00994507" w:rsidRPr="00994507" w:rsidRDefault="00994507"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p>
    <w:p w14:paraId="080F4E8B" w14:textId="77777777" w:rsidR="00335C80" w:rsidRDefault="00335C80"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r>
        <w:rPr>
          <w:rFonts w:ascii="Times New Roman" w:hAnsi="Times New Roman"/>
          <w:i/>
          <w:iCs/>
          <w:sz w:val="24"/>
        </w:rPr>
        <w:t>CARF</w:t>
      </w:r>
      <w:r>
        <w:rPr>
          <w:rFonts w:ascii="Times New Roman" w:hAnsi="Times New Roman"/>
          <w:sz w:val="24"/>
        </w:rPr>
        <w:t xml:space="preserve"> paredz nodokļu informācijas par kriptoaktīviem automātisku apmaiņu un tika izstrādāta, lai risinātu kriptoaktīvu tirgus straujo attīstību un izaugsmi, kā arī nodrošinātu, ka pakāpeniski nepasliktinās nesenie uzlabojumi, kas panākti attiecībā uz globālo nodokļu pārredzamību. Šīs publikācijas I daļā ir iekļauti </w:t>
      </w:r>
      <w:r>
        <w:rPr>
          <w:rFonts w:ascii="Times New Roman" w:hAnsi="Times New Roman"/>
          <w:i/>
          <w:iCs/>
          <w:sz w:val="24"/>
        </w:rPr>
        <w:t>CARF</w:t>
      </w:r>
      <w:r>
        <w:rPr>
          <w:rFonts w:ascii="Times New Roman" w:hAnsi="Times New Roman"/>
          <w:sz w:val="24"/>
        </w:rPr>
        <w:t xml:space="preserve"> noteikumi, Kompetento iestāžu daudzpusējais nolīgums par informācijas automātisku apmaiņu saskaņā ar </w:t>
      </w:r>
      <w:r>
        <w:rPr>
          <w:rFonts w:ascii="Times New Roman" w:hAnsi="Times New Roman"/>
          <w:i/>
          <w:iCs/>
          <w:sz w:val="24"/>
        </w:rPr>
        <w:t>CARF</w:t>
      </w:r>
      <w:r>
        <w:rPr>
          <w:rFonts w:ascii="Times New Roman" w:hAnsi="Times New Roman"/>
          <w:sz w:val="24"/>
        </w:rPr>
        <w:t xml:space="preserve"> (</w:t>
      </w:r>
      <w:r>
        <w:rPr>
          <w:rFonts w:ascii="Times New Roman" w:hAnsi="Times New Roman"/>
          <w:i/>
          <w:iCs/>
          <w:sz w:val="24"/>
        </w:rPr>
        <w:t>CARF MCAA</w:t>
      </w:r>
      <w:r>
        <w:rPr>
          <w:rFonts w:ascii="Times New Roman" w:hAnsi="Times New Roman"/>
          <w:sz w:val="24"/>
        </w:rPr>
        <w:t>), kā arī saistītie komentāri.</w:t>
      </w:r>
    </w:p>
    <w:p w14:paraId="2A7F92AA" w14:textId="77777777" w:rsidR="00994507" w:rsidRPr="00994507" w:rsidRDefault="00994507"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p>
    <w:p w14:paraId="4E44CFE3" w14:textId="77777777" w:rsidR="00335C80" w:rsidRDefault="00335C80"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r>
        <w:rPr>
          <w:rFonts w:ascii="Times New Roman" w:hAnsi="Times New Roman"/>
          <w:i/>
          <w:iCs/>
          <w:sz w:val="24"/>
        </w:rPr>
        <w:t>CRS</w:t>
      </w:r>
      <w:r>
        <w:rPr>
          <w:rFonts w:ascii="Times New Roman" w:hAnsi="Times New Roman"/>
          <w:sz w:val="24"/>
        </w:rPr>
        <w:t xml:space="preserve"> tika grozīts, lai tā darbības jomā iekļautu noteiktus elektroniskās naudas produktus un Centrālās bankas digitālās valūtas. Izmaiņas tika veiktas arī tamdēļ, lai nodrošinātu, ka tagad </w:t>
      </w:r>
      <w:r>
        <w:rPr>
          <w:rFonts w:ascii="Times New Roman" w:hAnsi="Times New Roman"/>
          <w:i/>
          <w:iCs/>
          <w:sz w:val="24"/>
        </w:rPr>
        <w:t>CRS</w:t>
      </w:r>
      <w:r>
        <w:rPr>
          <w:rFonts w:ascii="Times New Roman" w:hAnsi="Times New Roman"/>
          <w:sz w:val="24"/>
        </w:rPr>
        <w:t xml:space="preserve"> darbības jomā ietilpst netiešie ieguldījumi kriptoaktīvos, kas tiek veikti, izmantojot atvasinātos instrumentus un ieguldījumu instrumentus. Turklāt tika veikti grozījumi, lai stiprinātu pienācīgas pārbaudes un ziņojumu sniegšanas prasības (tostarp prasību ziņot par katras kontrolējošās personas lomu) un paredzētu patiesu bezpeļņas organizāciju izslēgšanu. Šīs publikācijas II daļā ir iekļauti </w:t>
      </w:r>
      <w:r>
        <w:rPr>
          <w:rFonts w:ascii="Times New Roman" w:hAnsi="Times New Roman"/>
          <w:i/>
          <w:iCs/>
          <w:sz w:val="24"/>
        </w:rPr>
        <w:t>CRS</w:t>
      </w:r>
      <w:r>
        <w:rPr>
          <w:rFonts w:ascii="Times New Roman" w:hAnsi="Times New Roman"/>
          <w:sz w:val="24"/>
        </w:rPr>
        <w:t xml:space="preserve"> grozījumi un Papildinājums Kompetento iestāžu daudzpusējam nolīgumam par finanšu konta informācijas automātisku apmaiņu saskaņā ar </w:t>
      </w:r>
      <w:r>
        <w:rPr>
          <w:rFonts w:ascii="Times New Roman" w:hAnsi="Times New Roman"/>
          <w:i/>
          <w:iCs/>
          <w:sz w:val="24"/>
        </w:rPr>
        <w:t>CARF</w:t>
      </w:r>
      <w:r>
        <w:rPr>
          <w:rFonts w:ascii="Times New Roman" w:hAnsi="Times New Roman"/>
          <w:sz w:val="24"/>
        </w:rPr>
        <w:t xml:space="preserve"> (</w:t>
      </w:r>
      <w:r>
        <w:rPr>
          <w:rFonts w:ascii="Times New Roman" w:hAnsi="Times New Roman"/>
          <w:i/>
          <w:iCs/>
          <w:sz w:val="24"/>
        </w:rPr>
        <w:t>CARF MCAA</w:t>
      </w:r>
      <w:r>
        <w:rPr>
          <w:rFonts w:ascii="Times New Roman" w:hAnsi="Times New Roman"/>
          <w:sz w:val="24"/>
        </w:rPr>
        <w:t>), kā arī saistītie komentāri.</w:t>
      </w:r>
    </w:p>
    <w:p w14:paraId="1FF16F50" w14:textId="77777777" w:rsidR="00994507" w:rsidRPr="00994507" w:rsidRDefault="00994507"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p>
    <w:p w14:paraId="40E80371" w14:textId="77777777" w:rsidR="00335C80" w:rsidRDefault="00335C80"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Visbeidzot, šā dokumenta pielikumā ir Padomes 2023. gada 8. jūnijā pārskatītais ieteikums, kura jaunais nosaukums ir </w:t>
      </w:r>
      <w:r>
        <w:rPr>
          <w:rFonts w:ascii="Times New Roman" w:hAnsi="Times New Roman"/>
          <w:i/>
          <w:iCs/>
          <w:sz w:val="24"/>
        </w:rPr>
        <w:t>OECD</w:t>
      </w:r>
      <w:r>
        <w:rPr>
          <w:rFonts w:ascii="Times New Roman" w:hAnsi="Times New Roman"/>
          <w:sz w:val="24"/>
        </w:rPr>
        <w:t xml:space="preserve"> Ieteikums par starptautiskajiem standartiem automātiskai informācijas apmaiņai nodokļu jomā.</w:t>
      </w:r>
    </w:p>
    <w:p w14:paraId="4434FA5A" w14:textId="77777777" w:rsidR="00994507" w:rsidRPr="00994507" w:rsidRDefault="00994507"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p>
    <w:p w14:paraId="1FD8E6EF"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Papildus turpinās darbs saistībā ar īpašas </w:t>
      </w:r>
      <w:r>
        <w:rPr>
          <w:rFonts w:ascii="Times New Roman" w:hAnsi="Times New Roman"/>
          <w:i/>
          <w:iCs/>
          <w:sz w:val="24"/>
        </w:rPr>
        <w:t>XML</w:t>
      </w:r>
      <w:r>
        <w:rPr>
          <w:rFonts w:ascii="Times New Roman" w:hAnsi="Times New Roman"/>
          <w:sz w:val="24"/>
        </w:rPr>
        <w:t xml:space="preserve"> shēmas pilnveidošanu, lai nodrošinātu informācijas apmaiņu saskaņā ar </w:t>
      </w:r>
      <w:r>
        <w:rPr>
          <w:rFonts w:ascii="Times New Roman" w:hAnsi="Times New Roman"/>
          <w:i/>
          <w:iCs/>
          <w:sz w:val="24"/>
        </w:rPr>
        <w:t>CARF</w:t>
      </w:r>
      <w:r>
        <w:rPr>
          <w:rFonts w:ascii="Times New Roman" w:hAnsi="Times New Roman"/>
          <w:sz w:val="24"/>
        </w:rPr>
        <w:t xml:space="preserve">, kā arī </w:t>
      </w:r>
      <w:r>
        <w:rPr>
          <w:rFonts w:ascii="Times New Roman" w:hAnsi="Times New Roman"/>
          <w:i/>
          <w:iCs/>
          <w:sz w:val="24"/>
        </w:rPr>
        <w:t>CRS XML</w:t>
      </w:r>
      <w:r>
        <w:rPr>
          <w:rFonts w:ascii="Times New Roman" w:hAnsi="Times New Roman"/>
          <w:sz w:val="24"/>
        </w:rPr>
        <w:t xml:space="preserve"> shēmas atjaunināto versiju, lai veicinātu apmaiņu saskaņā ar pārskatīto </w:t>
      </w:r>
      <w:r>
        <w:rPr>
          <w:rFonts w:ascii="Times New Roman" w:hAnsi="Times New Roman"/>
          <w:i/>
          <w:iCs/>
          <w:sz w:val="24"/>
        </w:rPr>
        <w:t>CRS</w:t>
      </w:r>
      <w:r>
        <w:rPr>
          <w:rFonts w:ascii="Times New Roman" w:hAnsi="Times New Roman"/>
          <w:sz w:val="24"/>
        </w:rPr>
        <w:t>. Šīs shēmas tiks publicētas atsevišķi.</w:t>
      </w:r>
    </w:p>
    <w:p w14:paraId="2A5A58BA" w14:textId="77777777" w:rsidR="00994507" w:rsidRPr="00994507" w:rsidRDefault="00994507" w:rsidP="00994507">
      <w:pPr>
        <w:spacing w:after="0" w:line="240" w:lineRule="auto"/>
        <w:jc w:val="both"/>
        <w:rPr>
          <w:rFonts w:ascii="Times New Roman" w:eastAsia="Arial" w:hAnsi="Times New Roman" w:cs="Times New Roman"/>
          <w:b/>
          <w:noProof/>
          <w:color w:val="4E81BD"/>
          <w:kern w:val="0"/>
          <w:sz w:val="72"/>
          <w14:ligatures w14:val="none"/>
        </w:rPr>
      </w:pPr>
      <w:r>
        <w:br w:type="page"/>
      </w:r>
    </w:p>
    <w:p w14:paraId="715E8C9C" w14:textId="7FC71E0D" w:rsidR="002D5685" w:rsidRDefault="00335C80" w:rsidP="000F37A5">
      <w:pPr>
        <w:pStyle w:val="Heading1"/>
        <w:rPr>
          <w:rFonts w:ascii="Times New Roman" w:hAnsi="Times New Roman"/>
          <w:b/>
          <w:color w:val="0B769F" w:themeColor="accent4" w:themeShade="BF"/>
          <w:sz w:val="48"/>
        </w:rPr>
      </w:pPr>
      <w:bookmarkStart w:id="4" w:name="_Toc241753045"/>
      <w:r>
        <w:rPr>
          <w:rFonts w:ascii="Times New Roman" w:hAnsi="Times New Roman"/>
          <w:b/>
          <w:color w:val="0B769F" w:themeColor="accent4" w:themeShade="BF"/>
          <w:sz w:val="48"/>
        </w:rPr>
        <w:lastRenderedPageBreak/>
        <w:t>Satura rādītājs</w:t>
      </w:r>
      <w:bookmarkEnd w:id="4"/>
    </w:p>
    <w:sdt>
      <w:sdtPr>
        <w:id w:val="-638418655"/>
        <w:docPartObj>
          <w:docPartGallery w:val="Table of Contents"/>
          <w:docPartUnique/>
        </w:docPartObj>
      </w:sdtPr>
      <w:sdtEndPr>
        <w:rPr>
          <w:b/>
          <w:bCs/>
          <w:noProof/>
        </w:rPr>
      </w:sdtEndPr>
      <w:sdtContent>
        <w:p w14:paraId="5395E9AD" w14:textId="259921A5" w:rsidR="002D5685" w:rsidRDefault="002D5685" w:rsidP="00A84FEA"/>
        <w:p w14:paraId="2DEE1AC7" w14:textId="17026B23" w:rsidR="002D5685" w:rsidRPr="009C491A" w:rsidRDefault="002D5685" w:rsidP="009C491A">
          <w:pPr>
            <w:pStyle w:val="TOC1"/>
            <w:tabs>
              <w:tab w:val="right" w:leader="dot" w:pos="9062"/>
            </w:tabs>
            <w:spacing w:before="120"/>
            <w:ind w:left="0"/>
            <w:rPr>
              <w:rFonts w:ascii="Times New Roman" w:eastAsiaTheme="minorEastAsia" w:hAnsi="Times New Roman" w:cs="Times New Roman"/>
              <w:b w:val="0"/>
              <w:bCs w:val="0"/>
              <w:noProof/>
              <w:color w:val="215E99" w:themeColor="text2" w:themeTint="BF"/>
              <w:kern w:val="2"/>
              <w:sz w:val="32"/>
              <w:szCs w:val="32"/>
              <w:lang w:val="en-US"/>
              <w14:ligatures w14:val="standardContextual"/>
            </w:rPr>
          </w:pPr>
          <w:r>
            <w:fldChar w:fldCharType="begin"/>
          </w:r>
          <w:r>
            <w:instrText xml:space="preserve"> TOC \o "1-3" \h \z \u </w:instrText>
          </w:r>
          <w:r>
            <w:fldChar w:fldCharType="separate"/>
          </w:r>
          <w:hyperlink w:anchor="_Toc241753045" w:history="1">
            <w:r w:rsidR="000F72E2" w:rsidRPr="009C491A">
              <w:rPr>
                <w:rStyle w:val="Hyperlink"/>
                <w:rFonts w:ascii="Times New Roman" w:hAnsi="Times New Roman" w:cs="Times New Roman"/>
                <w:b w:val="0"/>
                <w:bCs w:val="0"/>
                <w:noProof/>
                <w:color w:val="215E99" w:themeColor="text2" w:themeTint="BF"/>
                <w:sz w:val="32"/>
                <w:szCs w:val="32"/>
              </w:rPr>
              <w:t>Priekšvārds</w:t>
            </w:r>
            <w:r w:rsidRPr="009C491A">
              <w:rPr>
                <w:rFonts w:ascii="Times New Roman" w:hAnsi="Times New Roman" w:cs="Times New Roman"/>
                <w:b w:val="0"/>
                <w:bCs w:val="0"/>
                <w:noProof/>
                <w:webHidden/>
                <w:color w:val="215E99" w:themeColor="text2" w:themeTint="BF"/>
                <w:sz w:val="32"/>
                <w:szCs w:val="32"/>
              </w:rPr>
              <w:tab/>
            </w:r>
            <w:r w:rsidR="000F72E2" w:rsidRPr="009C491A">
              <w:rPr>
                <w:rFonts w:ascii="Times New Roman" w:hAnsi="Times New Roman" w:cs="Times New Roman"/>
                <w:b w:val="0"/>
                <w:bCs w:val="0"/>
                <w:noProof/>
                <w:webHidden/>
                <w:color w:val="215E99" w:themeColor="text2" w:themeTint="BF"/>
                <w:sz w:val="32"/>
                <w:szCs w:val="32"/>
              </w:rPr>
              <w:t>4</w:t>
            </w:r>
          </w:hyperlink>
        </w:p>
        <w:p w14:paraId="22860B67" w14:textId="65914210" w:rsidR="002D5685" w:rsidRPr="009C491A" w:rsidRDefault="002D5685" w:rsidP="009C491A">
          <w:pPr>
            <w:pStyle w:val="TOC1"/>
            <w:tabs>
              <w:tab w:val="right" w:leader="dot" w:pos="9062"/>
            </w:tabs>
            <w:spacing w:before="120"/>
            <w:ind w:left="0"/>
            <w:rPr>
              <w:rFonts w:ascii="Times New Roman" w:eastAsiaTheme="minorEastAsia" w:hAnsi="Times New Roman" w:cs="Times New Roman"/>
              <w:b w:val="0"/>
              <w:bCs w:val="0"/>
              <w:noProof/>
              <w:color w:val="215E99" w:themeColor="text2" w:themeTint="BF"/>
              <w:kern w:val="2"/>
              <w:sz w:val="32"/>
              <w:szCs w:val="32"/>
              <w:lang w:val="en-US"/>
              <w14:ligatures w14:val="standardContextual"/>
            </w:rPr>
          </w:pPr>
          <w:hyperlink w:anchor="_Toc241753046" w:history="1">
            <w:r w:rsidRPr="009C491A">
              <w:rPr>
                <w:rStyle w:val="Hyperlink"/>
                <w:rFonts w:ascii="Times New Roman" w:hAnsi="Times New Roman" w:cs="Times New Roman"/>
                <w:b w:val="0"/>
                <w:bCs w:val="0"/>
                <w:noProof/>
                <w:color w:val="215E99" w:themeColor="text2" w:themeTint="BF"/>
                <w:sz w:val="32"/>
                <w:szCs w:val="32"/>
              </w:rPr>
              <w:t>Saīsinājumi un akronīmi</w:t>
            </w:r>
            <w:r w:rsidRPr="009C491A">
              <w:rPr>
                <w:rFonts w:ascii="Times New Roman" w:hAnsi="Times New Roman" w:cs="Times New Roman"/>
                <w:b w:val="0"/>
                <w:bCs w:val="0"/>
                <w:noProof/>
                <w:webHidden/>
                <w:color w:val="215E99" w:themeColor="text2" w:themeTint="BF"/>
                <w:sz w:val="32"/>
                <w:szCs w:val="32"/>
              </w:rPr>
              <w:tab/>
            </w:r>
            <w:r w:rsidRPr="009C491A">
              <w:rPr>
                <w:rFonts w:ascii="Times New Roman" w:hAnsi="Times New Roman" w:cs="Times New Roman"/>
                <w:b w:val="0"/>
                <w:bCs w:val="0"/>
                <w:noProof/>
                <w:webHidden/>
                <w:color w:val="215E99" w:themeColor="text2" w:themeTint="BF"/>
                <w:sz w:val="32"/>
                <w:szCs w:val="32"/>
              </w:rPr>
              <w:fldChar w:fldCharType="begin"/>
            </w:r>
            <w:r w:rsidRPr="009C491A">
              <w:rPr>
                <w:rFonts w:ascii="Times New Roman" w:hAnsi="Times New Roman" w:cs="Times New Roman"/>
                <w:b w:val="0"/>
                <w:bCs w:val="0"/>
                <w:noProof/>
                <w:webHidden/>
                <w:color w:val="215E99" w:themeColor="text2" w:themeTint="BF"/>
                <w:sz w:val="32"/>
                <w:szCs w:val="32"/>
              </w:rPr>
              <w:instrText xml:space="preserve"> PAGEREF _Toc241753046 \h </w:instrText>
            </w:r>
            <w:r w:rsidRPr="009C491A">
              <w:rPr>
                <w:rFonts w:ascii="Times New Roman" w:hAnsi="Times New Roman" w:cs="Times New Roman"/>
                <w:b w:val="0"/>
                <w:bCs w:val="0"/>
                <w:noProof/>
                <w:webHidden/>
                <w:color w:val="215E99" w:themeColor="text2" w:themeTint="BF"/>
                <w:sz w:val="32"/>
                <w:szCs w:val="32"/>
              </w:rPr>
            </w:r>
            <w:r w:rsidRPr="009C491A">
              <w:rPr>
                <w:rFonts w:ascii="Times New Roman" w:hAnsi="Times New Roman" w:cs="Times New Roman"/>
                <w:b w:val="0"/>
                <w:bCs w:val="0"/>
                <w:noProof/>
                <w:webHidden/>
                <w:color w:val="215E99" w:themeColor="text2" w:themeTint="BF"/>
                <w:sz w:val="32"/>
                <w:szCs w:val="32"/>
              </w:rPr>
              <w:fldChar w:fldCharType="separate"/>
            </w:r>
            <w:r w:rsidRPr="009C491A">
              <w:rPr>
                <w:rFonts w:ascii="Times New Roman" w:hAnsi="Times New Roman" w:cs="Times New Roman"/>
                <w:b w:val="0"/>
                <w:bCs w:val="0"/>
                <w:noProof/>
                <w:webHidden/>
                <w:color w:val="215E99" w:themeColor="text2" w:themeTint="BF"/>
                <w:sz w:val="32"/>
                <w:szCs w:val="32"/>
              </w:rPr>
              <w:t>9</w:t>
            </w:r>
            <w:r w:rsidRPr="009C491A">
              <w:rPr>
                <w:rFonts w:ascii="Times New Roman" w:hAnsi="Times New Roman" w:cs="Times New Roman"/>
                <w:b w:val="0"/>
                <w:bCs w:val="0"/>
                <w:noProof/>
                <w:webHidden/>
                <w:color w:val="215E99" w:themeColor="text2" w:themeTint="BF"/>
                <w:sz w:val="32"/>
                <w:szCs w:val="32"/>
              </w:rPr>
              <w:fldChar w:fldCharType="end"/>
            </w:r>
          </w:hyperlink>
        </w:p>
        <w:p w14:paraId="0B70305C" w14:textId="6F269DF3" w:rsidR="002D5685" w:rsidRPr="009C491A" w:rsidRDefault="002D5685" w:rsidP="009C491A">
          <w:pPr>
            <w:pStyle w:val="TOC1"/>
            <w:tabs>
              <w:tab w:val="right" w:leader="dot" w:pos="9062"/>
            </w:tabs>
            <w:spacing w:before="120"/>
            <w:ind w:left="0"/>
            <w:rPr>
              <w:rFonts w:ascii="Times New Roman" w:eastAsiaTheme="minorEastAsia" w:hAnsi="Times New Roman" w:cs="Times New Roman"/>
              <w:b w:val="0"/>
              <w:bCs w:val="0"/>
              <w:noProof/>
              <w:color w:val="215E99" w:themeColor="text2" w:themeTint="BF"/>
              <w:kern w:val="2"/>
              <w:sz w:val="32"/>
              <w:szCs w:val="32"/>
              <w:lang w:val="en-US"/>
              <w14:ligatures w14:val="standardContextual"/>
            </w:rPr>
          </w:pPr>
          <w:hyperlink w:anchor="_Toc241753047" w:history="1">
            <w:r w:rsidRPr="009C491A">
              <w:rPr>
                <w:rStyle w:val="Hyperlink"/>
                <w:rFonts w:ascii="Times New Roman" w:hAnsi="Times New Roman" w:cs="Times New Roman"/>
                <w:b w:val="0"/>
                <w:bCs w:val="0"/>
                <w:noProof/>
                <w:color w:val="215E99" w:themeColor="text2" w:themeTint="BF"/>
                <w:sz w:val="32"/>
                <w:szCs w:val="32"/>
              </w:rPr>
              <w:t>Kopsavilkums</w:t>
            </w:r>
            <w:r w:rsidRPr="009C491A">
              <w:rPr>
                <w:rFonts w:ascii="Times New Roman" w:hAnsi="Times New Roman" w:cs="Times New Roman"/>
                <w:b w:val="0"/>
                <w:bCs w:val="0"/>
                <w:noProof/>
                <w:webHidden/>
                <w:color w:val="215E99" w:themeColor="text2" w:themeTint="BF"/>
                <w:sz w:val="32"/>
                <w:szCs w:val="32"/>
              </w:rPr>
              <w:tab/>
            </w:r>
            <w:r w:rsidRPr="009C491A">
              <w:rPr>
                <w:rFonts w:ascii="Times New Roman" w:hAnsi="Times New Roman" w:cs="Times New Roman"/>
                <w:b w:val="0"/>
                <w:bCs w:val="0"/>
                <w:noProof/>
                <w:webHidden/>
                <w:color w:val="215E99" w:themeColor="text2" w:themeTint="BF"/>
                <w:sz w:val="32"/>
                <w:szCs w:val="32"/>
              </w:rPr>
              <w:fldChar w:fldCharType="begin"/>
            </w:r>
            <w:r w:rsidRPr="009C491A">
              <w:rPr>
                <w:rFonts w:ascii="Times New Roman" w:hAnsi="Times New Roman" w:cs="Times New Roman"/>
                <w:b w:val="0"/>
                <w:bCs w:val="0"/>
                <w:noProof/>
                <w:webHidden/>
                <w:color w:val="215E99" w:themeColor="text2" w:themeTint="BF"/>
                <w:sz w:val="32"/>
                <w:szCs w:val="32"/>
              </w:rPr>
              <w:instrText xml:space="preserve"> PAGEREF _Toc241753047 \h </w:instrText>
            </w:r>
            <w:r w:rsidRPr="009C491A">
              <w:rPr>
                <w:rFonts w:ascii="Times New Roman" w:hAnsi="Times New Roman" w:cs="Times New Roman"/>
                <w:b w:val="0"/>
                <w:bCs w:val="0"/>
                <w:noProof/>
                <w:webHidden/>
                <w:color w:val="215E99" w:themeColor="text2" w:themeTint="BF"/>
                <w:sz w:val="32"/>
                <w:szCs w:val="32"/>
              </w:rPr>
            </w:r>
            <w:r w:rsidRPr="009C491A">
              <w:rPr>
                <w:rFonts w:ascii="Times New Roman" w:hAnsi="Times New Roman" w:cs="Times New Roman"/>
                <w:b w:val="0"/>
                <w:bCs w:val="0"/>
                <w:noProof/>
                <w:webHidden/>
                <w:color w:val="215E99" w:themeColor="text2" w:themeTint="BF"/>
                <w:sz w:val="32"/>
                <w:szCs w:val="32"/>
              </w:rPr>
              <w:fldChar w:fldCharType="separate"/>
            </w:r>
            <w:r w:rsidRPr="009C491A">
              <w:rPr>
                <w:rFonts w:ascii="Times New Roman" w:hAnsi="Times New Roman" w:cs="Times New Roman"/>
                <w:b w:val="0"/>
                <w:bCs w:val="0"/>
                <w:noProof/>
                <w:webHidden/>
                <w:color w:val="215E99" w:themeColor="text2" w:themeTint="BF"/>
                <w:sz w:val="32"/>
                <w:szCs w:val="32"/>
              </w:rPr>
              <w:t>10</w:t>
            </w:r>
            <w:r w:rsidRPr="009C491A">
              <w:rPr>
                <w:rFonts w:ascii="Times New Roman" w:hAnsi="Times New Roman" w:cs="Times New Roman"/>
                <w:b w:val="0"/>
                <w:bCs w:val="0"/>
                <w:noProof/>
                <w:webHidden/>
                <w:color w:val="215E99" w:themeColor="text2" w:themeTint="BF"/>
                <w:sz w:val="32"/>
                <w:szCs w:val="32"/>
              </w:rPr>
              <w:fldChar w:fldCharType="end"/>
            </w:r>
          </w:hyperlink>
        </w:p>
        <w:p w14:paraId="52204435" w14:textId="1FABB2D4" w:rsidR="002D5685" w:rsidRPr="009C491A" w:rsidRDefault="002D5685" w:rsidP="009C491A">
          <w:pPr>
            <w:pStyle w:val="TOC1"/>
            <w:tabs>
              <w:tab w:val="right" w:leader="dot" w:pos="9062"/>
            </w:tabs>
            <w:spacing w:before="120"/>
            <w:ind w:left="0"/>
            <w:rPr>
              <w:rFonts w:ascii="Times New Roman" w:eastAsiaTheme="minorEastAsia" w:hAnsi="Times New Roman" w:cs="Times New Roman"/>
              <w:noProof/>
              <w:color w:val="215E99" w:themeColor="text2" w:themeTint="BF"/>
              <w:kern w:val="2"/>
              <w:sz w:val="32"/>
              <w:szCs w:val="32"/>
              <w:lang w:val="en-US"/>
              <w14:ligatures w14:val="standardContextual"/>
            </w:rPr>
          </w:pPr>
          <w:hyperlink w:anchor="_Toc241753050" w:history="1">
            <w:r w:rsidRPr="009C491A">
              <w:rPr>
                <w:rStyle w:val="Hyperlink"/>
                <w:rFonts w:ascii="Times New Roman" w:hAnsi="Times New Roman" w:cs="Times New Roman"/>
                <w:noProof/>
                <w:color w:val="215E99" w:themeColor="text2" w:themeTint="BF"/>
                <w:sz w:val="32"/>
                <w:szCs w:val="32"/>
              </w:rPr>
              <w:t>I daļa. Kriptoaktīvu ziņošanas sistēma</w:t>
            </w:r>
            <w:r w:rsidRPr="009C491A">
              <w:rPr>
                <w:rFonts w:ascii="Times New Roman" w:hAnsi="Times New Roman" w:cs="Times New Roman"/>
                <w:noProof/>
                <w:webHidden/>
                <w:color w:val="215E99" w:themeColor="text2" w:themeTint="BF"/>
                <w:sz w:val="32"/>
                <w:szCs w:val="32"/>
              </w:rPr>
              <w:tab/>
            </w:r>
            <w:r w:rsidRPr="009C491A">
              <w:rPr>
                <w:rFonts w:ascii="Times New Roman" w:hAnsi="Times New Roman" w:cs="Times New Roman"/>
                <w:noProof/>
                <w:webHidden/>
                <w:color w:val="215E99" w:themeColor="text2" w:themeTint="BF"/>
                <w:sz w:val="32"/>
                <w:szCs w:val="32"/>
              </w:rPr>
              <w:fldChar w:fldCharType="begin"/>
            </w:r>
            <w:r w:rsidRPr="009C491A">
              <w:rPr>
                <w:rFonts w:ascii="Times New Roman" w:hAnsi="Times New Roman" w:cs="Times New Roman"/>
                <w:noProof/>
                <w:webHidden/>
                <w:color w:val="215E99" w:themeColor="text2" w:themeTint="BF"/>
                <w:sz w:val="32"/>
                <w:szCs w:val="32"/>
              </w:rPr>
              <w:instrText xml:space="preserve"> PAGEREF _Toc241753050 \h </w:instrText>
            </w:r>
            <w:r w:rsidRPr="009C491A">
              <w:rPr>
                <w:rFonts w:ascii="Times New Roman" w:hAnsi="Times New Roman" w:cs="Times New Roman"/>
                <w:noProof/>
                <w:webHidden/>
                <w:color w:val="215E99" w:themeColor="text2" w:themeTint="BF"/>
                <w:sz w:val="32"/>
                <w:szCs w:val="32"/>
              </w:rPr>
            </w:r>
            <w:r w:rsidRPr="009C491A">
              <w:rPr>
                <w:rFonts w:ascii="Times New Roman" w:hAnsi="Times New Roman" w:cs="Times New Roman"/>
                <w:noProof/>
                <w:webHidden/>
                <w:color w:val="215E99" w:themeColor="text2" w:themeTint="BF"/>
                <w:sz w:val="32"/>
                <w:szCs w:val="32"/>
              </w:rPr>
              <w:fldChar w:fldCharType="separate"/>
            </w:r>
            <w:r w:rsidRPr="009C491A">
              <w:rPr>
                <w:rFonts w:ascii="Times New Roman" w:hAnsi="Times New Roman" w:cs="Times New Roman"/>
                <w:noProof/>
                <w:webHidden/>
                <w:color w:val="215E99" w:themeColor="text2" w:themeTint="BF"/>
                <w:sz w:val="32"/>
                <w:szCs w:val="32"/>
              </w:rPr>
              <w:t>12</w:t>
            </w:r>
            <w:r w:rsidRPr="009C491A">
              <w:rPr>
                <w:rFonts w:ascii="Times New Roman" w:hAnsi="Times New Roman" w:cs="Times New Roman"/>
                <w:noProof/>
                <w:webHidden/>
                <w:color w:val="215E99" w:themeColor="text2" w:themeTint="BF"/>
                <w:sz w:val="32"/>
                <w:szCs w:val="32"/>
              </w:rPr>
              <w:fldChar w:fldCharType="end"/>
            </w:r>
          </w:hyperlink>
        </w:p>
        <w:p w14:paraId="3AE57BF2" w14:textId="037B0000" w:rsidR="002D5685" w:rsidRPr="009E2C69" w:rsidRDefault="002D5685" w:rsidP="009C491A">
          <w:pPr>
            <w:pStyle w:val="TOC1"/>
            <w:tabs>
              <w:tab w:val="right" w:leader="dot" w:pos="9062"/>
            </w:tabs>
            <w:spacing w:before="120"/>
            <w:ind w:left="0"/>
            <w:rPr>
              <w:rFonts w:ascii="Times New Roman" w:eastAsiaTheme="minorEastAsia" w:hAnsi="Times New Roman" w:cs="Times New Roman"/>
              <w:b w:val="0"/>
              <w:bCs w:val="0"/>
              <w:noProof/>
              <w:color w:val="215E99" w:themeColor="text2" w:themeTint="BF"/>
              <w:kern w:val="2"/>
              <w:lang w:val="en-US"/>
              <w14:ligatures w14:val="standardContextual"/>
            </w:rPr>
          </w:pPr>
          <w:hyperlink w:anchor="_Toc241753051" w:history="1">
            <w:r w:rsidRPr="009E2C69">
              <w:rPr>
                <w:rStyle w:val="Hyperlink"/>
                <w:rFonts w:ascii="Times New Roman" w:hAnsi="Times New Roman" w:cs="Times New Roman"/>
                <w:b w:val="0"/>
                <w:bCs w:val="0"/>
                <w:noProof/>
                <w:color w:val="215E99" w:themeColor="text2" w:themeTint="BF"/>
              </w:rPr>
              <w:t>1. Ievads</w:t>
            </w:r>
            <w:r w:rsidRPr="009E2C69">
              <w:rPr>
                <w:rFonts w:ascii="Times New Roman" w:hAnsi="Times New Roman" w:cs="Times New Roman"/>
                <w:b w:val="0"/>
                <w:bCs w:val="0"/>
                <w:noProof/>
                <w:webHidden/>
                <w:color w:val="215E99" w:themeColor="text2" w:themeTint="BF"/>
              </w:rPr>
              <w:tab/>
            </w:r>
            <w:r w:rsidRPr="009E2C69">
              <w:rPr>
                <w:rFonts w:ascii="Times New Roman" w:hAnsi="Times New Roman" w:cs="Times New Roman"/>
                <w:b w:val="0"/>
                <w:bCs w:val="0"/>
                <w:noProof/>
                <w:webHidden/>
                <w:color w:val="215E99" w:themeColor="text2" w:themeTint="BF"/>
              </w:rPr>
              <w:fldChar w:fldCharType="begin"/>
            </w:r>
            <w:r w:rsidRPr="009E2C69">
              <w:rPr>
                <w:rFonts w:ascii="Times New Roman" w:hAnsi="Times New Roman" w:cs="Times New Roman"/>
                <w:b w:val="0"/>
                <w:bCs w:val="0"/>
                <w:noProof/>
                <w:webHidden/>
                <w:color w:val="215E99" w:themeColor="text2" w:themeTint="BF"/>
              </w:rPr>
              <w:instrText xml:space="preserve"> PAGEREF _Toc241753051 \h </w:instrText>
            </w:r>
            <w:r w:rsidRPr="009E2C69">
              <w:rPr>
                <w:rFonts w:ascii="Times New Roman" w:hAnsi="Times New Roman" w:cs="Times New Roman"/>
                <w:b w:val="0"/>
                <w:bCs w:val="0"/>
                <w:noProof/>
                <w:webHidden/>
                <w:color w:val="215E99" w:themeColor="text2" w:themeTint="BF"/>
              </w:rPr>
            </w:r>
            <w:r w:rsidRPr="009E2C69">
              <w:rPr>
                <w:rFonts w:ascii="Times New Roman" w:hAnsi="Times New Roman" w:cs="Times New Roman"/>
                <w:b w:val="0"/>
                <w:bCs w:val="0"/>
                <w:noProof/>
                <w:webHidden/>
                <w:color w:val="215E99" w:themeColor="text2" w:themeTint="BF"/>
              </w:rPr>
              <w:fldChar w:fldCharType="separate"/>
            </w:r>
            <w:r w:rsidRPr="009E2C69">
              <w:rPr>
                <w:rFonts w:ascii="Times New Roman" w:hAnsi="Times New Roman" w:cs="Times New Roman"/>
                <w:b w:val="0"/>
                <w:bCs w:val="0"/>
                <w:noProof/>
                <w:webHidden/>
                <w:color w:val="215E99" w:themeColor="text2" w:themeTint="BF"/>
              </w:rPr>
              <w:t>13</w:t>
            </w:r>
            <w:r w:rsidRPr="009E2C69">
              <w:rPr>
                <w:rFonts w:ascii="Times New Roman" w:hAnsi="Times New Roman" w:cs="Times New Roman"/>
                <w:b w:val="0"/>
                <w:bCs w:val="0"/>
                <w:noProof/>
                <w:webHidden/>
                <w:color w:val="215E99" w:themeColor="text2" w:themeTint="BF"/>
              </w:rPr>
              <w:fldChar w:fldCharType="end"/>
            </w:r>
          </w:hyperlink>
        </w:p>
        <w:p w14:paraId="10D0D2D3" w14:textId="5AD2ED26" w:rsidR="002D5685" w:rsidRPr="00A84FEA" w:rsidRDefault="002D5685" w:rsidP="009C491A">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52" w:history="1">
            <w:r w:rsidRPr="00A84FEA">
              <w:rPr>
                <w:rStyle w:val="Hyperlink"/>
                <w:rFonts w:ascii="Times New Roman" w:hAnsi="Times New Roman" w:cs="Times New Roman"/>
                <w:b w:val="0"/>
                <w:bCs w:val="0"/>
                <w:noProof/>
                <w:sz w:val="24"/>
                <w:szCs w:val="24"/>
              </w:rPr>
              <w:t>Kriptoaktīvi – ietekme uz finanšu tirgiem</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_Toc241753052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13</w:t>
            </w:r>
            <w:r w:rsidRPr="00A84FEA">
              <w:rPr>
                <w:rFonts w:ascii="Times New Roman" w:hAnsi="Times New Roman" w:cs="Times New Roman"/>
                <w:b w:val="0"/>
                <w:bCs w:val="0"/>
                <w:noProof/>
                <w:webHidden/>
                <w:sz w:val="24"/>
                <w:szCs w:val="24"/>
              </w:rPr>
              <w:fldChar w:fldCharType="end"/>
            </w:r>
          </w:hyperlink>
        </w:p>
        <w:p w14:paraId="3634AF50" w14:textId="0D9799ED" w:rsidR="002D5685" w:rsidRPr="00A84FEA" w:rsidRDefault="002D5685" w:rsidP="009C491A">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53" w:history="1">
            <w:r w:rsidRPr="00A84FEA">
              <w:rPr>
                <w:rStyle w:val="Hyperlink"/>
                <w:rFonts w:ascii="Times New Roman" w:hAnsi="Times New Roman" w:cs="Times New Roman"/>
                <w:b w:val="0"/>
                <w:bCs w:val="0"/>
                <w:noProof/>
                <w:sz w:val="24"/>
                <w:szCs w:val="24"/>
              </w:rPr>
              <w:t>Kriptoaktīvu netiešā ietekme uz globālo nodokļu pārredzamību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_Toc241753053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13</w:t>
            </w:r>
            <w:r w:rsidRPr="00A84FEA">
              <w:rPr>
                <w:rFonts w:ascii="Times New Roman" w:hAnsi="Times New Roman" w:cs="Times New Roman"/>
                <w:b w:val="0"/>
                <w:bCs w:val="0"/>
                <w:noProof/>
                <w:webHidden/>
                <w:sz w:val="24"/>
                <w:szCs w:val="24"/>
              </w:rPr>
              <w:fldChar w:fldCharType="end"/>
            </w:r>
          </w:hyperlink>
        </w:p>
        <w:p w14:paraId="1E364E8E" w14:textId="644E23BE" w:rsidR="002D5685" w:rsidRPr="00A84FEA" w:rsidRDefault="002D5685" w:rsidP="009C491A">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54" w:history="1">
            <w:r w:rsidRPr="00A84FEA">
              <w:rPr>
                <w:rStyle w:val="Hyperlink"/>
                <w:rFonts w:ascii="Times New Roman" w:hAnsi="Times New Roman" w:cs="Times New Roman"/>
                <w:b w:val="0"/>
                <w:bCs w:val="0"/>
                <w:noProof/>
                <w:sz w:val="24"/>
                <w:szCs w:val="24"/>
              </w:rPr>
              <w:t>Lielāka globālā nodokļu pārredzamība attiecībā uz kriptoaktīviem</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_Toc241753054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14</w:t>
            </w:r>
            <w:r w:rsidRPr="00A84FEA">
              <w:rPr>
                <w:rFonts w:ascii="Times New Roman" w:hAnsi="Times New Roman" w:cs="Times New Roman"/>
                <w:b w:val="0"/>
                <w:bCs w:val="0"/>
                <w:noProof/>
                <w:webHidden/>
                <w:sz w:val="24"/>
                <w:szCs w:val="24"/>
              </w:rPr>
              <w:fldChar w:fldCharType="end"/>
            </w:r>
          </w:hyperlink>
        </w:p>
        <w:p w14:paraId="247063CC" w14:textId="2CF70DA5" w:rsidR="002D5685" w:rsidRPr="00A84FEA" w:rsidRDefault="002D5685" w:rsidP="009C491A">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55" w:history="1">
            <w:r w:rsidRPr="00A84FEA">
              <w:rPr>
                <w:rStyle w:val="Hyperlink"/>
                <w:rFonts w:ascii="Times New Roman" w:hAnsi="Times New Roman" w:cs="Times New Roman"/>
                <w:b w:val="0"/>
                <w:bCs w:val="0"/>
                <w:noProof/>
                <w:sz w:val="24"/>
                <w:szCs w:val="24"/>
              </w:rPr>
              <w:t>Kriptoaktīvu ziņošanas sistēmas noteikumi un komentāri</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_Toc241753055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14</w:t>
            </w:r>
            <w:r w:rsidRPr="00A84FEA">
              <w:rPr>
                <w:rFonts w:ascii="Times New Roman" w:hAnsi="Times New Roman" w:cs="Times New Roman"/>
                <w:b w:val="0"/>
                <w:bCs w:val="0"/>
                <w:noProof/>
                <w:webHidden/>
                <w:sz w:val="24"/>
                <w:szCs w:val="24"/>
              </w:rPr>
              <w:fldChar w:fldCharType="end"/>
            </w:r>
          </w:hyperlink>
        </w:p>
        <w:p w14:paraId="06B14428" w14:textId="6D5E528E" w:rsidR="002D5685" w:rsidRPr="00A84FEA" w:rsidRDefault="002D5685" w:rsidP="009C491A">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56" w:history="1">
            <w:r w:rsidRPr="00A84FEA">
              <w:rPr>
                <w:rStyle w:val="Hyperlink"/>
                <w:rFonts w:ascii="Times New Roman" w:hAnsi="Times New Roman" w:cs="Times New Roman"/>
                <w:b w:val="0"/>
                <w:bCs w:val="0"/>
                <w:noProof/>
                <w:sz w:val="24"/>
                <w:szCs w:val="24"/>
              </w:rPr>
              <w:t xml:space="preserve">Kompetento iestāžu daudzpusējais nolīgums par informācijas automātisku apmaiņu saskaņā ar </w:t>
            </w:r>
            <w:r w:rsidRPr="00A84FEA">
              <w:rPr>
                <w:rStyle w:val="Hyperlink"/>
                <w:rFonts w:ascii="Times New Roman" w:hAnsi="Times New Roman" w:cs="Times New Roman"/>
                <w:b w:val="0"/>
                <w:bCs w:val="0"/>
                <w:i/>
                <w:iCs/>
                <w:noProof/>
                <w:sz w:val="24"/>
                <w:szCs w:val="24"/>
              </w:rPr>
              <w:t>CARF</w:t>
            </w:r>
            <w:r w:rsidRPr="00A84FEA">
              <w:rPr>
                <w:rStyle w:val="Hyperlink"/>
                <w:rFonts w:ascii="Times New Roman" w:hAnsi="Times New Roman" w:cs="Times New Roman"/>
                <w:b w:val="0"/>
                <w:bCs w:val="0"/>
                <w:noProof/>
                <w:sz w:val="24"/>
                <w:szCs w:val="24"/>
              </w:rPr>
              <w:t xml:space="preserve"> (</w:t>
            </w:r>
            <w:r w:rsidRPr="00A84FEA">
              <w:rPr>
                <w:rStyle w:val="Hyperlink"/>
                <w:rFonts w:ascii="Times New Roman" w:hAnsi="Times New Roman" w:cs="Times New Roman"/>
                <w:b w:val="0"/>
                <w:bCs w:val="0"/>
                <w:i/>
                <w:iCs/>
                <w:noProof/>
                <w:sz w:val="24"/>
                <w:szCs w:val="24"/>
              </w:rPr>
              <w:t>CARF MCAA</w:t>
            </w:r>
            <w:r w:rsidRPr="00A84FEA">
              <w:rPr>
                <w:rStyle w:val="Hyperlink"/>
                <w:rFonts w:ascii="Times New Roman" w:hAnsi="Times New Roman" w:cs="Times New Roman"/>
                <w:b w:val="0"/>
                <w:bCs w:val="0"/>
                <w:noProof/>
                <w:sz w:val="24"/>
                <w:szCs w:val="24"/>
              </w:rPr>
              <w:t>) un saistītie komentāri</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_Toc241753056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17</w:t>
            </w:r>
            <w:r w:rsidRPr="00A84FEA">
              <w:rPr>
                <w:rFonts w:ascii="Times New Roman" w:hAnsi="Times New Roman" w:cs="Times New Roman"/>
                <w:b w:val="0"/>
                <w:bCs w:val="0"/>
                <w:noProof/>
                <w:webHidden/>
                <w:sz w:val="24"/>
                <w:szCs w:val="24"/>
              </w:rPr>
              <w:fldChar w:fldCharType="end"/>
            </w:r>
          </w:hyperlink>
        </w:p>
        <w:p w14:paraId="59906B1A" w14:textId="3B2ED63C" w:rsidR="002D5685" w:rsidRPr="00A84FEA" w:rsidRDefault="002D5685" w:rsidP="009C491A">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57" w:history="1">
            <w:r w:rsidRPr="00A84FEA">
              <w:rPr>
                <w:rStyle w:val="Hyperlink"/>
                <w:rFonts w:ascii="Times New Roman" w:hAnsi="Times New Roman" w:cs="Times New Roman"/>
                <w:b w:val="0"/>
                <w:bCs w:val="0"/>
                <w:noProof/>
                <w:sz w:val="24"/>
                <w:szCs w:val="24"/>
              </w:rPr>
              <w:t xml:space="preserve">Kriptoaktīvu ziņošanas sistēmas un </w:t>
            </w:r>
            <w:r w:rsidRPr="00A84FEA">
              <w:rPr>
                <w:rStyle w:val="Hyperlink"/>
                <w:rFonts w:ascii="Times New Roman" w:hAnsi="Times New Roman" w:cs="Times New Roman"/>
                <w:b w:val="0"/>
                <w:bCs w:val="0"/>
                <w:i/>
                <w:iCs/>
                <w:noProof/>
                <w:sz w:val="24"/>
                <w:szCs w:val="24"/>
              </w:rPr>
              <w:t>CRS</w:t>
            </w:r>
            <w:r w:rsidRPr="00A84FEA">
              <w:rPr>
                <w:rStyle w:val="Hyperlink"/>
                <w:rFonts w:ascii="Times New Roman" w:hAnsi="Times New Roman" w:cs="Times New Roman"/>
                <w:b w:val="0"/>
                <w:bCs w:val="0"/>
                <w:noProof/>
                <w:sz w:val="24"/>
                <w:szCs w:val="24"/>
              </w:rPr>
              <w:t xml:space="preserve"> mijiedarbība</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_Toc241753057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17</w:t>
            </w:r>
            <w:r w:rsidRPr="00A84FEA">
              <w:rPr>
                <w:rFonts w:ascii="Times New Roman" w:hAnsi="Times New Roman" w:cs="Times New Roman"/>
                <w:b w:val="0"/>
                <w:bCs w:val="0"/>
                <w:noProof/>
                <w:webHidden/>
                <w:sz w:val="24"/>
                <w:szCs w:val="24"/>
              </w:rPr>
              <w:fldChar w:fldCharType="end"/>
            </w:r>
          </w:hyperlink>
        </w:p>
        <w:p w14:paraId="1469A39B" w14:textId="66F5F20C" w:rsidR="002D5685" w:rsidRPr="009E2C69" w:rsidRDefault="002D5685" w:rsidP="00771EC8">
          <w:pPr>
            <w:pStyle w:val="TOC1"/>
            <w:tabs>
              <w:tab w:val="right" w:leader="dot" w:pos="9062"/>
            </w:tabs>
            <w:spacing w:before="120"/>
            <w:ind w:left="0"/>
            <w:rPr>
              <w:rFonts w:ascii="Times New Roman" w:eastAsiaTheme="minorEastAsia" w:hAnsi="Times New Roman" w:cs="Times New Roman"/>
              <w:b w:val="0"/>
              <w:bCs w:val="0"/>
              <w:noProof/>
              <w:color w:val="215E99" w:themeColor="text2" w:themeTint="BF"/>
              <w:kern w:val="2"/>
              <w:lang w:val="en-US"/>
              <w14:ligatures w14:val="standardContextual"/>
            </w:rPr>
          </w:pPr>
          <w:hyperlink w:anchor="_Toc241753058" w:history="1">
            <w:r w:rsidRPr="009E2C69">
              <w:rPr>
                <w:rStyle w:val="Hyperlink"/>
                <w:rFonts w:ascii="Times New Roman" w:hAnsi="Times New Roman" w:cs="Times New Roman"/>
                <w:b w:val="0"/>
                <w:bCs w:val="0"/>
                <w:noProof/>
                <w:color w:val="215E99" w:themeColor="text2" w:themeTint="BF"/>
              </w:rPr>
              <w:t>2. Noteikumi</w:t>
            </w:r>
            <w:r w:rsidRPr="009E2C69">
              <w:rPr>
                <w:rFonts w:ascii="Times New Roman" w:hAnsi="Times New Roman" w:cs="Times New Roman"/>
                <w:b w:val="0"/>
                <w:bCs w:val="0"/>
                <w:noProof/>
                <w:webHidden/>
                <w:color w:val="215E99" w:themeColor="text2" w:themeTint="BF"/>
              </w:rPr>
              <w:tab/>
            </w:r>
            <w:r w:rsidRPr="009E2C69">
              <w:rPr>
                <w:rFonts w:ascii="Times New Roman" w:hAnsi="Times New Roman" w:cs="Times New Roman"/>
                <w:b w:val="0"/>
                <w:bCs w:val="0"/>
                <w:noProof/>
                <w:webHidden/>
                <w:color w:val="215E99" w:themeColor="text2" w:themeTint="BF"/>
              </w:rPr>
              <w:fldChar w:fldCharType="begin"/>
            </w:r>
            <w:r w:rsidRPr="009E2C69">
              <w:rPr>
                <w:rFonts w:ascii="Times New Roman" w:hAnsi="Times New Roman" w:cs="Times New Roman"/>
                <w:b w:val="0"/>
                <w:bCs w:val="0"/>
                <w:noProof/>
                <w:webHidden/>
                <w:color w:val="215E99" w:themeColor="text2" w:themeTint="BF"/>
              </w:rPr>
              <w:instrText xml:space="preserve"> PAGEREF _Toc241753058 \h </w:instrText>
            </w:r>
            <w:r w:rsidRPr="009E2C69">
              <w:rPr>
                <w:rFonts w:ascii="Times New Roman" w:hAnsi="Times New Roman" w:cs="Times New Roman"/>
                <w:b w:val="0"/>
                <w:bCs w:val="0"/>
                <w:noProof/>
                <w:webHidden/>
                <w:color w:val="215E99" w:themeColor="text2" w:themeTint="BF"/>
              </w:rPr>
            </w:r>
            <w:r w:rsidRPr="009E2C69">
              <w:rPr>
                <w:rFonts w:ascii="Times New Roman" w:hAnsi="Times New Roman" w:cs="Times New Roman"/>
                <w:b w:val="0"/>
                <w:bCs w:val="0"/>
                <w:noProof/>
                <w:webHidden/>
                <w:color w:val="215E99" w:themeColor="text2" w:themeTint="BF"/>
              </w:rPr>
              <w:fldChar w:fldCharType="separate"/>
            </w:r>
            <w:r w:rsidRPr="009E2C69">
              <w:rPr>
                <w:rFonts w:ascii="Times New Roman" w:hAnsi="Times New Roman" w:cs="Times New Roman"/>
                <w:b w:val="0"/>
                <w:bCs w:val="0"/>
                <w:noProof/>
                <w:webHidden/>
                <w:color w:val="215E99" w:themeColor="text2" w:themeTint="BF"/>
              </w:rPr>
              <w:t>19</w:t>
            </w:r>
            <w:r w:rsidRPr="009E2C69">
              <w:rPr>
                <w:rFonts w:ascii="Times New Roman" w:hAnsi="Times New Roman" w:cs="Times New Roman"/>
                <w:b w:val="0"/>
                <w:bCs w:val="0"/>
                <w:noProof/>
                <w:webHidden/>
                <w:color w:val="215E99" w:themeColor="text2" w:themeTint="BF"/>
              </w:rPr>
              <w:fldChar w:fldCharType="end"/>
            </w:r>
          </w:hyperlink>
        </w:p>
        <w:p w14:paraId="33B63F03" w14:textId="17A7057C" w:rsidR="002D5685" w:rsidRPr="00A84FEA" w:rsidRDefault="002D5685" w:rsidP="00771EC8">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59" w:history="1">
            <w:r w:rsidRPr="00A84FEA">
              <w:rPr>
                <w:rStyle w:val="Hyperlink"/>
                <w:rFonts w:ascii="Times New Roman" w:hAnsi="Times New Roman" w:cs="Times New Roman"/>
                <w:b w:val="0"/>
                <w:bCs w:val="0"/>
                <w:noProof/>
                <w:sz w:val="24"/>
                <w:szCs w:val="24"/>
              </w:rPr>
              <w:t>I pants. To kriptoaktīvu pakalpojumu sniedzēju pienākumi, kas sniedz ziņojumus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_Toc241753059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19</w:t>
            </w:r>
            <w:r w:rsidRPr="00A84FEA">
              <w:rPr>
                <w:rFonts w:ascii="Times New Roman" w:hAnsi="Times New Roman" w:cs="Times New Roman"/>
                <w:b w:val="0"/>
                <w:bCs w:val="0"/>
                <w:noProof/>
                <w:webHidden/>
                <w:sz w:val="24"/>
                <w:szCs w:val="24"/>
              </w:rPr>
              <w:fldChar w:fldCharType="end"/>
            </w:r>
          </w:hyperlink>
        </w:p>
        <w:p w14:paraId="719C176D" w14:textId="34EB27E6" w:rsidR="002D5685" w:rsidRPr="00A84FEA" w:rsidRDefault="002D5685" w:rsidP="00771EC8">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60" w:history="1">
            <w:r w:rsidRPr="00A84FEA">
              <w:rPr>
                <w:rStyle w:val="Hyperlink"/>
                <w:rFonts w:ascii="Times New Roman" w:hAnsi="Times New Roman" w:cs="Times New Roman"/>
                <w:b w:val="0"/>
                <w:bCs w:val="0"/>
                <w:noProof/>
                <w:sz w:val="24"/>
                <w:szCs w:val="24"/>
              </w:rPr>
              <w:t>II pants. Ziņošanas prasības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_Toc241753060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20</w:t>
            </w:r>
            <w:r w:rsidRPr="00A84FEA">
              <w:rPr>
                <w:rFonts w:ascii="Times New Roman" w:hAnsi="Times New Roman" w:cs="Times New Roman"/>
                <w:b w:val="0"/>
                <w:bCs w:val="0"/>
                <w:noProof/>
                <w:webHidden/>
                <w:sz w:val="24"/>
                <w:szCs w:val="24"/>
              </w:rPr>
              <w:fldChar w:fldCharType="end"/>
            </w:r>
          </w:hyperlink>
        </w:p>
        <w:p w14:paraId="0C3B996D" w14:textId="3F5AE76C" w:rsidR="002D5685" w:rsidRPr="00A84FEA" w:rsidRDefault="002D5685" w:rsidP="00771EC8">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61" w:history="1">
            <w:r w:rsidRPr="00A84FEA">
              <w:rPr>
                <w:rStyle w:val="Hyperlink"/>
                <w:rFonts w:ascii="Times New Roman" w:hAnsi="Times New Roman" w:cs="Times New Roman"/>
                <w:b w:val="0"/>
                <w:bCs w:val="0"/>
                <w:noProof/>
                <w:sz w:val="24"/>
                <w:szCs w:val="24"/>
              </w:rPr>
              <w:t>III pants. Pienācīgas pārbaudes procedūras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_Toc241753061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21</w:t>
            </w:r>
            <w:r w:rsidRPr="00A84FEA">
              <w:rPr>
                <w:rFonts w:ascii="Times New Roman" w:hAnsi="Times New Roman" w:cs="Times New Roman"/>
                <w:b w:val="0"/>
                <w:bCs w:val="0"/>
                <w:noProof/>
                <w:webHidden/>
                <w:sz w:val="24"/>
                <w:szCs w:val="24"/>
              </w:rPr>
              <w:fldChar w:fldCharType="end"/>
            </w:r>
          </w:hyperlink>
        </w:p>
        <w:p w14:paraId="6579A291" w14:textId="7494F456" w:rsidR="002D5685" w:rsidRPr="00A84FEA" w:rsidRDefault="002D5685" w:rsidP="00771EC8">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62" w:history="1">
            <w:r w:rsidRPr="00A84FEA">
              <w:rPr>
                <w:rStyle w:val="Hyperlink"/>
                <w:rFonts w:ascii="Times New Roman" w:hAnsi="Times New Roman" w:cs="Times New Roman"/>
                <w:b w:val="0"/>
                <w:bCs w:val="0"/>
                <w:noProof/>
                <w:sz w:val="24"/>
                <w:szCs w:val="24"/>
              </w:rPr>
              <w:t>IV pants. Terminu definīcijas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_Toc241753062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23</w:t>
            </w:r>
            <w:r w:rsidRPr="00A84FEA">
              <w:rPr>
                <w:rFonts w:ascii="Times New Roman" w:hAnsi="Times New Roman" w:cs="Times New Roman"/>
                <w:b w:val="0"/>
                <w:bCs w:val="0"/>
                <w:noProof/>
                <w:webHidden/>
                <w:sz w:val="24"/>
                <w:szCs w:val="24"/>
              </w:rPr>
              <w:fldChar w:fldCharType="end"/>
            </w:r>
          </w:hyperlink>
        </w:p>
        <w:p w14:paraId="065E88D2" w14:textId="549A5CD6" w:rsidR="002D5685" w:rsidRPr="00A84FEA" w:rsidRDefault="002D5685" w:rsidP="00771EC8">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63" w:history="1">
            <w:r w:rsidRPr="00A84FEA">
              <w:rPr>
                <w:rStyle w:val="Hyperlink"/>
                <w:rFonts w:ascii="Times New Roman" w:hAnsi="Times New Roman" w:cs="Times New Roman"/>
                <w:b w:val="0"/>
                <w:bCs w:val="0"/>
                <w:noProof/>
                <w:sz w:val="24"/>
                <w:szCs w:val="24"/>
              </w:rPr>
              <w:t>V pants. Efektīva īstenošana</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_Toc241753063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30</w:t>
            </w:r>
            <w:r w:rsidRPr="00A84FEA">
              <w:rPr>
                <w:rFonts w:ascii="Times New Roman" w:hAnsi="Times New Roman" w:cs="Times New Roman"/>
                <w:b w:val="0"/>
                <w:bCs w:val="0"/>
                <w:noProof/>
                <w:webHidden/>
                <w:sz w:val="24"/>
                <w:szCs w:val="24"/>
              </w:rPr>
              <w:fldChar w:fldCharType="end"/>
            </w:r>
          </w:hyperlink>
        </w:p>
        <w:p w14:paraId="73B3823B" w14:textId="3003F7CE" w:rsidR="002D5685" w:rsidRPr="009E2C69" w:rsidRDefault="002D5685" w:rsidP="009E2C69">
          <w:pPr>
            <w:pStyle w:val="TOC1"/>
            <w:tabs>
              <w:tab w:val="right" w:leader="dot" w:pos="9062"/>
            </w:tabs>
            <w:spacing w:before="120"/>
            <w:ind w:left="0"/>
            <w:rPr>
              <w:rFonts w:ascii="Times New Roman" w:eastAsiaTheme="minorEastAsia" w:hAnsi="Times New Roman" w:cs="Times New Roman"/>
              <w:b w:val="0"/>
              <w:bCs w:val="0"/>
              <w:noProof/>
              <w:color w:val="215E99" w:themeColor="text2" w:themeTint="BF"/>
              <w:kern w:val="2"/>
              <w:lang w:val="en-US"/>
              <w14:ligatures w14:val="standardContextual"/>
            </w:rPr>
          </w:pPr>
          <w:hyperlink w:anchor="_Toc241753064" w:history="1">
            <w:r w:rsidRPr="009E2C69">
              <w:rPr>
                <w:rStyle w:val="Hyperlink"/>
                <w:rFonts w:ascii="Times New Roman" w:hAnsi="Times New Roman" w:cs="Times New Roman"/>
                <w:b w:val="0"/>
                <w:bCs w:val="0"/>
                <w:noProof/>
                <w:color w:val="215E99" w:themeColor="text2" w:themeTint="BF"/>
              </w:rPr>
              <w:t>3. Komentāri par noteikumiem</w:t>
            </w:r>
            <w:r w:rsidRPr="009E2C69">
              <w:rPr>
                <w:rFonts w:ascii="Times New Roman" w:hAnsi="Times New Roman" w:cs="Times New Roman"/>
                <w:b w:val="0"/>
                <w:bCs w:val="0"/>
                <w:noProof/>
                <w:webHidden/>
                <w:color w:val="215E99" w:themeColor="text2" w:themeTint="BF"/>
              </w:rPr>
              <w:tab/>
            </w:r>
            <w:r w:rsidRPr="009E2C69">
              <w:rPr>
                <w:rFonts w:ascii="Times New Roman" w:hAnsi="Times New Roman" w:cs="Times New Roman"/>
                <w:b w:val="0"/>
                <w:bCs w:val="0"/>
                <w:noProof/>
                <w:webHidden/>
                <w:color w:val="215E99" w:themeColor="text2" w:themeTint="BF"/>
              </w:rPr>
              <w:fldChar w:fldCharType="begin"/>
            </w:r>
            <w:r w:rsidRPr="009E2C69">
              <w:rPr>
                <w:rFonts w:ascii="Times New Roman" w:hAnsi="Times New Roman" w:cs="Times New Roman"/>
                <w:b w:val="0"/>
                <w:bCs w:val="0"/>
                <w:noProof/>
                <w:webHidden/>
                <w:color w:val="215E99" w:themeColor="text2" w:themeTint="BF"/>
              </w:rPr>
              <w:instrText xml:space="preserve"> PAGEREF _Toc241753064 \h </w:instrText>
            </w:r>
            <w:r w:rsidRPr="009E2C69">
              <w:rPr>
                <w:rFonts w:ascii="Times New Roman" w:hAnsi="Times New Roman" w:cs="Times New Roman"/>
                <w:b w:val="0"/>
                <w:bCs w:val="0"/>
                <w:noProof/>
                <w:webHidden/>
                <w:color w:val="215E99" w:themeColor="text2" w:themeTint="BF"/>
              </w:rPr>
            </w:r>
            <w:r w:rsidRPr="009E2C69">
              <w:rPr>
                <w:rFonts w:ascii="Times New Roman" w:hAnsi="Times New Roman" w:cs="Times New Roman"/>
                <w:b w:val="0"/>
                <w:bCs w:val="0"/>
                <w:noProof/>
                <w:webHidden/>
                <w:color w:val="215E99" w:themeColor="text2" w:themeTint="BF"/>
              </w:rPr>
              <w:fldChar w:fldCharType="separate"/>
            </w:r>
            <w:r w:rsidRPr="009E2C69">
              <w:rPr>
                <w:rFonts w:ascii="Times New Roman" w:hAnsi="Times New Roman" w:cs="Times New Roman"/>
                <w:b w:val="0"/>
                <w:bCs w:val="0"/>
                <w:noProof/>
                <w:webHidden/>
                <w:color w:val="215E99" w:themeColor="text2" w:themeTint="BF"/>
              </w:rPr>
              <w:t>31</w:t>
            </w:r>
            <w:r w:rsidRPr="009E2C69">
              <w:rPr>
                <w:rFonts w:ascii="Times New Roman" w:hAnsi="Times New Roman" w:cs="Times New Roman"/>
                <w:b w:val="0"/>
                <w:bCs w:val="0"/>
                <w:noProof/>
                <w:webHidden/>
                <w:color w:val="215E99" w:themeColor="text2" w:themeTint="BF"/>
              </w:rPr>
              <w:fldChar w:fldCharType="end"/>
            </w:r>
          </w:hyperlink>
        </w:p>
        <w:p w14:paraId="4897F623" w14:textId="6071A9C9" w:rsidR="002D5685" w:rsidRPr="00A84FEA" w:rsidRDefault="002D5685" w:rsidP="009E2C69">
          <w:pPr>
            <w:pStyle w:val="TOC1"/>
            <w:tabs>
              <w:tab w:val="right" w:leader="dot" w:pos="9062"/>
            </w:tabs>
            <w:spacing w:before="60" w:after="60"/>
            <w:ind w:left="284"/>
            <w:rPr>
              <w:rFonts w:ascii="Times New Roman" w:eastAsiaTheme="minorEastAsia" w:hAnsi="Times New Roman" w:cs="Times New Roman"/>
              <w:b w:val="0"/>
              <w:bCs w:val="0"/>
              <w:noProof/>
              <w:kern w:val="2"/>
              <w:sz w:val="24"/>
              <w:szCs w:val="24"/>
              <w:lang w:val="en-US"/>
              <w14:ligatures w14:val="standardContextual"/>
            </w:rPr>
          </w:pPr>
          <w:hyperlink w:anchor="_Toc241753065" w:history="1">
            <w:r w:rsidRPr="00A84FEA">
              <w:rPr>
                <w:rStyle w:val="Hyperlink"/>
                <w:rFonts w:ascii="Times New Roman" w:hAnsi="Times New Roman" w:cs="Times New Roman"/>
                <w:b w:val="0"/>
                <w:bCs w:val="0"/>
                <w:noProof/>
                <w:sz w:val="24"/>
                <w:szCs w:val="24"/>
              </w:rPr>
              <w:t>Komentāri par I pantu. To kriptoaktīvu pakalpojumu sniedzēju pienākumi, kas sniedz ziņojumus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_Toc241753065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31</w:t>
            </w:r>
            <w:r w:rsidRPr="00A84FEA">
              <w:rPr>
                <w:rFonts w:ascii="Times New Roman" w:hAnsi="Times New Roman" w:cs="Times New Roman"/>
                <w:b w:val="0"/>
                <w:bCs w:val="0"/>
                <w:noProof/>
                <w:webHidden/>
                <w:sz w:val="24"/>
                <w:szCs w:val="24"/>
              </w:rPr>
              <w:fldChar w:fldCharType="end"/>
            </w:r>
          </w:hyperlink>
        </w:p>
        <w:p w14:paraId="08CA7B5A" w14:textId="17AD4F4A" w:rsidR="002D5685" w:rsidRPr="00A84FEA" w:rsidRDefault="002D5685" w:rsidP="009E2C69">
          <w:pPr>
            <w:pStyle w:val="TOC1"/>
            <w:tabs>
              <w:tab w:val="right" w:leader="dot" w:pos="9062"/>
            </w:tabs>
            <w:spacing w:before="60" w:after="60"/>
            <w:ind w:left="284"/>
            <w:rPr>
              <w:rFonts w:ascii="Times New Roman" w:eastAsiaTheme="minorEastAsia" w:hAnsi="Times New Roman" w:cs="Times New Roman"/>
              <w:b w:val="0"/>
              <w:bCs w:val="0"/>
              <w:noProof/>
              <w:kern w:val="2"/>
              <w:sz w:val="24"/>
              <w:szCs w:val="24"/>
              <w:lang w:val="en-US"/>
              <w14:ligatures w14:val="standardContextual"/>
            </w:rPr>
          </w:pPr>
          <w:hyperlink w:anchor="_Toc241753066" w:history="1">
            <w:r w:rsidRPr="00A84FEA">
              <w:rPr>
                <w:rStyle w:val="Hyperlink"/>
                <w:rFonts w:ascii="Times New Roman" w:hAnsi="Times New Roman" w:cs="Times New Roman"/>
                <w:b w:val="0"/>
                <w:bCs w:val="0"/>
                <w:noProof/>
                <w:sz w:val="24"/>
                <w:szCs w:val="24"/>
              </w:rPr>
              <w:t>Komentāri par II pantu. Ziņošanas prasības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_Toc241753066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33</w:t>
            </w:r>
            <w:r w:rsidRPr="00A84FEA">
              <w:rPr>
                <w:rFonts w:ascii="Times New Roman" w:hAnsi="Times New Roman" w:cs="Times New Roman"/>
                <w:b w:val="0"/>
                <w:bCs w:val="0"/>
                <w:noProof/>
                <w:webHidden/>
                <w:sz w:val="24"/>
                <w:szCs w:val="24"/>
              </w:rPr>
              <w:fldChar w:fldCharType="end"/>
            </w:r>
          </w:hyperlink>
        </w:p>
        <w:p w14:paraId="5AEAEEFB" w14:textId="79EF7840" w:rsidR="002D5685" w:rsidRPr="00A84FEA" w:rsidRDefault="002D5685" w:rsidP="009E2C69">
          <w:pPr>
            <w:pStyle w:val="TOC1"/>
            <w:tabs>
              <w:tab w:val="right" w:leader="dot" w:pos="9062"/>
            </w:tabs>
            <w:spacing w:before="60" w:after="60"/>
            <w:ind w:left="284"/>
            <w:rPr>
              <w:rFonts w:ascii="Times New Roman" w:eastAsiaTheme="minorEastAsia" w:hAnsi="Times New Roman" w:cs="Times New Roman"/>
              <w:b w:val="0"/>
              <w:bCs w:val="0"/>
              <w:noProof/>
              <w:kern w:val="2"/>
              <w:sz w:val="24"/>
              <w:szCs w:val="24"/>
              <w:lang w:val="en-US"/>
              <w14:ligatures w14:val="standardContextual"/>
            </w:rPr>
          </w:pPr>
          <w:hyperlink w:anchor="_Toc241753067" w:history="1">
            <w:r w:rsidRPr="00A84FEA">
              <w:rPr>
                <w:rStyle w:val="Hyperlink"/>
                <w:rFonts w:ascii="Times New Roman" w:hAnsi="Times New Roman" w:cs="Times New Roman"/>
                <w:b w:val="0"/>
                <w:bCs w:val="0"/>
                <w:noProof/>
                <w:sz w:val="24"/>
                <w:szCs w:val="24"/>
              </w:rPr>
              <w:t>Komentāri par III pantu. Pienācīgas pārbaudes procedūras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_Toc241753067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41</w:t>
            </w:r>
            <w:r w:rsidRPr="00A84FEA">
              <w:rPr>
                <w:rFonts w:ascii="Times New Roman" w:hAnsi="Times New Roman" w:cs="Times New Roman"/>
                <w:b w:val="0"/>
                <w:bCs w:val="0"/>
                <w:noProof/>
                <w:webHidden/>
                <w:sz w:val="24"/>
                <w:szCs w:val="24"/>
              </w:rPr>
              <w:fldChar w:fldCharType="end"/>
            </w:r>
          </w:hyperlink>
        </w:p>
        <w:p w14:paraId="01DEF15F" w14:textId="5AE7A314" w:rsidR="002D5685" w:rsidRPr="00A84FEA" w:rsidRDefault="002D5685" w:rsidP="009E2C69">
          <w:pPr>
            <w:pStyle w:val="TOC1"/>
            <w:tabs>
              <w:tab w:val="right" w:leader="dot" w:pos="9062"/>
            </w:tabs>
            <w:spacing w:before="60" w:after="60"/>
            <w:ind w:left="284"/>
            <w:rPr>
              <w:rFonts w:ascii="Times New Roman" w:eastAsiaTheme="minorEastAsia" w:hAnsi="Times New Roman" w:cs="Times New Roman"/>
              <w:b w:val="0"/>
              <w:bCs w:val="0"/>
              <w:noProof/>
              <w:kern w:val="2"/>
              <w:sz w:val="24"/>
              <w:szCs w:val="24"/>
              <w:lang w:val="en-US"/>
              <w14:ligatures w14:val="standardContextual"/>
            </w:rPr>
          </w:pPr>
          <w:hyperlink w:anchor="_Toc241753068" w:history="1">
            <w:r w:rsidRPr="00A84FEA">
              <w:rPr>
                <w:rStyle w:val="Hyperlink"/>
                <w:rFonts w:ascii="Times New Roman" w:hAnsi="Times New Roman" w:cs="Times New Roman"/>
                <w:b w:val="0"/>
                <w:bCs w:val="0"/>
                <w:noProof/>
                <w:sz w:val="24"/>
                <w:szCs w:val="24"/>
              </w:rPr>
              <w:t>Komentāri par IV pantu. Terminu definīcijas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_Toc241753068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52</w:t>
            </w:r>
            <w:r w:rsidRPr="00A84FEA">
              <w:rPr>
                <w:rFonts w:ascii="Times New Roman" w:hAnsi="Times New Roman" w:cs="Times New Roman"/>
                <w:b w:val="0"/>
                <w:bCs w:val="0"/>
                <w:noProof/>
                <w:webHidden/>
                <w:sz w:val="24"/>
                <w:szCs w:val="24"/>
              </w:rPr>
              <w:fldChar w:fldCharType="end"/>
            </w:r>
          </w:hyperlink>
        </w:p>
        <w:p w14:paraId="60DE8959" w14:textId="4DA2C66C" w:rsidR="002D5685" w:rsidRPr="00A84FEA" w:rsidRDefault="002D5685" w:rsidP="009E2C69">
          <w:pPr>
            <w:pStyle w:val="TOC1"/>
            <w:tabs>
              <w:tab w:val="right" w:leader="dot" w:pos="9062"/>
            </w:tabs>
            <w:spacing w:before="60" w:after="60"/>
            <w:ind w:left="284"/>
            <w:rPr>
              <w:rFonts w:ascii="Times New Roman" w:eastAsiaTheme="minorEastAsia" w:hAnsi="Times New Roman" w:cs="Times New Roman"/>
              <w:b w:val="0"/>
              <w:bCs w:val="0"/>
              <w:noProof/>
              <w:kern w:val="2"/>
              <w:sz w:val="24"/>
              <w:szCs w:val="24"/>
              <w:lang w:val="en-US"/>
              <w14:ligatures w14:val="standardContextual"/>
            </w:rPr>
          </w:pPr>
          <w:hyperlink w:anchor="_Toc241753069" w:history="1">
            <w:r w:rsidRPr="00A84FEA">
              <w:rPr>
                <w:rStyle w:val="Hyperlink"/>
                <w:rFonts w:ascii="Times New Roman" w:hAnsi="Times New Roman" w:cs="Times New Roman"/>
                <w:b w:val="0"/>
                <w:bCs w:val="0"/>
                <w:noProof/>
                <w:sz w:val="24"/>
                <w:szCs w:val="24"/>
              </w:rPr>
              <w:t>Komentāri par V pantu. Efektīva īstenošana</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_Toc241753069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68</w:t>
            </w:r>
            <w:r w:rsidRPr="00A84FEA">
              <w:rPr>
                <w:rFonts w:ascii="Times New Roman" w:hAnsi="Times New Roman" w:cs="Times New Roman"/>
                <w:b w:val="0"/>
                <w:bCs w:val="0"/>
                <w:noProof/>
                <w:webHidden/>
                <w:sz w:val="24"/>
                <w:szCs w:val="24"/>
              </w:rPr>
              <w:fldChar w:fldCharType="end"/>
            </w:r>
          </w:hyperlink>
        </w:p>
        <w:p w14:paraId="5448123F" w14:textId="2212415D" w:rsidR="002D5685" w:rsidRPr="009E2C69" w:rsidRDefault="002D5685" w:rsidP="009E2C69">
          <w:pPr>
            <w:pStyle w:val="TOC1"/>
            <w:tabs>
              <w:tab w:val="right" w:leader="dot" w:pos="9062"/>
            </w:tabs>
            <w:spacing w:before="120"/>
            <w:ind w:left="0"/>
            <w:rPr>
              <w:rStyle w:val="Hyperlink"/>
              <w:rFonts w:ascii="Times New Roman" w:hAnsi="Times New Roman" w:cs="Times New Roman"/>
              <w:b w:val="0"/>
              <w:bCs w:val="0"/>
              <w:noProof/>
              <w:color w:val="215E99" w:themeColor="text2" w:themeTint="BF"/>
            </w:rPr>
          </w:pPr>
          <w:hyperlink w:anchor="_Toc241753070" w:history="1">
            <w:r w:rsidRPr="009E2C69">
              <w:rPr>
                <w:rStyle w:val="Hyperlink"/>
                <w:rFonts w:ascii="Times New Roman" w:hAnsi="Times New Roman" w:cs="Times New Roman"/>
                <w:b w:val="0"/>
                <w:bCs w:val="0"/>
                <w:noProof/>
                <w:color w:val="215E99" w:themeColor="text2" w:themeTint="BF"/>
              </w:rPr>
              <w:t>4. Kompetento iestāžu daudzpusējais nolīgums</w:t>
            </w:r>
            <w:r w:rsidRPr="009E2C69">
              <w:rPr>
                <w:rFonts w:ascii="Times New Roman" w:hAnsi="Times New Roman" w:cs="Times New Roman"/>
                <w:b w:val="0"/>
                <w:bCs w:val="0"/>
                <w:noProof/>
                <w:webHidden/>
                <w:color w:val="215E99" w:themeColor="text2" w:themeTint="BF"/>
              </w:rPr>
              <w:tab/>
            </w:r>
            <w:r w:rsidRPr="009E2C69">
              <w:rPr>
                <w:rFonts w:ascii="Times New Roman" w:hAnsi="Times New Roman" w:cs="Times New Roman"/>
                <w:b w:val="0"/>
                <w:bCs w:val="0"/>
                <w:noProof/>
                <w:webHidden/>
                <w:color w:val="215E99" w:themeColor="text2" w:themeTint="BF"/>
              </w:rPr>
              <w:fldChar w:fldCharType="begin"/>
            </w:r>
            <w:r w:rsidRPr="009E2C69">
              <w:rPr>
                <w:rFonts w:ascii="Times New Roman" w:hAnsi="Times New Roman" w:cs="Times New Roman"/>
                <w:b w:val="0"/>
                <w:bCs w:val="0"/>
                <w:noProof/>
                <w:webHidden/>
                <w:color w:val="215E99" w:themeColor="text2" w:themeTint="BF"/>
              </w:rPr>
              <w:instrText xml:space="preserve"> PAGEREF _Toc241753070 \h </w:instrText>
            </w:r>
            <w:r w:rsidRPr="009E2C69">
              <w:rPr>
                <w:rFonts w:ascii="Times New Roman" w:hAnsi="Times New Roman" w:cs="Times New Roman"/>
                <w:b w:val="0"/>
                <w:bCs w:val="0"/>
                <w:noProof/>
                <w:webHidden/>
                <w:color w:val="215E99" w:themeColor="text2" w:themeTint="BF"/>
              </w:rPr>
            </w:r>
            <w:r w:rsidRPr="009E2C69">
              <w:rPr>
                <w:rFonts w:ascii="Times New Roman" w:hAnsi="Times New Roman" w:cs="Times New Roman"/>
                <w:b w:val="0"/>
                <w:bCs w:val="0"/>
                <w:noProof/>
                <w:webHidden/>
                <w:color w:val="215E99" w:themeColor="text2" w:themeTint="BF"/>
              </w:rPr>
              <w:fldChar w:fldCharType="separate"/>
            </w:r>
            <w:r w:rsidRPr="009E2C69">
              <w:rPr>
                <w:rFonts w:ascii="Times New Roman" w:hAnsi="Times New Roman" w:cs="Times New Roman"/>
                <w:b w:val="0"/>
                <w:bCs w:val="0"/>
                <w:noProof/>
                <w:webHidden/>
                <w:color w:val="215E99" w:themeColor="text2" w:themeTint="BF"/>
              </w:rPr>
              <w:t>73</w:t>
            </w:r>
            <w:r w:rsidRPr="009E2C69">
              <w:rPr>
                <w:rFonts w:ascii="Times New Roman" w:hAnsi="Times New Roman" w:cs="Times New Roman"/>
                <w:b w:val="0"/>
                <w:bCs w:val="0"/>
                <w:noProof/>
                <w:webHidden/>
                <w:color w:val="215E99" w:themeColor="text2" w:themeTint="BF"/>
              </w:rPr>
              <w:fldChar w:fldCharType="end"/>
            </w:r>
          </w:hyperlink>
        </w:p>
        <w:p w14:paraId="1B184CEB" w14:textId="7BB76A33" w:rsidR="009E2C69" w:rsidRDefault="009E2C69" w:rsidP="009E2C69">
          <w:pPr>
            <w:pStyle w:val="TOC1"/>
            <w:tabs>
              <w:tab w:val="right" w:leader="dot" w:pos="9062"/>
            </w:tabs>
            <w:spacing w:before="120"/>
            <w:ind w:left="0"/>
            <w:rPr>
              <w:rStyle w:val="Hyperlink"/>
              <w:rFonts w:ascii="Times New Roman" w:hAnsi="Times New Roman" w:cs="Times New Roman"/>
              <w:b w:val="0"/>
              <w:bCs w:val="0"/>
              <w:noProof/>
              <w:color w:val="215E99" w:themeColor="text2" w:themeTint="BF"/>
            </w:rPr>
          </w:pPr>
          <w:hyperlink w:anchor="_Toc241753070" w:history="1">
            <w:r w:rsidRPr="009E2C69">
              <w:rPr>
                <w:rStyle w:val="Hyperlink"/>
                <w:rFonts w:ascii="Times New Roman" w:hAnsi="Times New Roman" w:cs="Times New Roman"/>
                <w:b w:val="0"/>
                <w:bCs w:val="0"/>
                <w:noProof/>
                <w:color w:val="215E99" w:themeColor="text2" w:themeTint="BF"/>
              </w:rPr>
              <w:t>5</w:t>
            </w:r>
            <w:r w:rsidRPr="009E2C69">
              <w:rPr>
                <w:rStyle w:val="Hyperlink"/>
                <w:rFonts w:ascii="Times New Roman" w:hAnsi="Times New Roman" w:cs="Times New Roman"/>
                <w:b w:val="0"/>
                <w:bCs w:val="0"/>
                <w:noProof/>
                <w:color w:val="215E99" w:themeColor="text2" w:themeTint="BF"/>
              </w:rPr>
              <w:t xml:space="preserve">. </w:t>
            </w:r>
            <w:r w:rsidRPr="009E2C69">
              <w:rPr>
                <w:rStyle w:val="Hyperlink"/>
                <w:rFonts w:ascii="Times New Roman" w:hAnsi="Times New Roman" w:cs="Times New Roman"/>
                <w:b w:val="0"/>
                <w:bCs w:val="0"/>
                <w:noProof/>
                <w:color w:val="215E99" w:themeColor="text2" w:themeTint="BF"/>
              </w:rPr>
              <w:t xml:space="preserve">Komentāri par </w:t>
            </w:r>
            <w:r w:rsidRPr="009E2C69">
              <w:rPr>
                <w:rStyle w:val="Hyperlink"/>
                <w:rFonts w:ascii="Times New Roman" w:hAnsi="Times New Roman" w:cs="Times New Roman"/>
                <w:b w:val="0"/>
                <w:bCs w:val="0"/>
                <w:noProof/>
                <w:color w:val="215E99" w:themeColor="text2" w:themeTint="BF"/>
              </w:rPr>
              <w:t>Kompetento iestāžu daudzpusēj</w:t>
            </w:r>
            <w:r w:rsidRPr="009E2C69">
              <w:rPr>
                <w:rStyle w:val="Hyperlink"/>
                <w:rFonts w:ascii="Times New Roman" w:hAnsi="Times New Roman" w:cs="Times New Roman"/>
                <w:b w:val="0"/>
                <w:bCs w:val="0"/>
                <w:noProof/>
                <w:color w:val="215E99" w:themeColor="text2" w:themeTint="BF"/>
              </w:rPr>
              <w:t>o</w:t>
            </w:r>
            <w:r w:rsidRPr="009E2C69">
              <w:rPr>
                <w:rStyle w:val="Hyperlink"/>
                <w:rFonts w:ascii="Times New Roman" w:hAnsi="Times New Roman" w:cs="Times New Roman"/>
                <w:b w:val="0"/>
                <w:bCs w:val="0"/>
                <w:noProof/>
                <w:color w:val="215E99" w:themeColor="text2" w:themeTint="BF"/>
              </w:rPr>
              <w:t xml:space="preserve"> nolīgum</w:t>
            </w:r>
            <w:r w:rsidRPr="009E2C69">
              <w:rPr>
                <w:rStyle w:val="Hyperlink"/>
                <w:rFonts w:ascii="Times New Roman" w:hAnsi="Times New Roman" w:cs="Times New Roman"/>
                <w:b w:val="0"/>
                <w:bCs w:val="0"/>
                <w:noProof/>
                <w:color w:val="215E99" w:themeColor="text2" w:themeTint="BF"/>
              </w:rPr>
              <w:t>u</w:t>
            </w:r>
            <w:r w:rsidRPr="009E2C69">
              <w:rPr>
                <w:rFonts w:ascii="Times New Roman" w:hAnsi="Times New Roman" w:cs="Times New Roman"/>
                <w:b w:val="0"/>
                <w:bCs w:val="0"/>
                <w:noProof/>
                <w:webHidden/>
                <w:color w:val="215E99" w:themeColor="text2" w:themeTint="BF"/>
              </w:rPr>
              <w:tab/>
            </w:r>
            <w:r w:rsidR="007A4D18">
              <w:rPr>
                <w:rFonts w:ascii="Times New Roman" w:hAnsi="Times New Roman" w:cs="Times New Roman"/>
                <w:b w:val="0"/>
                <w:bCs w:val="0"/>
                <w:noProof/>
                <w:webHidden/>
                <w:color w:val="215E99" w:themeColor="text2" w:themeTint="BF"/>
              </w:rPr>
              <w:t>80</w:t>
            </w:r>
          </w:hyperlink>
        </w:p>
        <w:p w14:paraId="52818A7D" w14:textId="22719A71" w:rsidR="009E2C69" w:rsidRPr="007A4D18" w:rsidRDefault="009E2C69" w:rsidP="00017B97">
          <w:pPr>
            <w:pStyle w:val="TOC1"/>
            <w:tabs>
              <w:tab w:val="right" w:leader="dot" w:pos="9062"/>
            </w:tabs>
            <w:spacing w:before="60"/>
            <w:ind w:left="284"/>
            <w:rPr>
              <w:rStyle w:val="Hyperlink"/>
              <w:rFonts w:ascii="Times New Roman" w:eastAsiaTheme="minorEastAsia" w:hAnsi="Times New Roman" w:cs="Times New Roman"/>
              <w:b w:val="0"/>
              <w:bCs w:val="0"/>
              <w:noProof/>
              <w:color w:val="auto"/>
              <w:kern w:val="2"/>
              <w:sz w:val="24"/>
              <w:szCs w:val="24"/>
              <w:u w:val="none"/>
              <w:lang w:val="en-US"/>
              <w14:ligatures w14:val="standardContextual"/>
            </w:rPr>
          </w:pPr>
          <w:hyperlink w:anchor="_Toc241753083" w:history="1">
            <w:r w:rsidR="007A4D18">
              <w:rPr>
                <w:rStyle w:val="Hyperlink"/>
                <w:rFonts w:ascii="Times New Roman" w:hAnsi="Times New Roman" w:cs="Times New Roman"/>
                <w:b w:val="0"/>
                <w:bCs w:val="0"/>
                <w:noProof/>
                <w:sz w:val="24"/>
                <w:szCs w:val="24"/>
              </w:rPr>
              <w:t>Ievads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_Toc241753083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8</w:t>
            </w:r>
            <w:r w:rsidR="007A4D18">
              <w:rPr>
                <w:rFonts w:ascii="Times New Roman" w:hAnsi="Times New Roman" w:cs="Times New Roman"/>
                <w:b w:val="0"/>
                <w:bCs w:val="0"/>
                <w:noProof/>
                <w:webHidden/>
                <w:sz w:val="24"/>
                <w:szCs w:val="24"/>
              </w:rPr>
              <w:t>0</w:t>
            </w:r>
            <w:r w:rsidRPr="00A84FEA">
              <w:rPr>
                <w:rFonts w:ascii="Times New Roman" w:hAnsi="Times New Roman" w:cs="Times New Roman"/>
                <w:b w:val="0"/>
                <w:bCs w:val="0"/>
                <w:noProof/>
                <w:webHidden/>
                <w:sz w:val="24"/>
                <w:szCs w:val="24"/>
              </w:rPr>
              <w:fldChar w:fldCharType="end"/>
            </w:r>
          </w:hyperlink>
        </w:p>
        <w:p w14:paraId="1996EF33" w14:textId="3F5CC221"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83" w:history="1">
            <w:r w:rsidRPr="00A84FEA">
              <w:rPr>
                <w:rStyle w:val="Hyperlink"/>
                <w:rFonts w:ascii="Times New Roman" w:hAnsi="Times New Roman" w:cs="Times New Roman"/>
                <w:b w:val="0"/>
                <w:bCs w:val="0"/>
                <w:noProof/>
                <w:sz w:val="24"/>
                <w:szCs w:val="24"/>
              </w:rPr>
              <w:t>Komentāri par deklar</w:t>
            </w:r>
            <w:r w:rsidRPr="00A84FEA">
              <w:rPr>
                <w:rStyle w:val="Hyperlink"/>
                <w:rFonts w:ascii="Times New Roman" w:hAnsi="Times New Roman" w:cs="Times New Roman"/>
                <w:b w:val="0"/>
                <w:bCs w:val="0"/>
                <w:noProof/>
                <w:sz w:val="24"/>
                <w:szCs w:val="24"/>
              </w:rPr>
              <w:t>ā</w:t>
            </w:r>
            <w:r w:rsidRPr="00A84FEA">
              <w:rPr>
                <w:rStyle w:val="Hyperlink"/>
                <w:rFonts w:ascii="Times New Roman" w:hAnsi="Times New Roman" w:cs="Times New Roman"/>
                <w:b w:val="0"/>
                <w:bCs w:val="0"/>
                <w:noProof/>
                <w:sz w:val="24"/>
                <w:szCs w:val="24"/>
              </w:rPr>
              <w:t>ciju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_Toc241753083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81</w:t>
            </w:r>
            <w:r w:rsidRPr="00A84FEA">
              <w:rPr>
                <w:rFonts w:ascii="Times New Roman" w:hAnsi="Times New Roman" w:cs="Times New Roman"/>
                <w:b w:val="0"/>
                <w:bCs w:val="0"/>
                <w:noProof/>
                <w:webHidden/>
                <w:sz w:val="24"/>
                <w:szCs w:val="24"/>
              </w:rPr>
              <w:fldChar w:fldCharType="end"/>
            </w:r>
          </w:hyperlink>
        </w:p>
        <w:p w14:paraId="4E6325D5" w14:textId="0B2A6657"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84" w:history="1">
            <w:r w:rsidRPr="00A84FEA">
              <w:rPr>
                <w:rStyle w:val="Hyperlink"/>
                <w:rFonts w:ascii="Times New Roman" w:hAnsi="Times New Roman" w:cs="Times New Roman"/>
                <w:b w:val="0"/>
                <w:bCs w:val="0"/>
                <w:noProof/>
                <w:sz w:val="24"/>
                <w:szCs w:val="24"/>
              </w:rPr>
              <w:t>Komentāri par preambulu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_Toc241753084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81</w:t>
            </w:r>
            <w:r w:rsidRPr="00A84FEA">
              <w:rPr>
                <w:rFonts w:ascii="Times New Roman" w:hAnsi="Times New Roman" w:cs="Times New Roman"/>
                <w:b w:val="0"/>
                <w:bCs w:val="0"/>
                <w:noProof/>
                <w:webHidden/>
                <w:sz w:val="24"/>
                <w:szCs w:val="24"/>
              </w:rPr>
              <w:fldChar w:fldCharType="end"/>
            </w:r>
          </w:hyperlink>
        </w:p>
        <w:p w14:paraId="4CAF3FF5" w14:textId="73A1F8AF"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85" w:history="1">
            <w:r w:rsidRPr="00A84FEA">
              <w:rPr>
                <w:rStyle w:val="Hyperlink"/>
                <w:rFonts w:ascii="Times New Roman" w:hAnsi="Times New Roman" w:cs="Times New Roman"/>
                <w:b w:val="0"/>
                <w:bCs w:val="0"/>
                <w:noProof/>
                <w:sz w:val="24"/>
                <w:szCs w:val="24"/>
              </w:rPr>
              <w:t>Komentāri par 1. pantu attiecībā uz definīcijām</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_Toc241753085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82</w:t>
            </w:r>
            <w:r w:rsidRPr="00A84FEA">
              <w:rPr>
                <w:rFonts w:ascii="Times New Roman" w:hAnsi="Times New Roman" w:cs="Times New Roman"/>
                <w:b w:val="0"/>
                <w:bCs w:val="0"/>
                <w:noProof/>
                <w:webHidden/>
                <w:sz w:val="24"/>
                <w:szCs w:val="24"/>
              </w:rPr>
              <w:fldChar w:fldCharType="end"/>
            </w:r>
          </w:hyperlink>
        </w:p>
        <w:p w14:paraId="7A358333" w14:textId="2DA33964"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86" w:history="1">
            <w:r w:rsidRPr="00A84FEA">
              <w:rPr>
                <w:rStyle w:val="Hyperlink"/>
                <w:rFonts w:ascii="Times New Roman" w:hAnsi="Times New Roman" w:cs="Times New Roman"/>
                <w:b w:val="0"/>
                <w:bCs w:val="0"/>
                <w:noProof/>
                <w:sz w:val="24"/>
                <w:szCs w:val="24"/>
              </w:rPr>
              <w:t>Komentāri par 2. pantu – par informācijas apmaiņu attiecībā uz personām, par kurām jāsniedz ziņojums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_Toc241753086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83</w:t>
            </w:r>
            <w:r w:rsidRPr="00A84FEA">
              <w:rPr>
                <w:rFonts w:ascii="Times New Roman" w:hAnsi="Times New Roman" w:cs="Times New Roman"/>
                <w:b w:val="0"/>
                <w:bCs w:val="0"/>
                <w:noProof/>
                <w:webHidden/>
                <w:sz w:val="24"/>
                <w:szCs w:val="24"/>
              </w:rPr>
              <w:fldChar w:fldCharType="end"/>
            </w:r>
          </w:hyperlink>
        </w:p>
        <w:p w14:paraId="71F73CA0" w14:textId="7161F71D"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87" w:history="1">
            <w:r w:rsidRPr="00A84FEA">
              <w:rPr>
                <w:rStyle w:val="Hyperlink"/>
                <w:rFonts w:ascii="Times New Roman" w:hAnsi="Times New Roman" w:cs="Times New Roman"/>
                <w:b w:val="0"/>
                <w:bCs w:val="0"/>
                <w:noProof/>
                <w:sz w:val="24"/>
                <w:szCs w:val="24"/>
              </w:rPr>
              <w:t>Komentāri par 3. pantu – par informācijas apmaiņas laiku un veidu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_Toc241753087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83</w:t>
            </w:r>
            <w:r w:rsidRPr="00A84FEA">
              <w:rPr>
                <w:rFonts w:ascii="Times New Roman" w:hAnsi="Times New Roman" w:cs="Times New Roman"/>
                <w:b w:val="0"/>
                <w:bCs w:val="0"/>
                <w:noProof/>
                <w:webHidden/>
                <w:sz w:val="24"/>
                <w:szCs w:val="24"/>
              </w:rPr>
              <w:fldChar w:fldCharType="end"/>
            </w:r>
          </w:hyperlink>
        </w:p>
        <w:p w14:paraId="34DDC521" w14:textId="21AD1ACC"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88" w:history="1">
            <w:r w:rsidRPr="00A84FEA">
              <w:rPr>
                <w:rStyle w:val="Hyperlink"/>
                <w:rFonts w:ascii="Times New Roman" w:hAnsi="Times New Roman" w:cs="Times New Roman"/>
                <w:b w:val="0"/>
                <w:bCs w:val="0"/>
                <w:noProof/>
                <w:sz w:val="24"/>
                <w:szCs w:val="24"/>
              </w:rPr>
              <w:t>Komentāri par 4. pantu – par sadarbību atbilstības nodrošināšanas un izpildes jomā</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_Toc241753088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84</w:t>
            </w:r>
            <w:r w:rsidRPr="00A84FEA">
              <w:rPr>
                <w:rFonts w:ascii="Times New Roman" w:hAnsi="Times New Roman" w:cs="Times New Roman"/>
                <w:b w:val="0"/>
                <w:bCs w:val="0"/>
                <w:noProof/>
                <w:webHidden/>
                <w:sz w:val="24"/>
                <w:szCs w:val="24"/>
              </w:rPr>
              <w:fldChar w:fldCharType="end"/>
            </w:r>
          </w:hyperlink>
        </w:p>
        <w:p w14:paraId="3AE05855" w14:textId="0B934BE1"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89" w:history="1">
            <w:r w:rsidRPr="00A84FEA">
              <w:rPr>
                <w:rStyle w:val="Hyperlink"/>
                <w:rFonts w:ascii="Times New Roman" w:hAnsi="Times New Roman" w:cs="Times New Roman"/>
                <w:b w:val="0"/>
                <w:bCs w:val="0"/>
                <w:noProof/>
                <w:sz w:val="24"/>
                <w:szCs w:val="24"/>
              </w:rPr>
              <w:t>Komentāri par 5. pantu – par konfidencialitāti un datu aizsardzības pasākumiem</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_Toc241753089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85</w:t>
            </w:r>
            <w:r w:rsidRPr="00A84FEA">
              <w:rPr>
                <w:rFonts w:ascii="Times New Roman" w:hAnsi="Times New Roman" w:cs="Times New Roman"/>
                <w:b w:val="0"/>
                <w:bCs w:val="0"/>
                <w:noProof/>
                <w:webHidden/>
                <w:sz w:val="24"/>
                <w:szCs w:val="24"/>
              </w:rPr>
              <w:fldChar w:fldCharType="end"/>
            </w:r>
          </w:hyperlink>
        </w:p>
        <w:p w14:paraId="4BA98A72" w14:textId="2AB31C51"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90" w:history="1">
            <w:r w:rsidRPr="00A84FEA">
              <w:rPr>
                <w:rStyle w:val="Hyperlink"/>
                <w:rFonts w:ascii="Times New Roman" w:hAnsi="Times New Roman" w:cs="Times New Roman"/>
                <w:b w:val="0"/>
                <w:bCs w:val="0"/>
                <w:noProof/>
                <w:sz w:val="24"/>
                <w:szCs w:val="24"/>
              </w:rPr>
              <w:t>Komentāri par 6. pantu – par konsultācijām un grozījumiem</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_Toc241753090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89</w:t>
            </w:r>
            <w:r w:rsidRPr="00A84FEA">
              <w:rPr>
                <w:rFonts w:ascii="Times New Roman" w:hAnsi="Times New Roman" w:cs="Times New Roman"/>
                <w:b w:val="0"/>
                <w:bCs w:val="0"/>
                <w:noProof/>
                <w:webHidden/>
                <w:sz w:val="24"/>
                <w:szCs w:val="24"/>
              </w:rPr>
              <w:fldChar w:fldCharType="end"/>
            </w:r>
          </w:hyperlink>
        </w:p>
        <w:p w14:paraId="423121E3" w14:textId="4ACA3821"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91" w:history="1">
            <w:r w:rsidRPr="00A84FEA">
              <w:rPr>
                <w:rStyle w:val="Hyperlink"/>
                <w:rFonts w:ascii="Times New Roman" w:hAnsi="Times New Roman" w:cs="Times New Roman"/>
                <w:b w:val="0"/>
                <w:bCs w:val="0"/>
                <w:noProof/>
                <w:sz w:val="24"/>
                <w:szCs w:val="24"/>
              </w:rPr>
              <w:t>Komentāri par 7. pantu – par vispārīgiem noteikumiem</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_Toc241753091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90</w:t>
            </w:r>
            <w:r w:rsidRPr="00A84FEA">
              <w:rPr>
                <w:rFonts w:ascii="Times New Roman" w:hAnsi="Times New Roman" w:cs="Times New Roman"/>
                <w:b w:val="0"/>
                <w:bCs w:val="0"/>
                <w:noProof/>
                <w:webHidden/>
                <w:sz w:val="24"/>
                <w:szCs w:val="24"/>
              </w:rPr>
              <w:fldChar w:fldCharType="end"/>
            </w:r>
          </w:hyperlink>
        </w:p>
        <w:p w14:paraId="71EDDF92" w14:textId="63AF0D7C" w:rsidR="002D5685" w:rsidRPr="00A84FEA" w:rsidRDefault="002D5685" w:rsidP="00017B97">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92" w:history="1">
            <w:r w:rsidRPr="00A84FEA">
              <w:rPr>
                <w:rStyle w:val="Hyperlink"/>
                <w:rFonts w:ascii="Times New Roman" w:hAnsi="Times New Roman" w:cs="Times New Roman"/>
                <w:b w:val="0"/>
                <w:bCs w:val="0"/>
                <w:noProof/>
                <w:sz w:val="24"/>
                <w:szCs w:val="24"/>
              </w:rPr>
              <w:t>Komentāri par 8. pantu – par koordinējošās institūcijas sekretariātu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_Toc241753092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93</w:t>
            </w:r>
            <w:r w:rsidRPr="00A84FEA">
              <w:rPr>
                <w:rFonts w:ascii="Times New Roman" w:hAnsi="Times New Roman" w:cs="Times New Roman"/>
                <w:b w:val="0"/>
                <w:bCs w:val="0"/>
                <w:noProof/>
                <w:webHidden/>
                <w:sz w:val="24"/>
                <w:szCs w:val="24"/>
              </w:rPr>
              <w:fldChar w:fldCharType="end"/>
            </w:r>
          </w:hyperlink>
        </w:p>
        <w:p w14:paraId="4DA6E9A3" w14:textId="5559913B" w:rsidR="002D5685" w:rsidRDefault="002D5685" w:rsidP="00017B97">
          <w:pPr>
            <w:pStyle w:val="TOC1"/>
            <w:tabs>
              <w:tab w:val="right" w:leader="dot" w:pos="9062"/>
            </w:tabs>
            <w:spacing w:before="60"/>
            <w:ind w:left="284"/>
            <w:rPr>
              <w:rStyle w:val="Hyperlink"/>
              <w:rFonts w:ascii="Times New Roman" w:hAnsi="Times New Roman" w:cs="Times New Roman"/>
              <w:b w:val="0"/>
              <w:bCs w:val="0"/>
              <w:noProof/>
              <w:sz w:val="24"/>
              <w:szCs w:val="24"/>
            </w:rPr>
          </w:pPr>
          <w:hyperlink w:anchor="_Toc241753093" w:history="1">
            <w:r w:rsidRPr="00A84FEA">
              <w:rPr>
                <w:rStyle w:val="Hyperlink"/>
                <w:rFonts w:ascii="Times New Roman" w:hAnsi="Times New Roman" w:cs="Times New Roman"/>
                <w:b w:val="0"/>
                <w:bCs w:val="0"/>
                <w:noProof/>
                <w:sz w:val="24"/>
                <w:szCs w:val="24"/>
              </w:rPr>
              <w:t>Piezīme</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_Toc241753093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93</w:t>
            </w:r>
            <w:r w:rsidRPr="00A84FEA">
              <w:rPr>
                <w:rFonts w:ascii="Times New Roman" w:hAnsi="Times New Roman" w:cs="Times New Roman"/>
                <w:b w:val="0"/>
                <w:bCs w:val="0"/>
                <w:noProof/>
                <w:webHidden/>
                <w:sz w:val="24"/>
                <w:szCs w:val="24"/>
              </w:rPr>
              <w:fldChar w:fldCharType="end"/>
            </w:r>
          </w:hyperlink>
        </w:p>
        <w:p w14:paraId="175DE6F6" w14:textId="7B53E3F9" w:rsidR="002D5685" w:rsidRPr="00126B4F" w:rsidRDefault="002D5685" w:rsidP="00017B97">
          <w:pPr>
            <w:pStyle w:val="TOC1"/>
            <w:tabs>
              <w:tab w:val="right" w:leader="dot" w:pos="9062"/>
            </w:tabs>
            <w:spacing w:before="120"/>
            <w:ind w:left="0"/>
            <w:rPr>
              <w:rStyle w:val="Hyperlink"/>
              <w:rFonts w:ascii="Times New Roman" w:hAnsi="Times New Roman" w:cs="Times New Roman"/>
              <w:noProof/>
              <w:color w:val="215E99" w:themeColor="text2" w:themeTint="BF"/>
              <w:sz w:val="32"/>
              <w:szCs w:val="32"/>
            </w:rPr>
          </w:pPr>
          <w:hyperlink w:anchor="_Toc241753094" w:history="1">
            <w:r w:rsidRPr="00126B4F">
              <w:rPr>
                <w:rStyle w:val="Hyperlink"/>
                <w:rFonts w:ascii="Times New Roman" w:hAnsi="Times New Roman" w:cs="Times New Roman"/>
                <w:noProof/>
                <w:color w:val="215E99" w:themeColor="text2" w:themeTint="BF"/>
                <w:sz w:val="32"/>
                <w:szCs w:val="32"/>
              </w:rPr>
              <w:t>II daļa. Kopējā ziņošanas standarta grozījumi</w:t>
            </w:r>
            <w:r w:rsidRPr="00126B4F">
              <w:rPr>
                <w:rFonts w:ascii="Times New Roman" w:hAnsi="Times New Roman" w:cs="Times New Roman"/>
                <w:noProof/>
                <w:webHidden/>
                <w:color w:val="215E99" w:themeColor="text2" w:themeTint="BF"/>
                <w:sz w:val="32"/>
                <w:szCs w:val="32"/>
              </w:rPr>
              <w:tab/>
            </w:r>
            <w:r w:rsidRPr="00126B4F">
              <w:rPr>
                <w:rFonts w:ascii="Times New Roman" w:hAnsi="Times New Roman" w:cs="Times New Roman"/>
                <w:noProof/>
                <w:webHidden/>
                <w:color w:val="215E99" w:themeColor="text2" w:themeTint="BF"/>
                <w:sz w:val="32"/>
                <w:szCs w:val="32"/>
              </w:rPr>
              <w:fldChar w:fldCharType="begin"/>
            </w:r>
            <w:r w:rsidRPr="00126B4F">
              <w:rPr>
                <w:rFonts w:ascii="Times New Roman" w:hAnsi="Times New Roman" w:cs="Times New Roman"/>
                <w:noProof/>
                <w:webHidden/>
                <w:color w:val="215E99" w:themeColor="text2" w:themeTint="BF"/>
                <w:sz w:val="32"/>
                <w:szCs w:val="32"/>
              </w:rPr>
              <w:instrText xml:space="preserve"> PAGEREF _Toc241753094 \h </w:instrText>
            </w:r>
            <w:r w:rsidRPr="00126B4F">
              <w:rPr>
                <w:rFonts w:ascii="Times New Roman" w:hAnsi="Times New Roman" w:cs="Times New Roman"/>
                <w:noProof/>
                <w:webHidden/>
                <w:color w:val="215E99" w:themeColor="text2" w:themeTint="BF"/>
                <w:sz w:val="32"/>
                <w:szCs w:val="32"/>
              </w:rPr>
            </w:r>
            <w:r w:rsidRPr="00126B4F">
              <w:rPr>
                <w:rFonts w:ascii="Times New Roman" w:hAnsi="Times New Roman" w:cs="Times New Roman"/>
                <w:noProof/>
                <w:webHidden/>
                <w:color w:val="215E99" w:themeColor="text2" w:themeTint="BF"/>
                <w:sz w:val="32"/>
                <w:szCs w:val="32"/>
              </w:rPr>
              <w:fldChar w:fldCharType="separate"/>
            </w:r>
            <w:r w:rsidRPr="00126B4F">
              <w:rPr>
                <w:rFonts w:ascii="Times New Roman" w:hAnsi="Times New Roman" w:cs="Times New Roman"/>
                <w:noProof/>
                <w:webHidden/>
                <w:color w:val="215E99" w:themeColor="text2" w:themeTint="BF"/>
                <w:sz w:val="32"/>
                <w:szCs w:val="32"/>
              </w:rPr>
              <w:t>94</w:t>
            </w:r>
            <w:r w:rsidRPr="00126B4F">
              <w:rPr>
                <w:rFonts w:ascii="Times New Roman" w:hAnsi="Times New Roman" w:cs="Times New Roman"/>
                <w:noProof/>
                <w:webHidden/>
                <w:color w:val="215E99" w:themeColor="text2" w:themeTint="BF"/>
                <w:sz w:val="32"/>
                <w:szCs w:val="32"/>
              </w:rPr>
              <w:fldChar w:fldCharType="end"/>
            </w:r>
          </w:hyperlink>
        </w:p>
        <w:p w14:paraId="50B7043F" w14:textId="599A6443" w:rsidR="00C343BB" w:rsidRPr="00017B97" w:rsidRDefault="00C343BB" w:rsidP="00017B97">
          <w:pPr>
            <w:pStyle w:val="TOC1"/>
            <w:tabs>
              <w:tab w:val="right" w:leader="dot" w:pos="9062"/>
            </w:tabs>
            <w:spacing w:before="120"/>
            <w:ind w:left="0"/>
            <w:rPr>
              <w:rStyle w:val="Hyperlink"/>
              <w:rFonts w:ascii="Times New Roman" w:hAnsi="Times New Roman" w:cs="Times New Roman"/>
              <w:b w:val="0"/>
              <w:bCs w:val="0"/>
              <w:noProof/>
            </w:rPr>
          </w:pPr>
          <w:hyperlink w:anchor="_Toc241753094" w:history="1">
            <w:r w:rsidRPr="00017B97">
              <w:rPr>
                <w:rStyle w:val="Hyperlink"/>
                <w:rFonts w:ascii="Times New Roman" w:hAnsi="Times New Roman" w:cs="Times New Roman"/>
                <w:b w:val="0"/>
                <w:bCs w:val="0"/>
                <w:noProof/>
                <w:color w:val="215E99" w:themeColor="text2" w:themeTint="BF"/>
              </w:rPr>
              <w:t>1</w:t>
            </w:r>
            <w:r w:rsidRPr="00017B97">
              <w:rPr>
                <w:rStyle w:val="Hyperlink"/>
                <w:rFonts w:ascii="Times New Roman" w:hAnsi="Times New Roman" w:cs="Times New Roman"/>
                <w:b w:val="0"/>
                <w:bCs w:val="0"/>
                <w:noProof/>
                <w:color w:val="215E99" w:themeColor="text2" w:themeTint="BF"/>
              </w:rPr>
              <w:t>.</w:t>
            </w:r>
            <w:r w:rsidRPr="00017B97">
              <w:rPr>
                <w:rStyle w:val="Hyperlink"/>
                <w:rFonts w:ascii="Times New Roman" w:hAnsi="Times New Roman" w:cs="Times New Roman"/>
                <w:b w:val="0"/>
                <w:bCs w:val="0"/>
                <w:noProof/>
                <w:color w:val="215E99" w:themeColor="text2" w:themeTint="BF"/>
              </w:rPr>
              <w:t xml:space="preserve"> Ievads</w:t>
            </w:r>
            <w:r w:rsidRPr="00017B97">
              <w:rPr>
                <w:rFonts w:ascii="Times New Roman" w:hAnsi="Times New Roman" w:cs="Times New Roman"/>
                <w:b w:val="0"/>
                <w:bCs w:val="0"/>
                <w:noProof/>
                <w:webHidden/>
                <w:color w:val="215E99" w:themeColor="text2" w:themeTint="BF"/>
              </w:rPr>
              <w:tab/>
            </w:r>
            <w:r w:rsidRPr="00017B97">
              <w:rPr>
                <w:rFonts w:ascii="Times New Roman" w:hAnsi="Times New Roman" w:cs="Times New Roman"/>
                <w:b w:val="0"/>
                <w:bCs w:val="0"/>
                <w:noProof/>
                <w:webHidden/>
                <w:color w:val="215E99" w:themeColor="text2" w:themeTint="BF"/>
              </w:rPr>
              <w:fldChar w:fldCharType="begin"/>
            </w:r>
            <w:r w:rsidRPr="00017B97">
              <w:rPr>
                <w:rFonts w:ascii="Times New Roman" w:hAnsi="Times New Roman" w:cs="Times New Roman"/>
                <w:b w:val="0"/>
                <w:bCs w:val="0"/>
                <w:noProof/>
                <w:webHidden/>
                <w:color w:val="215E99" w:themeColor="text2" w:themeTint="BF"/>
              </w:rPr>
              <w:instrText xml:space="preserve"> PAGEREF _Toc241753094 \h </w:instrText>
            </w:r>
            <w:r w:rsidRPr="00017B97">
              <w:rPr>
                <w:rFonts w:ascii="Times New Roman" w:hAnsi="Times New Roman" w:cs="Times New Roman"/>
                <w:b w:val="0"/>
                <w:bCs w:val="0"/>
                <w:noProof/>
                <w:webHidden/>
                <w:color w:val="215E99" w:themeColor="text2" w:themeTint="BF"/>
              </w:rPr>
            </w:r>
            <w:r w:rsidRPr="00017B97">
              <w:rPr>
                <w:rFonts w:ascii="Times New Roman" w:hAnsi="Times New Roman" w:cs="Times New Roman"/>
                <w:b w:val="0"/>
                <w:bCs w:val="0"/>
                <w:noProof/>
                <w:webHidden/>
                <w:color w:val="215E99" w:themeColor="text2" w:themeTint="BF"/>
              </w:rPr>
              <w:fldChar w:fldCharType="separate"/>
            </w:r>
            <w:r w:rsidRPr="00017B97">
              <w:rPr>
                <w:rFonts w:ascii="Times New Roman" w:hAnsi="Times New Roman" w:cs="Times New Roman"/>
                <w:b w:val="0"/>
                <w:bCs w:val="0"/>
                <w:noProof/>
                <w:webHidden/>
                <w:color w:val="215E99" w:themeColor="text2" w:themeTint="BF"/>
              </w:rPr>
              <w:t>9</w:t>
            </w:r>
            <w:r w:rsidRPr="00017B97">
              <w:rPr>
                <w:rFonts w:ascii="Times New Roman" w:hAnsi="Times New Roman" w:cs="Times New Roman"/>
                <w:b w:val="0"/>
                <w:bCs w:val="0"/>
                <w:noProof/>
                <w:webHidden/>
                <w:color w:val="215E99" w:themeColor="text2" w:themeTint="BF"/>
              </w:rPr>
              <w:t>5</w:t>
            </w:r>
            <w:r w:rsidRPr="00017B97">
              <w:rPr>
                <w:rFonts w:ascii="Times New Roman" w:hAnsi="Times New Roman" w:cs="Times New Roman"/>
                <w:b w:val="0"/>
                <w:bCs w:val="0"/>
                <w:noProof/>
                <w:webHidden/>
                <w:color w:val="215E99" w:themeColor="text2" w:themeTint="BF"/>
              </w:rPr>
              <w:fldChar w:fldCharType="end"/>
            </w:r>
          </w:hyperlink>
        </w:p>
        <w:p w14:paraId="08722F8E" w14:textId="10F8BBCD" w:rsidR="002D5685" w:rsidRPr="00A84FEA" w:rsidRDefault="002D5685" w:rsidP="00017B97">
          <w:pPr>
            <w:pStyle w:val="TOC1"/>
            <w:tabs>
              <w:tab w:val="right" w:leader="dot" w:pos="9062"/>
            </w:tabs>
            <w:spacing w:before="60" w:after="60"/>
            <w:ind w:left="284"/>
            <w:rPr>
              <w:rFonts w:ascii="Times New Roman" w:eastAsiaTheme="minorEastAsia" w:hAnsi="Times New Roman" w:cs="Times New Roman"/>
              <w:b w:val="0"/>
              <w:bCs w:val="0"/>
              <w:noProof/>
              <w:kern w:val="2"/>
              <w:sz w:val="24"/>
              <w:szCs w:val="24"/>
              <w:lang w:val="en-US"/>
              <w14:ligatures w14:val="standardContextual"/>
            </w:rPr>
          </w:pPr>
          <w:hyperlink w:anchor="_Toc241753095" w:history="1">
            <w:r w:rsidRPr="00A84FEA">
              <w:rPr>
                <w:rStyle w:val="Hyperlink"/>
                <w:rFonts w:ascii="Times New Roman" w:hAnsi="Times New Roman" w:cs="Times New Roman"/>
                <w:b w:val="0"/>
                <w:bCs w:val="0"/>
                <w:noProof/>
                <w:sz w:val="24"/>
                <w:szCs w:val="24"/>
              </w:rPr>
              <w:t>Jau</w:t>
            </w:r>
            <w:r w:rsidRPr="00A84FEA">
              <w:rPr>
                <w:rStyle w:val="Hyperlink"/>
                <w:rFonts w:ascii="Times New Roman" w:hAnsi="Times New Roman" w:cs="Times New Roman"/>
                <w:b w:val="0"/>
                <w:bCs w:val="0"/>
                <w:noProof/>
                <w:sz w:val="24"/>
                <w:szCs w:val="24"/>
              </w:rPr>
              <w:t>n</w:t>
            </w:r>
            <w:r w:rsidRPr="00A84FEA">
              <w:rPr>
                <w:rStyle w:val="Hyperlink"/>
                <w:rFonts w:ascii="Times New Roman" w:hAnsi="Times New Roman" w:cs="Times New Roman"/>
                <w:b w:val="0"/>
                <w:bCs w:val="0"/>
                <w:noProof/>
                <w:sz w:val="24"/>
                <w:szCs w:val="24"/>
              </w:rPr>
              <w:t>u digitālo finanšu produktu iekļaušana</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_Toc241753095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95</w:t>
            </w:r>
            <w:r w:rsidRPr="00A84FEA">
              <w:rPr>
                <w:rFonts w:ascii="Times New Roman" w:hAnsi="Times New Roman" w:cs="Times New Roman"/>
                <w:b w:val="0"/>
                <w:bCs w:val="0"/>
                <w:noProof/>
                <w:webHidden/>
                <w:sz w:val="24"/>
                <w:szCs w:val="24"/>
              </w:rPr>
              <w:fldChar w:fldCharType="end"/>
            </w:r>
          </w:hyperlink>
        </w:p>
        <w:p w14:paraId="1F97194E" w14:textId="69606959" w:rsidR="002D5685" w:rsidRDefault="002D5685" w:rsidP="00017B97">
          <w:pPr>
            <w:pStyle w:val="TOC1"/>
            <w:tabs>
              <w:tab w:val="right" w:leader="dot" w:pos="9062"/>
            </w:tabs>
            <w:spacing w:before="60" w:after="60"/>
            <w:ind w:left="284"/>
            <w:rPr>
              <w:rStyle w:val="Hyperlink"/>
              <w:rFonts w:ascii="Times New Roman" w:hAnsi="Times New Roman" w:cs="Times New Roman"/>
              <w:b w:val="0"/>
              <w:bCs w:val="0"/>
              <w:noProof/>
              <w:sz w:val="24"/>
              <w:szCs w:val="24"/>
            </w:rPr>
          </w:pPr>
          <w:hyperlink w:anchor="_Toc241753096" w:history="1">
            <w:r w:rsidRPr="00A84FEA">
              <w:rPr>
                <w:rStyle w:val="Hyperlink"/>
                <w:rFonts w:ascii="Times New Roman" w:hAnsi="Times New Roman" w:cs="Times New Roman"/>
                <w:b w:val="0"/>
                <w:bCs w:val="0"/>
                <w:noProof/>
                <w:sz w:val="24"/>
                <w:szCs w:val="24"/>
              </w:rPr>
              <w:t xml:space="preserve">Turpmāki grozījumi, lai uzlabotu </w:t>
            </w:r>
            <w:r w:rsidRPr="00A84FEA">
              <w:rPr>
                <w:rStyle w:val="Hyperlink"/>
                <w:rFonts w:ascii="Times New Roman" w:hAnsi="Times New Roman" w:cs="Times New Roman"/>
                <w:b w:val="0"/>
                <w:bCs w:val="0"/>
                <w:i/>
                <w:iCs/>
                <w:noProof/>
                <w:sz w:val="24"/>
                <w:szCs w:val="24"/>
              </w:rPr>
              <w:t>CRS</w:t>
            </w:r>
            <w:r w:rsidRPr="00A84FEA">
              <w:rPr>
                <w:rStyle w:val="Hyperlink"/>
                <w:rFonts w:ascii="Times New Roman" w:hAnsi="Times New Roman" w:cs="Times New Roman"/>
                <w:b w:val="0"/>
                <w:bCs w:val="0"/>
                <w:noProof/>
                <w:sz w:val="24"/>
                <w:szCs w:val="24"/>
              </w:rPr>
              <w:t xml:space="preserve"> ziņošanu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_Toc241753096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96</w:t>
            </w:r>
            <w:r w:rsidRPr="00A84FEA">
              <w:rPr>
                <w:rFonts w:ascii="Times New Roman" w:hAnsi="Times New Roman" w:cs="Times New Roman"/>
                <w:b w:val="0"/>
                <w:bCs w:val="0"/>
                <w:noProof/>
                <w:webHidden/>
                <w:sz w:val="24"/>
                <w:szCs w:val="24"/>
              </w:rPr>
              <w:fldChar w:fldCharType="end"/>
            </w:r>
          </w:hyperlink>
        </w:p>
        <w:p w14:paraId="5359E018" w14:textId="305AA113" w:rsidR="00C343BB" w:rsidRPr="00017B97" w:rsidRDefault="00C343BB" w:rsidP="00017B97">
          <w:pPr>
            <w:pStyle w:val="TOC1"/>
            <w:tabs>
              <w:tab w:val="right" w:leader="dot" w:pos="9062"/>
            </w:tabs>
            <w:spacing w:before="120"/>
            <w:ind w:left="0"/>
            <w:rPr>
              <w:rStyle w:val="Hyperlink"/>
              <w:rFonts w:ascii="Times New Roman" w:hAnsi="Times New Roman" w:cs="Times New Roman"/>
              <w:b w:val="0"/>
              <w:bCs w:val="0"/>
              <w:noProof/>
              <w:color w:val="215E99" w:themeColor="text2" w:themeTint="BF"/>
            </w:rPr>
          </w:pPr>
          <w:hyperlink w:anchor="_Toc241753094" w:history="1">
            <w:r w:rsidRPr="00017B97">
              <w:rPr>
                <w:rStyle w:val="Hyperlink"/>
                <w:rFonts w:ascii="Times New Roman" w:hAnsi="Times New Roman" w:cs="Times New Roman"/>
                <w:b w:val="0"/>
                <w:bCs w:val="0"/>
                <w:noProof/>
                <w:color w:val="215E99" w:themeColor="text2" w:themeTint="BF"/>
              </w:rPr>
              <w:t>2</w:t>
            </w:r>
            <w:r w:rsidRPr="00017B97">
              <w:rPr>
                <w:rStyle w:val="Hyperlink"/>
                <w:rFonts w:ascii="Times New Roman" w:hAnsi="Times New Roman" w:cs="Times New Roman"/>
                <w:b w:val="0"/>
                <w:bCs w:val="0"/>
                <w:noProof/>
                <w:color w:val="215E99" w:themeColor="text2" w:themeTint="BF"/>
              </w:rPr>
              <w:t xml:space="preserve">. </w:t>
            </w:r>
            <w:r w:rsidR="00B2654B" w:rsidRPr="00017B97">
              <w:rPr>
                <w:rStyle w:val="Hyperlink"/>
                <w:rFonts w:ascii="Times New Roman" w:hAnsi="Times New Roman" w:cs="Times New Roman"/>
                <w:b w:val="0"/>
                <w:bCs w:val="0"/>
                <w:noProof/>
                <w:color w:val="215E99" w:themeColor="text2" w:themeTint="BF"/>
              </w:rPr>
              <w:t>Noteikumu</w:t>
            </w:r>
            <w:r w:rsidRPr="00017B97">
              <w:rPr>
                <w:rStyle w:val="Hyperlink"/>
                <w:rFonts w:ascii="Times New Roman" w:hAnsi="Times New Roman" w:cs="Times New Roman"/>
                <w:b w:val="0"/>
                <w:bCs w:val="0"/>
                <w:noProof/>
                <w:color w:val="215E99" w:themeColor="text2" w:themeTint="BF"/>
              </w:rPr>
              <w:t xml:space="preserve"> grozījumi</w:t>
            </w:r>
            <w:r w:rsidRPr="00017B97">
              <w:rPr>
                <w:rFonts w:ascii="Times New Roman" w:hAnsi="Times New Roman" w:cs="Times New Roman"/>
                <w:b w:val="0"/>
                <w:bCs w:val="0"/>
                <w:noProof/>
                <w:webHidden/>
                <w:color w:val="215E99" w:themeColor="text2" w:themeTint="BF"/>
              </w:rPr>
              <w:tab/>
            </w:r>
            <w:r w:rsidRPr="00017B97">
              <w:rPr>
                <w:rFonts w:ascii="Times New Roman" w:hAnsi="Times New Roman" w:cs="Times New Roman"/>
                <w:b w:val="0"/>
                <w:bCs w:val="0"/>
                <w:noProof/>
                <w:webHidden/>
                <w:color w:val="215E99" w:themeColor="text2" w:themeTint="BF"/>
              </w:rPr>
              <w:fldChar w:fldCharType="begin"/>
            </w:r>
            <w:r w:rsidRPr="00017B97">
              <w:rPr>
                <w:rFonts w:ascii="Times New Roman" w:hAnsi="Times New Roman" w:cs="Times New Roman"/>
                <w:b w:val="0"/>
                <w:bCs w:val="0"/>
                <w:noProof/>
                <w:webHidden/>
                <w:color w:val="215E99" w:themeColor="text2" w:themeTint="BF"/>
              </w:rPr>
              <w:instrText xml:space="preserve"> PAGEREF _Toc241753094 \h </w:instrText>
            </w:r>
            <w:r w:rsidRPr="00017B97">
              <w:rPr>
                <w:rFonts w:ascii="Times New Roman" w:hAnsi="Times New Roman" w:cs="Times New Roman"/>
                <w:b w:val="0"/>
                <w:bCs w:val="0"/>
                <w:noProof/>
                <w:webHidden/>
                <w:color w:val="215E99" w:themeColor="text2" w:themeTint="BF"/>
              </w:rPr>
            </w:r>
            <w:r w:rsidRPr="00017B97">
              <w:rPr>
                <w:rFonts w:ascii="Times New Roman" w:hAnsi="Times New Roman" w:cs="Times New Roman"/>
                <w:b w:val="0"/>
                <w:bCs w:val="0"/>
                <w:noProof/>
                <w:webHidden/>
                <w:color w:val="215E99" w:themeColor="text2" w:themeTint="BF"/>
              </w:rPr>
              <w:fldChar w:fldCharType="separate"/>
            </w:r>
            <w:r w:rsidRPr="00017B97">
              <w:rPr>
                <w:rFonts w:ascii="Times New Roman" w:hAnsi="Times New Roman" w:cs="Times New Roman"/>
                <w:b w:val="0"/>
                <w:bCs w:val="0"/>
                <w:noProof/>
                <w:webHidden/>
                <w:color w:val="215E99" w:themeColor="text2" w:themeTint="BF"/>
              </w:rPr>
              <w:t>94</w:t>
            </w:r>
            <w:r w:rsidRPr="00017B97">
              <w:rPr>
                <w:rFonts w:ascii="Times New Roman" w:hAnsi="Times New Roman" w:cs="Times New Roman"/>
                <w:b w:val="0"/>
                <w:bCs w:val="0"/>
                <w:noProof/>
                <w:webHidden/>
                <w:color w:val="215E99" w:themeColor="text2" w:themeTint="BF"/>
              </w:rPr>
              <w:fldChar w:fldCharType="end"/>
            </w:r>
          </w:hyperlink>
        </w:p>
        <w:p w14:paraId="02B27A17" w14:textId="1B4F83BB"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97" w:history="1">
            <w:r w:rsidRPr="00A84FEA">
              <w:rPr>
                <w:rStyle w:val="Hyperlink"/>
                <w:rFonts w:ascii="Times New Roman" w:hAnsi="Times New Roman" w:cs="Times New Roman"/>
                <w:b w:val="0"/>
                <w:bCs w:val="0"/>
                <w:noProof/>
                <w:sz w:val="24"/>
                <w:szCs w:val="24"/>
              </w:rPr>
              <w:t>I pants. Ziņojumu sniegšanas vispārējās prasības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_Toc241753097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101</w:t>
            </w:r>
            <w:r w:rsidRPr="00A84FEA">
              <w:rPr>
                <w:rFonts w:ascii="Times New Roman" w:hAnsi="Times New Roman" w:cs="Times New Roman"/>
                <w:b w:val="0"/>
                <w:bCs w:val="0"/>
                <w:noProof/>
                <w:webHidden/>
                <w:sz w:val="24"/>
                <w:szCs w:val="24"/>
              </w:rPr>
              <w:fldChar w:fldCharType="end"/>
            </w:r>
          </w:hyperlink>
        </w:p>
        <w:p w14:paraId="1402730A" w14:textId="6A45927D"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98" w:history="1">
            <w:r w:rsidRPr="00A84FEA">
              <w:rPr>
                <w:rStyle w:val="Hyperlink"/>
                <w:rFonts w:ascii="Times New Roman" w:hAnsi="Times New Roman" w:cs="Times New Roman"/>
                <w:b w:val="0"/>
                <w:bCs w:val="0"/>
                <w:noProof/>
                <w:sz w:val="24"/>
                <w:szCs w:val="24"/>
              </w:rPr>
              <w:t>V pants. Iepriekšpastāvējušu vienību kontu pienācīga pārbaude</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_Toc241753098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102</w:t>
            </w:r>
            <w:r w:rsidRPr="00A84FEA">
              <w:rPr>
                <w:rFonts w:ascii="Times New Roman" w:hAnsi="Times New Roman" w:cs="Times New Roman"/>
                <w:b w:val="0"/>
                <w:bCs w:val="0"/>
                <w:noProof/>
                <w:webHidden/>
                <w:sz w:val="24"/>
                <w:szCs w:val="24"/>
              </w:rPr>
              <w:fldChar w:fldCharType="end"/>
            </w:r>
          </w:hyperlink>
        </w:p>
        <w:p w14:paraId="3D040055" w14:textId="66D9C993"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099" w:history="1">
            <w:r w:rsidRPr="00A84FEA">
              <w:rPr>
                <w:rStyle w:val="Hyperlink"/>
                <w:rFonts w:ascii="Times New Roman" w:hAnsi="Times New Roman" w:cs="Times New Roman"/>
                <w:b w:val="0"/>
                <w:bCs w:val="0"/>
                <w:noProof/>
                <w:sz w:val="24"/>
                <w:szCs w:val="24"/>
              </w:rPr>
              <w:t>VI pants. Jaunu vienības kontu pienācīga pārbaude</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_Toc241753099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103</w:t>
            </w:r>
            <w:r w:rsidRPr="00A84FEA">
              <w:rPr>
                <w:rFonts w:ascii="Times New Roman" w:hAnsi="Times New Roman" w:cs="Times New Roman"/>
                <w:b w:val="0"/>
                <w:bCs w:val="0"/>
                <w:noProof/>
                <w:webHidden/>
                <w:sz w:val="24"/>
                <w:szCs w:val="24"/>
              </w:rPr>
              <w:fldChar w:fldCharType="end"/>
            </w:r>
          </w:hyperlink>
        </w:p>
        <w:p w14:paraId="5D8D821C" w14:textId="2A9C0FDF"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00" w:history="1">
            <w:r w:rsidRPr="00A84FEA">
              <w:rPr>
                <w:rStyle w:val="Hyperlink"/>
                <w:rFonts w:ascii="Times New Roman" w:hAnsi="Times New Roman" w:cs="Times New Roman"/>
                <w:b w:val="0"/>
                <w:bCs w:val="0"/>
                <w:noProof/>
                <w:sz w:val="24"/>
                <w:szCs w:val="24"/>
              </w:rPr>
              <w:t>VII pants. Īpašie pienācīgas pārbaudes noteikumi</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_Toc241753100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103</w:t>
            </w:r>
            <w:r w:rsidRPr="00A84FEA">
              <w:rPr>
                <w:rFonts w:ascii="Times New Roman" w:hAnsi="Times New Roman" w:cs="Times New Roman"/>
                <w:b w:val="0"/>
                <w:bCs w:val="0"/>
                <w:noProof/>
                <w:webHidden/>
                <w:sz w:val="24"/>
                <w:szCs w:val="24"/>
              </w:rPr>
              <w:fldChar w:fldCharType="end"/>
            </w:r>
          </w:hyperlink>
        </w:p>
        <w:p w14:paraId="18C56615" w14:textId="330B7643"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01" w:history="1">
            <w:r w:rsidRPr="00A84FEA">
              <w:rPr>
                <w:rStyle w:val="Hyperlink"/>
                <w:rFonts w:ascii="Times New Roman" w:hAnsi="Times New Roman" w:cs="Times New Roman"/>
                <w:b w:val="0"/>
                <w:bCs w:val="0"/>
                <w:noProof/>
                <w:sz w:val="24"/>
                <w:szCs w:val="24"/>
              </w:rPr>
              <w:t>VIII pants. Terminu definīcijas</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_Toc241753101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103</w:t>
            </w:r>
            <w:r w:rsidRPr="00A84FEA">
              <w:rPr>
                <w:rFonts w:ascii="Times New Roman" w:hAnsi="Times New Roman" w:cs="Times New Roman"/>
                <w:b w:val="0"/>
                <w:bCs w:val="0"/>
                <w:noProof/>
                <w:webHidden/>
                <w:sz w:val="24"/>
                <w:szCs w:val="24"/>
              </w:rPr>
              <w:fldChar w:fldCharType="end"/>
            </w:r>
          </w:hyperlink>
        </w:p>
        <w:p w14:paraId="67E9FB68" w14:textId="67F08335" w:rsidR="002D5685" w:rsidRDefault="002D5685" w:rsidP="00126B4F">
          <w:pPr>
            <w:pStyle w:val="TOC1"/>
            <w:tabs>
              <w:tab w:val="right" w:leader="dot" w:pos="9062"/>
            </w:tabs>
            <w:spacing w:before="60"/>
            <w:ind w:left="284"/>
            <w:rPr>
              <w:rStyle w:val="Hyperlink"/>
              <w:rFonts w:ascii="Times New Roman" w:hAnsi="Times New Roman" w:cs="Times New Roman"/>
              <w:b w:val="0"/>
              <w:bCs w:val="0"/>
              <w:noProof/>
              <w:sz w:val="24"/>
              <w:szCs w:val="24"/>
            </w:rPr>
          </w:pPr>
          <w:hyperlink w:anchor="_Toc241753102" w:history="1">
            <w:r w:rsidRPr="00A84FEA">
              <w:rPr>
                <w:rStyle w:val="Hyperlink"/>
                <w:rFonts w:ascii="Times New Roman" w:hAnsi="Times New Roman" w:cs="Times New Roman"/>
                <w:b w:val="0"/>
                <w:bCs w:val="0"/>
                <w:noProof/>
                <w:sz w:val="24"/>
                <w:szCs w:val="24"/>
              </w:rPr>
              <w:t>X pants. Pārejas pasākumi</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_Toc241753102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107</w:t>
            </w:r>
            <w:r w:rsidRPr="00A84FEA">
              <w:rPr>
                <w:rFonts w:ascii="Times New Roman" w:hAnsi="Times New Roman" w:cs="Times New Roman"/>
                <w:b w:val="0"/>
                <w:bCs w:val="0"/>
                <w:noProof/>
                <w:webHidden/>
                <w:sz w:val="24"/>
                <w:szCs w:val="24"/>
              </w:rPr>
              <w:fldChar w:fldCharType="end"/>
            </w:r>
          </w:hyperlink>
        </w:p>
        <w:p w14:paraId="1999218D" w14:textId="28587161" w:rsidR="00B2654B" w:rsidRPr="00017B97" w:rsidRDefault="00B2654B" w:rsidP="00017B97">
          <w:pPr>
            <w:pStyle w:val="TOC1"/>
            <w:tabs>
              <w:tab w:val="right" w:leader="dot" w:pos="9062"/>
            </w:tabs>
            <w:spacing w:before="120"/>
            <w:ind w:left="0"/>
            <w:rPr>
              <w:rStyle w:val="Hyperlink"/>
              <w:rFonts w:ascii="Times New Roman" w:hAnsi="Times New Roman" w:cs="Times New Roman"/>
              <w:b w:val="0"/>
              <w:bCs w:val="0"/>
              <w:noProof/>
              <w:color w:val="215E99" w:themeColor="text2" w:themeTint="BF"/>
              <w:sz w:val="24"/>
              <w:szCs w:val="24"/>
            </w:rPr>
          </w:pPr>
          <w:hyperlink w:anchor="_Toc241753094" w:history="1">
            <w:r w:rsidRPr="00017B97">
              <w:rPr>
                <w:rStyle w:val="Hyperlink"/>
                <w:rFonts w:ascii="Times New Roman" w:hAnsi="Times New Roman" w:cs="Times New Roman"/>
                <w:b w:val="0"/>
                <w:bCs w:val="0"/>
                <w:noProof/>
                <w:color w:val="215E99" w:themeColor="text2" w:themeTint="BF"/>
                <w:sz w:val="24"/>
                <w:szCs w:val="24"/>
              </w:rPr>
              <w:t>3</w:t>
            </w:r>
            <w:r w:rsidRPr="00017B97">
              <w:rPr>
                <w:rStyle w:val="Hyperlink"/>
                <w:rFonts w:ascii="Times New Roman" w:hAnsi="Times New Roman" w:cs="Times New Roman"/>
                <w:b w:val="0"/>
                <w:bCs w:val="0"/>
                <w:noProof/>
                <w:color w:val="215E99" w:themeColor="text2" w:themeTint="BF"/>
                <w:sz w:val="24"/>
                <w:szCs w:val="24"/>
              </w:rPr>
              <w:t xml:space="preserve">. </w:t>
            </w:r>
            <w:r w:rsidRPr="00017B97">
              <w:rPr>
                <w:rStyle w:val="Hyperlink"/>
                <w:rFonts w:ascii="Times New Roman" w:hAnsi="Times New Roman" w:cs="Times New Roman"/>
                <w:b w:val="0"/>
                <w:bCs w:val="0"/>
                <w:noProof/>
                <w:color w:val="215E99" w:themeColor="text2" w:themeTint="BF"/>
                <w:sz w:val="24"/>
                <w:szCs w:val="24"/>
              </w:rPr>
              <w:t>Grozījumi komentāros par noteikumiem</w:t>
            </w:r>
            <w:r w:rsidRPr="00017B97">
              <w:rPr>
                <w:rFonts w:ascii="Times New Roman" w:hAnsi="Times New Roman" w:cs="Times New Roman"/>
                <w:b w:val="0"/>
                <w:bCs w:val="0"/>
                <w:noProof/>
                <w:webHidden/>
                <w:color w:val="215E99" w:themeColor="text2" w:themeTint="BF"/>
                <w:sz w:val="24"/>
                <w:szCs w:val="24"/>
              </w:rPr>
              <w:tab/>
            </w:r>
            <w:r w:rsidRPr="00017B97">
              <w:rPr>
                <w:rFonts w:ascii="Times New Roman" w:hAnsi="Times New Roman" w:cs="Times New Roman"/>
                <w:b w:val="0"/>
                <w:bCs w:val="0"/>
                <w:noProof/>
                <w:webHidden/>
                <w:color w:val="215E99" w:themeColor="text2" w:themeTint="BF"/>
                <w:sz w:val="24"/>
                <w:szCs w:val="24"/>
              </w:rPr>
              <w:t>108</w:t>
            </w:r>
          </w:hyperlink>
        </w:p>
        <w:p w14:paraId="165EC570" w14:textId="727BD6CF"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03" w:history="1">
            <w:r w:rsidRPr="00A84FEA">
              <w:rPr>
                <w:rStyle w:val="Hyperlink"/>
                <w:rFonts w:ascii="Times New Roman" w:hAnsi="Times New Roman" w:cs="Times New Roman"/>
                <w:b w:val="0"/>
                <w:bCs w:val="0"/>
                <w:noProof/>
                <w:sz w:val="24"/>
                <w:szCs w:val="24"/>
              </w:rPr>
              <w:t>Komentārs par I pantu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_Toc241753103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108</w:t>
            </w:r>
            <w:r w:rsidRPr="00A84FEA">
              <w:rPr>
                <w:rFonts w:ascii="Times New Roman" w:hAnsi="Times New Roman" w:cs="Times New Roman"/>
                <w:b w:val="0"/>
                <w:bCs w:val="0"/>
                <w:noProof/>
                <w:webHidden/>
                <w:sz w:val="24"/>
                <w:szCs w:val="24"/>
              </w:rPr>
              <w:fldChar w:fldCharType="end"/>
            </w:r>
          </w:hyperlink>
        </w:p>
        <w:p w14:paraId="4CC90871" w14:textId="7B64CB82"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04" w:history="1">
            <w:r w:rsidRPr="00A84FEA">
              <w:rPr>
                <w:rStyle w:val="Hyperlink"/>
                <w:rFonts w:ascii="Times New Roman" w:hAnsi="Times New Roman" w:cs="Times New Roman"/>
                <w:b w:val="0"/>
                <w:bCs w:val="0"/>
                <w:noProof/>
                <w:sz w:val="24"/>
                <w:szCs w:val="24"/>
              </w:rPr>
              <w:t>Komentārs par IV pantu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_Toc241753104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111</w:t>
            </w:r>
            <w:r w:rsidRPr="00A84FEA">
              <w:rPr>
                <w:rFonts w:ascii="Times New Roman" w:hAnsi="Times New Roman" w:cs="Times New Roman"/>
                <w:b w:val="0"/>
                <w:bCs w:val="0"/>
                <w:noProof/>
                <w:webHidden/>
                <w:sz w:val="24"/>
                <w:szCs w:val="24"/>
              </w:rPr>
              <w:fldChar w:fldCharType="end"/>
            </w:r>
          </w:hyperlink>
        </w:p>
        <w:p w14:paraId="5755BE13" w14:textId="057CAA56"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05" w:history="1">
            <w:r w:rsidRPr="00A84FEA">
              <w:rPr>
                <w:rStyle w:val="Hyperlink"/>
                <w:rFonts w:ascii="Times New Roman" w:hAnsi="Times New Roman" w:cs="Times New Roman"/>
                <w:b w:val="0"/>
                <w:bCs w:val="0"/>
                <w:noProof/>
                <w:sz w:val="24"/>
                <w:szCs w:val="24"/>
              </w:rPr>
              <w:t>Komentārs par V pantu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_Toc241753105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114</w:t>
            </w:r>
            <w:r w:rsidRPr="00A84FEA">
              <w:rPr>
                <w:rFonts w:ascii="Times New Roman" w:hAnsi="Times New Roman" w:cs="Times New Roman"/>
                <w:b w:val="0"/>
                <w:bCs w:val="0"/>
                <w:noProof/>
                <w:webHidden/>
                <w:sz w:val="24"/>
                <w:szCs w:val="24"/>
              </w:rPr>
              <w:fldChar w:fldCharType="end"/>
            </w:r>
          </w:hyperlink>
        </w:p>
        <w:p w14:paraId="0F69D5BE" w14:textId="6C5810D1"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06" w:history="1">
            <w:r w:rsidRPr="00A84FEA">
              <w:rPr>
                <w:rStyle w:val="Hyperlink"/>
                <w:rFonts w:ascii="Times New Roman" w:hAnsi="Times New Roman" w:cs="Times New Roman"/>
                <w:b w:val="0"/>
                <w:bCs w:val="0"/>
                <w:noProof/>
                <w:sz w:val="24"/>
                <w:szCs w:val="24"/>
              </w:rPr>
              <w:t>Komentārs par VI pantu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_Toc241753106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115</w:t>
            </w:r>
            <w:r w:rsidRPr="00A84FEA">
              <w:rPr>
                <w:rFonts w:ascii="Times New Roman" w:hAnsi="Times New Roman" w:cs="Times New Roman"/>
                <w:b w:val="0"/>
                <w:bCs w:val="0"/>
                <w:noProof/>
                <w:webHidden/>
                <w:sz w:val="24"/>
                <w:szCs w:val="24"/>
              </w:rPr>
              <w:fldChar w:fldCharType="end"/>
            </w:r>
          </w:hyperlink>
        </w:p>
        <w:p w14:paraId="6A3990A5" w14:textId="1274875D"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07" w:history="1">
            <w:r w:rsidRPr="00A84FEA">
              <w:rPr>
                <w:rStyle w:val="Hyperlink"/>
                <w:rFonts w:ascii="Times New Roman" w:hAnsi="Times New Roman" w:cs="Times New Roman"/>
                <w:b w:val="0"/>
                <w:bCs w:val="0"/>
                <w:noProof/>
                <w:sz w:val="24"/>
                <w:szCs w:val="24"/>
              </w:rPr>
              <w:t>Komentārs par VII pantu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_Toc241753107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116</w:t>
            </w:r>
            <w:r w:rsidRPr="00A84FEA">
              <w:rPr>
                <w:rFonts w:ascii="Times New Roman" w:hAnsi="Times New Roman" w:cs="Times New Roman"/>
                <w:b w:val="0"/>
                <w:bCs w:val="0"/>
                <w:noProof/>
                <w:webHidden/>
                <w:sz w:val="24"/>
                <w:szCs w:val="24"/>
              </w:rPr>
              <w:fldChar w:fldCharType="end"/>
            </w:r>
          </w:hyperlink>
        </w:p>
        <w:p w14:paraId="3D6EF3BE" w14:textId="26612F0A"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08" w:history="1">
            <w:r w:rsidRPr="00A84FEA">
              <w:rPr>
                <w:rStyle w:val="Hyperlink"/>
                <w:rFonts w:ascii="Times New Roman" w:hAnsi="Times New Roman" w:cs="Times New Roman"/>
                <w:b w:val="0"/>
                <w:bCs w:val="0"/>
                <w:noProof/>
                <w:sz w:val="24"/>
                <w:szCs w:val="24"/>
              </w:rPr>
              <w:t>Komentārs par VIII pantu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_Toc241753108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118</w:t>
            </w:r>
            <w:r w:rsidRPr="00A84FEA">
              <w:rPr>
                <w:rFonts w:ascii="Times New Roman" w:hAnsi="Times New Roman" w:cs="Times New Roman"/>
                <w:b w:val="0"/>
                <w:bCs w:val="0"/>
                <w:noProof/>
                <w:webHidden/>
                <w:sz w:val="24"/>
                <w:szCs w:val="24"/>
              </w:rPr>
              <w:fldChar w:fldCharType="end"/>
            </w:r>
          </w:hyperlink>
        </w:p>
        <w:p w14:paraId="648985C8" w14:textId="00C62F94"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09" w:history="1">
            <w:r w:rsidRPr="00A84FEA">
              <w:rPr>
                <w:rStyle w:val="Hyperlink"/>
                <w:rFonts w:ascii="Times New Roman" w:hAnsi="Times New Roman" w:cs="Times New Roman"/>
                <w:b w:val="0"/>
                <w:bCs w:val="0"/>
                <w:noProof/>
                <w:sz w:val="24"/>
                <w:szCs w:val="24"/>
              </w:rPr>
              <w:t>Komentārs par IX pantu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_Toc241753109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134</w:t>
            </w:r>
            <w:r w:rsidRPr="00A84FEA">
              <w:rPr>
                <w:rFonts w:ascii="Times New Roman" w:hAnsi="Times New Roman" w:cs="Times New Roman"/>
                <w:b w:val="0"/>
                <w:bCs w:val="0"/>
                <w:noProof/>
                <w:webHidden/>
                <w:sz w:val="24"/>
                <w:szCs w:val="24"/>
              </w:rPr>
              <w:fldChar w:fldCharType="end"/>
            </w:r>
          </w:hyperlink>
        </w:p>
        <w:p w14:paraId="0ADE279F" w14:textId="1EB85FC1" w:rsidR="002D5685" w:rsidRPr="00A84FEA" w:rsidRDefault="002D5685" w:rsidP="00126B4F">
          <w:pPr>
            <w:pStyle w:val="TOC1"/>
            <w:tabs>
              <w:tab w:val="right" w:leader="dot" w:pos="9062"/>
            </w:tabs>
            <w:spacing w:before="60"/>
            <w:ind w:left="284"/>
            <w:rPr>
              <w:rFonts w:ascii="Times New Roman" w:eastAsiaTheme="minorEastAsia" w:hAnsi="Times New Roman" w:cs="Times New Roman"/>
              <w:b w:val="0"/>
              <w:bCs w:val="0"/>
              <w:noProof/>
              <w:kern w:val="2"/>
              <w:sz w:val="24"/>
              <w:szCs w:val="24"/>
              <w:lang w:val="en-US"/>
              <w14:ligatures w14:val="standardContextual"/>
            </w:rPr>
          </w:pPr>
          <w:hyperlink w:anchor="_Toc241753110" w:history="1">
            <w:r w:rsidRPr="00A84FEA">
              <w:rPr>
                <w:rStyle w:val="Hyperlink"/>
                <w:rFonts w:ascii="Times New Roman" w:hAnsi="Times New Roman" w:cs="Times New Roman"/>
                <w:b w:val="0"/>
                <w:bCs w:val="0"/>
                <w:noProof/>
                <w:sz w:val="24"/>
                <w:szCs w:val="24"/>
              </w:rPr>
              <w:t>Komentārs par X pantu</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_Toc241753110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135</w:t>
            </w:r>
            <w:r w:rsidRPr="00A84FEA">
              <w:rPr>
                <w:rFonts w:ascii="Times New Roman" w:hAnsi="Times New Roman" w:cs="Times New Roman"/>
                <w:b w:val="0"/>
                <w:bCs w:val="0"/>
                <w:noProof/>
                <w:webHidden/>
                <w:sz w:val="24"/>
                <w:szCs w:val="24"/>
              </w:rPr>
              <w:fldChar w:fldCharType="end"/>
            </w:r>
          </w:hyperlink>
        </w:p>
        <w:p w14:paraId="23A7B327" w14:textId="1D9078FB" w:rsidR="00FD4C9E" w:rsidRPr="004A6E46" w:rsidRDefault="00FD4C9E" w:rsidP="00FD4C9E">
          <w:pPr>
            <w:pStyle w:val="TOC1"/>
            <w:tabs>
              <w:tab w:val="right" w:leader="dot" w:pos="9062"/>
            </w:tabs>
            <w:spacing w:before="240"/>
            <w:ind w:left="0"/>
            <w:rPr>
              <w:rFonts w:ascii="Times New Roman" w:hAnsi="Times New Roman" w:cs="Times New Roman"/>
              <w:b w:val="0"/>
              <w:bCs w:val="0"/>
              <w:noProof/>
              <w:color w:val="215E99" w:themeColor="text2" w:themeTint="BF"/>
            </w:rPr>
          </w:pPr>
          <w:hyperlink w:anchor="_Toc224290213" w:history="1">
            <w:r w:rsidRPr="004A6E46">
              <w:rPr>
                <w:rStyle w:val="Hyperlink"/>
                <w:rFonts w:ascii="Times New Roman" w:hAnsi="Times New Roman" w:cs="Times New Roman"/>
                <w:b w:val="0"/>
                <w:bCs w:val="0"/>
                <w:noProof/>
                <w:color w:val="215E99" w:themeColor="text2" w:themeTint="BF"/>
                <w:u w:val="none"/>
              </w:rPr>
              <w:t>4. Papildinājums Kompetento iestāžu daudzpusējam nolīgumam par finanšu kontu informācijas automātisku apmaiņu</w:t>
            </w:r>
            <w:r w:rsidRPr="004A6E46">
              <w:rPr>
                <w:rFonts w:ascii="Times New Roman" w:hAnsi="Times New Roman" w:cs="Times New Roman"/>
                <w:b w:val="0"/>
                <w:bCs w:val="0"/>
                <w:noProof/>
                <w:webHidden/>
                <w:color w:val="215E99" w:themeColor="text2" w:themeTint="BF"/>
              </w:rPr>
              <w:tab/>
              <w:t>1</w:t>
            </w:r>
            <w:r w:rsidR="00265358">
              <w:rPr>
                <w:rFonts w:ascii="Times New Roman" w:hAnsi="Times New Roman" w:cs="Times New Roman"/>
                <w:b w:val="0"/>
                <w:bCs w:val="0"/>
                <w:noProof/>
                <w:webHidden/>
                <w:color w:val="215E99" w:themeColor="text2" w:themeTint="BF"/>
              </w:rPr>
              <w:t>36</w:t>
            </w:r>
          </w:hyperlink>
        </w:p>
        <w:p w14:paraId="7390A6DF" w14:textId="1A3CD818" w:rsidR="00FD4C9E" w:rsidRPr="004A6E46" w:rsidRDefault="00FD4C9E" w:rsidP="00FD4C9E">
          <w:pPr>
            <w:pStyle w:val="TOC1"/>
            <w:tabs>
              <w:tab w:val="right" w:leader="dot" w:pos="9062"/>
            </w:tabs>
            <w:spacing w:before="240"/>
            <w:ind w:left="0"/>
            <w:rPr>
              <w:rStyle w:val="Hyperlink"/>
              <w:rFonts w:ascii="Times New Roman" w:hAnsi="Times New Roman" w:cs="Times New Roman"/>
              <w:b w:val="0"/>
              <w:bCs w:val="0"/>
              <w:noProof/>
              <w:color w:val="215E99" w:themeColor="text2" w:themeTint="BF"/>
              <w:u w:val="none"/>
            </w:rPr>
          </w:pPr>
          <w:hyperlink w:anchor="_Toc224290213" w:history="1">
            <w:r w:rsidRPr="004A6E46">
              <w:rPr>
                <w:rStyle w:val="Hyperlink"/>
                <w:rFonts w:ascii="Times New Roman" w:hAnsi="Times New Roman" w:cs="Times New Roman"/>
                <w:b w:val="0"/>
                <w:bCs w:val="0"/>
                <w:noProof/>
                <w:color w:val="215E99" w:themeColor="text2" w:themeTint="BF"/>
                <w:u w:val="none"/>
              </w:rPr>
              <w:t>5. Komentāri papildinājumam</w:t>
            </w:r>
            <w:r w:rsidRPr="004A6E46">
              <w:rPr>
                <w:rFonts w:ascii="Times New Roman" w:hAnsi="Times New Roman" w:cs="Times New Roman"/>
                <w:b w:val="0"/>
                <w:bCs w:val="0"/>
                <w:noProof/>
                <w:webHidden/>
                <w:color w:val="215E99" w:themeColor="text2" w:themeTint="BF"/>
              </w:rPr>
              <w:tab/>
              <w:t>1</w:t>
            </w:r>
            <w:r w:rsidR="00265358">
              <w:rPr>
                <w:rFonts w:ascii="Times New Roman" w:hAnsi="Times New Roman" w:cs="Times New Roman"/>
                <w:b w:val="0"/>
                <w:bCs w:val="0"/>
                <w:noProof/>
                <w:webHidden/>
                <w:color w:val="215E99" w:themeColor="text2" w:themeTint="BF"/>
              </w:rPr>
              <w:t>39</w:t>
            </w:r>
          </w:hyperlink>
        </w:p>
        <w:p w14:paraId="0F5EB2B3" w14:textId="5F9D5E41" w:rsidR="00FD4C9E" w:rsidRPr="004A6E46" w:rsidRDefault="00FD4C9E" w:rsidP="00FD4C9E">
          <w:pPr>
            <w:pStyle w:val="TOC1"/>
            <w:tabs>
              <w:tab w:val="right" w:leader="dot" w:pos="9062"/>
            </w:tabs>
            <w:spacing w:before="240"/>
            <w:ind w:left="0"/>
            <w:rPr>
              <w:rFonts w:ascii="Times New Roman" w:hAnsi="Times New Roman" w:cs="Times New Roman"/>
              <w:b w:val="0"/>
              <w:bCs w:val="0"/>
              <w:noProof/>
              <w:color w:val="215E99" w:themeColor="text2" w:themeTint="BF"/>
            </w:rPr>
          </w:pPr>
          <w:r w:rsidRPr="004A6E46">
            <w:rPr>
              <w:rStyle w:val="Hyperlink"/>
              <w:rFonts w:ascii="Times New Roman" w:hAnsi="Times New Roman" w:cs="Times New Roman"/>
              <w:b w:val="0"/>
              <w:bCs w:val="0"/>
              <w:noProof/>
              <w:color w:val="215E99" w:themeColor="text2" w:themeTint="BF"/>
              <w:u w:val="none"/>
            </w:rPr>
            <w:t>A pielikums. Padomes pārskatītais ieteikums par starptautiskajiem standartiem informācijas automātiskai apmaiņai nodokļu jomā (pieņemts 2023. gada 8. jūnijā)</w:t>
          </w:r>
          <w:hyperlink w:anchor="_Toc224290213" w:history="1">
            <w:r w:rsidRPr="004A6E46">
              <w:rPr>
                <w:rFonts w:ascii="Times New Roman" w:hAnsi="Times New Roman" w:cs="Times New Roman"/>
                <w:b w:val="0"/>
                <w:bCs w:val="0"/>
                <w:noProof/>
                <w:webHidden/>
                <w:color w:val="215E99" w:themeColor="text2" w:themeTint="BF"/>
              </w:rPr>
              <w:tab/>
              <w:t>1</w:t>
            </w:r>
            <w:r w:rsidR="00265358">
              <w:rPr>
                <w:rFonts w:ascii="Times New Roman" w:hAnsi="Times New Roman" w:cs="Times New Roman"/>
                <w:b w:val="0"/>
                <w:bCs w:val="0"/>
                <w:noProof/>
                <w:webHidden/>
                <w:color w:val="215E99" w:themeColor="text2" w:themeTint="BF"/>
              </w:rPr>
              <w:t>40</w:t>
            </w:r>
          </w:hyperlink>
        </w:p>
        <w:p w14:paraId="63E5A7AD" w14:textId="7127EC78" w:rsidR="002D5685" w:rsidRPr="00A84FEA" w:rsidRDefault="002D5685" w:rsidP="000F72E2">
          <w:pPr>
            <w:pStyle w:val="TOC1"/>
            <w:tabs>
              <w:tab w:val="right" w:leader="dot" w:pos="9062"/>
            </w:tabs>
            <w:spacing w:before="0"/>
            <w:ind w:left="0"/>
            <w:rPr>
              <w:rFonts w:ascii="Times New Roman" w:eastAsiaTheme="minorEastAsia" w:hAnsi="Times New Roman" w:cs="Times New Roman"/>
              <w:b w:val="0"/>
              <w:bCs w:val="0"/>
              <w:noProof/>
              <w:kern w:val="2"/>
              <w:sz w:val="24"/>
              <w:szCs w:val="24"/>
              <w:lang w:val="en-US"/>
              <w14:ligatures w14:val="standardContextual"/>
            </w:rPr>
          </w:pPr>
        </w:p>
        <w:p w14:paraId="7C5E756F" w14:textId="203A8CA7" w:rsidR="002D5685" w:rsidRDefault="002D5685" w:rsidP="000F72E2">
          <w:pPr>
            <w:pStyle w:val="TOC1"/>
            <w:tabs>
              <w:tab w:val="right" w:leader="dot" w:pos="9062"/>
            </w:tabs>
            <w:spacing w:before="0"/>
            <w:ind w:left="0"/>
            <w:rPr>
              <w:rFonts w:asciiTheme="minorHAnsi" w:eastAsiaTheme="minorEastAsia" w:hAnsiTheme="minorHAnsi" w:cstheme="minorBidi"/>
              <w:b w:val="0"/>
              <w:bCs w:val="0"/>
              <w:noProof/>
              <w:kern w:val="2"/>
              <w:sz w:val="24"/>
              <w:szCs w:val="24"/>
              <w:lang w:val="en-US"/>
              <w14:ligatures w14:val="standardContextual"/>
            </w:rPr>
          </w:pPr>
          <w:hyperlink w:anchor="_Toc241753115" w:history="1">
            <w:r w:rsidRPr="00A84FEA">
              <w:rPr>
                <w:rStyle w:val="Hyperlink"/>
                <w:rFonts w:ascii="Times New Roman" w:hAnsi="Times New Roman" w:cs="Times New Roman"/>
                <w:b w:val="0"/>
                <w:bCs w:val="0"/>
                <w:noProof/>
                <w:sz w:val="24"/>
                <w:szCs w:val="24"/>
              </w:rPr>
              <w:t>Piezīme</w:t>
            </w:r>
            <w:r w:rsidRPr="00A84FEA">
              <w:rPr>
                <w:rFonts w:ascii="Times New Roman" w:hAnsi="Times New Roman" w:cs="Times New Roman"/>
                <w:b w:val="0"/>
                <w:bCs w:val="0"/>
                <w:noProof/>
                <w:webHidden/>
                <w:sz w:val="24"/>
                <w:szCs w:val="24"/>
              </w:rPr>
              <w:tab/>
            </w:r>
            <w:r w:rsidRPr="00A84FEA">
              <w:rPr>
                <w:rFonts w:ascii="Times New Roman" w:hAnsi="Times New Roman" w:cs="Times New Roman"/>
                <w:b w:val="0"/>
                <w:bCs w:val="0"/>
                <w:noProof/>
                <w:webHidden/>
                <w:sz w:val="24"/>
                <w:szCs w:val="24"/>
              </w:rPr>
              <w:fldChar w:fldCharType="begin"/>
            </w:r>
            <w:r w:rsidRPr="00A84FEA">
              <w:rPr>
                <w:rFonts w:ascii="Times New Roman" w:hAnsi="Times New Roman" w:cs="Times New Roman"/>
                <w:b w:val="0"/>
                <w:bCs w:val="0"/>
                <w:noProof/>
                <w:webHidden/>
                <w:sz w:val="24"/>
                <w:szCs w:val="24"/>
              </w:rPr>
              <w:instrText xml:space="preserve"> PAGEREF _Toc241753115 \h </w:instrText>
            </w:r>
            <w:r w:rsidRPr="00A84FEA">
              <w:rPr>
                <w:rFonts w:ascii="Times New Roman" w:hAnsi="Times New Roman" w:cs="Times New Roman"/>
                <w:b w:val="0"/>
                <w:bCs w:val="0"/>
                <w:noProof/>
                <w:webHidden/>
                <w:sz w:val="24"/>
                <w:szCs w:val="24"/>
              </w:rPr>
            </w:r>
            <w:r w:rsidRPr="00A84FEA">
              <w:rPr>
                <w:rFonts w:ascii="Times New Roman" w:hAnsi="Times New Roman" w:cs="Times New Roman"/>
                <w:b w:val="0"/>
                <w:bCs w:val="0"/>
                <w:noProof/>
                <w:webHidden/>
                <w:sz w:val="24"/>
                <w:szCs w:val="24"/>
              </w:rPr>
              <w:fldChar w:fldCharType="separate"/>
            </w:r>
            <w:r w:rsidRPr="00A84FEA">
              <w:rPr>
                <w:rFonts w:ascii="Times New Roman" w:hAnsi="Times New Roman" w:cs="Times New Roman"/>
                <w:b w:val="0"/>
                <w:bCs w:val="0"/>
                <w:noProof/>
                <w:webHidden/>
                <w:sz w:val="24"/>
                <w:szCs w:val="24"/>
              </w:rPr>
              <w:t>141</w:t>
            </w:r>
            <w:r w:rsidRPr="00A84FEA">
              <w:rPr>
                <w:rFonts w:ascii="Times New Roman" w:hAnsi="Times New Roman" w:cs="Times New Roman"/>
                <w:b w:val="0"/>
                <w:bCs w:val="0"/>
                <w:noProof/>
                <w:webHidden/>
                <w:sz w:val="24"/>
                <w:szCs w:val="24"/>
              </w:rPr>
              <w:fldChar w:fldCharType="end"/>
            </w:r>
          </w:hyperlink>
        </w:p>
        <w:p w14:paraId="393285B0" w14:textId="0132B578" w:rsidR="002D5685" w:rsidRDefault="002D5685" w:rsidP="000F72E2">
          <w:pPr>
            <w:spacing w:after="0" w:line="240" w:lineRule="auto"/>
          </w:pPr>
          <w:r>
            <w:rPr>
              <w:b/>
              <w:bCs/>
              <w:noProof/>
            </w:rPr>
            <w:fldChar w:fldCharType="end"/>
          </w:r>
        </w:p>
      </w:sdtContent>
    </w:sdt>
    <w:p w14:paraId="6EC377B3" w14:textId="77777777" w:rsidR="00994507" w:rsidRPr="00994507" w:rsidRDefault="00994507" w:rsidP="00994507">
      <w:pPr>
        <w:widowControl w:val="0"/>
        <w:autoSpaceDE w:val="0"/>
        <w:autoSpaceDN w:val="0"/>
        <w:spacing w:after="0" w:line="240" w:lineRule="auto"/>
        <w:jc w:val="both"/>
        <w:rPr>
          <w:rFonts w:ascii="Times New Roman" w:eastAsia="Arial" w:hAnsi="Times New Roman" w:cs="Times New Roman"/>
          <w:noProof/>
          <w:kern w:val="0"/>
          <w14:ligatures w14:val="none"/>
        </w:rPr>
      </w:pPr>
    </w:p>
    <w:p w14:paraId="6E26C3F6" w14:textId="0E8581BD" w:rsidR="00A84FEA" w:rsidRDefault="00A84FEA">
      <w:pPr>
        <w:rPr>
          <w:rFonts w:ascii="Times New Roman" w:eastAsia="Arial" w:hAnsi="Times New Roman" w:cs="Times New Roman"/>
          <w:noProof/>
          <w:kern w:val="0"/>
          <w:sz w:val="7"/>
          <w:szCs w:val="20"/>
          <w14:ligatures w14:val="none"/>
        </w:rPr>
      </w:pPr>
      <w:r>
        <w:rPr>
          <w:rFonts w:ascii="Times New Roman" w:eastAsia="Arial" w:hAnsi="Times New Roman" w:cs="Times New Roman"/>
          <w:noProof/>
          <w:kern w:val="0"/>
          <w:sz w:val="7"/>
          <w:szCs w:val="20"/>
          <w14:ligatures w14:val="none"/>
        </w:rPr>
        <w:br w:type="page"/>
      </w:r>
    </w:p>
    <w:p w14:paraId="32CEF99E"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noProof/>
          <w:kern w:val="0"/>
          <w:sz w:val="7"/>
          <w:szCs w:val="20"/>
          <w14:ligatures w14:val="none"/>
        </w:rPr>
      </w:pPr>
    </w:p>
    <w:p w14:paraId="6C7434BF" w14:textId="63D6AD83" w:rsidR="00994507" w:rsidRPr="001A1BAE" w:rsidRDefault="001A1BAE" w:rsidP="001A1BAE">
      <w:pPr>
        <w:widowControl w:val="0"/>
        <w:autoSpaceDE w:val="0"/>
        <w:autoSpaceDN w:val="0"/>
        <w:spacing w:after="0" w:line="240" w:lineRule="auto"/>
        <w:jc w:val="center"/>
        <w:rPr>
          <w:rFonts w:ascii="Times New Roman" w:eastAsia="Arial" w:hAnsi="Times New Roman" w:cs="Times New Roman"/>
          <w:noProof/>
          <w:kern w:val="0"/>
          <w:sz w:val="20"/>
          <w:szCs w:val="20"/>
          <w14:ligatures w14:val="none"/>
        </w:rPr>
      </w:pPr>
      <w:r>
        <w:rPr>
          <w:rFonts w:ascii="Times New Roman" w:hAnsi="Times New Roman"/>
          <w:noProof/>
          <w:sz w:val="20"/>
        </w:rPr>
        <w:drawing>
          <wp:inline distT="0" distB="0" distL="0" distR="0" wp14:anchorId="7B91A576" wp14:editId="1D859EF3">
            <wp:extent cx="2761504" cy="1213103"/>
            <wp:effectExtent l="0" t="0" r="1270" b="6350"/>
            <wp:docPr id="138711669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61504" cy="1213103"/>
                    </a:xfrm>
                    <a:prstGeom prst="rect">
                      <a:avLst/>
                    </a:prstGeom>
                  </pic:spPr>
                </pic:pic>
              </a:graphicData>
            </a:graphic>
          </wp:inline>
        </w:drawing>
      </w:r>
      <w:r w:rsidR="002F7216">
        <w:rPr>
          <w:rFonts w:ascii="Times New Roman" w:hAnsi="Times New Roman"/>
        </w:rPr>
        <w:br w:type="page"/>
      </w:r>
    </w:p>
    <w:p w14:paraId="510E90C3" w14:textId="0C09BBBF" w:rsidR="00335C80" w:rsidRPr="000F37A5" w:rsidRDefault="00335C80" w:rsidP="000F37A5">
      <w:pPr>
        <w:pStyle w:val="Heading1"/>
        <w:rPr>
          <w:rFonts w:ascii="Times New Roman" w:eastAsia="Arial" w:hAnsi="Times New Roman" w:cs="Times New Roman"/>
          <w:b/>
          <w:bCs/>
          <w:noProof/>
          <w:color w:val="0B769F" w:themeColor="accent4" w:themeShade="BF"/>
          <w:sz w:val="48"/>
          <w:szCs w:val="48"/>
        </w:rPr>
      </w:pPr>
      <w:bookmarkStart w:id="5" w:name="_Toc241753046"/>
      <w:r>
        <w:rPr>
          <w:rFonts w:ascii="Times New Roman" w:hAnsi="Times New Roman"/>
          <w:b/>
          <w:color w:val="0B769F" w:themeColor="accent4" w:themeShade="BF"/>
          <w:sz w:val="48"/>
        </w:rPr>
        <w:lastRenderedPageBreak/>
        <w:t>Saīsinājumi un akronīmi</w:t>
      </w:r>
      <w:bookmarkEnd w:id="5"/>
    </w:p>
    <w:p w14:paraId="36D473C3"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0"/>
          <w:szCs w:val="20"/>
          <w14:ligatures w14:val="none"/>
        </w:rPr>
      </w:pPr>
    </w:p>
    <w:p w14:paraId="0F69E166"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0"/>
          <w:szCs w:val="20"/>
          <w14:ligatures w14:val="none"/>
        </w:rPr>
      </w:pPr>
    </w:p>
    <w:p w14:paraId="6BF8CC8F"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0"/>
          <w:szCs w:val="20"/>
          <w14:ligatures w14:val="none"/>
        </w:rPr>
      </w:pPr>
    </w:p>
    <w:p w14:paraId="42CC873B"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0"/>
          <w:szCs w:val="20"/>
          <w14:ligatures w14:val="none"/>
        </w:rPr>
      </w:pPr>
    </w:p>
    <w:p w14:paraId="72C5FA25"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0"/>
          <w:szCs w:val="20"/>
          <w14:ligatures w14:val="none"/>
        </w:rPr>
      </w:pPr>
    </w:p>
    <w:tbl>
      <w:tblPr>
        <w:tblW w:w="0" w:type="auto"/>
        <w:tblLayout w:type="fixed"/>
        <w:tblCellMar>
          <w:left w:w="0" w:type="dxa"/>
          <w:right w:w="0" w:type="dxa"/>
        </w:tblCellMar>
        <w:tblLook w:val="01E0" w:firstRow="1" w:lastRow="1" w:firstColumn="1" w:lastColumn="1" w:noHBand="0" w:noVBand="0"/>
      </w:tblPr>
      <w:tblGrid>
        <w:gridCol w:w="1985"/>
        <w:gridCol w:w="6662"/>
      </w:tblGrid>
      <w:tr w:rsidR="0070467B" w:rsidRPr="0070467B" w14:paraId="6FFABFEE" w14:textId="77777777" w:rsidTr="00447F0F">
        <w:trPr>
          <w:trHeight w:val="449"/>
        </w:trPr>
        <w:tc>
          <w:tcPr>
            <w:tcW w:w="1985" w:type="dxa"/>
          </w:tcPr>
          <w:p w14:paraId="22FB1DCE" w14:textId="3B8598CB" w:rsidR="0070467B" w:rsidRPr="0070467B" w:rsidRDefault="0070467B" w:rsidP="00447F0F">
            <w:pPr>
              <w:widowControl w:val="0"/>
              <w:autoSpaceDE w:val="0"/>
              <w:autoSpaceDN w:val="0"/>
              <w:spacing w:before="80" w:after="80" w:line="240" w:lineRule="auto"/>
              <w:ind w:left="57" w:right="57"/>
              <w:rPr>
                <w:rFonts w:ascii="Times New Roman" w:hAnsi="Times New Roman"/>
                <w:sz w:val="24"/>
                <w:szCs w:val="24"/>
              </w:rPr>
            </w:pPr>
            <w:r w:rsidRPr="0070467B">
              <w:rPr>
                <w:rFonts w:ascii="Times New Roman" w:hAnsi="Times New Roman"/>
                <w:i/>
                <w:iCs/>
                <w:sz w:val="24"/>
                <w:szCs w:val="24"/>
              </w:rPr>
              <w:t>AML</w:t>
            </w:r>
          </w:p>
        </w:tc>
        <w:tc>
          <w:tcPr>
            <w:tcW w:w="6662" w:type="dxa"/>
          </w:tcPr>
          <w:p w14:paraId="16B31A0A" w14:textId="484BA881" w:rsidR="0070467B" w:rsidRPr="0070467B" w:rsidRDefault="0070467B" w:rsidP="00447F0F">
            <w:pPr>
              <w:widowControl w:val="0"/>
              <w:autoSpaceDE w:val="0"/>
              <w:autoSpaceDN w:val="0"/>
              <w:spacing w:before="80" w:after="80" w:line="240" w:lineRule="auto"/>
              <w:ind w:left="57" w:right="57"/>
              <w:rPr>
                <w:rFonts w:ascii="Times New Roman" w:hAnsi="Times New Roman"/>
                <w:sz w:val="24"/>
                <w:szCs w:val="24"/>
              </w:rPr>
            </w:pPr>
            <w:r w:rsidRPr="0070467B">
              <w:rPr>
                <w:rFonts w:ascii="Times New Roman" w:hAnsi="Times New Roman"/>
                <w:sz w:val="24"/>
                <w:szCs w:val="24"/>
              </w:rPr>
              <w:t>Noziedzīgi iegūtu līdzekļu legalizācijas novēršana</w:t>
            </w:r>
          </w:p>
        </w:tc>
      </w:tr>
      <w:tr w:rsidR="0070467B" w:rsidRPr="0070467B" w14:paraId="59DC7DBD" w14:textId="77777777" w:rsidTr="00447F0F">
        <w:trPr>
          <w:trHeight w:val="413"/>
        </w:trPr>
        <w:tc>
          <w:tcPr>
            <w:tcW w:w="1985" w:type="dxa"/>
          </w:tcPr>
          <w:p w14:paraId="01A2068D" w14:textId="17540556" w:rsidR="0070467B" w:rsidRPr="0070467B" w:rsidRDefault="0070467B" w:rsidP="00447F0F">
            <w:pPr>
              <w:widowControl w:val="0"/>
              <w:autoSpaceDE w:val="0"/>
              <w:autoSpaceDN w:val="0"/>
              <w:spacing w:before="80" w:after="80" w:line="240" w:lineRule="auto"/>
              <w:ind w:left="57" w:right="57"/>
              <w:rPr>
                <w:rFonts w:ascii="Times New Roman" w:hAnsi="Times New Roman"/>
                <w:sz w:val="24"/>
                <w:szCs w:val="24"/>
              </w:rPr>
            </w:pPr>
            <w:r w:rsidRPr="0070467B">
              <w:rPr>
                <w:rFonts w:ascii="Times New Roman" w:hAnsi="Times New Roman"/>
                <w:i/>
                <w:iCs/>
                <w:sz w:val="24"/>
                <w:szCs w:val="24"/>
              </w:rPr>
              <w:t>API</w:t>
            </w:r>
            <w:r w:rsidRPr="0070467B">
              <w:rPr>
                <w:rFonts w:ascii="Times New Roman" w:hAnsi="Times New Roman"/>
                <w:sz w:val="24"/>
                <w:szCs w:val="24"/>
              </w:rPr>
              <w:t xml:space="preserve"> </w:t>
            </w:r>
          </w:p>
        </w:tc>
        <w:tc>
          <w:tcPr>
            <w:tcW w:w="6662" w:type="dxa"/>
          </w:tcPr>
          <w:p w14:paraId="3FE1F0B7" w14:textId="0D5D8372" w:rsidR="0070467B" w:rsidRPr="0070467B" w:rsidRDefault="0070467B" w:rsidP="00447F0F">
            <w:pPr>
              <w:widowControl w:val="0"/>
              <w:autoSpaceDE w:val="0"/>
              <w:autoSpaceDN w:val="0"/>
              <w:spacing w:before="80" w:after="80" w:line="240" w:lineRule="auto"/>
              <w:ind w:left="57" w:right="57"/>
              <w:rPr>
                <w:rFonts w:ascii="Times New Roman" w:hAnsi="Times New Roman"/>
                <w:sz w:val="24"/>
                <w:szCs w:val="24"/>
              </w:rPr>
            </w:pPr>
            <w:r w:rsidRPr="0070467B">
              <w:rPr>
                <w:rFonts w:ascii="Times New Roman" w:hAnsi="Times New Roman"/>
                <w:sz w:val="24"/>
                <w:szCs w:val="24"/>
              </w:rPr>
              <w:t xml:space="preserve">Piekļuves programmsaskarne </w:t>
            </w:r>
          </w:p>
        </w:tc>
      </w:tr>
      <w:tr w:rsidR="0070467B" w:rsidRPr="0070467B" w14:paraId="1D643C1C" w14:textId="77777777" w:rsidTr="00447F0F">
        <w:trPr>
          <w:trHeight w:val="420"/>
        </w:trPr>
        <w:tc>
          <w:tcPr>
            <w:tcW w:w="1985" w:type="dxa"/>
          </w:tcPr>
          <w:p w14:paraId="3EF09573" w14:textId="44D0423C" w:rsidR="0070467B" w:rsidRPr="0070467B" w:rsidRDefault="0070467B"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ATM</w:t>
            </w:r>
          </w:p>
        </w:tc>
        <w:tc>
          <w:tcPr>
            <w:tcW w:w="6662" w:type="dxa"/>
          </w:tcPr>
          <w:p w14:paraId="2EA224A3" w14:textId="72FBED37" w:rsidR="0070467B" w:rsidRPr="0070467B" w:rsidRDefault="0070467B"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Bankomāts</w:t>
            </w:r>
          </w:p>
        </w:tc>
      </w:tr>
      <w:tr w:rsidR="0070467B" w:rsidRPr="0070467B" w14:paraId="6AAC989A" w14:textId="77777777" w:rsidTr="00447F0F">
        <w:trPr>
          <w:trHeight w:val="411"/>
        </w:trPr>
        <w:tc>
          <w:tcPr>
            <w:tcW w:w="1985" w:type="dxa"/>
          </w:tcPr>
          <w:p w14:paraId="32B28F22" w14:textId="1885A5F6" w:rsidR="0070467B" w:rsidRPr="0070467B" w:rsidRDefault="0070467B" w:rsidP="00447F0F">
            <w:pPr>
              <w:widowControl w:val="0"/>
              <w:autoSpaceDE w:val="0"/>
              <w:autoSpaceDN w:val="0"/>
              <w:spacing w:before="80" w:after="80" w:line="240" w:lineRule="auto"/>
              <w:ind w:left="57" w:right="57"/>
              <w:rPr>
                <w:rFonts w:ascii="Times New Roman" w:hAnsi="Times New Roman"/>
                <w:i/>
                <w:iCs/>
                <w:sz w:val="24"/>
                <w:szCs w:val="24"/>
              </w:rPr>
            </w:pPr>
            <w:r w:rsidRPr="0070467B">
              <w:rPr>
                <w:rFonts w:ascii="Times New Roman" w:hAnsi="Times New Roman"/>
                <w:i/>
                <w:iCs/>
                <w:sz w:val="24"/>
                <w:szCs w:val="24"/>
              </w:rPr>
              <w:t>CARF</w:t>
            </w:r>
          </w:p>
        </w:tc>
        <w:tc>
          <w:tcPr>
            <w:tcW w:w="6662" w:type="dxa"/>
          </w:tcPr>
          <w:p w14:paraId="0729D3BC" w14:textId="26D88F61" w:rsidR="0070467B" w:rsidRPr="0070467B" w:rsidRDefault="0070467B" w:rsidP="00447F0F">
            <w:pPr>
              <w:widowControl w:val="0"/>
              <w:autoSpaceDE w:val="0"/>
              <w:autoSpaceDN w:val="0"/>
              <w:spacing w:before="80" w:after="80" w:line="240" w:lineRule="auto"/>
              <w:ind w:left="57" w:right="57"/>
              <w:rPr>
                <w:rFonts w:ascii="Times New Roman" w:hAnsi="Times New Roman"/>
                <w:sz w:val="24"/>
                <w:szCs w:val="24"/>
              </w:rPr>
            </w:pPr>
            <w:r w:rsidRPr="0070467B">
              <w:rPr>
                <w:rFonts w:ascii="Times New Roman" w:hAnsi="Times New Roman"/>
                <w:sz w:val="24"/>
                <w:szCs w:val="24"/>
              </w:rPr>
              <w:t>Kriptoaktīvu ziņošanas sistēma</w:t>
            </w:r>
          </w:p>
        </w:tc>
      </w:tr>
      <w:tr w:rsidR="00335C80" w:rsidRPr="0070467B" w14:paraId="6A67D5EA" w14:textId="77777777" w:rsidTr="00447F0F">
        <w:trPr>
          <w:trHeight w:val="641"/>
        </w:trPr>
        <w:tc>
          <w:tcPr>
            <w:tcW w:w="1985" w:type="dxa"/>
          </w:tcPr>
          <w:p w14:paraId="3C2E15E5"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CARF MCAA</w:t>
            </w:r>
          </w:p>
        </w:tc>
        <w:tc>
          <w:tcPr>
            <w:tcW w:w="6662" w:type="dxa"/>
          </w:tcPr>
          <w:p w14:paraId="4F0ABFAB"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Kompetento iestāžu daudzpusējais nolīgums par informācijas automātisku apmaiņu saskaņā ar kriptoaktīvu ziņošanas sistēmu</w:t>
            </w:r>
          </w:p>
        </w:tc>
      </w:tr>
      <w:tr w:rsidR="00335C80" w:rsidRPr="0070467B" w14:paraId="7F914957" w14:textId="77777777" w:rsidTr="00447F0F">
        <w:trPr>
          <w:trHeight w:val="379"/>
        </w:trPr>
        <w:tc>
          <w:tcPr>
            <w:tcW w:w="1985" w:type="dxa"/>
          </w:tcPr>
          <w:p w14:paraId="2C866732"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CBDC</w:t>
            </w:r>
          </w:p>
        </w:tc>
        <w:tc>
          <w:tcPr>
            <w:tcW w:w="6662" w:type="dxa"/>
          </w:tcPr>
          <w:p w14:paraId="3B31C64D"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Centrālās bankas digitālā valūta</w:t>
            </w:r>
          </w:p>
        </w:tc>
      </w:tr>
      <w:tr w:rsidR="00335C80" w:rsidRPr="0070467B" w14:paraId="15B1CDA0" w14:textId="77777777" w:rsidTr="00447F0F">
        <w:trPr>
          <w:trHeight w:val="380"/>
        </w:trPr>
        <w:tc>
          <w:tcPr>
            <w:tcW w:w="1985" w:type="dxa"/>
          </w:tcPr>
          <w:p w14:paraId="03B798DA"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CBI</w:t>
            </w:r>
          </w:p>
        </w:tc>
        <w:tc>
          <w:tcPr>
            <w:tcW w:w="6662" w:type="dxa"/>
          </w:tcPr>
          <w:p w14:paraId="356F9B9E"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Pilsonība apmaiņā pret ieguldījumiem</w:t>
            </w:r>
          </w:p>
        </w:tc>
      </w:tr>
      <w:tr w:rsidR="00335C80" w:rsidRPr="0070467B" w14:paraId="27050B7A" w14:textId="77777777" w:rsidTr="00447F0F">
        <w:trPr>
          <w:trHeight w:val="379"/>
        </w:trPr>
        <w:tc>
          <w:tcPr>
            <w:tcW w:w="1985" w:type="dxa"/>
          </w:tcPr>
          <w:p w14:paraId="612A22B4"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CRS</w:t>
            </w:r>
          </w:p>
        </w:tc>
        <w:tc>
          <w:tcPr>
            <w:tcW w:w="6662" w:type="dxa"/>
          </w:tcPr>
          <w:p w14:paraId="28823A58"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Kopējais ziņošanas standarts</w:t>
            </w:r>
          </w:p>
        </w:tc>
      </w:tr>
      <w:tr w:rsidR="00335C80" w:rsidRPr="0070467B" w14:paraId="67A13270" w14:textId="77777777" w:rsidTr="00447F0F">
        <w:trPr>
          <w:trHeight w:val="641"/>
        </w:trPr>
        <w:tc>
          <w:tcPr>
            <w:tcW w:w="1985" w:type="dxa"/>
          </w:tcPr>
          <w:p w14:paraId="07960211"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CRS MCAA</w:t>
            </w:r>
          </w:p>
        </w:tc>
        <w:tc>
          <w:tcPr>
            <w:tcW w:w="6662" w:type="dxa"/>
          </w:tcPr>
          <w:p w14:paraId="20DA093D"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Kompetento iestāžu daudzpusējs nolīgums par finanšu konta informācijas automātisku apmaiņu</w:t>
            </w:r>
          </w:p>
        </w:tc>
      </w:tr>
      <w:tr w:rsidR="00335C80" w:rsidRPr="0070467B" w14:paraId="38CA4DCA" w14:textId="77777777" w:rsidTr="00447F0F">
        <w:trPr>
          <w:trHeight w:val="380"/>
        </w:trPr>
        <w:tc>
          <w:tcPr>
            <w:tcW w:w="1985" w:type="dxa"/>
          </w:tcPr>
          <w:p w14:paraId="2E18E541"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FATCA</w:t>
            </w:r>
          </w:p>
        </w:tc>
        <w:tc>
          <w:tcPr>
            <w:tcW w:w="6662" w:type="dxa"/>
          </w:tcPr>
          <w:p w14:paraId="0C1FBE0A"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Ārvalstu kontu nodokļu saistību izpildes likums</w:t>
            </w:r>
          </w:p>
        </w:tc>
      </w:tr>
      <w:tr w:rsidR="00335C80" w:rsidRPr="0070467B" w14:paraId="5F18B11C" w14:textId="77777777" w:rsidTr="00447F0F">
        <w:trPr>
          <w:trHeight w:val="379"/>
        </w:trPr>
        <w:tc>
          <w:tcPr>
            <w:tcW w:w="1985" w:type="dxa"/>
          </w:tcPr>
          <w:p w14:paraId="44171526"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FATF</w:t>
            </w:r>
          </w:p>
        </w:tc>
        <w:tc>
          <w:tcPr>
            <w:tcW w:w="6662" w:type="dxa"/>
          </w:tcPr>
          <w:p w14:paraId="449339AE"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Finanšu darījumu darba grupa</w:t>
            </w:r>
          </w:p>
        </w:tc>
      </w:tr>
      <w:tr w:rsidR="00335C80" w:rsidRPr="0070467B" w14:paraId="33E4869C" w14:textId="77777777" w:rsidTr="00447F0F">
        <w:trPr>
          <w:trHeight w:val="380"/>
        </w:trPr>
        <w:tc>
          <w:tcPr>
            <w:tcW w:w="1985" w:type="dxa"/>
          </w:tcPr>
          <w:p w14:paraId="514F6466"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IT</w:t>
            </w:r>
          </w:p>
        </w:tc>
        <w:tc>
          <w:tcPr>
            <w:tcW w:w="6662" w:type="dxa"/>
          </w:tcPr>
          <w:p w14:paraId="6DCB861A"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Informācijas tehnoloģija</w:t>
            </w:r>
          </w:p>
        </w:tc>
      </w:tr>
      <w:tr w:rsidR="00335C80" w:rsidRPr="0070467B" w14:paraId="1737B474" w14:textId="77777777" w:rsidTr="00447F0F">
        <w:trPr>
          <w:trHeight w:val="380"/>
        </w:trPr>
        <w:tc>
          <w:tcPr>
            <w:tcW w:w="1985" w:type="dxa"/>
          </w:tcPr>
          <w:p w14:paraId="610CEF8D"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KYC</w:t>
            </w:r>
          </w:p>
        </w:tc>
        <w:tc>
          <w:tcPr>
            <w:tcW w:w="6662" w:type="dxa"/>
          </w:tcPr>
          <w:p w14:paraId="484EEF1B"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Zini savu klientu</w:t>
            </w:r>
          </w:p>
        </w:tc>
      </w:tr>
      <w:tr w:rsidR="00335C80" w:rsidRPr="0070467B" w14:paraId="12A5FB7E" w14:textId="77777777" w:rsidTr="00447F0F">
        <w:trPr>
          <w:trHeight w:val="379"/>
        </w:trPr>
        <w:tc>
          <w:tcPr>
            <w:tcW w:w="1985" w:type="dxa"/>
          </w:tcPr>
          <w:p w14:paraId="4F129138"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LEI</w:t>
            </w:r>
          </w:p>
        </w:tc>
        <w:tc>
          <w:tcPr>
            <w:tcW w:w="6662" w:type="dxa"/>
          </w:tcPr>
          <w:p w14:paraId="1659EB56"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Juridiskās personas identifikators</w:t>
            </w:r>
          </w:p>
        </w:tc>
      </w:tr>
      <w:tr w:rsidR="00335C80" w:rsidRPr="0070467B" w14:paraId="7FFEE7CE" w14:textId="77777777" w:rsidTr="00447F0F">
        <w:trPr>
          <w:trHeight w:val="380"/>
        </w:trPr>
        <w:tc>
          <w:tcPr>
            <w:tcW w:w="1985" w:type="dxa"/>
          </w:tcPr>
          <w:p w14:paraId="04ADBB90"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NFE</w:t>
            </w:r>
          </w:p>
        </w:tc>
        <w:tc>
          <w:tcPr>
            <w:tcW w:w="6662" w:type="dxa"/>
          </w:tcPr>
          <w:p w14:paraId="18012BED"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Nefinanšu vienība</w:t>
            </w:r>
          </w:p>
        </w:tc>
      </w:tr>
      <w:tr w:rsidR="00335C80" w:rsidRPr="0070467B" w14:paraId="2383532F" w14:textId="77777777" w:rsidTr="00447F0F">
        <w:trPr>
          <w:trHeight w:val="380"/>
        </w:trPr>
        <w:tc>
          <w:tcPr>
            <w:tcW w:w="1985" w:type="dxa"/>
          </w:tcPr>
          <w:p w14:paraId="710FB954"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NFT</w:t>
            </w:r>
          </w:p>
        </w:tc>
        <w:tc>
          <w:tcPr>
            <w:tcW w:w="6662" w:type="dxa"/>
          </w:tcPr>
          <w:p w14:paraId="0345B026"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Neaizstājams blokķēdes žetons</w:t>
            </w:r>
          </w:p>
        </w:tc>
      </w:tr>
      <w:tr w:rsidR="00335C80" w:rsidRPr="0070467B" w14:paraId="73CFD8A0" w14:textId="77777777" w:rsidTr="00447F0F">
        <w:trPr>
          <w:trHeight w:val="379"/>
        </w:trPr>
        <w:tc>
          <w:tcPr>
            <w:tcW w:w="1985" w:type="dxa"/>
          </w:tcPr>
          <w:p w14:paraId="001B0075"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OECD</w:t>
            </w:r>
          </w:p>
        </w:tc>
        <w:tc>
          <w:tcPr>
            <w:tcW w:w="6662" w:type="dxa"/>
          </w:tcPr>
          <w:p w14:paraId="26ED2C79"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Ekonomiskās sadarbības un attīstības organizācija</w:t>
            </w:r>
          </w:p>
        </w:tc>
      </w:tr>
      <w:tr w:rsidR="00335C80" w:rsidRPr="0070467B" w14:paraId="38CB48FC" w14:textId="77777777" w:rsidTr="00447F0F">
        <w:trPr>
          <w:trHeight w:val="380"/>
        </w:trPr>
        <w:tc>
          <w:tcPr>
            <w:tcW w:w="1985" w:type="dxa"/>
          </w:tcPr>
          <w:p w14:paraId="07B662F9"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RBI</w:t>
            </w:r>
          </w:p>
        </w:tc>
        <w:tc>
          <w:tcPr>
            <w:tcW w:w="6662" w:type="dxa"/>
          </w:tcPr>
          <w:p w14:paraId="7AFF8CD9"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Pastāvīgas uzturēšanās atļauja apmaiņā pret ieguldījumiem</w:t>
            </w:r>
          </w:p>
        </w:tc>
      </w:tr>
      <w:tr w:rsidR="00335C80" w:rsidRPr="0070467B" w14:paraId="763C6B77" w14:textId="77777777" w:rsidTr="00447F0F">
        <w:trPr>
          <w:trHeight w:val="380"/>
        </w:trPr>
        <w:tc>
          <w:tcPr>
            <w:tcW w:w="1985" w:type="dxa"/>
          </w:tcPr>
          <w:p w14:paraId="69BBB19A"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TIN</w:t>
            </w:r>
          </w:p>
        </w:tc>
        <w:tc>
          <w:tcPr>
            <w:tcW w:w="6662" w:type="dxa"/>
          </w:tcPr>
          <w:p w14:paraId="60995AC7"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Nodokļu maksātāja identifikācijas numurs</w:t>
            </w:r>
          </w:p>
        </w:tc>
      </w:tr>
      <w:tr w:rsidR="00335C80" w:rsidRPr="0070467B" w14:paraId="47FB665B" w14:textId="77777777" w:rsidTr="00447F0F">
        <w:trPr>
          <w:trHeight w:val="301"/>
        </w:trPr>
        <w:tc>
          <w:tcPr>
            <w:tcW w:w="1985" w:type="dxa"/>
          </w:tcPr>
          <w:p w14:paraId="06F3B902"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i/>
                <w:iCs/>
                <w:sz w:val="24"/>
                <w:szCs w:val="24"/>
              </w:rPr>
              <w:t>XML</w:t>
            </w:r>
          </w:p>
        </w:tc>
        <w:tc>
          <w:tcPr>
            <w:tcW w:w="6662" w:type="dxa"/>
          </w:tcPr>
          <w:p w14:paraId="4F0D301B" w14:textId="77777777" w:rsidR="00335C80" w:rsidRPr="0070467B" w:rsidRDefault="00335C80" w:rsidP="00447F0F">
            <w:pPr>
              <w:widowControl w:val="0"/>
              <w:autoSpaceDE w:val="0"/>
              <w:autoSpaceDN w:val="0"/>
              <w:spacing w:before="80" w:after="80" w:line="240" w:lineRule="auto"/>
              <w:ind w:left="57" w:right="57"/>
              <w:rPr>
                <w:rFonts w:ascii="Times New Roman" w:eastAsia="Arial" w:hAnsi="Times New Roman" w:cs="Times New Roman"/>
                <w:noProof/>
                <w:kern w:val="0"/>
                <w:sz w:val="24"/>
                <w:szCs w:val="24"/>
                <w14:ligatures w14:val="none"/>
              </w:rPr>
            </w:pPr>
            <w:r w:rsidRPr="0070467B">
              <w:rPr>
                <w:rFonts w:ascii="Times New Roman" w:hAnsi="Times New Roman"/>
                <w:sz w:val="24"/>
                <w:szCs w:val="24"/>
              </w:rPr>
              <w:t>Paplašināmās iezīmēšanas valoda</w:t>
            </w:r>
          </w:p>
        </w:tc>
      </w:tr>
    </w:tbl>
    <w:p w14:paraId="77331615" w14:textId="649028C6" w:rsidR="00994507" w:rsidRDefault="00994507" w:rsidP="00994507">
      <w:pPr>
        <w:widowControl w:val="0"/>
        <w:autoSpaceDE w:val="0"/>
        <w:autoSpaceDN w:val="0"/>
        <w:spacing w:after="0" w:line="240" w:lineRule="auto"/>
        <w:jc w:val="both"/>
        <w:rPr>
          <w:rFonts w:ascii="Times New Roman" w:eastAsia="Arial" w:hAnsi="Times New Roman" w:cs="Times New Roman"/>
          <w:noProof/>
          <w:kern w:val="0"/>
          <w:sz w:val="20"/>
          <w14:ligatures w14:val="none"/>
        </w:rPr>
      </w:pPr>
    </w:p>
    <w:p w14:paraId="09792DD7" w14:textId="77777777" w:rsidR="00994507" w:rsidRDefault="00994507">
      <w:pPr>
        <w:rPr>
          <w:rFonts w:ascii="Times New Roman" w:eastAsia="Arial" w:hAnsi="Times New Roman" w:cs="Times New Roman"/>
          <w:noProof/>
          <w:kern w:val="0"/>
          <w:sz w:val="20"/>
          <w14:ligatures w14:val="none"/>
        </w:rPr>
      </w:pPr>
      <w:r>
        <w:br w:type="page"/>
      </w:r>
    </w:p>
    <w:p w14:paraId="1C9697D5" w14:textId="77777777" w:rsidR="00335C80" w:rsidRPr="000F37A5" w:rsidRDefault="00335C80" w:rsidP="000F37A5">
      <w:pPr>
        <w:pStyle w:val="Heading1"/>
        <w:rPr>
          <w:rFonts w:ascii="Times New Roman" w:eastAsia="Arial" w:hAnsi="Times New Roman" w:cs="Times New Roman"/>
          <w:b/>
          <w:bCs/>
          <w:noProof/>
          <w:color w:val="0B769F" w:themeColor="accent4" w:themeShade="BF"/>
          <w:sz w:val="48"/>
          <w:szCs w:val="48"/>
        </w:rPr>
      </w:pPr>
      <w:bookmarkStart w:id="6" w:name="Executive_summary"/>
      <w:bookmarkStart w:id="7" w:name="_bookmark2"/>
      <w:bookmarkStart w:id="8" w:name="_Toc241753047"/>
      <w:bookmarkEnd w:id="6"/>
      <w:bookmarkEnd w:id="7"/>
      <w:r>
        <w:rPr>
          <w:rFonts w:ascii="Times New Roman" w:hAnsi="Times New Roman"/>
          <w:b/>
          <w:color w:val="0B769F" w:themeColor="accent4" w:themeShade="BF"/>
          <w:sz w:val="48"/>
        </w:rPr>
        <w:lastRenderedPageBreak/>
        <w:t>Kopsavilkums</w:t>
      </w:r>
      <w:bookmarkEnd w:id="8"/>
    </w:p>
    <w:p w14:paraId="61D6A081"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72"/>
          <w:szCs w:val="20"/>
          <w14:ligatures w14:val="none"/>
        </w:rPr>
      </w:pPr>
    </w:p>
    <w:p w14:paraId="01D86FD3" w14:textId="77777777" w:rsidR="00335C80" w:rsidRPr="002148F5" w:rsidRDefault="00335C80" w:rsidP="002148F5">
      <w:pPr>
        <w:widowControl w:val="0"/>
        <w:autoSpaceDE w:val="0"/>
        <w:autoSpaceDN w:val="0"/>
        <w:spacing w:before="120"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Kopējais ziņošanas standarts (</w:t>
      </w:r>
      <w:r>
        <w:rPr>
          <w:rFonts w:ascii="Times New Roman" w:hAnsi="Times New Roman"/>
          <w:i/>
          <w:iCs/>
          <w:sz w:val="24"/>
        </w:rPr>
        <w:t>CRS</w:t>
      </w:r>
      <w:r>
        <w:rPr>
          <w:rFonts w:ascii="Times New Roman" w:hAnsi="Times New Roman"/>
          <w:sz w:val="24"/>
        </w:rPr>
        <w:t xml:space="preserve">) tika izstrādāts, lai veicinātu nodokļu pārredzamību attiecībā uz ārvalstīs turētiem finanšu kontiem. Tā kā </w:t>
      </w:r>
      <w:r>
        <w:rPr>
          <w:rFonts w:ascii="Times New Roman" w:hAnsi="Times New Roman"/>
          <w:i/>
          <w:iCs/>
          <w:sz w:val="24"/>
        </w:rPr>
        <w:t>CRS</w:t>
      </w:r>
      <w:r>
        <w:rPr>
          <w:rFonts w:ascii="Times New Roman" w:hAnsi="Times New Roman"/>
          <w:sz w:val="24"/>
        </w:rPr>
        <w:t xml:space="preserve"> tika pieņemts 2014. gadā, ir pagājuši jau vairāk nekā septiņi gadi, un šajā laikā vairāk nekā 100 jurisdikciju ir ieviesušas </w:t>
      </w:r>
      <w:r>
        <w:rPr>
          <w:rFonts w:ascii="Times New Roman" w:hAnsi="Times New Roman"/>
          <w:i/>
          <w:iCs/>
          <w:sz w:val="24"/>
        </w:rPr>
        <w:t>CRS</w:t>
      </w:r>
      <w:r>
        <w:rPr>
          <w:rFonts w:ascii="Times New Roman" w:hAnsi="Times New Roman"/>
          <w:sz w:val="24"/>
        </w:rPr>
        <w:t xml:space="preserve"> un finanšu tirgi turpinājuši attīstīties, radot jaunu ieguldījumu un maksājumu praksi. </w:t>
      </w:r>
      <w:r>
        <w:rPr>
          <w:rFonts w:ascii="Times New Roman" w:hAnsi="Times New Roman"/>
          <w:i/>
          <w:iCs/>
          <w:sz w:val="24"/>
        </w:rPr>
        <w:t>OECD</w:t>
      </w:r>
      <w:r>
        <w:rPr>
          <w:rFonts w:ascii="Times New Roman" w:hAnsi="Times New Roman"/>
          <w:sz w:val="24"/>
        </w:rPr>
        <w:t xml:space="preserve">, strādājot kopā ar G20 valstīm, ir veikusi pirmo </w:t>
      </w:r>
      <w:r>
        <w:rPr>
          <w:rFonts w:ascii="Times New Roman" w:hAnsi="Times New Roman"/>
          <w:i/>
          <w:iCs/>
          <w:sz w:val="24"/>
        </w:rPr>
        <w:t>CRS</w:t>
      </w:r>
      <w:r>
        <w:rPr>
          <w:rFonts w:ascii="Times New Roman" w:hAnsi="Times New Roman"/>
          <w:sz w:val="24"/>
        </w:rPr>
        <w:t xml:space="preserve"> visaptverošo pārskatīšanu, konsultējoties ar dalības jurisdikcijām, finanšu iestādēm un citām ieinteresētām pusēm.</w:t>
      </w:r>
    </w:p>
    <w:p w14:paraId="6746A7E6" w14:textId="77777777" w:rsidR="00335C80" w:rsidRDefault="00335C80" w:rsidP="002148F5">
      <w:pPr>
        <w:widowControl w:val="0"/>
        <w:autoSpaceDE w:val="0"/>
        <w:autoSpaceDN w:val="0"/>
        <w:spacing w:before="120"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Rezultātā tika sagatavoti divi darbi:</w:t>
      </w:r>
    </w:p>
    <w:p w14:paraId="1CA40FE1" w14:textId="3B6CD59B" w:rsidR="00335C80" w:rsidRPr="002148F5" w:rsidRDefault="002148F5" w:rsidP="00447F0F">
      <w:pPr>
        <w:widowControl w:val="0"/>
        <w:tabs>
          <w:tab w:val="left" w:pos="1235"/>
          <w:tab w:val="left" w:pos="1237"/>
        </w:tabs>
        <w:autoSpaceDE w:val="0"/>
        <w:autoSpaceDN w:val="0"/>
        <w:spacing w:before="120" w:after="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I) jauna nodokļu pārredzamības sistēma, kas paredz standartizētā veidā ar jurisdikcijām, kuras ir nodokļu maksātāja rezidences vieta, automātiski apmainīties ar nodokļu informāciju darījumos ar kriptoaktīviem (dēvēta kā “kriptoaktīvu ziņošanas sistēma” jeb “</w:t>
      </w:r>
      <w:r>
        <w:rPr>
          <w:rFonts w:ascii="Times New Roman" w:hAnsi="Times New Roman"/>
          <w:i/>
          <w:iCs/>
          <w:sz w:val="24"/>
        </w:rPr>
        <w:t>CARF</w:t>
      </w:r>
      <w:r>
        <w:rPr>
          <w:rFonts w:ascii="Times New Roman" w:hAnsi="Times New Roman"/>
          <w:sz w:val="24"/>
        </w:rPr>
        <w:t>”), un</w:t>
      </w:r>
    </w:p>
    <w:p w14:paraId="673689CA" w14:textId="6107AAFB" w:rsidR="000A799B" w:rsidRPr="002148F5" w:rsidRDefault="002148F5" w:rsidP="00447F0F">
      <w:pPr>
        <w:widowControl w:val="0"/>
        <w:tabs>
          <w:tab w:val="left" w:pos="1234"/>
        </w:tabs>
        <w:autoSpaceDE w:val="0"/>
        <w:autoSpaceDN w:val="0"/>
        <w:spacing w:before="120" w:after="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II) </w:t>
      </w:r>
      <w:r>
        <w:rPr>
          <w:rFonts w:ascii="Times New Roman" w:hAnsi="Times New Roman"/>
          <w:i/>
          <w:iCs/>
          <w:sz w:val="24"/>
        </w:rPr>
        <w:t>CRS</w:t>
      </w:r>
      <w:r>
        <w:rPr>
          <w:rFonts w:ascii="Times New Roman" w:hAnsi="Times New Roman"/>
          <w:sz w:val="24"/>
        </w:rPr>
        <w:t xml:space="preserve"> grozījumu kopums.</w:t>
      </w:r>
    </w:p>
    <w:p w14:paraId="63C0EA57" w14:textId="035F4775" w:rsidR="00335C80" w:rsidRPr="000F37A5" w:rsidRDefault="00335C80" w:rsidP="000F37A5">
      <w:pPr>
        <w:pStyle w:val="Heading1"/>
        <w:rPr>
          <w:rFonts w:ascii="Times New Roman" w:eastAsia="Arial" w:hAnsi="Times New Roman" w:cs="Times New Roman"/>
          <w:b/>
          <w:bCs/>
          <w:noProof/>
          <w:color w:val="0B769F" w:themeColor="accent4" w:themeShade="BF"/>
          <w:sz w:val="26"/>
          <w:szCs w:val="26"/>
        </w:rPr>
      </w:pPr>
      <w:bookmarkStart w:id="9" w:name="Crypto-Asset_Reporting_Framework"/>
      <w:bookmarkStart w:id="10" w:name="_Toc241753048"/>
      <w:bookmarkEnd w:id="9"/>
      <w:r>
        <w:rPr>
          <w:rFonts w:ascii="Times New Roman" w:hAnsi="Times New Roman"/>
          <w:b/>
          <w:color w:val="0B769F" w:themeColor="accent4" w:themeShade="BF"/>
          <w:sz w:val="26"/>
        </w:rPr>
        <w:t>Kriptoaktīvu ziņošanas sistēma</w:t>
      </w:r>
      <w:bookmarkEnd w:id="10"/>
    </w:p>
    <w:p w14:paraId="7AEB0476" w14:textId="77777777" w:rsidR="00335C80" w:rsidRPr="002148F5" w:rsidRDefault="00335C80" w:rsidP="002148F5">
      <w:pPr>
        <w:widowControl w:val="0"/>
        <w:autoSpaceDE w:val="0"/>
        <w:autoSpaceDN w:val="0"/>
        <w:spacing w:before="120"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Viens būtisks attīstības virziens, ko </w:t>
      </w:r>
      <w:r>
        <w:rPr>
          <w:rFonts w:ascii="Times New Roman" w:hAnsi="Times New Roman"/>
          <w:i/>
          <w:iCs/>
          <w:sz w:val="24"/>
        </w:rPr>
        <w:t>OECD</w:t>
      </w:r>
      <w:r>
        <w:rPr>
          <w:rFonts w:ascii="Times New Roman" w:hAnsi="Times New Roman"/>
          <w:sz w:val="24"/>
        </w:rPr>
        <w:t xml:space="preserve"> ir mēģinājusi risināt, ir kriptoaktīvu parādīšanās; kriptoaktīvus var pārskaitīt un turēt bez ierasto finanšu starpnieku iejaukšanās, un galvenais administrators pilnībā neredz ne veiktos darījumus, ne arī kriptoaktīvu turēšanas vietu.</w:t>
      </w:r>
    </w:p>
    <w:p w14:paraId="2517228C" w14:textId="77777777" w:rsidR="00335C80" w:rsidRPr="002148F5" w:rsidRDefault="00335C80" w:rsidP="002148F5">
      <w:pPr>
        <w:widowControl w:val="0"/>
        <w:autoSpaceDE w:val="0"/>
        <w:autoSpaceDN w:val="0"/>
        <w:spacing w:before="120"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Šāda attīstība ir mazinājusi nodokļu administrāciju spēju redzēt ar nodokļiem saistītas darbības, kas tiek veiktas nozarē, tāpēc ir grūtāk pārbaudīt, vai attiecīgās nodokļu saistības tiek pienācīgi ziņotas un novērtētas, radot būtisku risku, ka nesenie uzlabojumi attiecībā uz globālo nodokļu pārredzamību pakāpeniski pasliktināsies. Ņemot vērā kriptoaktīvu tirgu īpatnības, </w:t>
      </w:r>
      <w:r>
        <w:rPr>
          <w:rFonts w:ascii="Times New Roman" w:hAnsi="Times New Roman"/>
          <w:i/>
          <w:iCs/>
          <w:sz w:val="24"/>
        </w:rPr>
        <w:t>OECD</w:t>
      </w:r>
      <w:r>
        <w:rPr>
          <w:rFonts w:ascii="Times New Roman" w:hAnsi="Times New Roman"/>
          <w:sz w:val="24"/>
        </w:rPr>
        <w:t xml:space="preserve"> sadarbībā ar G20 valstīm ir izstrādājusi </w:t>
      </w:r>
      <w:r>
        <w:rPr>
          <w:rFonts w:ascii="Times New Roman" w:hAnsi="Times New Roman"/>
          <w:i/>
          <w:iCs/>
          <w:sz w:val="24"/>
        </w:rPr>
        <w:t>CARF</w:t>
      </w:r>
      <w:r>
        <w:rPr>
          <w:rFonts w:ascii="Times New Roman" w:hAnsi="Times New Roman"/>
          <w:sz w:val="24"/>
        </w:rPr>
        <w:t>, īpašu globālās nodokļu pārredzamības sistēmu, kas paredz ik gadu standartizētā veidā ar jurisdikcijām, kas ir nodokļu maksātāja rezidences vieta, automātiski apmainīties ar nodokļu informāciju darījumos ar kriptoaktīviem.</w:t>
      </w:r>
    </w:p>
    <w:p w14:paraId="03951C1F" w14:textId="77777777" w:rsidR="00335C80" w:rsidRPr="002148F5" w:rsidRDefault="00335C80" w:rsidP="002148F5">
      <w:pPr>
        <w:widowControl w:val="0"/>
        <w:autoSpaceDE w:val="0"/>
        <w:autoSpaceDN w:val="0"/>
        <w:spacing w:before="120" w:after="0" w:line="240" w:lineRule="auto"/>
        <w:jc w:val="both"/>
        <w:rPr>
          <w:rFonts w:ascii="Times New Roman" w:eastAsia="Arial" w:hAnsi="Times New Roman" w:cs="Times New Roman"/>
          <w:noProof/>
          <w:kern w:val="0"/>
          <w:sz w:val="24"/>
          <w:szCs w:val="24"/>
          <w14:ligatures w14:val="none"/>
        </w:rPr>
      </w:pPr>
      <w:r>
        <w:rPr>
          <w:rFonts w:ascii="Times New Roman" w:hAnsi="Times New Roman"/>
          <w:i/>
          <w:iCs/>
          <w:sz w:val="24"/>
        </w:rPr>
        <w:t>CARF</w:t>
      </w:r>
      <w:r>
        <w:rPr>
          <w:rFonts w:ascii="Times New Roman" w:hAnsi="Times New Roman"/>
          <w:sz w:val="24"/>
        </w:rPr>
        <w:t xml:space="preserve"> ir trīs atsevišķas sastāvdaļas:</w:t>
      </w:r>
    </w:p>
    <w:p w14:paraId="0A647AC7" w14:textId="77777777" w:rsidR="00335C80" w:rsidRPr="002148F5" w:rsidRDefault="00335C80" w:rsidP="00326ABB">
      <w:pPr>
        <w:widowControl w:val="0"/>
        <w:numPr>
          <w:ilvl w:val="1"/>
          <w:numId w:val="5"/>
        </w:numPr>
        <w:tabs>
          <w:tab w:val="left" w:pos="1235"/>
          <w:tab w:val="left" w:pos="1237"/>
        </w:tabs>
        <w:autoSpaceDE w:val="0"/>
        <w:autoSpaceDN w:val="0"/>
        <w:spacing w:before="120" w:after="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noteikumi un saistītie komentāri, kurus var transponēt valsts tiesību aktos, lai ievāktu informāciju no kriptoaktīvu pakalpojumu sniedzējiem, kas sniedz ziņojumus un kam ir attiecīga saikne ar jurisdikcijām, kuras īsteno </w:t>
      </w:r>
      <w:r>
        <w:rPr>
          <w:rFonts w:ascii="Times New Roman" w:hAnsi="Times New Roman"/>
          <w:i/>
          <w:iCs/>
          <w:sz w:val="24"/>
        </w:rPr>
        <w:t>CARF</w:t>
      </w:r>
      <w:r>
        <w:rPr>
          <w:rFonts w:ascii="Times New Roman" w:hAnsi="Times New Roman"/>
          <w:sz w:val="24"/>
        </w:rPr>
        <w:t>. Šie noteikumi un komentāri ir izstrādāti, pamatojoties uz četriem galvenajiem struktūras moduļiem: i) iekļaujamo kriptoaktīvu tvērums; ii) vienības un fiziskās personas, kurām piemērojamas datu vākšanas un ziņošanas prasības; iii) darījumi, par kuriem jāziņo, kā arī informācija, kas sniedzama saistībā ar šiem darījumiem, un iv) pienācīgas pārbaudes procedūras, kas veicamas, lai noteiktu kriptoaktīvu lietotājus un kontrolējošās personas, kā arī ziņošanas un informācijas apmaiņas nolūkā noskaidrotu attiecīgās nodokļu jurisdikcijas;</w:t>
      </w:r>
    </w:p>
    <w:p w14:paraId="242E4AD0" w14:textId="77777777" w:rsidR="00335C80" w:rsidRPr="002148F5" w:rsidRDefault="00335C80" w:rsidP="00326ABB">
      <w:pPr>
        <w:widowControl w:val="0"/>
        <w:numPr>
          <w:ilvl w:val="1"/>
          <w:numId w:val="5"/>
        </w:numPr>
        <w:tabs>
          <w:tab w:val="left" w:pos="1235"/>
          <w:tab w:val="left" w:pos="1237"/>
        </w:tabs>
        <w:autoSpaceDE w:val="0"/>
        <w:autoSpaceDN w:val="0"/>
        <w:spacing w:before="120" w:after="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Kompetento iestāžu daudzpusējais nolīgums par informācijas automātisku apmaiņu saskaņā ar </w:t>
      </w:r>
      <w:r>
        <w:rPr>
          <w:rFonts w:ascii="Times New Roman" w:hAnsi="Times New Roman"/>
          <w:i/>
          <w:iCs/>
          <w:sz w:val="24"/>
        </w:rPr>
        <w:t>CARF</w:t>
      </w:r>
      <w:r>
        <w:rPr>
          <w:rFonts w:ascii="Times New Roman" w:hAnsi="Times New Roman"/>
          <w:sz w:val="24"/>
        </w:rPr>
        <w:t xml:space="preserve"> (</w:t>
      </w:r>
      <w:r>
        <w:rPr>
          <w:rFonts w:ascii="Times New Roman" w:hAnsi="Times New Roman"/>
          <w:i/>
          <w:iCs/>
          <w:sz w:val="24"/>
        </w:rPr>
        <w:t>CARF MCAA</w:t>
      </w:r>
      <w:r>
        <w:rPr>
          <w:rFonts w:ascii="Times New Roman" w:hAnsi="Times New Roman"/>
          <w:sz w:val="24"/>
        </w:rPr>
        <w:t>), kā arī saistītie komentāri (vai divpusēji nolīgumi vai pasākumi), un</w:t>
      </w:r>
    </w:p>
    <w:p w14:paraId="1EF8D053" w14:textId="77777777" w:rsidR="00335C80" w:rsidRPr="002148F5" w:rsidRDefault="00335C80" w:rsidP="00326ABB">
      <w:pPr>
        <w:widowControl w:val="0"/>
        <w:numPr>
          <w:ilvl w:val="1"/>
          <w:numId w:val="5"/>
        </w:numPr>
        <w:tabs>
          <w:tab w:val="left" w:pos="1235"/>
          <w:tab w:val="left" w:pos="1237"/>
        </w:tabs>
        <w:autoSpaceDE w:val="0"/>
        <w:autoSpaceDN w:val="0"/>
        <w:spacing w:before="120" w:after="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elektroniskais formāts (</w:t>
      </w:r>
      <w:r>
        <w:rPr>
          <w:rFonts w:ascii="Times New Roman" w:hAnsi="Times New Roman"/>
          <w:i/>
          <w:iCs/>
          <w:sz w:val="24"/>
        </w:rPr>
        <w:t>XML</w:t>
      </w:r>
      <w:r>
        <w:rPr>
          <w:rFonts w:ascii="Times New Roman" w:hAnsi="Times New Roman"/>
          <w:sz w:val="24"/>
        </w:rPr>
        <w:t xml:space="preserve"> shēma), ko kompetentās iestādes izmanto </w:t>
      </w:r>
      <w:r>
        <w:rPr>
          <w:rFonts w:ascii="Times New Roman" w:hAnsi="Times New Roman"/>
          <w:i/>
          <w:iCs/>
          <w:sz w:val="24"/>
        </w:rPr>
        <w:t>CARF</w:t>
      </w:r>
      <w:r>
        <w:rPr>
          <w:rFonts w:ascii="Times New Roman" w:hAnsi="Times New Roman"/>
          <w:sz w:val="24"/>
        </w:rPr>
        <w:t xml:space="preserve"> informācijas apmaiņai, kā arī ko izmanto kriptoaktīvu pakalpojumu sniedzēji, kuri sniedz ziņojumus, lai ziņotu </w:t>
      </w:r>
      <w:r>
        <w:rPr>
          <w:rFonts w:ascii="Times New Roman" w:hAnsi="Times New Roman"/>
          <w:i/>
          <w:iCs/>
          <w:sz w:val="24"/>
        </w:rPr>
        <w:t>CARF</w:t>
      </w:r>
      <w:r>
        <w:rPr>
          <w:rFonts w:ascii="Times New Roman" w:hAnsi="Times New Roman"/>
          <w:sz w:val="24"/>
        </w:rPr>
        <w:t xml:space="preserve"> informāciju nodokļu administrācijām (kā atļauts valsts tiesību aktos).</w:t>
      </w:r>
    </w:p>
    <w:p w14:paraId="4A5CD3EC" w14:textId="77777777" w:rsidR="00335C80" w:rsidRPr="002148F5" w:rsidRDefault="00335C80" w:rsidP="002148F5">
      <w:pPr>
        <w:widowControl w:val="0"/>
        <w:autoSpaceDE w:val="0"/>
        <w:autoSpaceDN w:val="0"/>
        <w:spacing w:before="120"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 xml:space="preserve">Šīs publikācijas I daļā ir iekļauti noteikumi un Kompetento iestāžu daudzpusējais nolīgums par informācijas automātisku apmaiņu saskaņā ar </w:t>
      </w:r>
      <w:r>
        <w:rPr>
          <w:rFonts w:ascii="Times New Roman" w:hAnsi="Times New Roman"/>
          <w:i/>
          <w:iCs/>
          <w:sz w:val="24"/>
        </w:rPr>
        <w:t>CARF</w:t>
      </w:r>
      <w:r>
        <w:rPr>
          <w:rFonts w:ascii="Times New Roman" w:hAnsi="Times New Roman"/>
          <w:sz w:val="24"/>
        </w:rPr>
        <w:t xml:space="preserve">, kā arī saistītie komentāri. </w:t>
      </w:r>
      <w:r>
        <w:rPr>
          <w:rFonts w:ascii="Times New Roman" w:hAnsi="Times New Roman"/>
          <w:i/>
          <w:iCs/>
          <w:sz w:val="24"/>
        </w:rPr>
        <w:t>XML</w:t>
      </w:r>
      <w:r>
        <w:rPr>
          <w:rFonts w:ascii="Times New Roman" w:hAnsi="Times New Roman"/>
          <w:sz w:val="24"/>
        </w:rPr>
        <w:t xml:space="preserve"> shēma, kas nodrošina informācijas apmaiņu saskaņā ar </w:t>
      </w:r>
      <w:r>
        <w:rPr>
          <w:rFonts w:ascii="Times New Roman" w:hAnsi="Times New Roman"/>
          <w:i/>
          <w:iCs/>
          <w:sz w:val="24"/>
        </w:rPr>
        <w:t>CARF</w:t>
      </w:r>
      <w:r>
        <w:rPr>
          <w:rFonts w:ascii="Times New Roman" w:hAnsi="Times New Roman"/>
          <w:sz w:val="24"/>
        </w:rPr>
        <w:t>, tiks publicēta atsevišķi.</w:t>
      </w:r>
    </w:p>
    <w:p w14:paraId="5D808D23" w14:textId="43FDF95A" w:rsidR="00335C80" w:rsidRPr="000A799B" w:rsidRDefault="00335C80" w:rsidP="000F37A5">
      <w:pPr>
        <w:pStyle w:val="Heading1"/>
        <w:rPr>
          <w:rFonts w:ascii="Times New Roman" w:eastAsia="Arial" w:hAnsi="Times New Roman" w:cs="Times New Roman"/>
          <w:b/>
          <w:bCs/>
          <w:noProof/>
          <w:color w:val="4E81BD"/>
          <w:kern w:val="0"/>
          <w:sz w:val="26"/>
          <w:szCs w:val="26"/>
          <w14:ligatures w14:val="none"/>
        </w:rPr>
      </w:pPr>
      <w:bookmarkStart w:id="11" w:name="Amendments_to_the_Common_Reporting_Stand"/>
      <w:bookmarkStart w:id="12" w:name="_Toc241753049"/>
      <w:bookmarkEnd w:id="11"/>
      <w:r>
        <w:rPr>
          <w:rFonts w:ascii="Times New Roman" w:hAnsi="Times New Roman"/>
          <w:b/>
          <w:color w:val="0B769F" w:themeColor="accent4" w:themeShade="BF"/>
          <w:sz w:val="26"/>
        </w:rPr>
        <w:t>Kopējā ziņošanas standarta grozījumi</w:t>
      </w:r>
      <w:bookmarkEnd w:id="12"/>
    </w:p>
    <w:p w14:paraId="27B35441" w14:textId="77777777" w:rsidR="00335C80" w:rsidRPr="007B772B" w:rsidRDefault="00335C80" w:rsidP="007B772B">
      <w:pPr>
        <w:widowControl w:val="0"/>
        <w:autoSpaceDE w:val="0"/>
        <w:autoSpaceDN w:val="0"/>
        <w:spacing w:before="120"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Pēc pirmās apjomīgās </w:t>
      </w:r>
      <w:r>
        <w:rPr>
          <w:rFonts w:ascii="Times New Roman" w:hAnsi="Times New Roman"/>
          <w:i/>
          <w:iCs/>
          <w:sz w:val="24"/>
        </w:rPr>
        <w:t>CRS</w:t>
      </w:r>
      <w:r>
        <w:rPr>
          <w:rFonts w:ascii="Times New Roman" w:hAnsi="Times New Roman"/>
          <w:sz w:val="24"/>
        </w:rPr>
        <w:t xml:space="preserve"> pārskatīšanas, kas tika izstrādāts līdztekus </w:t>
      </w:r>
      <w:r>
        <w:rPr>
          <w:rFonts w:ascii="Times New Roman" w:hAnsi="Times New Roman"/>
          <w:i/>
          <w:iCs/>
          <w:sz w:val="24"/>
        </w:rPr>
        <w:t>CARF</w:t>
      </w:r>
      <w:r>
        <w:rPr>
          <w:rFonts w:ascii="Times New Roman" w:hAnsi="Times New Roman"/>
          <w:sz w:val="24"/>
        </w:rPr>
        <w:t xml:space="preserve">, tajā veikti grozījumi, lai darbības jomā iekļautu jaunus finanšu aktīvus, produktus un starpniekus kā iespējamās alternatīvas ierastajiem finanšu produktiem, vienlaikus novēršot </w:t>
      </w:r>
      <w:r>
        <w:rPr>
          <w:rFonts w:ascii="Times New Roman" w:hAnsi="Times New Roman"/>
          <w:i/>
          <w:iCs/>
          <w:sz w:val="24"/>
        </w:rPr>
        <w:t>CARF</w:t>
      </w:r>
      <w:r>
        <w:rPr>
          <w:rFonts w:ascii="Times New Roman" w:hAnsi="Times New Roman"/>
          <w:sz w:val="24"/>
        </w:rPr>
        <w:t xml:space="preserve"> paredzētās ziņošanas dublēšanos. Veikti arī papildu grozījumi, lai uzlabotu saskaņā ar </w:t>
      </w:r>
      <w:r>
        <w:rPr>
          <w:rFonts w:ascii="Times New Roman" w:hAnsi="Times New Roman"/>
          <w:i/>
          <w:iCs/>
          <w:sz w:val="24"/>
        </w:rPr>
        <w:t>CRS</w:t>
      </w:r>
      <w:r>
        <w:rPr>
          <w:rFonts w:ascii="Times New Roman" w:hAnsi="Times New Roman"/>
          <w:sz w:val="24"/>
        </w:rPr>
        <w:t xml:space="preserve"> veiktās ziņošanas rezultātus, tostarp ieviešot detalizētākas ziņošanas prasības, stiprinot pienācīgas pārbaudes procedūras, ieviešot jaunu neobligātu kategoriju “finanšu iestāde, kas nesniedz ziņojumus” ieguldījumu vienībām, kuras ir patiesas bezpeļņas organizācijas, un izveidojot jaunu kategoriju “izslēgtais konts” kapitālieguldījumu kontiem. Turklāt </w:t>
      </w:r>
      <w:r>
        <w:rPr>
          <w:rFonts w:ascii="Times New Roman" w:hAnsi="Times New Roman"/>
          <w:i/>
          <w:iCs/>
          <w:sz w:val="24"/>
        </w:rPr>
        <w:t>CRS</w:t>
      </w:r>
      <w:r>
        <w:rPr>
          <w:rFonts w:ascii="Times New Roman" w:hAnsi="Times New Roman"/>
          <w:sz w:val="24"/>
        </w:rPr>
        <w:t xml:space="preserve"> komentāros vairākās vietās ir iekļautas papildu ziņas, lai palielinātu </w:t>
      </w:r>
      <w:r>
        <w:rPr>
          <w:rFonts w:ascii="Times New Roman" w:hAnsi="Times New Roman"/>
          <w:i/>
          <w:iCs/>
          <w:sz w:val="24"/>
        </w:rPr>
        <w:t>CRS</w:t>
      </w:r>
      <w:r>
        <w:rPr>
          <w:rFonts w:ascii="Times New Roman" w:hAnsi="Times New Roman"/>
          <w:sz w:val="24"/>
        </w:rPr>
        <w:t xml:space="preserve"> piemērošanas saskanību un iekļautu iepriekš sniegtos biežāk uzdotos jautājumus un norādījumus par interpretāciju.</w:t>
      </w:r>
    </w:p>
    <w:p w14:paraId="25B4019B" w14:textId="77777777" w:rsidR="00335C80" w:rsidRPr="007B772B" w:rsidRDefault="00335C80" w:rsidP="007B772B">
      <w:pPr>
        <w:widowControl w:val="0"/>
        <w:autoSpaceDE w:val="0"/>
        <w:autoSpaceDN w:val="0"/>
        <w:spacing w:before="120"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Šīs publikācijas II daļā ir iekļauti:</w:t>
      </w:r>
    </w:p>
    <w:p w14:paraId="05AE4F6F" w14:textId="77777777" w:rsidR="00335C80" w:rsidRPr="007B772B" w:rsidRDefault="00335C80" w:rsidP="00326ABB">
      <w:pPr>
        <w:widowControl w:val="0"/>
        <w:numPr>
          <w:ilvl w:val="1"/>
          <w:numId w:val="5"/>
        </w:numPr>
        <w:tabs>
          <w:tab w:val="left" w:pos="1235"/>
        </w:tabs>
        <w:autoSpaceDE w:val="0"/>
        <w:autoSpaceDN w:val="0"/>
        <w:spacing w:before="120" w:after="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i/>
          <w:iCs/>
          <w:sz w:val="24"/>
        </w:rPr>
        <w:t>CRS</w:t>
      </w:r>
      <w:r>
        <w:rPr>
          <w:rFonts w:ascii="Times New Roman" w:hAnsi="Times New Roman"/>
          <w:sz w:val="24"/>
        </w:rPr>
        <w:t xml:space="preserve"> noteikumu grozījumi un saistītie komentāri un</w:t>
      </w:r>
    </w:p>
    <w:p w14:paraId="0B2A0AAD" w14:textId="77777777" w:rsidR="00335C80" w:rsidRPr="007B772B" w:rsidRDefault="00335C80" w:rsidP="00326ABB">
      <w:pPr>
        <w:widowControl w:val="0"/>
        <w:numPr>
          <w:ilvl w:val="1"/>
          <w:numId w:val="5"/>
        </w:numPr>
        <w:tabs>
          <w:tab w:val="left" w:pos="1235"/>
          <w:tab w:val="left" w:pos="1237"/>
        </w:tabs>
        <w:autoSpaceDE w:val="0"/>
        <w:autoSpaceDN w:val="0"/>
        <w:spacing w:before="120" w:after="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papildinājums </w:t>
      </w:r>
      <w:r>
        <w:rPr>
          <w:rFonts w:ascii="Times New Roman" w:hAnsi="Times New Roman"/>
          <w:i/>
          <w:iCs/>
          <w:sz w:val="24"/>
        </w:rPr>
        <w:t>CRS</w:t>
      </w:r>
      <w:r>
        <w:rPr>
          <w:rFonts w:ascii="Times New Roman" w:hAnsi="Times New Roman"/>
          <w:sz w:val="24"/>
        </w:rPr>
        <w:t xml:space="preserve"> Kompetento iestāžu daudzpusējam nolīgumam par informācijas automātisku apmaiņu un saistītajiem komentāriem, kuros jurisdikcijām, kas tajā piedalās, sniegts atjaunināts tiesiskais pamats apmainīties ar plašāku informāciju, kas iekļauta pārskatītajā </w:t>
      </w:r>
      <w:r>
        <w:rPr>
          <w:rFonts w:ascii="Times New Roman" w:hAnsi="Times New Roman"/>
          <w:i/>
          <w:iCs/>
          <w:sz w:val="24"/>
        </w:rPr>
        <w:t>CRS</w:t>
      </w:r>
      <w:r>
        <w:rPr>
          <w:rFonts w:ascii="Times New Roman" w:hAnsi="Times New Roman"/>
          <w:sz w:val="24"/>
        </w:rPr>
        <w:t>.</w:t>
      </w:r>
    </w:p>
    <w:p w14:paraId="66E84EE9" w14:textId="58B8EED4" w:rsidR="008A56D8" w:rsidRDefault="00335C80" w:rsidP="007B772B">
      <w:pPr>
        <w:widowControl w:val="0"/>
        <w:autoSpaceDE w:val="0"/>
        <w:autoSpaceDN w:val="0"/>
        <w:spacing w:before="120" w:after="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Grozītā </w:t>
      </w:r>
      <w:r>
        <w:rPr>
          <w:rFonts w:ascii="Times New Roman" w:hAnsi="Times New Roman"/>
          <w:i/>
          <w:iCs/>
          <w:sz w:val="24"/>
        </w:rPr>
        <w:t>CRS XML</w:t>
      </w:r>
      <w:r>
        <w:rPr>
          <w:rFonts w:ascii="Times New Roman" w:hAnsi="Times New Roman"/>
          <w:sz w:val="24"/>
        </w:rPr>
        <w:t xml:space="preserve"> shēma, kas nodrošina informācijas apmaiņu saskaņā ar pārskatīto </w:t>
      </w:r>
      <w:r>
        <w:rPr>
          <w:rFonts w:ascii="Times New Roman" w:hAnsi="Times New Roman"/>
          <w:i/>
          <w:iCs/>
          <w:sz w:val="24"/>
        </w:rPr>
        <w:t>CRS</w:t>
      </w:r>
      <w:r>
        <w:rPr>
          <w:rFonts w:ascii="Times New Roman" w:hAnsi="Times New Roman"/>
          <w:sz w:val="24"/>
        </w:rPr>
        <w:t>, tiks publicēta atsevišķi.</w:t>
      </w:r>
    </w:p>
    <w:p w14:paraId="49AF22A4" w14:textId="77777777" w:rsidR="008A56D8" w:rsidRDefault="008A56D8">
      <w:pPr>
        <w:rPr>
          <w:rFonts w:ascii="Times New Roman" w:eastAsia="Arial" w:hAnsi="Times New Roman" w:cs="Times New Roman"/>
          <w:noProof/>
          <w:kern w:val="0"/>
          <w:sz w:val="24"/>
          <w:szCs w:val="24"/>
          <w14:ligatures w14:val="none"/>
        </w:rPr>
      </w:pPr>
      <w:r>
        <w:br w:type="page"/>
      </w:r>
    </w:p>
    <w:p w14:paraId="4C2C40A6" w14:textId="77777777" w:rsidR="00335C80" w:rsidRPr="007B772B" w:rsidRDefault="00335C80" w:rsidP="008A56D8">
      <w:pPr>
        <w:widowControl w:val="0"/>
        <w:autoSpaceDE w:val="0"/>
        <w:autoSpaceDN w:val="0"/>
        <w:spacing w:before="120" w:after="0" w:line="240" w:lineRule="auto"/>
        <w:rPr>
          <w:rFonts w:ascii="Times New Roman" w:eastAsia="Arial" w:hAnsi="Times New Roman" w:cs="Times New Roman"/>
          <w:noProof/>
          <w:kern w:val="0"/>
          <w:sz w:val="24"/>
          <w:szCs w:val="24"/>
          <w14:ligatures w14:val="none"/>
        </w:rPr>
      </w:pPr>
    </w:p>
    <w:p w14:paraId="5F6CF2BC" w14:textId="77777777" w:rsidR="00994507" w:rsidRPr="00994507" w:rsidRDefault="00994507" w:rsidP="008A56D8">
      <w:pPr>
        <w:widowControl w:val="0"/>
        <w:autoSpaceDE w:val="0"/>
        <w:autoSpaceDN w:val="0"/>
        <w:spacing w:after="0" w:line="240" w:lineRule="auto"/>
        <w:rPr>
          <w:rFonts w:ascii="Times New Roman" w:eastAsia="Arial" w:hAnsi="Times New Roman" w:cs="Times New Roman"/>
          <w:noProof/>
          <w:kern w:val="0"/>
          <w14:ligatures w14:val="none"/>
        </w:rPr>
      </w:pPr>
    </w:p>
    <w:p w14:paraId="144A64AD" w14:textId="77787E62" w:rsidR="008A56D8" w:rsidRPr="000F37A5" w:rsidRDefault="00335C80" w:rsidP="000F37A5">
      <w:pPr>
        <w:pStyle w:val="Heading1"/>
        <w:rPr>
          <w:rFonts w:ascii="Times New Roman" w:eastAsia="Arial" w:hAnsi="Times New Roman" w:cs="Times New Roman"/>
          <w:b/>
          <w:bCs/>
          <w:noProof/>
          <w:color w:val="0B769F" w:themeColor="accent4" w:themeShade="BF"/>
          <w:sz w:val="48"/>
          <w:szCs w:val="48"/>
        </w:rPr>
      </w:pPr>
      <w:bookmarkStart w:id="13" w:name="Part_I_Crypto-Asset_Reporting_Framework"/>
      <w:bookmarkStart w:id="14" w:name="_bookmark3"/>
      <w:bookmarkStart w:id="15" w:name="_Toc241753050"/>
      <w:bookmarkEnd w:id="13"/>
      <w:bookmarkEnd w:id="14"/>
      <w:r>
        <w:rPr>
          <w:rFonts w:ascii="Times New Roman" w:hAnsi="Times New Roman"/>
          <w:b/>
          <w:color w:val="0B769F" w:themeColor="accent4" w:themeShade="BF"/>
          <w:sz w:val="48"/>
        </w:rPr>
        <w:t>I daļa. Kriptoaktīvu ziņošanas sistēma</w:t>
      </w:r>
      <w:bookmarkEnd w:id="15"/>
    </w:p>
    <w:p w14:paraId="649573DB" w14:textId="77777777" w:rsidR="008A56D8" w:rsidRDefault="008A56D8">
      <w:pPr>
        <w:rPr>
          <w:rFonts w:ascii="Times New Roman" w:eastAsia="Arial" w:hAnsi="Times New Roman" w:cs="Times New Roman"/>
          <w:b/>
          <w:bCs/>
          <w:noProof/>
          <w:color w:val="4E81BD"/>
          <w:kern w:val="0"/>
          <w:sz w:val="72"/>
          <w:szCs w:val="72"/>
          <w14:ligatures w14:val="none"/>
        </w:rPr>
      </w:pPr>
      <w:r>
        <w:br w:type="page"/>
      </w:r>
    </w:p>
    <w:p w14:paraId="506E5C80" w14:textId="2895B777" w:rsidR="00335C80" w:rsidRPr="000F37A5" w:rsidRDefault="0019502D" w:rsidP="000F37A5">
      <w:pPr>
        <w:pStyle w:val="Heading1"/>
        <w:rPr>
          <w:rFonts w:ascii="Times New Roman" w:eastAsia="Arial" w:hAnsi="Times New Roman" w:cs="Times New Roman"/>
          <w:b/>
          <w:bCs/>
          <w:noProof/>
          <w:color w:val="0B769F" w:themeColor="accent4" w:themeShade="BF"/>
          <w:sz w:val="48"/>
          <w:szCs w:val="48"/>
        </w:rPr>
      </w:pPr>
      <w:bookmarkStart w:id="16" w:name="_bookmark4"/>
      <w:bookmarkStart w:id="17" w:name="_Toc241753051"/>
      <w:bookmarkEnd w:id="16"/>
      <w:r>
        <w:rPr>
          <w:rFonts w:ascii="Times New Roman" w:hAnsi="Times New Roman"/>
          <w:b/>
          <w:color w:val="0B769F" w:themeColor="accent4" w:themeShade="BF"/>
          <w:sz w:val="72"/>
          <w:u w:val="single"/>
        </w:rPr>
        <w:lastRenderedPageBreak/>
        <w:t>1.</w:t>
      </w:r>
      <w:r>
        <w:rPr>
          <w:rFonts w:ascii="Times New Roman" w:hAnsi="Times New Roman"/>
          <w:b/>
          <w:color w:val="0B769F" w:themeColor="accent4" w:themeShade="BF"/>
          <w:sz w:val="48"/>
        </w:rPr>
        <w:t xml:space="preserve"> Ievads</w:t>
      </w:r>
      <w:bookmarkEnd w:id="17"/>
    </w:p>
    <w:p w14:paraId="34DF8DAA"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4"/>
          <w:szCs w:val="20"/>
          <w14:ligatures w14:val="none"/>
        </w:rPr>
      </w:pPr>
    </w:p>
    <w:p w14:paraId="7F4A9390"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4"/>
          <w:szCs w:val="20"/>
          <w14:ligatures w14:val="none"/>
        </w:rPr>
      </w:pPr>
    </w:p>
    <w:p w14:paraId="6B0BEF39"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4"/>
          <w:szCs w:val="20"/>
          <w14:ligatures w14:val="none"/>
        </w:rPr>
      </w:pPr>
    </w:p>
    <w:p w14:paraId="43E55DE9" w14:textId="77777777" w:rsidR="00335C80" w:rsidRPr="007511AC" w:rsidRDefault="00335C80" w:rsidP="000F37A5">
      <w:pPr>
        <w:pStyle w:val="Heading1"/>
        <w:rPr>
          <w:rFonts w:ascii="Times New Roman" w:eastAsia="Arial" w:hAnsi="Times New Roman" w:cs="Times New Roman"/>
          <w:b/>
          <w:bCs/>
          <w:noProof/>
          <w:color w:val="0B769F" w:themeColor="accent4" w:themeShade="BF"/>
          <w:sz w:val="26"/>
          <w:szCs w:val="26"/>
        </w:rPr>
      </w:pPr>
      <w:bookmarkStart w:id="18" w:name="Crypto-Assets:_The_impact_on_financial_m"/>
      <w:bookmarkStart w:id="19" w:name="_bookmark5"/>
      <w:bookmarkStart w:id="20" w:name="_Toc241753052"/>
      <w:bookmarkEnd w:id="18"/>
      <w:bookmarkEnd w:id="19"/>
      <w:r>
        <w:rPr>
          <w:rFonts w:ascii="Times New Roman" w:hAnsi="Times New Roman"/>
          <w:b/>
          <w:color w:val="0B769F" w:themeColor="accent4" w:themeShade="BF"/>
          <w:sz w:val="26"/>
        </w:rPr>
        <w:t>Kriptoaktīvi – ietekme uz finanšu tirgiem</w:t>
      </w:r>
      <w:bookmarkEnd w:id="20"/>
    </w:p>
    <w:p w14:paraId="191A2DB0" w14:textId="412D163C" w:rsidR="00335C80" w:rsidRPr="0019502D" w:rsidRDefault="00D3561C" w:rsidP="0019502D">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 Kriptoaktīvu (tostarp kriptovalūtu, kā arī kriptogrāfisko žetonu) tirgus aug ļoti strauji. Tas ietekmē arī nodokļu administrācijas, kurām jāpielāgojas kriptoaktīvu augošajai nozīmei. Jo īpaši vairākas kriptoaktīvu iezīmes, visticamāk, radīs jaunus izaicinājumus nodokļu administrāciju centieniem nodrošināt nodokļu maksātāju pakļaušanos likumam.</w:t>
      </w:r>
    </w:p>
    <w:p w14:paraId="1C57830B" w14:textId="530B0623" w:rsidR="00335C80" w:rsidRPr="0019502D" w:rsidRDefault="00D3561C" w:rsidP="0019502D">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 Pirmkārt, tas, ka kriptoaktīvi balstās uz kriptogrāfiju un sadalītās virsgrāmatas tehnoloģiju, jo īpaši blokķēdes tehnoloģiju, nozīmē, ka tos var emitēt, reģistrēt, pārskaitīt un uzglabāt decentralizēti bez nepieciešamības izmantot ierastos finanšu starpniekus vai galvenos administratorus.</w:t>
      </w:r>
    </w:p>
    <w:p w14:paraId="644B091F" w14:textId="760A5529" w:rsidR="00335C80" w:rsidRPr="0019502D" w:rsidRDefault="00D3561C" w:rsidP="0019502D">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 Turklāt kriptoaktīvu tirgus ir radījis jaunu starpnieku un citu pakalpojuma sniedzēju kopumu, piemēram, kriptoaktīvu biržas un kriptoaktīvu maka pakalpojuma sniedzējus, kuriem šobrīd tiek piemērota tikai ierobežota reglamentējoša uzraudzība. Kriptoaktīvu biržas parasti veicina kriptoaktīvu pirkšanu, pārdošanu un apmaiņu pret citiem kriptoaktīviem vai bezseguma valūtām. Maka pakalpojuma sniedzēji piedāvā digitālus “makus”, kurus fiziskas personas var izmantot, lai uzglabātu savus kriptoaktīvus, piekļuvei izmantojot publiskas un privātas atslēgas. Šos pakalpojumus var sniegt vai nu tiešsaistes makos (t. i., “karstie” maki), vai arī pakalpojuma sniedzēji var piedāvāt produktus, kas ļauj fiziskām personām glabāt savus kriptoaktīvus lejupielādētos bezsaistes makos (t. i., “aukstie” maki). Abu veidu produkti ir būtiski nodokļu iestādēm.</w:t>
      </w:r>
    </w:p>
    <w:p w14:paraId="67F9C6E7" w14:textId="77777777" w:rsidR="00335C80" w:rsidRPr="00C12C9B" w:rsidRDefault="00335C80" w:rsidP="00C12C9B">
      <w:pPr>
        <w:pStyle w:val="Heading1"/>
        <w:rPr>
          <w:rFonts w:ascii="Times New Roman" w:eastAsia="Arial" w:hAnsi="Times New Roman" w:cs="Times New Roman"/>
          <w:b/>
          <w:bCs/>
          <w:noProof/>
          <w:color w:val="0B769F" w:themeColor="accent4" w:themeShade="BF"/>
          <w:sz w:val="26"/>
          <w:szCs w:val="26"/>
        </w:rPr>
      </w:pPr>
      <w:bookmarkStart w:id="21" w:name="Repercussions_of_Crypto-Assets_on_global"/>
      <w:bookmarkStart w:id="22" w:name="_bookmark6"/>
      <w:bookmarkStart w:id="23" w:name="_Toc241753053"/>
      <w:bookmarkEnd w:id="21"/>
      <w:bookmarkEnd w:id="22"/>
      <w:r>
        <w:rPr>
          <w:rFonts w:ascii="Times New Roman" w:hAnsi="Times New Roman"/>
          <w:b/>
          <w:color w:val="0B769F" w:themeColor="accent4" w:themeShade="BF"/>
          <w:sz w:val="26"/>
        </w:rPr>
        <w:t>Kriptoaktīvu netiešā ietekme uz globālo nodokļu pārredzamību</w:t>
      </w:r>
      <w:bookmarkEnd w:id="23"/>
    </w:p>
    <w:p w14:paraId="509818E2" w14:textId="1AE0B0B7" w:rsidR="00335C80" w:rsidRPr="0019502D" w:rsidRDefault="00E60B25" w:rsidP="0019502D">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 Kriptoaktīvu tirgus, tostarp gan piedāvātie kriptoaktīvi, gan iesaistītie starpnieki un citi pakalpojuma sniedzēji, rada nopietnu risku, ka nesenie uzlabojumi attiecībā uz globālo nodokļu pārredzamību pakāpeniski pasliktināsies. Proti, kriptoaktīvu tirgu raksturo tas, ka notiek pāreja no ierastajiem finanšu starpniekiem, parastajiem subjektiem, kas sniedz informāciju saskaņā ar trešo personu nodokļu ziņošanas režīmiem, piemēram, Vispārējo ziņošanas standartu (</w:t>
      </w:r>
      <w:r>
        <w:rPr>
          <w:rFonts w:ascii="Times New Roman" w:hAnsi="Times New Roman"/>
          <w:i/>
          <w:iCs/>
          <w:sz w:val="24"/>
        </w:rPr>
        <w:t>CRS</w:t>
      </w:r>
      <w:r>
        <w:rPr>
          <w:rFonts w:ascii="Times New Roman" w:hAnsi="Times New Roman"/>
          <w:sz w:val="24"/>
        </w:rPr>
        <w:t>), uz jaunu starpnieku un citu pakalpojuma sniedzēju kopumu, kuram tikai nesen sāka piemērot finanšu regulējumu un kuram bieži vien vēl nepiemēro nodokļu ziņošanas prasības attiecībā uz saviem pakalpojuma lietotājiem. Turklāt, tā kā fiziskas personas spēj turēt attiecīgos kriptoaktīvus makos, kas nav saistīti ne ar vienu pakalpojuma sniedzēju, un pārskaitīt šādus attiecīgos kriptoaktīvus no vienas jurisdikcijas uz citu, tas rada risku, ka attiecīgie kriptoaktīvi tiek izmantoti prettiesiskām darbībām vai tādēļ, lai izvairītos no nodokļu saistībām. Kopumā kriptoaktīvu nozares iezīmes ir mazinājušas nodokļu administrāciju spēju redzēt darbības, kas tiek veiktas šajā nozarē, un kļūst aizvien grūtāk pārbaudīt, vai saistītās nodokļu saistības tiek atbilstoši ziņotas un novērtētas.</w:t>
      </w:r>
    </w:p>
    <w:p w14:paraId="48F07A2F" w14:textId="23247331" w:rsidR="00335C80" w:rsidRPr="0019502D" w:rsidRDefault="00E60B25" w:rsidP="0019502D">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5. </w:t>
      </w:r>
      <w:r>
        <w:rPr>
          <w:rFonts w:ascii="Times New Roman" w:hAnsi="Times New Roman"/>
          <w:i/>
          <w:iCs/>
          <w:sz w:val="24"/>
        </w:rPr>
        <w:t>CRS</w:t>
      </w:r>
      <w:r>
        <w:rPr>
          <w:rFonts w:ascii="Times New Roman" w:hAnsi="Times New Roman"/>
          <w:sz w:val="24"/>
        </w:rPr>
        <w:t xml:space="preserve">, ko </w:t>
      </w:r>
      <w:r>
        <w:rPr>
          <w:rFonts w:ascii="Times New Roman" w:hAnsi="Times New Roman"/>
          <w:i/>
          <w:iCs/>
          <w:sz w:val="24"/>
        </w:rPr>
        <w:t>OECD</w:t>
      </w:r>
      <w:r>
        <w:rPr>
          <w:rFonts w:ascii="Times New Roman" w:hAnsi="Times New Roman"/>
          <w:sz w:val="24"/>
        </w:rPr>
        <w:t xml:space="preserve"> ir publicējusi 2014. gadā, ir galvenais rīks, ko izmanto, lai nodrošinātu pārrobežu finanšu ieguldījumu pārredzamību un apkarotu pārrobežu izvairīšanos no nodokļu maksāšanas. </w:t>
      </w:r>
      <w:r>
        <w:rPr>
          <w:rFonts w:ascii="Times New Roman" w:hAnsi="Times New Roman"/>
          <w:i/>
          <w:iCs/>
          <w:sz w:val="24"/>
        </w:rPr>
        <w:t>CRS</w:t>
      </w:r>
      <w:r>
        <w:rPr>
          <w:rFonts w:ascii="Times New Roman" w:hAnsi="Times New Roman"/>
          <w:sz w:val="24"/>
        </w:rPr>
        <w:t xml:space="preserve"> ir uzlabojis starptautisko nodokļu pārredzamību, jo jurisdikcijām, kas uzņēmušās saistības, ir prasīts iegūt informāciju par ārzonas kontiem, ko tur finanšu iestādes, un automātiski ik gadu apmainīties ar šo informāciju ar jurisdikcijām, kas ir nodokļu maksātāju rezidences vieta. Tomēr attiecīgie kriptoaktīvi vairumā gadījumu neietilpst </w:t>
      </w:r>
      <w:r>
        <w:rPr>
          <w:rFonts w:ascii="Times New Roman" w:hAnsi="Times New Roman"/>
          <w:i/>
          <w:iCs/>
          <w:sz w:val="24"/>
        </w:rPr>
        <w:t>CRS</w:t>
      </w:r>
      <w:r>
        <w:rPr>
          <w:rFonts w:ascii="Times New Roman" w:hAnsi="Times New Roman"/>
          <w:sz w:val="24"/>
        </w:rPr>
        <w:t xml:space="preserve"> darbības jomā, </w:t>
      </w:r>
      <w:r>
        <w:rPr>
          <w:rFonts w:ascii="Times New Roman" w:hAnsi="Times New Roman"/>
          <w:sz w:val="24"/>
        </w:rPr>
        <w:lastRenderedPageBreak/>
        <w:t xml:space="preserve">kuru piemēro ierastajiem finanšu aktīviem un bezseguma valūtām, kas tiek turētas kontos finanšu iestādēs. Pat ja attiecīgie kriptoaktīvi ietilpst finanšu aktīvu definīcijā saistībā ar turētāja konta definīciju, tie var tieši piederēt fiziskām personām, kas tos tur “aukstajos” makos, vai arī tām piederēt, izmantojot kriptoaktīvu biržas, kurām nav ziņošanas pienākumu saskaņā ar </w:t>
      </w:r>
      <w:r>
        <w:rPr>
          <w:rFonts w:ascii="Times New Roman" w:hAnsi="Times New Roman"/>
          <w:i/>
          <w:iCs/>
          <w:sz w:val="24"/>
        </w:rPr>
        <w:t>CRS</w:t>
      </w:r>
      <w:r>
        <w:rPr>
          <w:rFonts w:ascii="Times New Roman" w:hAnsi="Times New Roman"/>
          <w:sz w:val="24"/>
        </w:rPr>
        <w:t xml:space="preserve"> (ja tās nav finanšu iestādes), tāpēc, visticamāk, par tiem netiks uzticamā veidā ziņots nodokļu iestādēm.</w:t>
      </w:r>
    </w:p>
    <w:p w14:paraId="4C8C2BC0" w14:textId="247769A5" w:rsidR="00335C80" w:rsidRPr="0019502D" w:rsidRDefault="00E60B25" w:rsidP="0019502D">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6. Tāpēc pašreizējais aktīvu tvērums, kā arī to vienību tvērums, kam piemērojams </w:t>
      </w:r>
      <w:r>
        <w:rPr>
          <w:rFonts w:ascii="Times New Roman" w:hAnsi="Times New Roman"/>
          <w:i/>
          <w:iCs/>
          <w:sz w:val="24"/>
        </w:rPr>
        <w:t>CRS</w:t>
      </w:r>
      <w:r>
        <w:rPr>
          <w:rFonts w:ascii="Times New Roman" w:hAnsi="Times New Roman"/>
          <w:sz w:val="24"/>
        </w:rPr>
        <w:t xml:space="preserve"> un ir uzlikti pienākumi, nesniedz nodokļu administrācijām iespēju pienācīgi redzēt, ja nodokļu maksātāji iesaistās ar nodokli apliekamos darījumos ar attiecīgajiem kriptoaktīviem vai tur attiecīgos kriptoaktīvus.</w:t>
      </w:r>
    </w:p>
    <w:p w14:paraId="5010CAE4" w14:textId="77777777" w:rsidR="00335C80" w:rsidRPr="000A799B" w:rsidRDefault="00335C80" w:rsidP="00C12C9B">
      <w:pPr>
        <w:pStyle w:val="Heading1"/>
        <w:rPr>
          <w:rFonts w:ascii="Times New Roman" w:eastAsia="Arial" w:hAnsi="Times New Roman" w:cs="Times New Roman"/>
          <w:b/>
          <w:bCs/>
          <w:noProof/>
          <w:color w:val="4E81BD"/>
          <w:kern w:val="0"/>
          <w:sz w:val="26"/>
          <w:szCs w:val="26"/>
          <w14:ligatures w14:val="none"/>
        </w:rPr>
      </w:pPr>
      <w:bookmarkStart w:id="24" w:name="Increasing_global_tax_transparency_with_"/>
      <w:bookmarkStart w:id="25" w:name="_bookmark7"/>
      <w:bookmarkStart w:id="26" w:name="_Toc241753054"/>
      <w:bookmarkEnd w:id="24"/>
      <w:bookmarkEnd w:id="25"/>
      <w:r>
        <w:rPr>
          <w:rFonts w:ascii="Times New Roman" w:hAnsi="Times New Roman"/>
          <w:b/>
          <w:color w:val="0B769F" w:themeColor="accent4" w:themeShade="BF"/>
          <w:sz w:val="26"/>
        </w:rPr>
        <w:t>Lielāka globālā nodokļu pārredzamība attiecībā uz kriptoaktīviem</w:t>
      </w:r>
      <w:bookmarkEnd w:id="26"/>
    </w:p>
    <w:p w14:paraId="6F87EFC1" w14:textId="0664CFBC" w:rsidR="00335C80" w:rsidRPr="0019502D" w:rsidRDefault="00E60B25" w:rsidP="0019502D">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7. Atzīstot to, cik svarīgi ir risināt minētos nodokļu saistību neizpildes riskus saistībā ar attiecīgajiem kriptoaktīviem, </w:t>
      </w:r>
      <w:r>
        <w:rPr>
          <w:rFonts w:ascii="Times New Roman" w:hAnsi="Times New Roman"/>
          <w:i/>
          <w:iCs/>
          <w:sz w:val="24"/>
        </w:rPr>
        <w:t>OECD</w:t>
      </w:r>
      <w:r>
        <w:rPr>
          <w:rFonts w:ascii="Times New Roman" w:hAnsi="Times New Roman"/>
          <w:sz w:val="24"/>
        </w:rPr>
        <w:t xml:space="preserve"> ir izstrādājusi kriptoaktīvu ziņošanas sistēmu (</w:t>
      </w:r>
      <w:r>
        <w:rPr>
          <w:rFonts w:ascii="Times New Roman" w:hAnsi="Times New Roman"/>
          <w:i/>
          <w:iCs/>
          <w:sz w:val="24"/>
        </w:rPr>
        <w:t>CARF</w:t>
      </w:r>
      <w:r>
        <w:rPr>
          <w:rFonts w:ascii="Times New Roman" w:hAnsi="Times New Roman"/>
          <w:sz w:val="24"/>
        </w:rPr>
        <w:t>), kas paredzēta, lai vāktu un automātiski apmainītos ar informāciju par darījumiem ar attiecīgajiem kriptoaktīviem.</w:t>
      </w:r>
    </w:p>
    <w:p w14:paraId="4D05B294" w14:textId="0D9AC070" w:rsidR="00335C80" w:rsidRPr="0019502D" w:rsidRDefault="00E60B25" w:rsidP="0019502D">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8. </w:t>
      </w:r>
      <w:r>
        <w:rPr>
          <w:rFonts w:ascii="Times New Roman" w:hAnsi="Times New Roman"/>
          <w:i/>
          <w:iCs/>
          <w:sz w:val="24"/>
        </w:rPr>
        <w:t>CARF</w:t>
      </w:r>
      <w:r>
        <w:rPr>
          <w:rFonts w:ascii="Times New Roman" w:hAnsi="Times New Roman"/>
          <w:sz w:val="24"/>
        </w:rPr>
        <w:t xml:space="preserve"> ir trīs atsevišķas sastāvdaļas:</w:t>
      </w:r>
    </w:p>
    <w:p w14:paraId="6EA0AE28" w14:textId="77777777" w:rsidR="00335C80" w:rsidRPr="0019502D" w:rsidRDefault="00335C80" w:rsidP="00326ABB">
      <w:pPr>
        <w:widowControl w:val="0"/>
        <w:numPr>
          <w:ilvl w:val="1"/>
          <w:numId w:val="4"/>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noteikumi un saistītie komentāri, kurus var transponēt valsts tiesību aktos, lai ievāktu informāciju no kriptoaktīvu pakalpojumu sniedzējiem, kuri sniedz ziņojumus un kuriem ir attiecīga saikne ar jurisdikcijām, kas īsteno </w:t>
      </w:r>
      <w:r>
        <w:rPr>
          <w:rFonts w:ascii="Times New Roman" w:hAnsi="Times New Roman"/>
          <w:i/>
          <w:iCs/>
          <w:sz w:val="24"/>
        </w:rPr>
        <w:t>CARF</w:t>
      </w:r>
      <w:r>
        <w:rPr>
          <w:rFonts w:ascii="Times New Roman" w:hAnsi="Times New Roman"/>
          <w:sz w:val="24"/>
        </w:rPr>
        <w:t>;</w:t>
      </w:r>
    </w:p>
    <w:p w14:paraId="25461EEE" w14:textId="77777777" w:rsidR="00335C80" w:rsidRPr="0019502D" w:rsidRDefault="00335C80" w:rsidP="00326ABB">
      <w:pPr>
        <w:widowControl w:val="0"/>
        <w:numPr>
          <w:ilvl w:val="1"/>
          <w:numId w:val="4"/>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Kompetento iestāžu daudzpusējais nolīgums par informācijas automātisku apmaiņu saskaņā ar </w:t>
      </w:r>
      <w:r>
        <w:rPr>
          <w:rFonts w:ascii="Times New Roman" w:hAnsi="Times New Roman"/>
          <w:i/>
          <w:iCs/>
          <w:sz w:val="24"/>
        </w:rPr>
        <w:t>CARF</w:t>
      </w:r>
      <w:r>
        <w:rPr>
          <w:rFonts w:ascii="Times New Roman" w:hAnsi="Times New Roman"/>
          <w:sz w:val="24"/>
        </w:rPr>
        <w:t xml:space="preserve"> (</w:t>
      </w:r>
      <w:r>
        <w:rPr>
          <w:rFonts w:ascii="Times New Roman" w:hAnsi="Times New Roman"/>
          <w:i/>
          <w:iCs/>
          <w:sz w:val="24"/>
        </w:rPr>
        <w:t>CARF MCAA</w:t>
      </w:r>
      <w:r>
        <w:rPr>
          <w:rFonts w:ascii="Times New Roman" w:hAnsi="Times New Roman"/>
          <w:sz w:val="24"/>
        </w:rPr>
        <w:t>), kā arī saistītie komentāri (vai divpusēji nolīgumi vai pasākumi), un</w:t>
      </w:r>
    </w:p>
    <w:p w14:paraId="0E1D679B" w14:textId="77777777" w:rsidR="00335C80" w:rsidRPr="0019502D" w:rsidRDefault="00335C80" w:rsidP="00326ABB">
      <w:pPr>
        <w:widowControl w:val="0"/>
        <w:numPr>
          <w:ilvl w:val="1"/>
          <w:numId w:val="4"/>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elektroniskais formāts (</w:t>
      </w:r>
      <w:r>
        <w:rPr>
          <w:rFonts w:ascii="Times New Roman" w:hAnsi="Times New Roman"/>
          <w:i/>
          <w:iCs/>
          <w:sz w:val="24"/>
        </w:rPr>
        <w:t>XML</w:t>
      </w:r>
      <w:r>
        <w:rPr>
          <w:rFonts w:ascii="Times New Roman" w:hAnsi="Times New Roman"/>
          <w:sz w:val="24"/>
        </w:rPr>
        <w:t xml:space="preserve"> shēma), ko kompetentās iestādes izmanto </w:t>
      </w:r>
      <w:r>
        <w:rPr>
          <w:rFonts w:ascii="Times New Roman" w:hAnsi="Times New Roman"/>
          <w:i/>
          <w:iCs/>
          <w:sz w:val="24"/>
        </w:rPr>
        <w:t>CARF</w:t>
      </w:r>
      <w:r>
        <w:rPr>
          <w:rFonts w:ascii="Times New Roman" w:hAnsi="Times New Roman"/>
          <w:sz w:val="24"/>
        </w:rPr>
        <w:t xml:space="preserve"> informācijas apmaiņai, kā arī ko izmanto kriptoaktīvu pakalpojumu sniedzēji, kas sniedz ziņojumus, lai ziņotu </w:t>
      </w:r>
      <w:r>
        <w:rPr>
          <w:rFonts w:ascii="Times New Roman" w:hAnsi="Times New Roman"/>
          <w:i/>
          <w:iCs/>
          <w:sz w:val="24"/>
        </w:rPr>
        <w:t>CARF</w:t>
      </w:r>
      <w:r>
        <w:rPr>
          <w:rFonts w:ascii="Times New Roman" w:hAnsi="Times New Roman"/>
          <w:sz w:val="24"/>
        </w:rPr>
        <w:t xml:space="preserve"> informāciju nodokļu administrācijām (kā atļauts valsts tiesību aktos).</w:t>
      </w:r>
    </w:p>
    <w:p w14:paraId="191C624E" w14:textId="5F1EB92C" w:rsidR="00335C80" w:rsidRPr="0019502D" w:rsidRDefault="00E60B25" w:rsidP="0019502D">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9. Kā zināms, kriptoaktīvu tirgi, tostarp piedāvātie kriptoaktīvu veidi, vienības un fiziskās personas, kas darbojas šajos tirgos, un tehnoloģijas, uz kurām balstās šie tirgi, strauji attīstās. Ņemot to vērā, </w:t>
      </w:r>
      <w:r>
        <w:rPr>
          <w:rFonts w:ascii="Times New Roman" w:hAnsi="Times New Roman"/>
          <w:i/>
          <w:iCs/>
          <w:sz w:val="24"/>
        </w:rPr>
        <w:t>OECD</w:t>
      </w:r>
      <w:r>
        <w:rPr>
          <w:rFonts w:ascii="Times New Roman" w:hAnsi="Times New Roman"/>
          <w:sz w:val="24"/>
        </w:rPr>
        <w:t xml:space="preserve"> turpinās uzraudzīt kriptoaktīvu tirgu un izvērtēs, vai būs jāturpina noteikumu izstrādes tehniskais darbs, lai nodrošinātu, ka par attiecīgajiem kriptoaktīviem tiek sniegti atbilstīgi nodokļu ziņojumi. Paredzams arī tas, ka </w:t>
      </w:r>
      <w:r>
        <w:rPr>
          <w:rFonts w:ascii="Times New Roman" w:hAnsi="Times New Roman"/>
          <w:i/>
          <w:iCs/>
          <w:sz w:val="24"/>
        </w:rPr>
        <w:t>OECD</w:t>
      </w:r>
      <w:r>
        <w:rPr>
          <w:rFonts w:ascii="Times New Roman" w:hAnsi="Times New Roman"/>
          <w:sz w:val="24"/>
        </w:rPr>
        <w:t xml:space="preserve"> turpinās izstrādāt vadlīnijas, lai nodrošinātu </w:t>
      </w:r>
      <w:r>
        <w:rPr>
          <w:rFonts w:ascii="Times New Roman" w:hAnsi="Times New Roman"/>
          <w:i/>
          <w:iCs/>
          <w:sz w:val="24"/>
        </w:rPr>
        <w:t>CARF</w:t>
      </w:r>
      <w:r>
        <w:rPr>
          <w:rFonts w:ascii="Times New Roman" w:hAnsi="Times New Roman"/>
          <w:sz w:val="24"/>
        </w:rPr>
        <w:t xml:space="preserve"> saskanīgu piemērošanu, tostarp par attiecīgo kriptoaktīvu definīciju, un jo īpaši kritērijus, lai atbilstoši noteiktu, vai kriptoaktīvu var vai nevar izmantot maksājumam vai ieguldījumiem. Turklāt </w:t>
      </w:r>
      <w:r>
        <w:rPr>
          <w:rFonts w:ascii="Times New Roman" w:hAnsi="Times New Roman"/>
          <w:i/>
          <w:iCs/>
          <w:sz w:val="24"/>
        </w:rPr>
        <w:t>OECD</w:t>
      </w:r>
      <w:r>
        <w:rPr>
          <w:rFonts w:ascii="Times New Roman" w:hAnsi="Times New Roman"/>
          <w:sz w:val="24"/>
        </w:rPr>
        <w:t xml:space="preserve"> ir gatava veikt turpmākus </w:t>
      </w:r>
      <w:r>
        <w:rPr>
          <w:rFonts w:ascii="Times New Roman" w:hAnsi="Times New Roman"/>
          <w:i/>
          <w:iCs/>
          <w:sz w:val="24"/>
        </w:rPr>
        <w:t>CARF</w:t>
      </w:r>
      <w:r>
        <w:rPr>
          <w:rFonts w:ascii="Times New Roman" w:hAnsi="Times New Roman"/>
          <w:sz w:val="24"/>
        </w:rPr>
        <w:t xml:space="preserve"> grozījumus, ja tas nepieciešams, lai nodrošinātu, ka par attiecīgajiem kriptoaktīviem tiek sniegti atbilstīgi nodokļu ziņojumi, kā arī nodrošinātu pietiekamu globālu </w:t>
      </w:r>
      <w:r>
        <w:rPr>
          <w:rFonts w:ascii="Times New Roman" w:hAnsi="Times New Roman"/>
          <w:i/>
          <w:iCs/>
          <w:sz w:val="24"/>
        </w:rPr>
        <w:t>CARF</w:t>
      </w:r>
      <w:r>
        <w:rPr>
          <w:rFonts w:ascii="Times New Roman" w:hAnsi="Times New Roman"/>
          <w:sz w:val="24"/>
        </w:rPr>
        <w:t xml:space="preserve"> pārklājumu. Šajā saistībā īpaša uzmanība tiks pievērsta decentralizēta finansējuma pilnveidei.</w:t>
      </w:r>
    </w:p>
    <w:p w14:paraId="5A882FCE" w14:textId="77777777" w:rsidR="00335C80" w:rsidRPr="00C12C9B" w:rsidRDefault="00335C80" w:rsidP="00C12C9B">
      <w:pPr>
        <w:pStyle w:val="Heading1"/>
        <w:rPr>
          <w:rFonts w:ascii="Times New Roman" w:eastAsia="Arial" w:hAnsi="Times New Roman" w:cs="Times New Roman"/>
          <w:b/>
          <w:bCs/>
          <w:noProof/>
          <w:color w:val="0B769F" w:themeColor="accent4" w:themeShade="BF"/>
          <w:sz w:val="26"/>
          <w:szCs w:val="26"/>
        </w:rPr>
      </w:pPr>
      <w:bookmarkStart w:id="27" w:name="The_Rules_and_Commentary_of_the_Crypto-A"/>
      <w:bookmarkStart w:id="28" w:name="_bookmark8"/>
      <w:bookmarkStart w:id="29" w:name="_Toc241753055"/>
      <w:bookmarkEnd w:id="27"/>
      <w:bookmarkEnd w:id="28"/>
      <w:r>
        <w:rPr>
          <w:rFonts w:ascii="Times New Roman" w:hAnsi="Times New Roman"/>
          <w:b/>
          <w:color w:val="0B769F" w:themeColor="accent4" w:themeShade="BF"/>
          <w:sz w:val="26"/>
        </w:rPr>
        <w:t>Kriptoaktīvu ziņošanas sistēmas noteikumi un komentāri</w:t>
      </w:r>
      <w:bookmarkEnd w:id="29"/>
    </w:p>
    <w:p w14:paraId="4B9113DC" w14:textId="4EF97E8C" w:rsidR="00994507" w:rsidRPr="005E6757" w:rsidRDefault="00E60B25"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10. Šie </w:t>
      </w:r>
      <w:r>
        <w:rPr>
          <w:rFonts w:ascii="Times New Roman" w:hAnsi="Times New Roman"/>
          <w:i/>
          <w:iCs/>
          <w:sz w:val="24"/>
        </w:rPr>
        <w:t>CARF</w:t>
      </w:r>
      <w:r>
        <w:rPr>
          <w:rFonts w:ascii="Times New Roman" w:hAnsi="Times New Roman"/>
          <w:sz w:val="24"/>
        </w:rPr>
        <w:t xml:space="preserve"> noteikumi un komentāri ir izstrādāti, ņemot vērā četrus galvenos struktūras moduļus: i) iekļaujamo kriptoaktīvu tvērumu; ii) vienības un fiziskās personas, kurām piemērojamas datu vākšanas un ziņošanas prasības; iii) darījumus, par kuriem jāziņo, kā arī informāciju, kas sniedzama saistībā ar šiem darījumiem, un iv) pienācīgas pārbaudes procedūras, kas veicamas, lai noteiktu kriptoaktīvu lietotājus un attiecīgās nodokļu jurisdikcijas ziņošanas un informācijas apmaiņas mērķiem.</w:t>
      </w:r>
    </w:p>
    <w:p w14:paraId="0373577F" w14:textId="77777777" w:rsidR="00335C80" w:rsidRPr="005E6757" w:rsidRDefault="00335C80" w:rsidP="008842FB">
      <w:pPr>
        <w:keepNext/>
        <w:keepLines/>
        <w:widowControl w:val="0"/>
        <w:autoSpaceDE w:val="0"/>
        <w:autoSpaceDN w:val="0"/>
        <w:spacing w:before="120" w:after="120" w:line="240" w:lineRule="auto"/>
        <w:jc w:val="both"/>
        <w:rPr>
          <w:rFonts w:ascii="Times New Roman" w:eastAsia="Arial" w:hAnsi="Times New Roman" w:cs="Times New Roman"/>
          <w:b/>
          <w:bCs/>
          <w:i/>
          <w:iCs/>
          <w:noProof/>
          <w:kern w:val="0"/>
          <w:sz w:val="24"/>
          <w:szCs w:val="24"/>
          <w14:ligatures w14:val="none"/>
        </w:rPr>
      </w:pPr>
      <w:bookmarkStart w:id="30" w:name="Scope_of_Crypto-Assets_to_be_covered"/>
      <w:bookmarkEnd w:id="30"/>
      <w:r>
        <w:rPr>
          <w:rFonts w:ascii="Times New Roman" w:hAnsi="Times New Roman"/>
          <w:b/>
          <w:i/>
          <w:sz w:val="24"/>
        </w:rPr>
        <w:lastRenderedPageBreak/>
        <w:t>Iekļaujamo kriptoaktīvu tvērums</w:t>
      </w:r>
    </w:p>
    <w:p w14:paraId="7AF04620" w14:textId="1D6542FA" w:rsidR="00335C80" w:rsidRPr="005E6757" w:rsidRDefault="006152CE" w:rsidP="008842FB">
      <w:pPr>
        <w:keepNext/>
        <w:keepLines/>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11. Saskaņā ar </w:t>
      </w:r>
      <w:r>
        <w:rPr>
          <w:rFonts w:ascii="Times New Roman" w:hAnsi="Times New Roman"/>
          <w:i/>
          <w:iCs/>
          <w:sz w:val="24"/>
        </w:rPr>
        <w:t>CARF</w:t>
      </w:r>
      <w:r>
        <w:rPr>
          <w:rFonts w:ascii="Times New Roman" w:hAnsi="Times New Roman"/>
          <w:sz w:val="24"/>
        </w:rPr>
        <w:t xml:space="preserve"> kriptoaktīvu definīcija ir vērsta uz kriptogrāfiski aizsargātas sadalītās virsgrāmatas tehnoloģijas izmantošanu, jo tas ir nošķirošs faktors, kas pamato kriptoaktīvu izveidošanu, turēšanu un pārvedamību. Definīcijā ir iekļauta arī norāde uz “līdzīgu tehnoloģiju”, lai nodrošinātu, ka definīcijā var iekļaut jaunus tehnoloģiskus pilnveidojumus, kas radīsies nākotnē, darbojas kriptoaktīviem funkcionāli līdzīgā veidā un izraisa līdzīgus nodokļu riskus. Kriptoaktīvu definīcija tādējādi attiecas uz aktīviem, kurus var turēt un pārskaitīt decentralizētā veidā bez ierasto finanšu starpnieku iesaistes, tostarp stabilām kriptomonētām, atvasinātajiem instrumentiem, kas emitēti kriptoaktīvu formā, un noteiktiem neaizstājamiem blokķēžu žetoniem (</w:t>
      </w:r>
      <w:r>
        <w:rPr>
          <w:rFonts w:ascii="Times New Roman" w:hAnsi="Times New Roman"/>
          <w:i/>
          <w:iCs/>
          <w:sz w:val="24"/>
        </w:rPr>
        <w:t>NFT</w:t>
      </w:r>
      <w:r>
        <w:rPr>
          <w:rFonts w:ascii="Times New Roman" w:hAnsi="Times New Roman"/>
          <w:sz w:val="24"/>
        </w:rPr>
        <w:t>).</w:t>
      </w:r>
    </w:p>
    <w:p w14:paraId="6EBF3328" w14:textId="74F8904F"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12. Termins “attiecīgie kriptoaktīvi” (t. i., kriptoaktīvi, saistībā ar kuriem jāziņo par attiecīgajiem darījumiem) neiekļauj triju veidu kriptoaktīvus, kas rada ierobežotus nodokļu saistību neizpildes riskus, tāpēc tiem nepiemēro ziņošanas prasības. Pirmā kategorija ir kriptoaktīvi, attiecībā uz kuriem kriptoaktīvu pakalpojumu sniedzējs, kas sniedz ziņojumus, ir pienācīgi noteicis, ka tos nevar izmantot maksājumiem vai ieguldījumiem. Šā izņēmuma pamatā ir Finanšu darījumu darba grupas </w:t>
      </w:r>
      <w:r>
        <w:rPr>
          <w:rFonts w:ascii="Times New Roman" w:hAnsi="Times New Roman"/>
          <w:i/>
          <w:iCs/>
          <w:sz w:val="24"/>
        </w:rPr>
        <w:t>(FATF</w:t>
      </w:r>
      <w:r>
        <w:rPr>
          <w:rFonts w:ascii="Times New Roman" w:hAnsi="Times New Roman"/>
          <w:sz w:val="24"/>
        </w:rPr>
        <w:t xml:space="preserve">) izstrādātās virtuālo aktīvu definīcijas tvērums, un tas paredz neiekļaut kriptoaktīvus, kuriem nav spējas tikt izmantotiem maksājumiem vai ieguldījumiem. Otrā kategorija ir Centrālās bankas digitālās valūtas, kas ir prasījums bezseguma valūtā pret emitējošo centrālo banku vai monetāro iestādi un darbojas līdzīgi ierastajā bankas kontā turētai naudai. Trešā kategorija attiecas uz noteiktiem elektroniskās naudas produktiem, kas ir vienota bezseguma valūta, kuru jebkurā laikā var atpirkt par tās pašas bezseguma valūtas nominālvērtību regulējošā veidā un tad, ja papildus tiek izpildītas noteiktas citas prasības. </w:t>
      </w:r>
      <w:r>
        <w:rPr>
          <w:rFonts w:ascii="Times New Roman" w:hAnsi="Times New Roman"/>
          <w:i/>
          <w:iCs/>
          <w:sz w:val="24"/>
        </w:rPr>
        <w:t>CRS</w:t>
      </w:r>
      <w:r>
        <w:rPr>
          <w:rFonts w:ascii="Times New Roman" w:hAnsi="Times New Roman"/>
          <w:sz w:val="24"/>
        </w:rPr>
        <w:t xml:space="preserve"> darbības jomā tiks iekļauta prasība ziņot par Centrālās bankas digitālajām valūtām un noteiktiem elektroniskās naudas produktiem, kas tiek turēti finanšu kontos.</w:t>
      </w:r>
    </w:p>
    <w:p w14:paraId="381A7759" w14:textId="5630EB8F"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13. Ņemot vērā minētos apsvērumus, attiecīgo kriptoaktīvu definīcija nozīmē to, ka vairumā gadījumu attiecīgie kriptoaktīvi, uz kuriem attiecas </w:t>
      </w:r>
      <w:r>
        <w:rPr>
          <w:rFonts w:ascii="Times New Roman" w:hAnsi="Times New Roman"/>
          <w:i/>
          <w:iCs/>
          <w:sz w:val="24"/>
        </w:rPr>
        <w:t>CARF</w:t>
      </w:r>
      <w:r>
        <w:rPr>
          <w:rFonts w:ascii="Times New Roman" w:hAnsi="Times New Roman"/>
          <w:sz w:val="24"/>
        </w:rPr>
        <w:t xml:space="preserve">, ietilpst arī </w:t>
      </w:r>
      <w:r>
        <w:rPr>
          <w:rFonts w:ascii="Times New Roman" w:hAnsi="Times New Roman"/>
          <w:i/>
          <w:iCs/>
          <w:sz w:val="24"/>
        </w:rPr>
        <w:t>FATF</w:t>
      </w:r>
      <w:r>
        <w:rPr>
          <w:rFonts w:ascii="Times New Roman" w:hAnsi="Times New Roman"/>
          <w:sz w:val="24"/>
        </w:rPr>
        <w:t xml:space="preserve"> ieteikumu tvērumā, nodrošinot, ka pienācīgas pārbaudes prasības pēc iespējas var izstrādāt, balstoties uz esošajām </w:t>
      </w:r>
      <w:r>
        <w:rPr>
          <w:rFonts w:ascii="Times New Roman" w:hAnsi="Times New Roman"/>
          <w:i/>
          <w:iCs/>
          <w:sz w:val="24"/>
        </w:rPr>
        <w:t>AML/KYC</w:t>
      </w:r>
      <w:r>
        <w:rPr>
          <w:rFonts w:ascii="Times New Roman" w:hAnsi="Times New Roman"/>
          <w:sz w:val="24"/>
        </w:rPr>
        <w:t xml:space="preserve"> saistībām.</w:t>
      </w:r>
    </w:p>
    <w:p w14:paraId="35DACE59" w14:textId="77777777" w:rsidR="00335C80" w:rsidRPr="005E6757" w:rsidRDefault="00335C80" w:rsidP="005E6757">
      <w:pPr>
        <w:widowControl w:val="0"/>
        <w:autoSpaceDE w:val="0"/>
        <w:autoSpaceDN w:val="0"/>
        <w:spacing w:before="120" w:after="120" w:line="240" w:lineRule="auto"/>
        <w:jc w:val="both"/>
        <w:rPr>
          <w:rFonts w:ascii="Times New Roman" w:eastAsia="Arial" w:hAnsi="Times New Roman" w:cs="Times New Roman"/>
          <w:b/>
          <w:bCs/>
          <w:i/>
          <w:iCs/>
          <w:noProof/>
          <w:kern w:val="0"/>
          <w:sz w:val="24"/>
          <w:szCs w:val="24"/>
          <w14:ligatures w14:val="none"/>
        </w:rPr>
      </w:pPr>
      <w:bookmarkStart w:id="31" w:name="Intermediaries_and_other_service_provide"/>
      <w:bookmarkEnd w:id="31"/>
      <w:r>
        <w:rPr>
          <w:rFonts w:ascii="Times New Roman" w:hAnsi="Times New Roman"/>
          <w:b/>
          <w:i/>
          <w:sz w:val="24"/>
        </w:rPr>
        <w:t>Ietvertie starpnieki un citi pakalpojuma sniedzēji</w:t>
      </w:r>
    </w:p>
    <w:p w14:paraId="262AFB3C" w14:textId="00195D4C"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14. Kā minēts iepriekš, kriptoaktīvu tirgū galveno vietu ieņem starpnieki un citi pakalpojuma sniedzēji, kas veicina attiecīgo kriptoaktīvu savstarpējo apmaiņu, kā arī attiecīgo kriptoaktīvu un bezseguma valūtu apmaiņu. Tādējādi šīs vienības vai fiziskās personas, kas uzņēmējdarbības veidā sniedz pakalpojumus, īstenojot attiecīgo kriptoaktīvu maiņas darījumus saviem klientiem vai klientu vārdā, saskaņā ar </w:t>
      </w:r>
      <w:r>
        <w:rPr>
          <w:rFonts w:ascii="Times New Roman" w:hAnsi="Times New Roman"/>
          <w:i/>
          <w:iCs/>
          <w:sz w:val="24"/>
        </w:rPr>
        <w:t>CARF</w:t>
      </w:r>
      <w:r>
        <w:rPr>
          <w:rFonts w:ascii="Times New Roman" w:hAnsi="Times New Roman"/>
          <w:sz w:val="24"/>
        </w:rPr>
        <w:t xml:space="preserve"> tiek uzskatīti par kriptoaktīvu pakalpojumu sniedzējiem, kas sniedz ziņojumus.</w:t>
      </w:r>
    </w:p>
    <w:p w14:paraId="59F4EA89" w14:textId="24EF0615"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15. Sagaidāms, ka šādiem starpniekiem un citiem pakalpojuma sniedzējiem ir labākā un pilnīgākā piekļuve attiecīgo kriptoaktīvu vērtībai un veiktajiem maiņas darījumiem. Šie starpnieki un citi pakalpojuma sniedzēji ietilpst arī to vienību tvērumā, kurām uzlikti pienākumi </w:t>
      </w:r>
      <w:r>
        <w:rPr>
          <w:rFonts w:ascii="Times New Roman" w:hAnsi="Times New Roman"/>
          <w:i/>
          <w:iCs/>
          <w:sz w:val="24"/>
        </w:rPr>
        <w:t>FATF</w:t>
      </w:r>
      <w:r>
        <w:rPr>
          <w:rFonts w:ascii="Times New Roman" w:hAnsi="Times New Roman"/>
          <w:sz w:val="24"/>
        </w:rPr>
        <w:t xml:space="preserve"> nolūkos (t. i., virtuālā aktīva pakalpojumu sniedzēji). Tādējādi tie var ievākt un pārskatīt prasīto savu klientu dokumentāciju, tostarp pamatojoties uz </w:t>
      </w:r>
      <w:r>
        <w:rPr>
          <w:rFonts w:ascii="Times New Roman" w:hAnsi="Times New Roman"/>
          <w:i/>
          <w:iCs/>
          <w:sz w:val="24"/>
        </w:rPr>
        <w:t>AML/KYC</w:t>
      </w:r>
      <w:r>
        <w:rPr>
          <w:rFonts w:ascii="Times New Roman" w:hAnsi="Times New Roman"/>
          <w:sz w:val="24"/>
        </w:rPr>
        <w:t xml:space="preserve"> dokumentāciju.</w:t>
      </w:r>
    </w:p>
    <w:p w14:paraId="23D67D63" w14:textId="323D9479"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16. Minētā funkcionālā definīcija ietver ne tikai biržas, bet arī citus starpniekus un citus pakalpojuma sniedzējus, kas sniedz maiņas pakalpojumus, piemēram, attiecīgo kriptoaktīvu māklerus un dīlerus un attiecīgo kriptoaktīvu </w:t>
      </w:r>
      <w:r>
        <w:rPr>
          <w:rFonts w:ascii="Times New Roman" w:hAnsi="Times New Roman"/>
          <w:i/>
          <w:iCs/>
          <w:sz w:val="24"/>
        </w:rPr>
        <w:t>ATM</w:t>
      </w:r>
      <w:r>
        <w:rPr>
          <w:rFonts w:ascii="Times New Roman" w:hAnsi="Times New Roman"/>
          <w:sz w:val="24"/>
        </w:rPr>
        <w:t xml:space="preserve"> operatorus. Turklāt, ņemot vērā 2021. gada oktobra </w:t>
      </w:r>
      <w:r>
        <w:rPr>
          <w:rFonts w:ascii="Times New Roman" w:hAnsi="Times New Roman"/>
          <w:i/>
          <w:iCs/>
          <w:sz w:val="24"/>
        </w:rPr>
        <w:t>FATF</w:t>
      </w:r>
      <w:r>
        <w:rPr>
          <w:rFonts w:ascii="Times New Roman" w:hAnsi="Times New Roman"/>
          <w:sz w:val="24"/>
        </w:rPr>
        <w:t xml:space="preserve"> atjauninātās vadlīnijas virtuālā aktīva pakalpojumu sniedzējiem, komentāros ir precizēta </w:t>
      </w:r>
      <w:r>
        <w:rPr>
          <w:rFonts w:ascii="Times New Roman" w:hAnsi="Times New Roman"/>
          <w:i/>
          <w:iCs/>
          <w:sz w:val="24"/>
        </w:rPr>
        <w:t>CARF</w:t>
      </w:r>
      <w:r>
        <w:rPr>
          <w:rFonts w:ascii="Times New Roman" w:hAnsi="Times New Roman"/>
          <w:sz w:val="24"/>
        </w:rPr>
        <w:t xml:space="preserve"> piemērošanas joma noteiktiem decentralizētiem maiņas darījumiem.</w:t>
      </w:r>
    </w:p>
    <w:p w14:paraId="5F4ED379" w14:textId="5066ED11"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17. Attiecībā uz ziņošanas saikni kriptoaktīvu pakalpojumu sniedzējiem, kas sniedz ziņojumus, būs piemērojami noteikumi, ja tie jurisdikcijā, kas pieņem šos noteikumus, ir i) rezidenti nodokļu vajadzībām, ii) iekļauti šajā jurisdikcijā vai organizēti saskaņā ar tās tiesību aktiem un </w:t>
      </w:r>
      <w:r>
        <w:rPr>
          <w:rFonts w:ascii="Times New Roman" w:hAnsi="Times New Roman"/>
          <w:sz w:val="24"/>
        </w:rPr>
        <w:lastRenderedPageBreak/>
        <w:t xml:space="preserve">tiem ir juridiskas personas statuss vai tiem ir piemērojamas nodokļu ziņošanas prasības, iii) tie tiek vadīti no šīs jurisdikcijas, iv) tiem tajā ir pastāvīga uzņēmējdarbības vieta vai v) tie īsteno attiecīgos darījumus ar filiāles starpniecību, kas dibināta šajā jurisdikcijā. </w:t>
      </w:r>
      <w:r>
        <w:rPr>
          <w:rFonts w:ascii="Times New Roman" w:hAnsi="Times New Roman"/>
          <w:i/>
          <w:iCs/>
          <w:sz w:val="24"/>
        </w:rPr>
        <w:t>CARF</w:t>
      </w:r>
      <w:r>
        <w:rPr>
          <w:rFonts w:ascii="Times New Roman" w:hAnsi="Times New Roman"/>
          <w:sz w:val="24"/>
        </w:rPr>
        <w:t xml:space="preserve"> arī ir iekļauti noteikumi, kas paredz novērst ziņošanas dublēšanos, ja kriptoaktīvu pakalpojumu sniedzējam, kas sniedz ziņojumus, ir saikne ar vairākām jurisdikcijām, izveidojot saiknes noteikumu hierarhiju un iekļaujot noteikumu gadījumos, kad kriptoaktīvu pakalpojumu sniedzējam, kas sniedz ziņojumus, ir saikne divās jurisdikcijās, pamatojoties uz viena veida saikni.</w:t>
      </w:r>
    </w:p>
    <w:p w14:paraId="03B50E23" w14:textId="77777777" w:rsidR="00335C80" w:rsidRPr="005E6757" w:rsidRDefault="00335C80" w:rsidP="005E6757">
      <w:pPr>
        <w:widowControl w:val="0"/>
        <w:autoSpaceDE w:val="0"/>
        <w:autoSpaceDN w:val="0"/>
        <w:spacing w:before="120" w:after="120" w:line="240" w:lineRule="auto"/>
        <w:jc w:val="both"/>
        <w:rPr>
          <w:rFonts w:ascii="Times New Roman" w:eastAsia="Arial" w:hAnsi="Times New Roman" w:cs="Times New Roman"/>
          <w:b/>
          <w:bCs/>
          <w:i/>
          <w:iCs/>
          <w:noProof/>
          <w:kern w:val="0"/>
          <w:sz w:val="24"/>
          <w:szCs w:val="24"/>
          <w14:ligatures w14:val="none"/>
        </w:rPr>
      </w:pPr>
      <w:bookmarkStart w:id="32" w:name="Reporting_requirements"/>
      <w:bookmarkEnd w:id="32"/>
      <w:r>
        <w:rPr>
          <w:rFonts w:ascii="Times New Roman" w:hAnsi="Times New Roman"/>
          <w:b/>
          <w:i/>
          <w:sz w:val="24"/>
        </w:rPr>
        <w:t>Ziņošanas prasības</w:t>
      </w:r>
    </w:p>
    <w:p w14:paraId="53EC07E4" w14:textId="431B4C3A" w:rsidR="00335C80" w:rsidRPr="005E6757" w:rsidRDefault="006152CE" w:rsidP="005E6757">
      <w:pPr>
        <w:widowControl w:val="0"/>
        <w:tabs>
          <w:tab w:val="left" w:pos="963"/>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18. Saskaņā ar </w:t>
      </w:r>
      <w:r>
        <w:rPr>
          <w:rFonts w:ascii="Times New Roman" w:hAnsi="Times New Roman"/>
          <w:i/>
          <w:iCs/>
          <w:sz w:val="24"/>
        </w:rPr>
        <w:t>CARF</w:t>
      </w:r>
      <w:r>
        <w:rPr>
          <w:rFonts w:ascii="Times New Roman" w:hAnsi="Times New Roman"/>
          <w:sz w:val="24"/>
        </w:rPr>
        <w:t xml:space="preserve"> attiecīgie darījumi, par kuriem ir sniedzami ziņojumi, ir šādi triju veidu darījumi:</w:t>
      </w:r>
    </w:p>
    <w:p w14:paraId="20F791FE" w14:textId="77777777" w:rsidR="00335C80" w:rsidRPr="005E6757" w:rsidRDefault="00335C80" w:rsidP="00326ABB">
      <w:pPr>
        <w:widowControl w:val="0"/>
        <w:numPr>
          <w:ilvl w:val="1"/>
          <w:numId w:val="4"/>
        </w:numPr>
        <w:tabs>
          <w:tab w:val="left" w:pos="1236"/>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attiecīgo kriptoaktīvu maiņa pret bezseguma valūtu;</w:t>
      </w:r>
    </w:p>
    <w:p w14:paraId="54A880C8" w14:textId="77777777" w:rsidR="00335C80" w:rsidRPr="005E6757" w:rsidRDefault="00335C80" w:rsidP="00326ABB">
      <w:pPr>
        <w:widowControl w:val="0"/>
        <w:numPr>
          <w:ilvl w:val="1"/>
          <w:numId w:val="4"/>
        </w:numPr>
        <w:tabs>
          <w:tab w:val="left" w:pos="1236"/>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viena veida vai vairāku veidu attiecīgo kriptoaktīvu savstarpējā maiņa un</w:t>
      </w:r>
    </w:p>
    <w:p w14:paraId="5F616BBF" w14:textId="77777777" w:rsidR="00335C80" w:rsidRPr="005E6757" w:rsidRDefault="00335C80" w:rsidP="00326ABB">
      <w:pPr>
        <w:widowControl w:val="0"/>
        <w:numPr>
          <w:ilvl w:val="1"/>
          <w:numId w:val="4"/>
        </w:numPr>
        <w:tabs>
          <w:tab w:val="left" w:pos="1236"/>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attiecīgo kriptoaktīvu pārvedumi (tostarp neliela apjoma maksājumu darījumi, par kuriem jāsniedz ziņojums).</w:t>
      </w:r>
    </w:p>
    <w:p w14:paraId="376F583A" w14:textId="5862855B"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19. Par darījumiem būs jāziņo apkopotā veidā par katru attiecīgā kriptoaktīva veidu un jānošķir ienākošie un izejošie darījumi. Lai uzlabotu datu izmantojamību nodokļu administrācijām, ziņojot par maiņas darījumiem, jānošķir kriptoaktīvu savstarpējie maiņas darījumi un kriptoaktīvu pret bezseguma valūtu maiņas darījumi. Kriptoaktīvu pakalpojumu sniedzējiem, kas sniedz ziņojumus, pārvedumi būs jāgrupē arī pēc pārveduma veida (piemēram, bezmaksas žetonu piešķiršana, ieņēmumi, kas gūti no likmes veikšanas, vai aizdevums), ja tiem tas ir zināms.</w:t>
      </w:r>
    </w:p>
    <w:p w14:paraId="45987ABE" w14:textId="23F4EEC1"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20. </w:t>
      </w:r>
      <w:r>
        <w:rPr>
          <w:rFonts w:ascii="Times New Roman" w:hAnsi="Times New Roman"/>
          <w:i/>
          <w:iCs/>
          <w:sz w:val="24"/>
        </w:rPr>
        <w:t>CARF</w:t>
      </w:r>
      <w:r>
        <w:rPr>
          <w:rFonts w:ascii="Times New Roman" w:hAnsi="Times New Roman"/>
          <w:sz w:val="24"/>
        </w:rPr>
        <w:t xml:space="preserve"> paredz, ka kriptoaktīvu pret bezseguma valūtu maiņas darījumos samaksāto vai saņemto bezseguma summu ziņojumā norāda kā iegādes summu vai bruto ieņēmumus. Kriptoaktīvu savstarpējos darījumos kriptoaktīva vērtība (iegādes brīdī) un bruto ieņēmumi (realizācijas brīdī) ziņojumā jānorāda (arī) bezseguma valūtā. Saskaņā ar šo pieeju attiecībā uz kriptoaktīvu savstarpējiem darījumiem katru darījumu sadala divos ziņojuma elementos, t. i.: i) kriptoaktīva A realizācija (ziņojumā jānorāda bruto ieņēmumi, ņemot vērā tirgus vērtību realizācijas brīdī) un ii) kriptoaktīva B iegāde (ziņojumā jānorāda iegādes vērtība, ņemot vērā tirgus vērtību iegādes brīdī). Turklāt </w:t>
      </w:r>
      <w:r>
        <w:rPr>
          <w:rFonts w:ascii="Times New Roman" w:hAnsi="Times New Roman"/>
          <w:i/>
          <w:iCs/>
          <w:sz w:val="24"/>
        </w:rPr>
        <w:t>CARF</w:t>
      </w:r>
      <w:r>
        <w:rPr>
          <w:rFonts w:ascii="Times New Roman" w:hAnsi="Times New Roman"/>
          <w:sz w:val="24"/>
        </w:rPr>
        <w:t xml:space="preserve"> komentāros ir sniegti detalizēti vērtēšanas noteikumi, kas piemērojami attiecīgajiem kriptoaktīviem, par kuriem jāsniedz ziņojums, pamatojoties uz pārvedumu.</w:t>
      </w:r>
    </w:p>
    <w:p w14:paraId="05A9A46B" w14:textId="4848C0D2"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21. Nodokļu maksātāju attiecīgie kriptoaktīvi, kuru turēšana un pārvedumi neietilpst to kriptoaktīvu pakalpojumu sniedzēju darbības jomā, kas sniedz ziņojumus un kam piemērojamas ziņošanas prasības, arī attiecas uz nodokļu iestādēm. Lai palielinātu to redzamību, </w:t>
      </w:r>
      <w:r>
        <w:rPr>
          <w:rFonts w:ascii="Times New Roman" w:hAnsi="Times New Roman"/>
          <w:i/>
          <w:iCs/>
          <w:sz w:val="24"/>
        </w:rPr>
        <w:t>CARF</w:t>
      </w:r>
      <w:r>
        <w:rPr>
          <w:rFonts w:ascii="Times New Roman" w:hAnsi="Times New Roman"/>
          <w:sz w:val="24"/>
        </w:rPr>
        <w:t xml:space="preserve"> prasīts ziņojumā norādīt, cik kriptoaktīvu vienību kriptoaktīvu pakalpojumu sniedzējs, kas sniedz ziņojumus, kriptoaktīva lietotāja vārdā ir pārvedis uz makiem, kas nav saistīti ar virtuālā aktīva pakalpojumu sniedzēju vai finanšu iestādi, un kāda ir šo pārvesto kriptoaktīvu kopvērtība. Ja šī informācija raisa bažas par saistību neizpildi, nodokļu administrācijas var pieprasīt sīkāku informāciju par kriptoaktīvu lietotāja saistītajām maka adresēm, izmantojot esošos informācijas apmaiņas kanālus.</w:t>
      </w:r>
    </w:p>
    <w:p w14:paraId="581544BB" w14:textId="2AD4B01C"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22. Visbeidzot, noteiktos gadījumos </w:t>
      </w:r>
      <w:r>
        <w:rPr>
          <w:rFonts w:ascii="Times New Roman" w:hAnsi="Times New Roman"/>
          <w:i/>
          <w:iCs/>
          <w:sz w:val="24"/>
        </w:rPr>
        <w:t>CARF</w:t>
      </w:r>
      <w:r>
        <w:rPr>
          <w:rFonts w:ascii="Times New Roman" w:hAnsi="Times New Roman"/>
          <w:sz w:val="24"/>
        </w:rPr>
        <w:t xml:space="preserve"> piemēro arī tad, ja kriptoaktīvu pakalpojumu sniedzējs, kas sniedz ziņojumus, apstrādā maksājumus tāda tirgotāja vārdā, kurš pieņem attiecīgos kriptoaktīvus kā maksājumu par precēm vai pakalpojumiem, vēršot uzmanību uz augstas vērtības darījumiem (t. i., neliela apjoma maksājumu darījumiem, par kuriem jāsniedz ziņojums). Šādos gadījumos kriptoaktīvu pakalpojumu sniedzējam, kas sniedz ziņojumus, ir prasīts arī tirgotāja klientu traktēt kā kriptoaktīva lietotāju (ar nosacījumu, ka kriptoaktīvu pakalpojumu sniedzējam, kas sniedz ziņojumus, ir prasīts pārbaudīt klienta identitāti, pamatojoties uz valsts noteikumiem noziedzīgi iegūtu līdzekļu legalizācijas novēršanas jomā </w:t>
      </w:r>
      <w:r>
        <w:rPr>
          <w:rFonts w:ascii="Times New Roman" w:hAnsi="Times New Roman"/>
          <w:sz w:val="24"/>
        </w:rPr>
        <w:lastRenderedPageBreak/>
        <w:t>un saistībā ar to, ka tiek izpildīts neliela apjoma maksājumu darījums, par kuru jāsniedz ziņojums) un, ņemot to vērā, ziņot par darījuma vērtību. Paredzams, ka šī informācija sniegs nodokļu administrācijām ziņas par gadījumiem, kad attiecīgie kriptoaktīvi tiek izmantoti, lai iegādātos preces vai pakalpojumus, tādējādi gūstot kapitāla pieaugumu no šādu attiecīgo kriptoaktīvu realizācijas.</w:t>
      </w:r>
    </w:p>
    <w:p w14:paraId="25A73AB4" w14:textId="77777777" w:rsidR="00335C80" w:rsidRPr="005E6757" w:rsidRDefault="00335C80" w:rsidP="005E6757">
      <w:pPr>
        <w:widowControl w:val="0"/>
        <w:autoSpaceDE w:val="0"/>
        <w:autoSpaceDN w:val="0"/>
        <w:spacing w:before="120" w:after="120" w:line="240" w:lineRule="auto"/>
        <w:jc w:val="both"/>
        <w:rPr>
          <w:rFonts w:ascii="Times New Roman" w:eastAsia="Arial" w:hAnsi="Times New Roman" w:cs="Times New Roman"/>
          <w:b/>
          <w:bCs/>
          <w:i/>
          <w:iCs/>
          <w:noProof/>
          <w:kern w:val="0"/>
          <w:sz w:val="24"/>
          <w:szCs w:val="24"/>
          <w14:ligatures w14:val="none"/>
        </w:rPr>
      </w:pPr>
      <w:bookmarkStart w:id="33" w:name="Due_diligence_procedures"/>
      <w:bookmarkEnd w:id="33"/>
      <w:r>
        <w:rPr>
          <w:rFonts w:ascii="Times New Roman" w:hAnsi="Times New Roman"/>
          <w:b/>
          <w:i/>
          <w:sz w:val="24"/>
        </w:rPr>
        <w:t>Pienācīgas pārbaudes procedūras</w:t>
      </w:r>
    </w:p>
    <w:p w14:paraId="1B83C5EA" w14:textId="2A65A746"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23. </w:t>
      </w:r>
      <w:r>
        <w:rPr>
          <w:rFonts w:ascii="Times New Roman" w:hAnsi="Times New Roman"/>
          <w:i/>
          <w:iCs/>
          <w:sz w:val="24"/>
        </w:rPr>
        <w:t>CARF</w:t>
      </w:r>
      <w:r>
        <w:rPr>
          <w:rFonts w:ascii="Times New Roman" w:hAnsi="Times New Roman"/>
          <w:sz w:val="24"/>
        </w:rPr>
        <w:t xml:space="preserve"> ir ietvertas pienācīgas pārbaudes procedūras, kas kriptoaktīvu pakalpojumu sniedzējiem, kuri sniedz ziņojumus, jāievēro, identificējot savus kriptoaktīvu lietotājus, nosakot attiecīgo nodokļu jurisdikciju ziņošanas vajadzībām un ievācot attiecīgo informāciju, kas nepieciešama, lai izpildītu </w:t>
      </w:r>
      <w:r>
        <w:rPr>
          <w:rFonts w:ascii="Times New Roman" w:hAnsi="Times New Roman"/>
          <w:i/>
          <w:iCs/>
          <w:sz w:val="24"/>
        </w:rPr>
        <w:t>CARF</w:t>
      </w:r>
      <w:r>
        <w:rPr>
          <w:rFonts w:ascii="Times New Roman" w:hAnsi="Times New Roman"/>
          <w:sz w:val="24"/>
        </w:rPr>
        <w:t xml:space="preserve"> noteiktās ziņošanas prasības. Pienācīgas pārbaudes prasības ir izstrādātas, lai ļautu kriptoaktīvu pakalpojumu sniedzējiem, kas sniedz ziņojumus, efektīvi un uzticami noteikt identitāti un nodokļu rezidenci fiziskām personām un vienībām, kas ir kriptoaktīvu lietotāji, kā arī fiziskām personām, kuras kontrolē noteiktas vienības, kas izmanto kriptoaktīvus.</w:t>
      </w:r>
    </w:p>
    <w:p w14:paraId="294C502A" w14:textId="3C3DF14F" w:rsidR="00335C80" w:rsidRPr="005E6757" w:rsidRDefault="006152CE" w:rsidP="005E6757">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24. Pienācīgas pārbaudes procedūras ir izstrādātas, pamatojoties uz </w:t>
      </w:r>
      <w:r>
        <w:rPr>
          <w:rFonts w:ascii="Times New Roman" w:hAnsi="Times New Roman"/>
          <w:i/>
          <w:iCs/>
          <w:sz w:val="24"/>
        </w:rPr>
        <w:t>CRS</w:t>
      </w:r>
      <w:r>
        <w:rPr>
          <w:rFonts w:ascii="Times New Roman" w:hAnsi="Times New Roman"/>
          <w:sz w:val="24"/>
        </w:rPr>
        <w:t xml:space="preserve"> pašapliecinājuma procesu, kā arī esošajiem </w:t>
      </w:r>
      <w:r>
        <w:rPr>
          <w:rFonts w:ascii="Times New Roman" w:hAnsi="Times New Roman"/>
          <w:i/>
          <w:iCs/>
          <w:sz w:val="24"/>
        </w:rPr>
        <w:t>AML/KYC</w:t>
      </w:r>
      <w:r>
        <w:rPr>
          <w:rFonts w:ascii="Times New Roman" w:hAnsi="Times New Roman"/>
          <w:sz w:val="24"/>
        </w:rPr>
        <w:t xml:space="preserve"> pienākumiem, kas noteikti 2012. gada </w:t>
      </w:r>
      <w:r>
        <w:rPr>
          <w:rFonts w:ascii="Times New Roman" w:hAnsi="Times New Roman"/>
          <w:i/>
          <w:iCs/>
          <w:sz w:val="24"/>
        </w:rPr>
        <w:t>FATF</w:t>
      </w:r>
      <w:r>
        <w:rPr>
          <w:rFonts w:ascii="Times New Roman" w:hAnsi="Times New Roman"/>
          <w:sz w:val="24"/>
        </w:rPr>
        <w:t xml:space="preserve"> ieteikumos, tostarp 2019. gada jūnija atjauninājumos attiecībā uz pienākumiem, kas piemērojami virtuālā aktīva pakalpojumu sniedzējiem.</w:t>
      </w:r>
    </w:p>
    <w:p w14:paraId="3BDCD8FF" w14:textId="77777777" w:rsidR="00335C80" w:rsidRPr="005E6757" w:rsidRDefault="00335C80" w:rsidP="005E6757">
      <w:pPr>
        <w:widowControl w:val="0"/>
        <w:autoSpaceDE w:val="0"/>
        <w:autoSpaceDN w:val="0"/>
        <w:spacing w:before="120" w:after="120" w:line="240" w:lineRule="auto"/>
        <w:jc w:val="both"/>
        <w:rPr>
          <w:rFonts w:ascii="Times New Roman" w:eastAsia="Arial" w:hAnsi="Times New Roman" w:cs="Times New Roman"/>
          <w:b/>
          <w:bCs/>
          <w:i/>
          <w:iCs/>
          <w:noProof/>
          <w:kern w:val="0"/>
          <w:sz w:val="24"/>
          <w:szCs w:val="24"/>
          <w14:ligatures w14:val="none"/>
        </w:rPr>
      </w:pPr>
      <w:bookmarkStart w:id="34" w:name="Effective_implementation"/>
      <w:bookmarkEnd w:id="34"/>
      <w:r>
        <w:rPr>
          <w:rFonts w:ascii="Times New Roman" w:hAnsi="Times New Roman"/>
          <w:b/>
          <w:i/>
          <w:sz w:val="24"/>
        </w:rPr>
        <w:t>Efektīva īstenošana</w:t>
      </w:r>
    </w:p>
    <w:p w14:paraId="44F5017A" w14:textId="137A19E4" w:rsidR="00335C80" w:rsidRPr="005E6757" w:rsidRDefault="006152CE" w:rsidP="002F7216">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25. </w:t>
      </w:r>
      <w:r>
        <w:rPr>
          <w:rFonts w:ascii="Times New Roman" w:hAnsi="Times New Roman"/>
          <w:i/>
          <w:iCs/>
          <w:sz w:val="24"/>
        </w:rPr>
        <w:t>CARF</w:t>
      </w:r>
      <w:r>
        <w:rPr>
          <w:rFonts w:ascii="Times New Roman" w:hAnsi="Times New Roman"/>
          <w:sz w:val="24"/>
        </w:rPr>
        <w:t xml:space="preserve"> efektīvas īstenošanas prasības ir noteiktas komentāros par V pantu. Līdzīgi kā </w:t>
      </w:r>
      <w:r>
        <w:rPr>
          <w:rFonts w:ascii="Times New Roman" w:hAnsi="Times New Roman"/>
          <w:i/>
          <w:iCs/>
          <w:sz w:val="24"/>
        </w:rPr>
        <w:t>CRS</w:t>
      </w:r>
      <w:r>
        <w:rPr>
          <w:rFonts w:ascii="Times New Roman" w:hAnsi="Times New Roman"/>
          <w:sz w:val="24"/>
        </w:rPr>
        <w:t xml:space="preserve"> IX pantā šo prasību mērķis ir nodrošināt, ka kriptoaktīvu pakalpojumu sniedzēji, kas sniedz ziņojumus, un jurisdikcijas, kas piedalās </w:t>
      </w:r>
      <w:r>
        <w:rPr>
          <w:rFonts w:ascii="Times New Roman" w:hAnsi="Times New Roman"/>
          <w:i/>
          <w:iCs/>
          <w:sz w:val="24"/>
        </w:rPr>
        <w:t>CARF</w:t>
      </w:r>
      <w:r>
        <w:rPr>
          <w:rFonts w:ascii="Times New Roman" w:hAnsi="Times New Roman"/>
          <w:sz w:val="24"/>
        </w:rPr>
        <w:t>, to efektīvi īsteno.</w:t>
      </w:r>
    </w:p>
    <w:p w14:paraId="56FF76CB" w14:textId="77777777" w:rsidR="00335C80" w:rsidRPr="00C12C9B" w:rsidRDefault="00335C80" w:rsidP="00C12C9B">
      <w:pPr>
        <w:pStyle w:val="Heading1"/>
        <w:rPr>
          <w:rFonts w:ascii="Times New Roman" w:eastAsia="Arial" w:hAnsi="Times New Roman" w:cs="Times New Roman"/>
          <w:b/>
          <w:bCs/>
          <w:noProof/>
          <w:color w:val="0B769F" w:themeColor="accent4" w:themeShade="BF"/>
          <w:sz w:val="26"/>
          <w:szCs w:val="26"/>
        </w:rPr>
      </w:pPr>
      <w:bookmarkStart w:id="35" w:name="Multilateral_Competent_Authority_Agreeme"/>
      <w:bookmarkStart w:id="36" w:name="_bookmark9"/>
      <w:bookmarkStart w:id="37" w:name="_Toc241753056"/>
      <w:bookmarkEnd w:id="35"/>
      <w:bookmarkEnd w:id="36"/>
      <w:r>
        <w:rPr>
          <w:rFonts w:ascii="Times New Roman" w:hAnsi="Times New Roman"/>
          <w:b/>
          <w:color w:val="0B769F" w:themeColor="accent4" w:themeShade="BF"/>
          <w:sz w:val="26"/>
        </w:rPr>
        <w:t xml:space="preserve">Kompetento iestāžu daudzpusējais nolīgums par informācijas automātisku apmaiņu saskaņā ar </w:t>
      </w:r>
      <w:r>
        <w:rPr>
          <w:rFonts w:ascii="Times New Roman" w:hAnsi="Times New Roman"/>
          <w:b/>
          <w:i/>
          <w:iCs/>
          <w:color w:val="0B769F" w:themeColor="accent4" w:themeShade="BF"/>
          <w:sz w:val="26"/>
        </w:rPr>
        <w:t>CARF</w:t>
      </w:r>
      <w:r>
        <w:rPr>
          <w:rFonts w:ascii="Times New Roman" w:hAnsi="Times New Roman"/>
          <w:b/>
          <w:color w:val="0B769F" w:themeColor="accent4" w:themeShade="BF"/>
          <w:sz w:val="26"/>
        </w:rPr>
        <w:t xml:space="preserve"> (</w:t>
      </w:r>
      <w:r>
        <w:rPr>
          <w:rFonts w:ascii="Times New Roman" w:hAnsi="Times New Roman"/>
          <w:b/>
          <w:i/>
          <w:iCs/>
          <w:color w:val="0B769F" w:themeColor="accent4" w:themeShade="BF"/>
          <w:sz w:val="26"/>
        </w:rPr>
        <w:t>CARF MCAA</w:t>
      </w:r>
      <w:r>
        <w:rPr>
          <w:rFonts w:ascii="Times New Roman" w:hAnsi="Times New Roman"/>
          <w:b/>
          <w:color w:val="0B769F" w:themeColor="accent4" w:themeShade="BF"/>
          <w:sz w:val="26"/>
        </w:rPr>
        <w:t>) un saistītie komentāri</w:t>
      </w:r>
      <w:bookmarkEnd w:id="37"/>
    </w:p>
    <w:p w14:paraId="217D2DC7" w14:textId="2AFD567A" w:rsidR="00335C80" w:rsidRPr="009032BA" w:rsidRDefault="006152CE" w:rsidP="009032BA">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26. </w:t>
      </w:r>
      <w:r>
        <w:rPr>
          <w:rFonts w:ascii="Times New Roman" w:hAnsi="Times New Roman"/>
          <w:sz w:val="24"/>
        </w:rPr>
        <w:br/>
      </w:r>
      <w:r>
        <w:rPr>
          <w:rFonts w:ascii="Times New Roman" w:hAnsi="Times New Roman"/>
          <w:i/>
          <w:iCs/>
          <w:sz w:val="24"/>
        </w:rPr>
        <w:t>CARF MCAA</w:t>
      </w:r>
      <w:r>
        <w:rPr>
          <w:rFonts w:ascii="Times New Roman" w:hAnsi="Times New Roman"/>
          <w:sz w:val="24"/>
        </w:rPr>
        <w:t xml:space="preserve"> paredz saskaņā ar </w:t>
      </w:r>
      <w:r>
        <w:rPr>
          <w:rFonts w:ascii="Times New Roman" w:hAnsi="Times New Roman"/>
          <w:i/>
          <w:iCs/>
          <w:sz w:val="24"/>
        </w:rPr>
        <w:t>CARF</w:t>
      </w:r>
      <w:r>
        <w:rPr>
          <w:rFonts w:ascii="Times New Roman" w:hAnsi="Times New Roman"/>
          <w:sz w:val="24"/>
        </w:rPr>
        <w:t xml:space="preserve"> ievāktas informācijas automātisku apmaiņu ar kriptoaktīvu lietotāju rezidences jurisdikciju(-ām) un ir izstrādāta, pamatojoties uz 6. pantu Konvencijai par savstarpējo administratīvo palīdzību nodokļu jomā.</w:t>
      </w:r>
    </w:p>
    <w:p w14:paraId="5A51F193" w14:textId="4D3DCEC7" w:rsidR="00335C80" w:rsidRPr="009032BA" w:rsidRDefault="006152CE" w:rsidP="009032BA">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27. Kā alternatīvu </w:t>
      </w:r>
      <w:r>
        <w:rPr>
          <w:rFonts w:ascii="Times New Roman" w:hAnsi="Times New Roman"/>
          <w:i/>
          <w:iCs/>
          <w:sz w:val="24"/>
        </w:rPr>
        <w:t>CARF MCAA</w:t>
      </w:r>
      <w:r>
        <w:rPr>
          <w:rFonts w:ascii="Times New Roman" w:hAnsi="Times New Roman"/>
          <w:sz w:val="24"/>
        </w:rPr>
        <w:t xml:space="preserve"> jurisdikcijas var izveidot automātiskas apmaiņas attiecības, noslēdzot arī divpusējus kompetento iestāžu nolīgumus, pamatojoties uz divpusējiem līgumiem par nodokļu dubultu neaplikšanu vai nodokļu informācijas apmaiņas nolīgumiem, kas ļauj informācijas automātisku apmaiņu, vai pamatojoties uz Konvenciju par savstarpējo administratīvo palīdzību nodokļu jomā. Jurisdikcijas var noslēgt arī autonomu starpvaldību līgumu vai balstīties uz reģionālajiem tiesību aktiem, kas aptver gan ziņošanas pienākumus, gan pienācīgas pārbaudes procedūras apvienojumā ar informācijas apmaiņas metodēm.</w:t>
      </w:r>
    </w:p>
    <w:p w14:paraId="5E98B91B" w14:textId="77777777" w:rsidR="00335C80" w:rsidRPr="00C12C9B" w:rsidRDefault="00335C80" w:rsidP="00C12C9B">
      <w:pPr>
        <w:pStyle w:val="Heading1"/>
        <w:rPr>
          <w:rFonts w:ascii="Times New Roman" w:eastAsia="Arial" w:hAnsi="Times New Roman" w:cs="Times New Roman"/>
          <w:b/>
          <w:bCs/>
          <w:noProof/>
          <w:color w:val="0B769F" w:themeColor="accent4" w:themeShade="BF"/>
          <w:sz w:val="26"/>
          <w:szCs w:val="26"/>
        </w:rPr>
      </w:pPr>
      <w:bookmarkStart w:id="38" w:name="Interaction_between_the_Crypto-Asset_Rep"/>
      <w:bookmarkStart w:id="39" w:name="_bookmark10"/>
      <w:bookmarkStart w:id="40" w:name="_Toc241753057"/>
      <w:bookmarkEnd w:id="38"/>
      <w:bookmarkEnd w:id="39"/>
      <w:r>
        <w:rPr>
          <w:rFonts w:ascii="Times New Roman" w:hAnsi="Times New Roman"/>
          <w:b/>
          <w:color w:val="0B769F" w:themeColor="accent4" w:themeShade="BF"/>
          <w:sz w:val="26"/>
        </w:rPr>
        <w:t xml:space="preserve">Kriptoaktīvu ziņošanas sistēmas un </w:t>
      </w:r>
      <w:r>
        <w:rPr>
          <w:rFonts w:ascii="Times New Roman" w:hAnsi="Times New Roman"/>
          <w:b/>
          <w:i/>
          <w:iCs/>
          <w:color w:val="0B769F" w:themeColor="accent4" w:themeShade="BF"/>
          <w:sz w:val="26"/>
        </w:rPr>
        <w:t>CRS</w:t>
      </w:r>
      <w:r>
        <w:rPr>
          <w:rFonts w:ascii="Times New Roman" w:hAnsi="Times New Roman"/>
          <w:b/>
          <w:color w:val="0B769F" w:themeColor="accent4" w:themeShade="BF"/>
          <w:sz w:val="26"/>
        </w:rPr>
        <w:t xml:space="preserve"> mijiedarbība</w:t>
      </w:r>
      <w:bookmarkEnd w:id="40"/>
    </w:p>
    <w:p w14:paraId="24022058" w14:textId="3D6BF441" w:rsidR="00335C80" w:rsidRPr="009032BA" w:rsidRDefault="006152CE" w:rsidP="009032BA">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28. Tā kā </w:t>
      </w:r>
      <w:r>
        <w:rPr>
          <w:rFonts w:ascii="Times New Roman" w:hAnsi="Times New Roman"/>
          <w:i/>
          <w:iCs/>
          <w:sz w:val="24"/>
        </w:rPr>
        <w:t>CARF</w:t>
      </w:r>
      <w:r>
        <w:rPr>
          <w:rFonts w:ascii="Times New Roman" w:hAnsi="Times New Roman"/>
          <w:sz w:val="24"/>
        </w:rPr>
        <w:t xml:space="preserve"> ir atsevišķa un papildinoša sistēma, būs kādas vienības, kas ziņojumus sniedz gan saskaņā ar </w:t>
      </w:r>
      <w:r>
        <w:rPr>
          <w:rFonts w:ascii="Times New Roman" w:hAnsi="Times New Roman"/>
          <w:i/>
          <w:iCs/>
          <w:sz w:val="24"/>
        </w:rPr>
        <w:t>CRS</w:t>
      </w:r>
      <w:r>
        <w:rPr>
          <w:rFonts w:ascii="Times New Roman" w:hAnsi="Times New Roman"/>
          <w:sz w:val="24"/>
        </w:rPr>
        <w:t xml:space="preserve">, gan saskaņā ar </w:t>
      </w:r>
      <w:r>
        <w:rPr>
          <w:rFonts w:ascii="Times New Roman" w:hAnsi="Times New Roman"/>
          <w:i/>
          <w:iCs/>
          <w:sz w:val="24"/>
        </w:rPr>
        <w:t>CARF</w:t>
      </w:r>
      <w:r>
        <w:rPr>
          <w:rFonts w:ascii="Times New Roman" w:hAnsi="Times New Roman"/>
          <w:sz w:val="24"/>
        </w:rPr>
        <w:t xml:space="preserve">. </w:t>
      </w:r>
      <w:r>
        <w:rPr>
          <w:rFonts w:ascii="Times New Roman" w:hAnsi="Times New Roman"/>
          <w:i/>
          <w:iCs/>
          <w:sz w:val="24"/>
        </w:rPr>
        <w:t>CARF</w:t>
      </w:r>
      <w:r>
        <w:rPr>
          <w:rFonts w:ascii="Times New Roman" w:hAnsi="Times New Roman"/>
          <w:sz w:val="24"/>
        </w:rPr>
        <w:t xml:space="preserve"> tika izstrādāta, lai ziņotu informāciju par kriptoaktīviem un tādējādi risinātu nodokļu saistību neizpildes riskus. Tomēr, lai mazinātu ziņošanas slogu, īpaša uzmanība tika pievērsta </w:t>
      </w:r>
      <w:r>
        <w:rPr>
          <w:rFonts w:ascii="Times New Roman" w:hAnsi="Times New Roman"/>
          <w:i/>
          <w:iCs/>
          <w:sz w:val="24"/>
        </w:rPr>
        <w:t>CARF</w:t>
      </w:r>
      <w:r>
        <w:rPr>
          <w:rFonts w:ascii="Times New Roman" w:hAnsi="Times New Roman"/>
          <w:sz w:val="24"/>
        </w:rPr>
        <w:t xml:space="preserve"> un </w:t>
      </w:r>
      <w:r>
        <w:rPr>
          <w:rFonts w:ascii="Times New Roman" w:hAnsi="Times New Roman"/>
          <w:i/>
          <w:iCs/>
          <w:sz w:val="24"/>
        </w:rPr>
        <w:t>CRS</w:t>
      </w:r>
      <w:r>
        <w:rPr>
          <w:rFonts w:ascii="Times New Roman" w:hAnsi="Times New Roman"/>
          <w:sz w:val="24"/>
        </w:rPr>
        <w:t xml:space="preserve"> efektīvai un raitai mijiedarbībai, kā to parāda turpmākās iezīmes:</w:t>
      </w:r>
    </w:p>
    <w:p w14:paraId="009F9A27" w14:textId="77777777" w:rsidR="00335C80" w:rsidRPr="009032BA" w:rsidRDefault="00335C80" w:rsidP="00326ABB">
      <w:pPr>
        <w:widowControl w:val="0"/>
        <w:numPr>
          <w:ilvl w:val="1"/>
          <w:numId w:val="4"/>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saskaņā ar attiecīgo kriptoaktīvu definīciju </w:t>
      </w:r>
      <w:r>
        <w:rPr>
          <w:rFonts w:ascii="Times New Roman" w:hAnsi="Times New Roman"/>
          <w:i/>
          <w:iCs/>
          <w:sz w:val="24"/>
        </w:rPr>
        <w:t>CARF</w:t>
      </w:r>
      <w:r>
        <w:rPr>
          <w:rFonts w:ascii="Times New Roman" w:hAnsi="Times New Roman"/>
          <w:sz w:val="24"/>
        </w:rPr>
        <w:t xml:space="preserve"> darbības jomā neietilpst noteikti elektroniskās naudas produkti un Centrālās bankas digitālās valūtas, jo par šiem aktīviem jāziņo saskaņā ar </w:t>
      </w:r>
      <w:r>
        <w:rPr>
          <w:rFonts w:ascii="Times New Roman" w:hAnsi="Times New Roman"/>
          <w:i/>
          <w:iCs/>
          <w:sz w:val="24"/>
        </w:rPr>
        <w:t>CRS</w:t>
      </w:r>
      <w:r>
        <w:rPr>
          <w:rFonts w:ascii="Times New Roman" w:hAnsi="Times New Roman"/>
          <w:sz w:val="24"/>
        </w:rPr>
        <w:t>;</w:t>
      </w:r>
    </w:p>
    <w:p w14:paraId="05E976E7" w14:textId="77777777" w:rsidR="00335C80" w:rsidRPr="009032BA" w:rsidRDefault="00335C80" w:rsidP="00326ABB">
      <w:pPr>
        <w:widowControl w:val="0"/>
        <w:numPr>
          <w:ilvl w:val="1"/>
          <w:numId w:val="4"/>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 xml:space="preserve">tā kā ir noteikti aktīvi, kas kvalificējami gan kā attiecīgie kriptoaktīvi saskaņā ar </w:t>
      </w:r>
      <w:r>
        <w:rPr>
          <w:rFonts w:ascii="Times New Roman" w:hAnsi="Times New Roman"/>
          <w:i/>
          <w:iCs/>
          <w:sz w:val="24"/>
        </w:rPr>
        <w:t>CARF</w:t>
      </w:r>
      <w:r>
        <w:rPr>
          <w:rFonts w:ascii="Times New Roman" w:hAnsi="Times New Roman"/>
          <w:sz w:val="24"/>
        </w:rPr>
        <w:t xml:space="preserve">, gan kā finanšu aktīvi saskaņā ar </w:t>
      </w:r>
      <w:r>
        <w:rPr>
          <w:rFonts w:ascii="Times New Roman" w:hAnsi="Times New Roman"/>
          <w:i/>
          <w:iCs/>
          <w:sz w:val="24"/>
        </w:rPr>
        <w:t>CRS</w:t>
      </w:r>
      <w:r>
        <w:rPr>
          <w:rFonts w:ascii="Times New Roman" w:hAnsi="Times New Roman"/>
          <w:sz w:val="24"/>
        </w:rPr>
        <w:t xml:space="preserve"> (piemēram, kriptogrāfiskā veidā emitētas daļas), </w:t>
      </w:r>
      <w:r>
        <w:rPr>
          <w:rFonts w:ascii="Times New Roman" w:hAnsi="Times New Roman"/>
          <w:i/>
          <w:iCs/>
          <w:sz w:val="24"/>
        </w:rPr>
        <w:t>CRS</w:t>
      </w:r>
      <w:r>
        <w:rPr>
          <w:rFonts w:ascii="Times New Roman" w:hAnsi="Times New Roman"/>
          <w:sz w:val="24"/>
        </w:rPr>
        <w:t xml:space="preserve"> ir ietverts neobligāts noteikums neiekļaut bruto ieņēmumus, par kuriem jāziņo saskaņā ar </w:t>
      </w:r>
      <w:r>
        <w:rPr>
          <w:rFonts w:ascii="Times New Roman" w:hAnsi="Times New Roman"/>
          <w:i/>
          <w:iCs/>
          <w:sz w:val="24"/>
        </w:rPr>
        <w:t>CRS</w:t>
      </w:r>
      <w:r>
        <w:rPr>
          <w:rFonts w:ascii="Times New Roman" w:hAnsi="Times New Roman"/>
          <w:sz w:val="24"/>
        </w:rPr>
        <w:t xml:space="preserve">, ja šāda informācija tiek paziņota saskaņā ar </w:t>
      </w:r>
      <w:r>
        <w:rPr>
          <w:rFonts w:ascii="Times New Roman" w:hAnsi="Times New Roman"/>
          <w:i/>
          <w:iCs/>
          <w:sz w:val="24"/>
        </w:rPr>
        <w:t>CARF</w:t>
      </w:r>
      <w:r>
        <w:rPr>
          <w:rFonts w:ascii="Times New Roman" w:hAnsi="Times New Roman"/>
          <w:sz w:val="24"/>
        </w:rPr>
        <w:t>;</w:t>
      </w:r>
    </w:p>
    <w:p w14:paraId="68834040" w14:textId="77777777" w:rsidR="00335C80" w:rsidRPr="009032BA" w:rsidRDefault="00335C80" w:rsidP="00326ABB">
      <w:pPr>
        <w:widowControl w:val="0"/>
        <w:numPr>
          <w:ilvl w:val="1"/>
          <w:numId w:val="4"/>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netiešie ieguldījumi kriptoaktīvos, kas veikti, izmantojot ierastos finanšu produktus, piemēram, atvasinātos instrumentus vai procentus ieguldījumu instrumentos, ir iekļauti </w:t>
      </w:r>
      <w:r>
        <w:rPr>
          <w:rFonts w:ascii="Times New Roman" w:hAnsi="Times New Roman"/>
          <w:i/>
          <w:iCs/>
          <w:sz w:val="24"/>
        </w:rPr>
        <w:t>CRS</w:t>
      </w:r>
      <w:r>
        <w:rPr>
          <w:rFonts w:ascii="Times New Roman" w:hAnsi="Times New Roman"/>
          <w:sz w:val="24"/>
        </w:rPr>
        <w:t xml:space="preserve"> un</w:t>
      </w:r>
    </w:p>
    <w:p w14:paraId="286A8BC1" w14:textId="3DE827F7" w:rsidR="00335C80" w:rsidRPr="009032BA" w:rsidRDefault="00335C80" w:rsidP="00326ABB">
      <w:pPr>
        <w:widowControl w:val="0"/>
        <w:numPr>
          <w:ilvl w:val="1"/>
          <w:numId w:val="4"/>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atbilstīgi un ciktāl iespējams, pienācīgas pārbaudes procedūras saskan ar </w:t>
      </w:r>
      <w:r>
        <w:rPr>
          <w:rFonts w:ascii="Times New Roman" w:hAnsi="Times New Roman"/>
          <w:i/>
          <w:iCs/>
          <w:sz w:val="24"/>
        </w:rPr>
        <w:t>CRS</w:t>
      </w:r>
      <w:r>
        <w:rPr>
          <w:rFonts w:ascii="Times New Roman" w:hAnsi="Times New Roman"/>
          <w:sz w:val="24"/>
        </w:rPr>
        <w:t xml:space="preserve"> pienācīgas pārbaudes noteikumiem, lai mazinātu slogu kriptoaktīvu pakalpojumu sniedzējiem, kas sniedz ziņojumus, jo īpaši tad, ja tiem kā ziņojošām finanšu iestādēm ir piemērojami </w:t>
      </w:r>
      <w:r>
        <w:rPr>
          <w:rFonts w:ascii="Times New Roman" w:hAnsi="Times New Roman"/>
          <w:i/>
          <w:iCs/>
          <w:sz w:val="24"/>
        </w:rPr>
        <w:t>CRS</w:t>
      </w:r>
      <w:r>
        <w:rPr>
          <w:rFonts w:ascii="Times New Roman" w:hAnsi="Times New Roman"/>
          <w:sz w:val="24"/>
        </w:rPr>
        <w:t xml:space="preserve"> noteiktie pienākumi. Proti, </w:t>
      </w:r>
      <w:r>
        <w:rPr>
          <w:rFonts w:ascii="Times New Roman" w:hAnsi="Times New Roman"/>
          <w:i/>
          <w:iCs/>
          <w:sz w:val="24"/>
        </w:rPr>
        <w:t>CARF</w:t>
      </w:r>
      <w:r>
        <w:rPr>
          <w:rFonts w:ascii="Times New Roman" w:hAnsi="Times New Roman"/>
          <w:sz w:val="24"/>
        </w:rPr>
        <w:t xml:space="preserve"> ļauj kriptoaktīvu pakalpojumu sniedzējiem, kuri sniedz ziņojumus un kuriem piemērojams arī </w:t>
      </w:r>
      <w:r>
        <w:rPr>
          <w:rFonts w:ascii="Times New Roman" w:hAnsi="Times New Roman"/>
          <w:i/>
          <w:iCs/>
          <w:sz w:val="24"/>
        </w:rPr>
        <w:t>CRS</w:t>
      </w:r>
      <w:r>
        <w:rPr>
          <w:rFonts w:ascii="Times New Roman" w:hAnsi="Times New Roman"/>
          <w:sz w:val="24"/>
        </w:rPr>
        <w:t xml:space="preserve">, paļauties uz jauno kontu pienācīgas pārbaudes procedūrām, kas veiktas </w:t>
      </w:r>
      <w:r>
        <w:rPr>
          <w:rFonts w:ascii="Times New Roman" w:hAnsi="Times New Roman"/>
          <w:i/>
          <w:iCs/>
          <w:sz w:val="24"/>
        </w:rPr>
        <w:t>CRS</w:t>
      </w:r>
      <w:r>
        <w:rPr>
          <w:rFonts w:ascii="Times New Roman" w:hAnsi="Times New Roman"/>
          <w:sz w:val="24"/>
        </w:rPr>
        <w:t xml:space="preserve"> vajadzībām.</w:t>
      </w:r>
    </w:p>
    <w:p w14:paraId="4532D534" w14:textId="3A5EA72E" w:rsidR="009032BA" w:rsidRDefault="009032BA">
      <w:pPr>
        <w:rPr>
          <w:rFonts w:ascii="Times New Roman" w:eastAsia="Arial" w:hAnsi="Times New Roman" w:cs="Times New Roman"/>
          <w:noProof/>
          <w:kern w:val="0"/>
          <w:sz w:val="7"/>
          <w:szCs w:val="20"/>
          <w14:ligatures w14:val="none"/>
        </w:rPr>
      </w:pPr>
      <w:r>
        <w:br w:type="page"/>
      </w:r>
    </w:p>
    <w:p w14:paraId="4AEB146E" w14:textId="7FBFB53D" w:rsidR="00335C80" w:rsidRPr="00C12C9B" w:rsidRDefault="00C12C9B" w:rsidP="00C12C9B">
      <w:pPr>
        <w:pStyle w:val="Heading1"/>
        <w:rPr>
          <w:rFonts w:ascii="Times New Roman" w:eastAsia="Arial" w:hAnsi="Times New Roman" w:cs="Times New Roman"/>
          <w:b/>
          <w:bCs/>
          <w:noProof/>
          <w:color w:val="0B769F" w:themeColor="accent4" w:themeShade="BF"/>
          <w:sz w:val="48"/>
          <w:szCs w:val="48"/>
        </w:rPr>
      </w:pPr>
      <w:bookmarkStart w:id="41" w:name="2_Rules"/>
      <w:bookmarkStart w:id="42" w:name="_bookmark11"/>
      <w:bookmarkStart w:id="43" w:name="_Toc241753058"/>
      <w:bookmarkEnd w:id="41"/>
      <w:bookmarkEnd w:id="42"/>
      <w:r>
        <w:rPr>
          <w:rFonts w:ascii="Times New Roman" w:hAnsi="Times New Roman"/>
          <w:b/>
          <w:color w:val="0B769F" w:themeColor="accent4" w:themeShade="BF"/>
          <w:sz w:val="72"/>
          <w:u w:val="single"/>
        </w:rPr>
        <w:lastRenderedPageBreak/>
        <w:t>2.</w:t>
      </w:r>
      <w:r>
        <w:rPr>
          <w:rFonts w:ascii="Times New Roman" w:hAnsi="Times New Roman"/>
          <w:b/>
          <w:color w:val="0B769F" w:themeColor="accent4" w:themeShade="BF"/>
          <w:sz w:val="48"/>
        </w:rPr>
        <w:t xml:space="preserve"> Noteikumi</w:t>
      </w:r>
      <w:bookmarkEnd w:id="43"/>
    </w:p>
    <w:p w14:paraId="377BA2A4"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4"/>
          <w:szCs w:val="20"/>
          <w14:ligatures w14:val="none"/>
        </w:rPr>
      </w:pPr>
    </w:p>
    <w:p w14:paraId="1D1B4FE3"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4"/>
          <w:szCs w:val="20"/>
          <w14:ligatures w14:val="none"/>
        </w:rPr>
      </w:pPr>
    </w:p>
    <w:p w14:paraId="60E35C87" w14:textId="77777777" w:rsidR="00335C80" w:rsidRPr="00C12C9B" w:rsidRDefault="00335C80" w:rsidP="00C12C9B">
      <w:pPr>
        <w:pStyle w:val="Heading1"/>
        <w:rPr>
          <w:rFonts w:ascii="Times New Roman" w:eastAsia="Arial" w:hAnsi="Times New Roman" w:cs="Times New Roman"/>
          <w:b/>
          <w:bCs/>
          <w:noProof/>
          <w:color w:val="0B769F" w:themeColor="accent4" w:themeShade="BF"/>
          <w:sz w:val="26"/>
          <w:szCs w:val="26"/>
        </w:rPr>
      </w:pPr>
      <w:bookmarkStart w:id="44" w:name="Section_I:_Obligations_of_Reporting_Cryp"/>
      <w:bookmarkStart w:id="45" w:name="_bookmark12"/>
      <w:bookmarkStart w:id="46" w:name="_Toc241753059"/>
      <w:bookmarkEnd w:id="44"/>
      <w:bookmarkEnd w:id="45"/>
      <w:r>
        <w:rPr>
          <w:rFonts w:ascii="Times New Roman" w:hAnsi="Times New Roman"/>
          <w:b/>
          <w:color w:val="0B769F" w:themeColor="accent4" w:themeShade="BF"/>
          <w:sz w:val="26"/>
        </w:rPr>
        <w:t>I pants. To kriptoaktīvu pakalpojumu sniedzēju pienākumi, kas sniedz ziņojumus</w:t>
      </w:r>
      <w:bookmarkEnd w:id="46"/>
    </w:p>
    <w:p w14:paraId="0D619F9B" w14:textId="4D273D62" w:rsidR="00335C80" w:rsidRPr="00B504F2" w:rsidRDefault="00B504F2" w:rsidP="00AA5C2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A. Kriptoaktīvu pakalpojumu sniedzējam, kas sniedz ziņojumus, ir piemērojamas II pantā un III pantā noteiktās ziņošanas un pienācīgas pārbaudes prasības [jurisdikcijā], ja tas ir:</w:t>
      </w:r>
    </w:p>
    <w:p w14:paraId="7534BABF" w14:textId="0C57EF8E" w:rsidR="00335C80" w:rsidRPr="00B504F2" w:rsidRDefault="00B504F2" w:rsidP="00AA5C29">
      <w:pPr>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1) vienība vai fiziska persona, kas ir rezidents nodokļu aprēķina vajadzībām [jurisdikcijā];</w:t>
      </w:r>
    </w:p>
    <w:p w14:paraId="02ED2F7F" w14:textId="47DFD01E" w:rsidR="00335C80" w:rsidRPr="00B504F2" w:rsidRDefault="00B504F2" w:rsidP="00AA5C29">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2) vienība, ja a) ir reģistrēta vai izveidota saskaņā ar [jurisdikcijas] tiesību aktiem un b) tai ir juridiskas personas statuss [jurisdikcijā] vai pienākums iesniegt nodokļu deklarācijas vai nodokļu informācijas deklarācijas nodokļu iestādēm [jurisdikcijā] attiecībā uz vienības ienākumiem;</w:t>
      </w:r>
    </w:p>
    <w:p w14:paraId="6043C339" w14:textId="1CBC70BA" w:rsidR="00335C80" w:rsidRPr="00B504F2" w:rsidRDefault="00B504F2" w:rsidP="00AA5C29">
      <w:pPr>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3) vienība, ko pārvalda no [jurisdikcijas], vai</w:t>
      </w:r>
    </w:p>
    <w:p w14:paraId="22A5425E" w14:textId="3A028778" w:rsidR="00335C80" w:rsidRPr="00B504F2" w:rsidRDefault="00B504F2" w:rsidP="00AA5C29">
      <w:pPr>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4) vienība vai fiziska persona, kuras pastāvīgā darījumdarbības vieta ir [jurisdikcijā].</w:t>
      </w:r>
    </w:p>
    <w:p w14:paraId="38EFE6C4" w14:textId="4B72FCD7" w:rsidR="00335C80" w:rsidRPr="00B504F2" w:rsidRDefault="00B504F2" w:rsidP="00AA5C2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B. Kriptoaktīvu pakalpojumu sniedzējam, kas sniedz ziņojumus, ir piemērojamas II pantā un III pantā noteiktās ziņošanas un pienācīgas pārbaudes prasības [jurisdikcijā] attiecībā uz attiecīgajiem darījumiem, kuri veikti, izmantojot filiāli, kura atrodas [jurisdikcijā].</w:t>
      </w:r>
    </w:p>
    <w:p w14:paraId="6674C624" w14:textId="610379E5" w:rsidR="00335C80" w:rsidRPr="00B504F2" w:rsidRDefault="00B504F2" w:rsidP="00AA5C2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C. Kriptoaktīvu pakalpojumu sniedzējam, kas sniedz ziņojumus un ir vienība, nav jāpilda II pantā un III pantā noteiktās ziņošanas un pienācīgas pārbaudes prasības, kas tam piemērojamas [jurisdikcijā] saskaņā ar A punkta 2., 3. vai 4. apakšpunktu, ja šīs prasības šis kriptoaktīvu pakalpojumu sniedzējs ir izpildījis partnerības jurisdikcijā, jo ir rezidents nodokļu aprēķina vajadzībām šajā partnerības jurisdikcijā.</w:t>
      </w:r>
    </w:p>
    <w:p w14:paraId="28E24439" w14:textId="6CC18630" w:rsidR="00335C80" w:rsidRPr="00B504F2" w:rsidRDefault="00B504F2" w:rsidP="00AA5C2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D. Kriptoaktīvu pakalpojumu sniedzējam, kas sniedz ziņojumus un ir vienība, nav jāizpilda II pantā un III pantā noteiktās ziņošanas un pienācīgas pārbaudes prasības, kas tam piemērojamas [jurisdikcijā] saskaņā ar A punkta 3. vai 4. apakšpunktu, ja šīs prasības minētais kriptoaktīvu pakalpojumu sniedzējs ir izpildījis partnerības jurisdikcijā, jo ir vienība, kas a) reģistrēta vai izveidota saskaņā ar partnerības jurisdikcijas tiesību aktiem un kam b) ir juridiskas personas statuss partnerības jurisdikcijā vai pienākums iesniegt nodokļu deklarācijas vai nodokļu informācijas deklarācijas nodokļu iestādēm partnerības jurisdikcijā attiecībā uz vienības ienākumiem.</w:t>
      </w:r>
    </w:p>
    <w:p w14:paraId="0B5FFCD3" w14:textId="0B353AA1" w:rsidR="00335C80" w:rsidRPr="00B504F2" w:rsidRDefault="00B504F2" w:rsidP="00AA5C2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E. Kriptoaktīvu pakalpojumu sniedzējam, kas sniedz ziņojumus un ir vienība, nav jāpilda II pantā un III pantā noteiktās ziņošanas un pienācīgas pārbaudes prasības, kas tam piemērojamas [jurisdikcijā] saskaņā ar A punkta 4. apakšpunktu, ja šīs prasības minētais kriptoaktīvu pakalpojumu sniedzējs ir izpildījis partnerības jurisdikcijā, jo tiek pārvaldīts no šīs partnerības jurisdikcijas.</w:t>
      </w:r>
    </w:p>
    <w:p w14:paraId="7C72F461" w14:textId="5FA253D8" w:rsidR="00335C80" w:rsidRPr="00B504F2" w:rsidRDefault="00B504F2" w:rsidP="00AA5C2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F. Kriptoaktīvu pakalpojumu sniedzējam, kas sniedz ziņojumus un ir fiziska persona, nav jāpilda II pantā un III pantā noteiktās ziņošanas un pienācīgas pārbaudes prasības, kas tam piemērojamas [jurisdikcijā] saskaņā ar A punkta 4. apakšpunktu, ja šīs prasības minētais kriptoaktīvu pakalpojumu sniedzējs ir izpildījis partnerības jurisdikcijā, jo ir rezidents nodokļu aprēķina vajadzībām šajā partnerības jurisdikcijā.</w:t>
      </w:r>
    </w:p>
    <w:p w14:paraId="61162340" w14:textId="3035211A" w:rsidR="00335C80" w:rsidRPr="00B504F2" w:rsidRDefault="00B504F2" w:rsidP="00AA5C2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G. Kriptoaktīvu pakalpojumu sniedzējam, kas sniedz ziņojumus, nav jāpilda II pantā un III pantā noteiktās ziņošanas un pienācīgas pārbaudes prasības [jurisdikcijā] attiecībā uz attiecīgajiem darījumiem, ko tas veic ar partnerības jurisdikcijā izveidotas filiāles starpniecību, ja šīs prasības ir izpildījusi šī filiāle partnerības jurisdikcijā.</w:t>
      </w:r>
    </w:p>
    <w:p w14:paraId="7CFB351E" w14:textId="6CDA39EB" w:rsidR="00335C80" w:rsidRPr="00B504F2" w:rsidRDefault="00B504F2" w:rsidP="00AA5C2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H. Kriptoaktīvu pakalpojumu sniedzējam, kas sniedz ziņojumus, nav jāizpilda II pantā un III pantā noteiktās ziņošanas un pienācīgas pārbaudes prasības, kas tam piemērojamas [jurisdikcijā] saskaņā ar A punkta 1., 2., 3. vai 4. apakšpunktu, ja tas iesniedzis paziņojumu [jurisdikcijā], ar kuru apliecina, ka šis kriptoaktīvu pakalpojumu sniedzējs ir izpildījis šīs prasības saskaņā ar partnerības jurisdikcijas noteikumiem, ievērojot būtībā līdzīgu saikni, kas tam piemērojama [jurisdikcijā].</w:t>
      </w:r>
    </w:p>
    <w:p w14:paraId="2C612EA8" w14:textId="77777777" w:rsidR="00335C80" w:rsidRPr="00AA5C29" w:rsidRDefault="00335C80" w:rsidP="00AA5C29">
      <w:pPr>
        <w:pStyle w:val="Heading1"/>
        <w:rPr>
          <w:rFonts w:ascii="Times New Roman" w:eastAsia="Arial" w:hAnsi="Times New Roman" w:cs="Times New Roman"/>
          <w:b/>
          <w:bCs/>
          <w:noProof/>
          <w:color w:val="0B769F" w:themeColor="accent4" w:themeShade="BF"/>
          <w:sz w:val="26"/>
          <w:szCs w:val="26"/>
        </w:rPr>
      </w:pPr>
      <w:bookmarkStart w:id="47" w:name="Section_II:_Reporting_requirements"/>
      <w:bookmarkStart w:id="48" w:name="_bookmark13"/>
      <w:bookmarkStart w:id="49" w:name="_Toc241753060"/>
      <w:bookmarkEnd w:id="47"/>
      <w:bookmarkEnd w:id="48"/>
      <w:r>
        <w:rPr>
          <w:rFonts w:ascii="Times New Roman" w:hAnsi="Times New Roman"/>
          <w:b/>
          <w:color w:val="0B769F" w:themeColor="accent4" w:themeShade="BF"/>
          <w:sz w:val="26"/>
        </w:rPr>
        <w:t>II pants. Ziņošanas prasības</w:t>
      </w:r>
      <w:bookmarkEnd w:id="49"/>
    </w:p>
    <w:p w14:paraId="64BB66DB" w14:textId="152A3A19" w:rsidR="00AA5C29" w:rsidRPr="004656D7" w:rsidRDefault="00AA5C29" w:rsidP="004656D7">
      <w:pPr>
        <w:widowControl w:val="0"/>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A. Par katru attiecīgo kalendāro gadu vai citu atbilstošu pārskata periodu un ņemot vērā pienākumus, kas saskaņā ar I pantu noteikti kriptoaktīvu pakalpojumu sniedzējam, kurš sniedz ziņojumus, un III pantā noteiktās pienācīgas pārbaudes procedūras, minētajam kriptoaktīvu pakalpojumu sniedzējam ir pienākums obligāti ziņot šādu informāciju par saviem kriptoaktīvu lietotājiem, par kuriem jāsniedz ziņojums vai kurus kontrolē personas, par ko jāsniedz ziņojums:</w:t>
      </w:r>
    </w:p>
    <w:p w14:paraId="0465D547" w14:textId="76064552" w:rsidR="00AA5C29" w:rsidRPr="004656D7" w:rsidRDefault="00AA5C29" w:rsidP="004656D7">
      <w:pPr>
        <w:widowControl w:val="0"/>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1) par katru personu, par kuru jāsniedz ziņojums, vārds, uzvārds, adrese, rezidences jurisdikcija(-as), nodokļu maksātāja identifikācijas numurs (</w:t>
      </w:r>
      <w:r>
        <w:rPr>
          <w:rFonts w:ascii="Times New Roman" w:hAnsi="Times New Roman"/>
          <w:i/>
          <w:iCs/>
          <w:sz w:val="24"/>
        </w:rPr>
        <w:t>TIN</w:t>
      </w:r>
      <w:r>
        <w:rPr>
          <w:rFonts w:ascii="Times New Roman" w:hAnsi="Times New Roman"/>
          <w:sz w:val="24"/>
        </w:rPr>
        <w:t xml:space="preserve">) un dzimšanas vieta (fiziskas personas gadījumā), un vienības gadījumā, kurai pēc pienācīgas pārbaudes procedūras piemērošanas ir konstatēts, ka to kontrolē viena vai vairākas personas, par kurām jāsniedz ziņojums, jāsniedz vienības nosaukums, adrese, rezidences jurisdikcija(-as), </w:t>
      </w:r>
      <w:r>
        <w:rPr>
          <w:rFonts w:ascii="Times New Roman" w:hAnsi="Times New Roman"/>
          <w:i/>
          <w:iCs/>
          <w:sz w:val="24"/>
        </w:rPr>
        <w:t>TIN</w:t>
      </w:r>
      <w:r>
        <w:rPr>
          <w:rFonts w:ascii="Times New Roman" w:hAnsi="Times New Roman"/>
          <w:sz w:val="24"/>
        </w:rPr>
        <w:t xml:space="preserve"> un katras personas, par kuru jāsniedz ziņojums, vārds, uzvārds, adrese, rezidences jurisdikcija(-as), </w:t>
      </w:r>
      <w:r>
        <w:rPr>
          <w:rFonts w:ascii="Times New Roman" w:hAnsi="Times New Roman"/>
          <w:i/>
          <w:iCs/>
          <w:sz w:val="24"/>
        </w:rPr>
        <w:t>TIN</w:t>
      </w:r>
      <w:r>
        <w:rPr>
          <w:rFonts w:ascii="Times New Roman" w:hAnsi="Times New Roman"/>
          <w:sz w:val="24"/>
        </w:rPr>
        <w:t xml:space="preserve"> un dzimšanas datums un vieta, kā arī veicamais(-ie) pienākums(-i), uz kā pamata katra persona, par kuru jāsniedz ziņojums, ir vienību kontrolējoša persona;</w:t>
      </w:r>
    </w:p>
    <w:p w14:paraId="51B3B69F" w14:textId="7863B30E" w:rsidR="00AA5C29" w:rsidRPr="004656D7" w:rsidRDefault="00AA5C29" w:rsidP="004656D7">
      <w:pPr>
        <w:widowControl w:val="0"/>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2) kriptoaktīvu pakalpojumu sniedzēja, kas sniedz ziņojumus, vārds, uzvārds vai nosaukums, adrese un identifikācijas numurs (ja tāds ir);</w:t>
      </w:r>
    </w:p>
    <w:p w14:paraId="7671C395" w14:textId="5B70ABF0" w:rsidR="00AA5C29" w:rsidRPr="004656D7" w:rsidRDefault="00AA5C29" w:rsidP="004656D7">
      <w:pPr>
        <w:widowControl w:val="0"/>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3) par katru attiecīgā kriptoaktīva veidu, saistībā ar kuru ir veikti attiecīgie darījumi attiecīgajā kalendārajā gadā vai citā atbilstošā pārskata periodā:</w:t>
      </w:r>
    </w:p>
    <w:p w14:paraId="05691275" w14:textId="49BBABC2" w:rsidR="00AA5C29" w:rsidRPr="004656D7" w:rsidRDefault="00AA5C29" w:rsidP="004656D7">
      <w:pPr>
        <w:widowControl w:val="0"/>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a) attiecīgā kriptoaktīva veida pilnais nosaukums;</w:t>
      </w:r>
    </w:p>
    <w:p w14:paraId="2AF5D890" w14:textId="38A65797" w:rsidR="00AA5C29" w:rsidRPr="004656D7" w:rsidRDefault="00AA5C29" w:rsidP="004656D7">
      <w:pPr>
        <w:widowControl w:val="0"/>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b) kopējā samaksātā bruto kopsumma, vienību kopskaits un attiecīgo darījumu skaits saistībā ar iegādēm pret bezseguma valūtu;</w:t>
      </w:r>
    </w:p>
    <w:p w14:paraId="3481DFC9" w14:textId="6C5846B5" w:rsidR="00AA5C29" w:rsidRPr="004656D7" w:rsidRDefault="00AA5C29" w:rsidP="004656D7">
      <w:pPr>
        <w:widowControl w:val="0"/>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c) kopējā saņemtā bruto kopsumma, vienību kopskaits un attiecīgo darījumu skaits saistībā ar realizācijām pret bezseguma valūtu;</w:t>
      </w:r>
    </w:p>
    <w:p w14:paraId="7572E2D4" w14:textId="5F3FDC84" w:rsidR="00AA5C29" w:rsidRPr="004656D7" w:rsidRDefault="00AA5C29" w:rsidP="004656D7">
      <w:pPr>
        <w:widowControl w:val="0"/>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d) kopējā patiesā tirgus vērtība, vienību kopskaits un attiecīgo darījumu skaits saistībā ar iegādēm pret citiem attiecīgiem kriptoaktīviem;</w:t>
      </w:r>
    </w:p>
    <w:p w14:paraId="5374E3CA" w14:textId="6574DD20" w:rsidR="00AA5C29" w:rsidRPr="004656D7" w:rsidRDefault="00AA5C29" w:rsidP="004656D7">
      <w:pPr>
        <w:widowControl w:val="0"/>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e) kopējā patiesā tirgus vērtība, vienību kopskaits un attiecīgo darījumu skaits saistībā ar realizācijām pret citiem attiecīgiem kriptoaktīviem;</w:t>
      </w:r>
    </w:p>
    <w:p w14:paraId="46539120" w14:textId="643D6263" w:rsidR="00AA5C29" w:rsidRPr="004656D7" w:rsidRDefault="00AA5C29" w:rsidP="004656D7">
      <w:pPr>
        <w:widowControl w:val="0"/>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f) kopējā patiesā tirgus vērtība, vienību kopskaits un neliela apjoma maksājumu darījumu skaits, par kuriem jāsniedz ziņojums;</w:t>
      </w:r>
    </w:p>
    <w:p w14:paraId="0EF3632D" w14:textId="394F157E" w:rsidR="00AA5C29" w:rsidRPr="004656D7" w:rsidRDefault="00AA5C29" w:rsidP="004656D7">
      <w:pPr>
        <w:widowControl w:val="0"/>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g) kopējā patiesā tirgus vērtība, vienību kopskaits un attiecīgo darījumu skaits, kā arī dalījumā pēc pārvedumu veida, ja ziņojošajam kriptoaktīvu pakalpojumu sniedzējam tas zināms, attiecībā uz pārvedumiem lietotājam, par kuru jāsniedz ziņojums un kas nav iekļauts A punkta 3. apakšpunkta b) un d) daļā;</w:t>
      </w:r>
    </w:p>
    <w:p w14:paraId="2A307410" w14:textId="36F4B0FE" w:rsidR="00AA5C29" w:rsidRPr="004656D7" w:rsidRDefault="00AA5C29" w:rsidP="004656D7">
      <w:pPr>
        <w:widowControl w:val="0"/>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h) kopējā patiesā tirgus vērtība, vienību kopskaits un attiecīgo darījumu skaits, kā arī dalījumā pēc pārvedumu veida, ja ziņojošajam kriptoaktīvu pakalpojumu sniedzējam tas zināms, attiecībā uz pārvedumiem, kurus veicis lietotājs, par ko jāsniedz ziņojums un kas nav iekļauts A punkta 3. apakšpunkta c), e) un f) daļā, un</w:t>
      </w:r>
    </w:p>
    <w:p w14:paraId="33A41E23" w14:textId="104BE1F4" w:rsidR="00AA5C29" w:rsidRPr="004656D7" w:rsidRDefault="00AA5C29" w:rsidP="004656D7">
      <w:pPr>
        <w:widowControl w:val="0"/>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i) kopējā patiesā tirgus vērtība, kā arī vienību kopskaits attiecībā uz pārvedumiem, kurus veicis kriptoaktīvu lietotājs, par ko jāsniedz ziņojums, un kurus kriptoaktīvu pakalpojumu sniedzējs, kas sniedz ziņojumus, ir izpildījis uz maka adresēm, par kurām šis kriptoaktīvu pakalpojumu sniedzējs nezina un kuras ir saistāmas ar virtuālo aktīvu pakalpojumu sniedzēju vai finanšu iestādi.</w:t>
      </w:r>
    </w:p>
    <w:p w14:paraId="3A24F94F" w14:textId="0E102A3E" w:rsidR="00AA5C29" w:rsidRPr="004656D7" w:rsidRDefault="00AA5C29" w:rsidP="004656D7">
      <w:pPr>
        <w:widowControl w:val="0"/>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B. Neatkarīgi no A punkta 1. apakšpunkta </w:t>
      </w:r>
      <w:r>
        <w:rPr>
          <w:rFonts w:ascii="Times New Roman" w:hAnsi="Times New Roman"/>
          <w:i/>
          <w:iCs/>
          <w:sz w:val="24"/>
        </w:rPr>
        <w:t>TIN</w:t>
      </w:r>
      <w:r>
        <w:rPr>
          <w:rFonts w:ascii="Times New Roman" w:hAnsi="Times New Roman"/>
          <w:sz w:val="24"/>
        </w:rPr>
        <w:t xml:space="preserve"> nav jāziņo, ja i) </w:t>
      </w:r>
      <w:r>
        <w:rPr>
          <w:rFonts w:ascii="Times New Roman" w:hAnsi="Times New Roman"/>
          <w:i/>
          <w:iCs/>
          <w:sz w:val="24"/>
        </w:rPr>
        <w:t>TIN</w:t>
      </w:r>
      <w:r>
        <w:rPr>
          <w:rFonts w:ascii="Times New Roman" w:hAnsi="Times New Roman"/>
          <w:sz w:val="24"/>
        </w:rPr>
        <w:t xml:space="preserve"> nav izdevusi attiecīgā jurisdikcija, par kuru jāsniedz ziņojums, vai ii) attiecīgajā jurisdikcijā, par kuru jāsniedz ziņojums, tās tiesību aktos nav noteikts pienākums vākt </w:t>
      </w:r>
      <w:r>
        <w:rPr>
          <w:rFonts w:ascii="Times New Roman" w:hAnsi="Times New Roman"/>
          <w:i/>
          <w:iCs/>
          <w:sz w:val="24"/>
        </w:rPr>
        <w:t>TIN</w:t>
      </w:r>
      <w:r>
        <w:rPr>
          <w:rFonts w:ascii="Times New Roman" w:hAnsi="Times New Roman"/>
          <w:sz w:val="24"/>
        </w:rPr>
        <w:t>, ko izdevusi šāda jurisdikcija, par kuru jāsniedz ziņojums.</w:t>
      </w:r>
    </w:p>
    <w:p w14:paraId="377D2850" w14:textId="0895ED77" w:rsidR="00AA5C29" w:rsidRPr="004656D7" w:rsidRDefault="00AA5C29" w:rsidP="004656D7">
      <w:pPr>
        <w:widowControl w:val="0"/>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C. Neatkarīgi no A punkta 1. apakšpunkta dzimšanas vieta nav jāziņo, izņemot tad, ja kriptoaktīvu pakalpojumu sniedzējam, kas sniedz ziņojumus, ir prasīts iegūt un ziņot šo informāciju saskaņā ar valsts tiesību aktiem.</w:t>
      </w:r>
    </w:p>
    <w:p w14:paraId="57804C05" w14:textId="3D9B3460" w:rsidR="00AA5C29" w:rsidRPr="004656D7" w:rsidRDefault="00AA5C29" w:rsidP="004656D7">
      <w:pPr>
        <w:widowControl w:val="0"/>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D. Saistībā ar A punkta 3. apakšpunkta b) un c) daļu samaksātā vai saņemtā summa jāziņo tādā bezseguma valūtā, kādā tā tika samaksāta vai saņemta. Ja summas tika samaksātas vai saņemtas vairākās bezseguma valūtās, ziņojumā summas jānorāda vienotā bezseguma valūtā, kas konvertēta katra attiecīgā darījuma brīdī tādā veidā, ko saskanīgi piemēro kriptoaktīvu pakalpojumu sniedzējs, kas sniedz ziņojumus.</w:t>
      </w:r>
    </w:p>
    <w:p w14:paraId="6FF1362D" w14:textId="3ECD62CF" w:rsidR="00AA5C29" w:rsidRPr="004656D7" w:rsidRDefault="00AA5C29" w:rsidP="004656D7">
      <w:pPr>
        <w:widowControl w:val="0"/>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E. Saistībā ar A punkta 3. apakšpunkta d)–i) daļu patiesā tirgus vērtība jānosaka un jāziņo vienotā bezseguma valūtā, kuras vērtība noteikta katra attiecīgā darījuma brīdī tādā veidā, ko saskanīgi piemēro kriptoaktīvu pakalpojumu sniedzējs, kas sniedz ziņojumus.</w:t>
      </w:r>
    </w:p>
    <w:p w14:paraId="13B85ECD" w14:textId="0ADF8FE1" w:rsidR="00AA5C29" w:rsidRPr="004656D7" w:rsidRDefault="00AA5C29" w:rsidP="004656D7">
      <w:pPr>
        <w:widowControl w:val="0"/>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F. Sniedzot informāciju, jānorāda, kādā bezseguma valūtā ir izteikta katra ziņotā summa.</w:t>
      </w:r>
    </w:p>
    <w:p w14:paraId="622EA6EA" w14:textId="259239CB" w:rsidR="00335C80" w:rsidRPr="004656D7" w:rsidRDefault="00AA5C29" w:rsidP="004656D7">
      <w:pPr>
        <w:widowControl w:val="0"/>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G. Šā panta A punktā prasītā informācija par gadu, uz kuru tā attiecas, ir jāziņo līdz nākamā kalendārā gada xx/xx.</w:t>
      </w:r>
    </w:p>
    <w:p w14:paraId="32C63FF7" w14:textId="77777777" w:rsidR="00335C80" w:rsidRPr="004656D7" w:rsidRDefault="00335C80" w:rsidP="004656D7">
      <w:pPr>
        <w:pStyle w:val="Heading1"/>
        <w:rPr>
          <w:rFonts w:ascii="Times New Roman" w:eastAsia="Arial" w:hAnsi="Times New Roman" w:cs="Times New Roman"/>
          <w:b/>
          <w:bCs/>
          <w:noProof/>
          <w:color w:val="0B769F" w:themeColor="accent4" w:themeShade="BF"/>
          <w:sz w:val="26"/>
          <w:szCs w:val="26"/>
        </w:rPr>
      </w:pPr>
      <w:bookmarkStart w:id="50" w:name="Section_III:_Due_diligence_procedures"/>
      <w:bookmarkStart w:id="51" w:name="_bookmark14"/>
      <w:bookmarkStart w:id="52" w:name="_Toc241753061"/>
      <w:bookmarkEnd w:id="50"/>
      <w:bookmarkEnd w:id="51"/>
      <w:r>
        <w:rPr>
          <w:rFonts w:ascii="Times New Roman" w:hAnsi="Times New Roman"/>
          <w:b/>
          <w:color w:val="0B769F" w:themeColor="accent4" w:themeShade="BF"/>
          <w:sz w:val="26"/>
        </w:rPr>
        <w:t>III pants. Pienācīgas pārbaudes procedūras</w:t>
      </w:r>
      <w:bookmarkEnd w:id="52"/>
    </w:p>
    <w:p w14:paraId="1E77AFDE" w14:textId="77777777" w:rsidR="00335C80" w:rsidRPr="00A82F36" w:rsidRDefault="00335C80" w:rsidP="00CF3B3D">
      <w:pPr>
        <w:widowControl w:val="0"/>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Kriptoaktīvu lietotājs tiek uzskatīts par lietotāju, par kuru jāsniedz ziņojums, no dienas, kad tas šādi identificēts atbilstīgi šajā pantā noteiktajām pienācīgas pārbaudes procedūrām.</w:t>
      </w:r>
    </w:p>
    <w:p w14:paraId="2A57F2EA" w14:textId="0C449B70" w:rsidR="00335C80" w:rsidRPr="00A82F36" w:rsidRDefault="001F5E4A" w:rsidP="00A82F36">
      <w:pPr>
        <w:widowControl w:val="0"/>
        <w:tabs>
          <w:tab w:val="left" w:pos="587"/>
        </w:tabs>
        <w:autoSpaceDE w:val="0"/>
        <w:autoSpaceDN w:val="0"/>
        <w:spacing w:before="240" w:after="120" w:line="240" w:lineRule="auto"/>
        <w:jc w:val="both"/>
        <w:rPr>
          <w:rFonts w:ascii="Times New Roman" w:eastAsia="Arial" w:hAnsi="Times New Roman" w:cs="Times New Roman"/>
          <w:b/>
          <w:bCs/>
          <w:i/>
          <w:iCs/>
          <w:noProof/>
          <w:kern w:val="0"/>
          <w:sz w:val="26"/>
          <w:szCs w:val="26"/>
          <w14:ligatures w14:val="none"/>
        </w:rPr>
      </w:pPr>
      <w:bookmarkStart w:id="53" w:name="A.__Due_diligence_procedures_for_Individ"/>
      <w:bookmarkEnd w:id="53"/>
      <w:r>
        <w:rPr>
          <w:rFonts w:ascii="Times New Roman" w:hAnsi="Times New Roman"/>
          <w:b/>
          <w:i/>
          <w:sz w:val="26"/>
        </w:rPr>
        <w:t>A. Pienācīgas pārbaudes procedūras fiziskām personām, kas izmanto kriptoaktīvus</w:t>
      </w:r>
    </w:p>
    <w:p w14:paraId="0B0EC62A" w14:textId="77777777" w:rsidR="00335C80" w:rsidRPr="00A82F36" w:rsidRDefault="00335C80" w:rsidP="00CF3B3D">
      <w:pPr>
        <w:widowControl w:val="0"/>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Lai noteiktu, vai fiziska persona, kas izmanto kriptoaktīvus, ir lietotājs, par kuru jāziņo, ir piemērojamas turpmāk minētās procedūras.</w:t>
      </w:r>
    </w:p>
    <w:p w14:paraId="50D4F3DA" w14:textId="06F27117" w:rsidR="00335C80" w:rsidRPr="00A82F36" w:rsidRDefault="001F5E4A" w:rsidP="00A82F36">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 Nodibinot attiecības ar fizisku personu, kas izmanto kriptoaktīvus, vai attiecībā uz iepriekšpastāvējušām fiziskām personām, kas izmanto kriptoaktīvus, 12 mēnešu laikposmā pēc šo noteikumu piemērošanas dienas, kriptoaktīvu pakalpojumu sniedzējam, kas sniedz ziņojumus, ir jāiegūst pašapliecinājums, kas ļauj minētajam kriptoaktīvu pakalpojumu sniedzējam noteikt kriptoaktīvus lietojošās fiziskās personas rezidences vietu(-as) nodokļu aprēķina vajadzībām, un jāapstiprina šā pašapliecinājuma pamatotība, ņemot vērā informāciju, ko guvis kriptoaktīvu pakalpojumu sniedzējs, kas sniedz ziņojumus, tostarp dokumentāciju, kas ievākta saskaņā ar </w:t>
      </w:r>
      <w:r>
        <w:rPr>
          <w:rFonts w:ascii="Times New Roman" w:hAnsi="Times New Roman"/>
          <w:i/>
          <w:iCs/>
          <w:sz w:val="24"/>
        </w:rPr>
        <w:t>AML/KYC</w:t>
      </w:r>
      <w:r>
        <w:rPr>
          <w:rFonts w:ascii="Times New Roman" w:hAnsi="Times New Roman"/>
          <w:sz w:val="24"/>
        </w:rPr>
        <w:t xml:space="preserve"> procedūrām.</w:t>
      </w:r>
    </w:p>
    <w:p w14:paraId="149BCDB0" w14:textId="3962713F" w:rsidR="00335C80" w:rsidRPr="00A82F36" w:rsidRDefault="001F5E4A" w:rsidP="00A82F36">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2. Ja kādā brīdī mainās apstākļi attiecībā uz fizisku personu, kas izmanto kriptoaktīvus, un tādēļ kriptoaktīvu pakalpojumu sniedzējs, kas sniedz ziņojumus, zina vai tam ir pamats zināt, ka sākotnējais pašapliecinājums ir nepareizs vai neuzticams, minētais kriptoaktīvu pakalpojumu sniedzējs nedrīkst paļauties uz sākotnējo pašapliecinājumu un tam jāiegūst derīgs pašapliecinājums vai pamatots skaidrojums un, ja atbilstīgi, dokumentācija, kas pamato sākotnējā pašapliecinājuma derīgumu.</w:t>
      </w:r>
    </w:p>
    <w:p w14:paraId="6B8E7E88" w14:textId="013EB57D" w:rsidR="00335C80" w:rsidRPr="00A82F36" w:rsidRDefault="001F5E4A" w:rsidP="009A1FD0">
      <w:pPr>
        <w:keepNext/>
        <w:keepLines/>
        <w:widowControl w:val="0"/>
        <w:tabs>
          <w:tab w:val="left" w:pos="587"/>
        </w:tabs>
        <w:autoSpaceDE w:val="0"/>
        <w:autoSpaceDN w:val="0"/>
        <w:spacing w:before="240" w:after="120" w:line="240" w:lineRule="auto"/>
        <w:jc w:val="both"/>
        <w:rPr>
          <w:rFonts w:ascii="Times New Roman" w:eastAsia="Arial" w:hAnsi="Times New Roman" w:cs="Times New Roman"/>
          <w:b/>
          <w:bCs/>
          <w:i/>
          <w:iCs/>
          <w:noProof/>
          <w:kern w:val="0"/>
          <w:sz w:val="26"/>
          <w:szCs w:val="26"/>
          <w14:ligatures w14:val="none"/>
        </w:rPr>
      </w:pPr>
      <w:bookmarkStart w:id="54" w:name="B._Due_diligence_procedures_for_Entity_C"/>
      <w:bookmarkEnd w:id="54"/>
      <w:r>
        <w:rPr>
          <w:rFonts w:ascii="Times New Roman" w:hAnsi="Times New Roman"/>
          <w:b/>
          <w:i/>
          <w:sz w:val="26"/>
        </w:rPr>
        <w:lastRenderedPageBreak/>
        <w:t>B. Pienācīgas pārbaudes procedūras vienībām, kas izmanto kriptoaktīvus</w:t>
      </w:r>
    </w:p>
    <w:p w14:paraId="5499243C" w14:textId="77777777" w:rsidR="00335C80" w:rsidRPr="00A82F36" w:rsidRDefault="00335C80" w:rsidP="009A1FD0">
      <w:pPr>
        <w:keepNext/>
        <w:keepLines/>
        <w:widowControl w:val="0"/>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Turpmāk sniegtās procedūras piemēro, lai noteiktu, vai vienība, kas izmanto kriptoaktīvus, ir lietotājs, par kuru jāsniedz ziņojums, vai vienība, kas nav izslēgta persona vai aktīva vienība, kuru kontrolē viena vai vairākas personas, par ko jāsniedz ziņojums.</w:t>
      </w:r>
    </w:p>
    <w:p w14:paraId="0B5BF506" w14:textId="1960D9DC" w:rsidR="00335C80" w:rsidRPr="00A82F36" w:rsidRDefault="009A049A" w:rsidP="00982F2A">
      <w:pPr>
        <w:widowControl w:val="0"/>
        <w:tabs>
          <w:tab w:val="left" w:pos="525"/>
        </w:tabs>
        <w:autoSpaceDE w:val="0"/>
        <w:autoSpaceDN w:val="0"/>
        <w:spacing w:before="240" w:after="120" w:line="240" w:lineRule="auto"/>
        <w:jc w:val="both"/>
        <w:rPr>
          <w:rFonts w:ascii="Times New Roman" w:eastAsia="Arial" w:hAnsi="Times New Roman" w:cs="Times New Roman"/>
          <w:b/>
          <w:bCs/>
          <w:noProof/>
          <w:kern w:val="0"/>
          <w:sz w:val="24"/>
          <w:szCs w:val="24"/>
          <w14:ligatures w14:val="none"/>
        </w:rPr>
      </w:pPr>
      <w:r>
        <w:rPr>
          <w:rFonts w:ascii="Times New Roman" w:hAnsi="Times New Roman"/>
          <w:sz w:val="24"/>
        </w:rPr>
        <w:t>1.</w:t>
      </w:r>
      <w:r>
        <w:rPr>
          <w:rFonts w:ascii="Times New Roman" w:hAnsi="Times New Roman"/>
          <w:b/>
          <w:sz w:val="24"/>
        </w:rPr>
        <w:t xml:space="preserve"> Noskaidro, vai vienība, kas izmanto kriptoaktīvus, ir lietotājs, par kuru jāsniedz ziņojums.</w:t>
      </w:r>
    </w:p>
    <w:p w14:paraId="61D39C4D" w14:textId="50BF93B5" w:rsidR="00335C80" w:rsidRPr="00A82F36" w:rsidRDefault="009A049A" w:rsidP="00982F2A">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a) Nodibinot attiecības ar vienību, kas izmanto aktīvus, vai attiecībā uz iepriekšpastāvējušām vienībām, kas izmanto kriptoaktīvus, 12 mēnešu laikposmā pēc šo noteikumu piemērošanas dienas kriptoaktīvu pakalpojumu sniedzējam, kas sniedz ziņojumus, ir jāiegūst pašapliecinājums, kas ļauj šim kriptoaktīvu pakalpojumu sniedzējam noteikt šā kriptoaktīvu lietotāja rezidences vietu(-as) nodokļu aprēķina vajadzībām, un jāapstiprina šā pašapliecinājuma pamatotība, ņemot vērā informāciju, ko guvis kriptoaktīvu pakalpojumu sniedzējs, kas sniedz ziņojumus, tostarp uz dokumentāciju, kas ievākta saskaņā ar </w:t>
      </w:r>
      <w:r>
        <w:rPr>
          <w:rFonts w:ascii="Times New Roman" w:hAnsi="Times New Roman"/>
          <w:i/>
          <w:iCs/>
          <w:sz w:val="24"/>
        </w:rPr>
        <w:t>AML/KYC</w:t>
      </w:r>
      <w:r>
        <w:rPr>
          <w:rFonts w:ascii="Times New Roman" w:hAnsi="Times New Roman"/>
          <w:sz w:val="24"/>
        </w:rPr>
        <w:t xml:space="preserve"> procedūrām. Ja vienība, kas izmanto kriptoaktīvus, apliecina, ka tai nav rezidences vietas nodokļu aprēķina vajadzībām, kriptoaktīvu pakalpojumu sniedzējs, kas sniedz ziņojumus, var paļauties uz faktiskās vadības vietu vai galvenā biroja adresi, lai noteiktu kriptoaktīvus lietojošās vienības rezidenci.</w:t>
      </w:r>
    </w:p>
    <w:p w14:paraId="0E202DDC" w14:textId="3DA6D2EB" w:rsidR="00335C80" w:rsidRPr="00A82F36" w:rsidRDefault="009A049A" w:rsidP="00982F2A">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Ja pašapliecinājumā norādīts, ka vienība, kas izmanto kriptoaktīvus, ir rezidents jurisdikcijā, par kuru jāsniedz ziņojums, kriptoaktīvu pakalpojumu sniedzējam, kas sniedz ziņojumus, ir jāuzskata, ka vienība, kas izmanto kriptoaktīvus, ir lietotājs, par kuru jāsniedz ziņojums, ja vien tas, pamatojoties uz pašapliecinājumu vai tā rīcībā esošo vai publiski pieejamo informāciju, pamatoti nekonstatē, ka šī vienība, kas izmanto kriptoaktīvus, ir izslēgtā persona.</w:t>
      </w:r>
    </w:p>
    <w:p w14:paraId="038C1C61" w14:textId="3A0D96F8" w:rsidR="00335C80" w:rsidRPr="00383354" w:rsidRDefault="009A049A" w:rsidP="00383354">
      <w:pPr>
        <w:widowControl w:val="0"/>
        <w:autoSpaceDE w:val="0"/>
        <w:autoSpaceDN w:val="0"/>
        <w:spacing w:before="240" w:after="120" w:line="240" w:lineRule="auto"/>
        <w:ind w:left="284" w:hanging="284"/>
        <w:jc w:val="both"/>
        <w:rPr>
          <w:rFonts w:ascii="Times New Roman" w:eastAsia="Arial" w:hAnsi="Times New Roman" w:cs="Times New Roman"/>
          <w:b/>
          <w:bCs/>
          <w:noProof/>
          <w:kern w:val="0"/>
          <w:sz w:val="24"/>
          <w:szCs w:val="24"/>
          <w14:ligatures w14:val="none"/>
        </w:rPr>
      </w:pPr>
      <w:r>
        <w:rPr>
          <w:rFonts w:ascii="Times New Roman" w:hAnsi="Times New Roman"/>
          <w:sz w:val="24"/>
        </w:rPr>
        <w:t>2.</w:t>
      </w:r>
      <w:r>
        <w:rPr>
          <w:rFonts w:ascii="Times New Roman" w:hAnsi="Times New Roman"/>
          <w:b/>
          <w:sz w:val="24"/>
        </w:rPr>
        <w:t xml:space="preserve"> Noskaidro, vai vienībā ir viena vai vairākas kontrolējošās personas, par kurām jāsniedz ziņojums. </w:t>
      </w:r>
      <w:r>
        <w:rPr>
          <w:rFonts w:ascii="Times New Roman" w:hAnsi="Times New Roman"/>
          <w:sz w:val="24"/>
        </w:rPr>
        <w:t>Attiecībā uz vienību, kas izmanto kriptoaktīvus un nav izslēgtā persona, kriptoaktīvu pakalpojumu sniedzējs, kas sniedz ziņojumus, nosaka, vai šai vienībai ir viena vai vairākas kontrolējošās personas, par kurām jāsniedz ziņojums, ja vien tas nenosaka, ka vienība, kas izmanto kriptoaktīvus, ir aktīvā vienība, pamatojoties uz pašapliecinājumu, ko sniegusi vienība, kas izmanto kriptoaktīvus.</w:t>
      </w:r>
    </w:p>
    <w:p w14:paraId="31296558" w14:textId="10D72AB7" w:rsidR="00335C80" w:rsidRPr="00A82F36" w:rsidRDefault="009A049A" w:rsidP="008935CD">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w:t>
      </w:r>
      <w:r>
        <w:rPr>
          <w:rFonts w:ascii="Times New Roman" w:hAnsi="Times New Roman"/>
          <w:b/>
          <w:bCs/>
          <w:sz w:val="24"/>
        </w:rPr>
        <w:t xml:space="preserve"> Nosaka personas, kuras kontrolē vienību, kas izmanto kriptoaktīvus.</w:t>
      </w:r>
      <w:r>
        <w:rPr>
          <w:rFonts w:ascii="Times New Roman" w:hAnsi="Times New Roman"/>
          <w:sz w:val="24"/>
        </w:rPr>
        <w:t xml:space="preserve"> Lai noteiktu personas, kuras kontrolē vienību, kas izmanto kriptoaktīvus, kriptoaktīvu pakalpojumu sniedzējs, kas sniedz ziņojumus, var paļauties uz informāciju, kas savākta un uzturēta saskaņā ar </w:t>
      </w:r>
      <w:r>
        <w:rPr>
          <w:rFonts w:ascii="Times New Roman" w:hAnsi="Times New Roman"/>
          <w:i/>
          <w:iCs/>
          <w:sz w:val="24"/>
        </w:rPr>
        <w:t>AML/KYC</w:t>
      </w:r>
      <w:r>
        <w:rPr>
          <w:rFonts w:ascii="Times New Roman" w:hAnsi="Times New Roman"/>
          <w:sz w:val="24"/>
        </w:rPr>
        <w:t xml:space="preserve"> procedūrām, ja šādas procedūras saskan ar </w:t>
      </w:r>
      <w:r>
        <w:rPr>
          <w:rFonts w:ascii="Times New Roman" w:hAnsi="Times New Roman"/>
          <w:i/>
          <w:iCs/>
          <w:sz w:val="24"/>
        </w:rPr>
        <w:t>FATF</w:t>
      </w:r>
      <w:r>
        <w:rPr>
          <w:rFonts w:ascii="Times New Roman" w:hAnsi="Times New Roman"/>
          <w:sz w:val="24"/>
        </w:rPr>
        <w:t xml:space="preserve"> 2012. gada ieteikumiem (kas atjaunināti 2019. gadā attiecībā uz virtuālo aktīvu pakalpojumu sniedzējiem). Ja kriptoaktīvu pakalpojumu sniedzējam, kas sniedz ziņojumus, nav juridiski noteikts pienākums piemērot </w:t>
      </w:r>
      <w:r>
        <w:rPr>
          <w:rFonts w:ascii="Times New Roman" w:hAnsi="Times New Roman"/>
          <w:i/>
          <w:iCs/>
          <w:sz w:val="24"/>
        </w:rPr>
        <w:t>AML/KYC</w:t>
      </w:r>
      <w:r>
        <w:rPr>
          <w:rFonts w:ascii="Times New Roman" w:hAnsi="Times New Roman"/>
          <w:sz w:val="24"/>
        </w:rPr>
        <w:t xml:space="preserve"> procedūras, kas saskan ar </w:t>
      </w:r>
      <w:r>
        <w:rPr>
          <w:rFonts w:ascii="Times New Roman" w:hAnsi="Times New Roman"/>
          <w:i/>
          <w:iCs/>
          <w:sz w:val="24"/>
        </w:rPr>
        <w:t>FATF</w:t>
      </w:r>
      <w:r>
        <w:rPr>
          <w:rFonts w:ascii="Times New Roman" w:hAnsi="Times New Roman"/>
          <w:sz w:val="24"/>
        </w:rPr>
        <w:t xml:space="preserve"> 2012. gada ieteikumiem (kas atjaunināti 2019. gadā attiecībā uz virtuālo aktīvu pakalpojumu sniedzējiem), tam kontrolējošo personu noteikšanai jāpiemēro pēc būtības līdzīgas procedūras.</w:t>
      </w:r>
    </w:p>
    <w:p w14:paraId="1C21ABF9" w14:textId="4C3D28AD" w:rsidR="00335C80" w:rsidRPr="00A82F36" w:rsidRDefault="009A049A" w:rsidP="008935CD">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b) </w:t>
      </w:r>
      <w:r>
        <w:rPr>
          <w:rFonts w:ascii="Times New Roman" w:hAnsi="Times New Roman"/>
          <w:b/>
          <w:bCs/>
          <w:sz w:val="24"/>
        </w:rPr>
        <w:t>Noskaidro, vai persona, kura kontrolē vienību, kas izmanto kriptoaktīvus, ir persona, par kuru jāsniedz ziņojums.</w:t>
      </w:r>
      <w:r>
        <w:rPr>
          <w:rFonts w:ascii="Times New Roman" w:hAnsi="Times New Roman"/>
          <w:sz w:val="24"/>
        </w:rPr>
        <w:t xml:space="preserve"> Lai noteiktu, vai kontrolējošā persona ir persona, par kuru jāsniedz ziņojums, kriptoaktīvu pakalpojumu sniedzējs, kas sniedz ziņojumus, paļaujas uz pašapliecinājumu, ko sniegusi vienība, kura izmanto kriptoaktīvus, vai šādas kontrolējošās personas, kas ļauj kriptoaktīvu pakalpojumu sniedzējam, kurš sniedz ziņojumus, noteikt kontrolējošās personas rezidenci(-es) nodokļu aprēķina vajadzībām un apstiprināt šāda pašapliecinājuma pamatotību, ņemot vērā informāciju, ko ieguvis kriptoaktīvu pakalpojumu sniedzējs, kas sniedz ziņojumus, tostarp dokumentāciju, kas iegūta saskaņā ar </w:t>
      </w:r>
      <w:r>
        <w:rPr>
          <w:rFonts w:ascii="Times New Roman" w:hAnsi="Times New Roman"/>
          <w:i/>
          <w:iCs/>
          <w:sz w:val="24"/>
        </w:rPr>
        <w:t>AML/KYC</w:t>
      </w:r>
      <w:r>
        <w:rPr>
          <w:rFonts w:ascii="Times New Roman" w:hAnsi="Times New Roman"/>
          <w:sz w:val="24"/>
        </w:rPr>
        <w:t xml:space="preserve"> procedūrām.</w:t>
      </w:r>
    </w:p>
    <w:p w14:paraId="52CF427A" w14:textId="279A3F36" w:rsidR="00335C80" w:rsidRPr="00A82F36" w:rsidRDefault="009A049A" w:rsidP="00E62F2B">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3. Ja kādā brīdī mainās apstākļi attiecībā uz vienību, kas izmanto kriptoaktīvus, vai to kontrolējošām personām un tādēļ kriptoaktīvu pakalpojumu sniedzējs, kas sniedz ziņojumus, zina vai tam ir pamats zināt, ka sākotnējais pašapliecinājums ir nepareizs vai neuzticams, minētais kriptoaktīvu pakalpojumu sniedzējs nedrīkst paļauties uz sākotnējo pašapliecinājumu un tam jāiegūst derīgs pašapliecinājums vai pamatots skaidrojums un, ja atbilstīgi, dokumentācija, kas pamato sākotnējā pašapliecinājuma derīgumu.</w:t>
      </w:r>
    </w:p>
    <w:p w14:paraId="5C5E917E" w14:textId="222FF361" w:rsidR="00335C80" w:rsidRPr="00A82F36" w:rsidRDefault="009A049A" w:rsidP="00F4024B">
      <w:pPr>
        <w:widowControl w:val="0"/>
        <w:tabs>
          <w:tab w:val="left" w:pos="524"/>
        </w:tabs>
        <w:autoSpaceDE w:val="0"/>
        <w:autoSpaceDN w:val="0"/>
        <w:spacing w:before="240" w:after="120" w:line="240" w:lineRule="auto"/>
        <w:jc w:val="both"/>
        <w:rPr>
          <w:rFonts w:ascii="Times New Roman" w:eastAsia="Arial" w:hAnsi="Times New Roman" w:cs="Times New Roman"/>
          <w:b/>
          <w:bCs/>
          <w:i/>
          <w:iCs/>
          <w:noProof/>
          <w:kern w:val="0"/>
          <w:sz w:val="24"/>
          <w:szCs w:val="24"/>
          <w14:ligatures w14:val="none"/>
        </w:rPr>
      </w:pPr>
      <w:bookmarkStart w:id="55" w:name="C._Requirements_for_validity_of_self-cer"/>
      <w:bookmarkEnd w:id="55"/>
      <w:r>
        <w:rPr>
          <w:rFonts w:ascii="Times New Roman" w:hAnsi="Times New Roman"/>
          <w:b/>
          <w:i/>
          <w:sz w:val="24"/>
        </w:rPr>
        <w:t>C. Prasības attiecībā uz pašapliecinājumu derīgumu</w:t>
      </w:r>
    </w:p>
    <w:p w14:paraId="7EF1ABA8" w14:textId="7180909C" w:rsidR="00335C80" w:rsidRPr="00A82F36" w:rsidRDefault="009A049A" w:rsidP="007E63DB">
      <w:pPr>
        <w:widowControl w:val="0"/>
        <w:tabs>
          <w:tab w:val="left" w:pos="523"/>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1. Pašapliecinājums, ko sniegusi fiziska persona, kura izmanto kriptoaktīvus, vai kontrolējošā persona, ir derīgs tikai tad, ja to ir parakstījusi vai citādi nepārprotami apstiprinājusi šī fiziskā persona, kas izmanto kriptoaktīvus, vai kontrolējošā persona, tas ir datēts ne vēlāk kā saņemšanas dienā, un tajā par fizisko personu, kas izmanto kriptoaktīvus, vai kontrolējošo personu ir norādīta šāda informācija:</w:t>
      </w:r>
    </w:p>
    <w:p w14:paraId="18534305" w14:textId="07942DDD" w:rsidR="00335C80" w:rsidRPr="00A82F36" w:rsidRDefault="009A049A" w:rsidP="007E63DB">
      <w:pPr>
        <w:widowControl w:val="0"/>
        <w:tabs>
          <w:tab w:val="left" w:pos="1235"/>
        </w:tabs>
        <w:autoSpaceDE w:val="0"/>
        <w:autoSpaceDN w:val="0"/>
        <w:spacing w:before="120" w:after="120" w:line="240" w:lineRule="auto"/>
        <w:ind w:left="709" w:hanging="284"/>
        <w:jc w:val="both"/>
        <w:rPr>
          <w:rFonts w:ascii="Times New Roman" w:eastAsia="Arial" w:hAnsi="Times New Roman" w:cs="Times New Roman"/>
          <w:noProof/>
          <w:kern w:val="0"/>
          <w:sz w:val="24"/>
          <w:szCs w:val="24"/>
          <w14:ligatures w14:val="none"/>
        </w:rPr>
      </w:pPr>
      <w:r>
        <w:rPr>
          <w:rFonts w:ascii="Times New Roman" w:hAnsi="Times New Roman"/>
          <w:sz w:val="24"/>
        </w:rPr>
        <w:t>a) vārds, uzvārds;</w:t>
      </w:r>
    </w:p>
    <w:p w14:paraId="4D3EDB60" w14:textId="5421FC37" w:rsidR="00335C80" w:rsidRPr="00A82F36" w:rsidRDefault="009A049A" w:rsidP="007E63DB">
      <w:pPr>
        <w:widowControl w:val="0"/>
        <w:tabs>
          <w:tab w:val="left" w:pos="1235"/>
        </w:tabs>
        <w:autoSpaceDE w:val="0"/>
        <w:autoSpaceDN w:val="0"/>
        <w:spacing w:before="120" w:after="120" w:line="240" w:lineRule="auto"/>
        <w:ind w:left="709" w:hanging="284"/>
        <w:jc w:val="both"/>
        <w:rPr>
          <w:rFonts w:ascii="Times New Roman" w:eastAsia="Arial" w:hAnsi="Times New Roman" w:cs="Times New Roman"/>
          <w:noProof/>
          <w:kern w:val="0"/>
          <w:sz w:val="24"/>
          <w:szCs w:val="24"/>
          <w14:ligatures w14:val="none"/>
        </w:rPr>
      </w:pPr>
      <w:r>
        <w:rPr>
          <w:rFonts w:ascii="Times New Roman" w:hAnsi="Times New Roman"/>
          <w:sz w:val="24"/>
        </w:rPr>
        <w:t>b) dzīvesvietas adrese;</w:t>
      </w:r>
    </w:p>
    <w:p w14:paraId="7F72D36E" w14:textId="403093E1" w:rsidR="00335C80" w:rsidRPr="00A82F36" w:rsidRDefault="009A049A" w:rsidP="007E63DB">
      <w:pPr>
        <w:widowControl w:val="0"/>
        <w:tabs>
          <w:tab w:val="left" w:pos="1236"/>
        </w:tabs>
        <w:autoSpaceDE w:val="0"/>
        <w:autoSpaceDN w:val="0"/>
        <w:spacing w:before="120" w:after="120" w:line="240" w:lineRule="auto"/>
        <w:ind w:left="709" w:hanging="284"/>
        <w:jc w:val="both"/>
        <w:rPr>
          <w:rFonts w:ascii="Times New Roman" w:eastAsia="Arial" w:hAnsi="Times New Roman" w:cs="Times New Roman"/>
          <w:noProof/>
          <w:kern w:val="0"/>
          <w:sz w:val="24"/>
          <w:szCs w:val="24"/>
          <w14:ligatures w14:val="none"/>
        </w:rPr>
      </w:pPr>
      <w:r>
        <w:rPr>
          <w:rFonts w:ascii="Times New Roman" w:hAnsi="Times New Roman"/>
          <w:sz w:val="24"/>
        </w:rPr>
        <w:t>c) rezidences jurisdikcija(-as) nodokļu aprēķina vajadzībām;</w:t>
      </w:r>
    </w:p>
    <w:p w14:paraId="73260FD4" w14:textId="403F79A5" w:rsidR="00335C80" w:rsidRPr="00A82F36" w:rsidRDefault="009A049A" w:rsidP="007E63DB">
      <w:pPr>
        <w:widowControl w:val="0"/>
        <w:tabs>
          <w:tab w:val="left" w:pos="1235"/>
          <w:tab w:val="left" w:pos="1237"/>
        </w:tabs>
        <w:autoSpaceDE w:val="0"/>
        <w:autoSpaceDN w:val="0"/>
        <w:spacing w:before="120" w:after="120" w:line="240" w:lineRule="auto"/>
        <w:ind w:left="709"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d) attiecībā uz katru personu, par kuru jāsniedz ziņojums, </w:t>
      </w:r>
      <w:r>
        <w:rPr>
          <w:rFonts w:ascii="Times New Roman" w:hAnsi="Times New Roman"/>
          <w:i/>
          <w:iCs/>
          <w:sz w:val="24"/>
        </w:rPr>
        <w:t>TIN</w:t>
      </w:r>
      <w:r>
        <w:rPr>
          <w:rFonts w:ascii="Times New Roman" w:hAnsi="Times New Roman"/>
          <w:sz w:val="24"/>
        </w:rPr>
        <w:t xml:space="preserve"> attiecībā uz katru jurisdikciju, par kuru jāsniedz ziņojums, un</w:t>
      </w:r>
    </w:p>
    <w:p w14:paraId="163A3560" w14:textId="2C797D6B" w:rsidR="00335C80" w:rsidRPr="00A82F36" w:rsidRDefault="009A049A" w:rsidP="007E63DB">
      <w:pPr>
        <w:widowControl w:val="0"/>
        <w:tabs>
          <w:tab w:val="left" w:pos="1235"/>
        </w:tabs>
        <w:autoSpaceDE w:val="0"/>
        <w:autoSpaceDN w:val="0"/>
        <w:spacing w:before="120" w:after="120" w:line="240" w:lineRule="auto"/>
        <w:ind w:left="709" w:hanging="284"/>
        <w:jc w:val="both"/>
        <w:rPr>
          <w:rFonts w:ascii="Times New Roman" w:eastAsia="Arial" w:hAnsi="Times New Roman" w:cs="Times New Roman"/>
          <w:noProof/>
          <w:kern w:val="0"/>
          <w:sz w:val="24"/>
          <w:szCs w:val="24"/>
          <w14:ligatures w14:val="none"/>
        </w:rPr>
      </w:pPr>
      <w:r>
        <w:rPr>
          <w:rFonts w:ascii="Times New Roman" w:hAnsi="Times New Roman"/>
          <w:sz w:val="24"/>
        </w:rPr>
        <w:t>e) dzimšanas datums.</w:t>
      </w:r>
    </w:p>
    <w:p w14:paraId="521E5301" w14:textId="177EDF25" w:rsidR="00335C80" w:rsidRPr="00A82F36" w:rsidRDefault="009A049A" w:rsidP="00E70F3A">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2. Pašapliecinājums, ko sniegusi vienība, kas izmanto kriptoaktīvus, ir derīgs tikai tad, ja to ir parakstījusi vai citādi nepārprotami apstiprinājusi šī vienība, kas izmanto kriptoaktīvus, tas ir datēts ne vēlāk kā saņemšanas dienā, un tajā par fizisko personu, kas izmanto kriptoaktīvus, vai kontrolējošo personu ir norādīta šāda informācija:</w:t>
      </w:r>
    </w:p>
    <w:p w14:paraId="706330DE" w14:textId="769CCC49" w:rsidR="00335C80" w:rsidRPr="00A82F36" w:rsidRDefault="009A049A" w:rsidP="00681AF8">
      <w:pPr>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 juridiskais nosaukums;</w:t>
      </w:r>
    </w:p>
    <w:p w14:paraId="285696E2" w14:textId="34AA33DF" w:rsidR="00335C80" w:rsidRPr="00A82F36" w:rsidRDefault="009A049A" w:rsidP="00681AF8">
      <w:pPr>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adrese;</w:t>
      </w:r>
    </w:p>
    <w:p w14:paraId="1CE714AD" w14:textId="1ED14874" w:rsidR="00335C80" w:rsidRPr="00A82F36" w:rsidRDefault="009A049A" w:rsidP="00681AF8">
      <w:pPr>
        <w:widowControl w:val="0"/>
        <w:tabs>
          <w:tab w:val="left" w:pos="1236"/>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c) rezidences jurisdikcija(-as) nodokļu aprēķina vajadzībām;</w:t>
      </w:r>
    </w:p>
    <w:p w14:paraId="6810E9A4" w14:textId="699DC143" w:rsidR="00335C80" w:rsidRPr="00A82F36" w:rsidRDefault="009A049A" w:rsidP="00681AF8">
      <w:pPr>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d) attiecībā uz katru personu, par kuru jāsniedz ziņojums, </w:t>
      </w:r>
      <w:r>
        <w:rPr>
          <w:rFonts w:ascii="Times New Roman" w:hAnsi="Times New Roman"/>
          <w:i/>
          <w:iCs/>
          <w:sz w:val="24"/>
        </w:rPr>
        <w:t>TIN</w:t>
      </w:r>
      <w:r>
        <w:rPr>
          <w:rFonts w:ascii="Times New Roman" w:hAnsi="Times New Roman"/>
          <w:sz w:val="24"/>
        </w:rPr>
        <w:t xml:space="preserve"> attiecībā uz katru jurisdikciju, par kuru jāsniedz ziņojums;</w:t>
      </w:r>
    </w:p>
    <w:p w14:paraId="6BE02CA4" w14:textId="47E96D98" w:rsidR="00335C80" w:rsidRPr="00A82F36" w:rsidRDefault="009A049A" w:rsidP="00681AF8">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e) attiecībā uz vienību, kas izmanto kriptoaktīvus un nav izslēgtā persona vai aktīvā vienība, C punkta 1. apakšpunktā aprakstītā informācija par katru personu, kura kontrolē vienību, kas izmanto kriptoaktīvus, ja vien minētā kontrolējošā persona nav iesniegusi pašapliecinājumu saskaņā ar C punkta 1. apakšpunktu, kā arī par pienākumu(-iem), pamatojoties uz kuru(-iem) katra persona, par ko jāsniedz ziņojums, ir vienību kontrolējošā persona, ja tā jau nav noteikta, pamatojoties uz </w:t>
      </w:r>
      <w:r>
        <w:rPr>
          <w:rFonts w:ascii="Times New Roman" w:hAnsi="Times New Roman"/>
          <w:i/>
          <w:iCs/>
          <w:sz w:val="24"/>
        </w:rPr>
        <w:t>AML/KYC</w:t>
      </w:r>
      <w:r>
        <w:rPr>
          <w:rFonts w:ascii="Times New Roman" w:hAnsi="Times New Roman"/>
          <w:sz w:val="24"/>
        </w:rPr>
        <w:t xml:space="preserve"> procedūrām, un</w:t>
      </w:r>
    </w:p>
    <w:p w14:paraId="121D7748" w14:textId="67A77C94" w:rsidR="00335C80" w:rsidRPr="00A82F36" w:rsidRDefault="009A049A" w:rsidP="00681AF8">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f) ja piemērojams, informācija par to, kādiem kritērijiem tā atbilst, lai to uzskatītu par aktīvo vienību vai izslēgto personu.</w:t>
      </w:r>
    </w:p>
    <w:p w14:paraId="0F75C79F" w14:textId="6A75DE26" w:rsidR="00335C80" w:rsidRPr="00A82F36" w:rsidRDefault="009A049A" w:rsidP="00E70F3A">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 Atkāpjoties no C punkta 1. un 2. apakšpunkta, </w:t>
      </w:r>
      <w:r>
        <w:rPr>
          <w:rFonts w:ascii="Times New Roman" w:hAnsi="Times New Roman"/>
          <w:i/>
          <w:iCs/>
          <w:sz w:val="24"/>
        </w:rPr>
        <w:t>TIN</w:t>
      </w:r>
      <w:r>
        <w:rPr>
          <w:rFonts w:ascii="Times New Roman" w:hAnsi="Times New Roman"/>
          <w:sz w:val="24"/>
        </w:rPr>
        <w:t xml:space="preserve"> nav jāziņo, ja jurisdikcija, kas ir rezidences vieta personai, par kuru jāsniedz ziņojums, nav izdevusi </w:t>
      </w:r>
      <w:r>
        <w:rPr>
          <w:rFonts w:ascii="Times New Roman" w:hAnsi="Times New Roman"/>
          <w:i/>
          <w:iCs/>
          <w:sz w:val="24"/>
        </w:rPr>
        <w:t>TIN</w:t>
      </w:r>
      <w:r>
        <w:rPr>
          <w:rFonts w:ascii="Times New Roman" w:hAnsi="Times New Roman"/>
          <w:sz w:val="24"/>
        </w:rPr>
        <w:t xml:space="preserve"> šai personai, vai attiecīgajā jurisdikcijā, par kuru jāsniedz ziņojums, tās tiesību aktos nav noteikts pienākums vākt </w:t>
      </w:r>
      <w:r>
        <w:rPr>
          <w:rFonts w:ascii="Times New Roman" w:hAnsi="Times New Roman"/>
          <w:i/>
          <w:iCs/>
          <w:sz w:val="24"/>
        </w:rPr>
        <w:t>TIN</w:t>
      </w:r>
      <w:r>
        <w:rPr>
          <w:rFonts w:ascii="Times New Roman" w:hAnsi="Times New Roman"/>
          <w:sz w:val="24"/>
        </w:rPr>
        <w:t>, ko izdevusi šāda jurisdikcija, par kuru jāsniedz ziņojums.</w:t>
      </w:r>
    </w:p>
    <w:p w14:paraId="7472D833" w14:textId="42746A1F" w:rsidR="00335C80" w:rsidRPr="00A82F36" w:rsidRDefault="00CF3B3D" w:rsidP="00681AF8">
      <w:pPr>
        <w:widowControl w:val="0"/>
        <w:tabs>
          <w:tab w:val="left" w:pos="521"/>
        </w:tabs>
        <w:autoSpaceDE w:val="0"/>
        <w:autoSpaceDN w:val="0"/>
        <w:spacing w:before="240" w:after="120" w:line="240" w:lineRule="auto"/>
        <w:jc w:val="both"/>
        <w:rPr>
          <w:rFonts w:ascii="Times New Roman" w:eastAsia="Arial" w:hAnsi="Times New Roman" w:cs="Times New Roman"/>
          <w:b/>
          <w:bCs/>
          <w:i/>
          <w:iCs/>
          <w:noProof/>
          <w:kern w:val="0"/>
          <w:sz w:val="24"/>
          <w:szCs w:val="24"/>
          <w14:ligatures w14:val="none"/>
        </w:rPr>
      </w:pPr>
      <w:bookmarkStart w:id="56" w:name="D._General_due_diligence_requirements"/>
      <w:bookmarkEnd w:id="56"/>
      <w:r>
        <w:rPr>
          <w:rFonts w:ascii="Times New Roman" w:hAnsi="Times New Roman"/>
          <w:b/>
          <w:i/>
          <w:sz w:val="24"/>
        </w:rPr>
        <w:t>D. Pienācīgas pārbaudes vispārējās prasības</w:t>
      </w:r>
    </w:p>
    <w:p w14:paraId="74DD0F51" w14:textId="7EE28508" w:rsidR="00335C80" w:rsidRPr="00A82F36" w:rsidRDefault="00CF3B3D" w:rsidP="00E70F3A">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 Kriptoaktīvu pakalpojumu sniedzējs, kas sniedz ziņojumus un ir arī finanšu iestāde Kopējā ziņošanas standarta nolūkā saistībā ar šajā pantā noteiktajām pienācīgas pārbaudes procedūrām, var paļauties uz pienācīgas pārbaudes procedūrām, kas veiktas saskaņā ar Kopējā ziņošanas standarta IV un VI pantu. Kriptoaktīvu pakalpojumu sniedzējs, kas sniedz </w:t>
      </w:r>
      <w:r>
        <w:rPr>
          <w:rFonts w:ascii="Times New Roman" w:hAnsi="Times New Roman"/>
          <w:sz w:val="24"/>
        </w:rPr>
        <w:lastRenderedPageBreak/>
        <w:t>ziņojumus, var arī paļauties uz pašapliecinājumu, kas jau iegūts citiem nodokļu mērķiem, ja šāds pašapliecinājums atbilst šī panta C punkta prasībām.</w:t>
      </w:r>
    </w:p>
    <w:p w14:paraId="5FA17AC1" w14:textId="491B298F" w:rsidR="00335C80" w:rsidRPr="00A82F36" w:rsidRDefault="00CF3B3D" w:rsidP="00E70F3A">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2. Kriptoaktīvu pakalpojumu sniedzējs, kas sniedz ziņojumus, var paļauties uz trešo personu, lai izpildītu šajā III pantā izklāstītos pienācīgas pārbaudes pienākumus, bet par šādiem pienākumiem joprojām ir atbildīgs kriptoaktīvu pakalpojumu sniedzējs, kas sniedz ziņojumus.</w:t>
      </w:r>
    </w:p>
    <w:p w14:paraId="50EF2058" w14:textId="6920E045" w:rsidR="00335C80" w:rsidRPr="00A82F36" w:rsidRDefault="00CF3B3D" w:rsidP="00E70F3A">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3. Kriptoaktīvu pakalpojumu sniedzējam, kas sniedz ziņojumus, jāuzglabā visa dokumentācija un dati vismaz piecus gadus pēc tā perioda beigām, kurā šim kriptoaktīvu pakalpojumu sniedzējam ir jāsniedz II pantā prasītā informācija.</w:t>
      </w:r>
    </w:p>
    <w:p w14:paraId="4817D335" w14:textId="77777777" w:rsidR="00335C80" w:rsidRPr="00E119CB" w:rsidRDefault="00335C80" w:rsidP="00E119CB">
      <w:pPr>
        <w:pStyle w:val="Heading1"/>
        <w:rPr>
          <w:rFonts w:ascii="Times New Roman" w:eastAsia="Arial" w:hAnsi="Times New Roman" w:cs="Times New Roman"/>
          <w:b/>
          <w:bCs/>
          <w:noProof/>
          <w:color w:val="0B769F" w:themeColor="accent4" w:themeShade="BF"/>
          <w:sz w:val="26"/>
          <w:szCs w:val="26"/>
        </w:rPr>
      </w:pPr>
      <w:bookmarkStart w:id="57" w:name="Section_IV:_Defined_terms"/>
      <w:bookmarkStart w:id="58" w:name="_bookmark15"/>
      <w:bookmarkStart w:id="59" w:name="_Toc241753062"/>
      <w:bookmarkEnd w:id="57"/>
      <w:bookmarkEnd w:id="58"/>
      <w:r>
        <w:rPr>
          <w:rFonts w:ascii="Times New Roman" w:hAnsi="Times New Roman"/>
          <w:b/>
          <w:color w:val="0B769F" w:themeColor="accent4" w:themeShade="BF"/>
          <w:sz w:val="26"/>
        </w:rPr>
        <w:t>IV pants. Terminu definīcijas</w:t>
      </w:r>
      <w:bookmarkEnd w:id="59"/>
    </w:p>
    <w:p w14:paraId="25084DB2" w14:textId="622E0BA2" w:rsidR="00335C80" w:rsidRPr="006A430D" w:rsidRDefault="00E119CB" w:rsidP="006A430D">
      <w:pPr>
        <w:widowControl w:val="0"/>
        <w:tabs>
          <w:tab w:val="left" w:pos="524"/>
        </w:tabs>
        <w:autoSpaceDE w:val="0"/>
        <w:autoSpaceDN w:val="0"/>
        <w:spacing w:before="240" w:after="120" w:line="240" w:lineRule="auto"/>
        <w:jc w:val="both"/>
        <w:rPr>
          <w:rFonts w:ascii="Times New Roman" w:eastAsia="Arial" w:hAnsi="Times New Roman" w:cs="Times New Roman"/>
          <w:b/>
          <w:bCs/>
          <w:i/>
          <w:iCs/>
          <w:noProof/>
          <w:kern w:val="0"/>
          <w:sz w:val="26"/>
          <w:szCs w:val="26"/>
          <w14:ligatures w14:val="none"/>
        </w:rPr>
      </w:pPr>
      <w:bookmarkStart w:id="60" w:name="A._Relevant_Crypto-Asset"/>
      <w:bookmarkEnd w:id="60"/>
      <w:r>
        <w:rPr>
          <w:rFonts w:ascii="Times New Roman" w:hAnsi="Times New Roman"/>
          <w:b/>
          <w:i/>
          <w:sz w:val="26"/>
        </w:rPr>
        <w:t>Attiecīgais kriptoaktīvs</w:t>
      </w:r>
    </w:p>
    <w:p w14:paraId="4A9963A1" w14:textId="528D15FE"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 </w:t>
      </w:r>
      <w:r>
        <w:rPr>
          <w:rFonts w:ascii="Times New Roman" w:hAnsi="Times New Roman"/>
          <w:b/>
          <w:bCs/>
          <w:sz w:val="24"/>
        </w:rPr>
        <w:t>“Kriptoaktīvs”</w:t>
      </w:r>
      <w:r>
        <w:rPr>
          <w:rFonts w:ascii="Times New Roman" w:hAnsi="Times New Roman"/>
          <w:sz w:val="24"/>
        </w:rPr>
        <w:t xml:space="preserve"> ir vērtības digitāls atveidojums, kā pamatā ir kriptogrāfiski aizsargāta sadalītā virsgrāmata vai līdzīga tehnoloģija, ko izmanto, lai validētu un aizsargātu darījumus.</w:t>
      </w:r>
    </w:p>
    <w:p w14:paraId="798FF9A4" w14:textId="24662D4E"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 </w:t>
      </w:r>
      <w:r>
        <w:rPr>
          <w:rFonts w:ascii="Times New Roman" w:hAnsi="Times New Roman"/>
          <w:b/>
          <w:bCs/>
          <w:sz w:val="24"/>
        </w:rPr>
        <w:t>“Attiecīgais kriptoaktīvs”</w:t>
      </w:r>
      <w:r>
        <w:rPr>
          <w:rFonts w:ascii="Times New Roman" w:hAnsi="Times New Roman"/>
          <w:sz w:val="24"/>
        </w:rPr>
        <w:t xml:space="preserve"> ir jebkurš kriptoaktīvs, kas nav Centrālās bankas digitālā valūta, noteikts elektroniskās naudas produkts vai jebkurš kriptoaktīvs, attiecībā uz kuru kriptoaktīvu pakalpojumu sniedzējs, kas sniedz ziņojumus, ir noteicis, ka to nevar izmantot maksājumu vai ieguldījumu nolūkos.</w:t>
      </w:r>
    </w:p>
    <w:p w14:paraId="236906D6" w14:textId="6D243380" w:rsidR="00335C80" w:rsidRPr="006A430D" w:rsidRDefault="00E119CB" w:rsidP="00CC333D">
      <w:pPr>
        <w:widowControl w:val="0"/>
        <w:tabs>
          <w:tab w:val="left" w:pos="525"/>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 </w:t>
      </w:r>
      <w:r>
        <w:rPr>
          <w:rFonts w:ascii="Times New Roman" w:hAnsi="Times New Roman"/>
          <w:b/>
          <w:bCs/>
          <w:sz w:val="24"/>
        </w:rPr>
        <w:t>“Centrālās bankas digitālā valūta”</w:t>
      </w:r>
      <w:r>
        <w:rPr>
          <w:rFonts w:ascii="Times New Roman" w:hAnsi="Times New Roman"/>
          <w:sz w:val="24"/>
        </w:rPr>
        <w:t xml:space="preserve"> ir jebkura digitāla bezseguma valūta, ko emitējusi Centrālā banka.</w:t>
      </w:r>
    </w:p>
    <w:p w14:paraId="0F37F5C5" w14:textId="28611A24" w:rsidR="00335C80" w:rsidRPr="006A430D" w:rsidRDefault="00E119CB" w:rsidP="00CC333D">
      <w:pPr>
        <w:widowControl w:val="0"/>
        <w:tabs>
          <w:tab w:val="left" w:pos="525"/>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4. </w:t>
      </w:r>
      <w:r>
        <w:rPr>
          <w:rFonts w:ascii="Times New Roman" w:hAnsi="Times New Roman"/>
          <w:b/>
          <w:bCs/>
          <w:sz w:val="24"/>
        </w:rPr>
        <w:t>“Noteikts elektroniskās naudas produkts”</w:t>
      </w:r>
      <w:r>
        <w:rPr>
          <w:rFonts w:ascii="Times New Roman" w:hAnsi="Times New Roman"/>
          <w:sz w:val="24"/>
        </w:rPr>
        <w:t xml:space="preserve"> ir jebkurš kriptoaktīvs, kas ir:</w:t>
      </w:r>
    </w:p>
    <w:p w14:paraId="70DC389E" w14:textId="6396F219" w:rsidR="00335C80" w:rsidRPr="006A430D" w:rsidRDefault="00E119CB" w:rsidP="00CC333D">
      <w:pPr>
        <w:widowControl w:val="0"/>
        <w:tabs>
          <w:tab w:val="left" w:pos="1236"/>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 vienotas bezseguma valūtas digitāls atveidojums;</w:t>
      </w:r>
    </w:p>
    <w:p w14:paraId="4B74EC20" w14:textId="30109F83" w:rsidR="00335C80" w:rsidRPr="006A430D" w:rsidRDefault="00E119CB" w:rsidP="00CC333D">
      <w:pPr>
        <w:widowControl w:val="0"/>
        <w:tabs>
          <w:tab w:val="left" w:pos="1236"/>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izdots, saņemot līdzekļus maksājumu darījumu veikšanai;</w:t>
      </w:r>
    </w:p>
    <w:p w14:paraId="5F9362A9" w14:textId="198EB00B" w:rsidR="00335C80" w:rsidRPr="006A430D" w:rsidRDefault="00E119CB" w:rsidP="00CC333D">
      <w:pPr>
        <w:widowControl w:val="0"/>
        <w:tabs>
          <w:tab w:val="left" w:pos="1236"/>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c) pārstāvēts ar tādu prasījumu pret emitentu, kurš ir denominēts tajā pašā bezseguma valūtā;</w:t>
      </w:r>
    </w:p>
    <w:p w14:paraId="343CE1D6" w14:textId="1DD020E9" w:rsidR="00335C80" w:rsidRPr="006A430D" w:rsidRDefault="00E119CB" w:rsidP="00CC333D">
      <w:pPr>
        <w:widowControl w:val="0"/>
        <w:tabs>
          <w:tab w:val="left" w:pos="1236"/>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d) saņemts kā maksājums, un to ir saņēmusi fiziska vai juridiska persona, kas nav emitents, un</w:t>
      </w:r>
    </w:p>
    <w:p w14:paraId="04984883" w14:textId="77777777" w:rsidR="00CC333D" w:rsidRDefault="00E119CB" w:rsidP="00CC333D">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e) dzēšams pēc produkta turētāja pieprasījuma jebkurā laikā saskaņā ar emitentam izvirzītajām regulatīvām prasībām un par tādu pašu bezseguma valūtas nominālvērtību.</w:t>
      </w:r>
    </w:p>
    <w:p w14:paraId="760D1E2A" w14:textId="2B6CB63F" w:rsidR="00335C80" w:rsidRPr="006A430D" w:rsidRDefault="00335C80" w:rsidP="00CC333D">
      <w:pPr>
        <w:widowControl w:val="0"/>
        <w:tabs>
          <w:tab w:val="left" w:pos="1235"/>
          <w:tab w:val="left" w:pos="1237"/>
        </w:tabs>
        <w:autoSpaceDE w:val="0"/>
        <w:autoSpaceDN w:val="0"/>
        <w:spacing w:before="120" w:after="120" w:line="240" w:lineRule="auto"/>
        <w:ind w:left="567"/>
        <w:jc w:val="both"/>
        <w:rPr>
          <w:rFonts w:ascii="Times New Roman" w:eastAsia="Arial" w:hAnsi="Times New Roman" w:cs="Times New Roman"/>
          <w:noProof/>
          <w:kern w:val="0"/>
          <w:sz w:val="24"/>
          <w:szCs w:val="24"/>
          <w14:ligatures w14:val="none"/>
        </w:rPr>
      </w:pPr>
      <w:r>
        <w:rPr>
          <w:rFonts w:ascii="Times New Roman" w:hAnsi="Times New Roman"/>
          <w:sz w:val="24"/>
        </w:rPr>
        <w:t>Termins “noteikts elektroniskās naudas produkts” neietver produktu, kas radīts vienīgi nolūkā atvieglot naudas līdzekļu pārvešanu no klienta citai personai saskaņā ar klienta norādījumiem. Produkts nav radīts vienīgi nolūkā atvieglot naudas līdzekļu pārvešanu, ja vienība, kas veic pārvedumu, parastajā darbībā ar šādu produktu saistītos līdzekļus tur ilgāk par 60 dienām pēc tam, kad saņemti norādījumi pārvešanas atvieglošanai vai arī tad, ja šādi norādījumi nav saņemti, ar šādu produktu saistītie līdzekļi tiek turēti ilgāk par 60 dienām pēc līdzekļu saņemšanas.</w:t>
      </w:r>
    </w:p>
    <w:p w14:paraId="10A6C2C1" w14:textId="17055D37" w:rsidR="00335C80" w:rsidRPr="00CC333D" w:rsidRDefault="00E119CB" w:rsidP="00CC333D">
      <w:pPr>
        <w:widowControl w:val="0"/>
        <w:tabs>
          <w:tab w:val="left" w:pos="524"/>
        </w:tabs>
        <w:autoSpaceDE w:val="0"/>
        <w:autoSpaceDN w:val="0"/>
        <w:spacing w:before="240" w:after="120" w:line="240" w:lineRule="auto"/>
        <w:jc w:val="both"/>
        <w:rPr>
          <w:rFonts w:ascii="Times New Roman" w:eastAsia="Arial" w:hAnsi="Times New Roman" w:cs="Times New Roman"/>
          <w:b/>
          <w:bCs/>
          <w:i/>
          <w:iCs/>
          <w:noProof/>
          <w:kern w:val="0"/>
          <w:sz w:val="26"/>
          <w:szCs w:val="26"/>
          <w14:ligatures w14:val="none"/>
        </w:rPr>
      </w:pPr>
      <w:bookmarkStart w:id="61" w:name="B._Reporting_Crypto-Asset_Service_Provid"/>
      <w:bookmarkEnd w:id="61"/>
      <w:r>
        <w:rPr>
          <w:rFonts w:ascii="Times New Roman" w:hAnsi="Times New Roman"/>
          <w:b/>
          <w:i/>
          <w:sz w:val="26"/>
        </w:rPr>
        <w:t>B. Kriptoaktīvu pakalpojumu sniedzējs, kas sniedz ziņojumus</w:t>
      </w:r>
    </w:p>
    <w:p w14:paraId="688A1F48" w14:textId="4B3FFD96"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 </w:t>
      </w:r>
      <w:r>
        <w:rPr>
          <w:rFonts w:ascii="Times New Roman" w:hAnsi="Times New Roman"/>
          <w:b/>
          <w:bCs/>
          <w:sz w:val="24"/>
        </w:rPr>
        <w:t>“Kriptoaktīvu pakalpojumu sniedzējs, kas sniedz ziņojumus”</w:t>
      </w:r>
      <w:r>
        <w:rPr>
          <w:rFonts w:ascii="Times New Roman" w:hAnsi="Times New Roman"/>
          <w:sz w:val="24"/>
        </w:rPr>
        <w:t xml:space="preserve"> ir fiziska persona vai vienība, kas nodarbojas ar pakalpojuma sniegšanu – maiņas darījumu izpildi klientu vārdā, tostarp rīkojoties darījumu partnera vai starpnieka statusā šādos maiņas darījumos vai arī darot pieejamu tirdzniecības platformu.</w:t>
      </w:r>
    </w:p>
    <w:p w14:paraId="26B78F20" w14:textId="70434BD4" w:rsidR="00335C80" w:rsidRPr="00CC333D" w:rsidRDefault="00E119CB" w:rsidP="009A1FD0">
      <w:pPr>
        <w:keepNext/>
        <w:keepLines/>
        <w:widowControl w:val="0"/>
        <w:tabs>
          <w:tab w:val="left" w:pos="524"/>
        </w:tabs>
        <w:autoSpaceDE w:val="0"/>
        <w:autoSpaceDN w:val="0"/>
        <w:spacing w:before="240" w:after="120" w:line="240" w:lineRule="auto"/>
        <w:jc w:val="both"/>
        <w:rPr>
          <w:rFonts w:ascii="Times New Roman" w:eastAsia="Arial" w:hAnsi="Times New Roman" w:cs="Times New Roman"/>
          <w:b/>
          <w:bCs/>
          <w:i/>
          <w:iCs/>
          <w:noProof/>
          <w:kern w:val="0"/>
          <w:sz w:val="26"/>
          <w:szCs w:val="26"/>
          <w14:ligatures w14:val="none"/>
        </w:rPr>
      </w:pPr>
      <w:bookmarkStart w:id="62" w:name="C._Relevant_Transaction"/>
      <w:bookmarkEnd w:id="62"/>
      <w:r>
        <w:rPr>
          <w:rFonts w:ascii="Times New Roman" w:hAnsi="Times New Roman"/>
          <w:b/>
          <w:i/>
          <w:sz w:val="26"/>
        </w:rPr>
        <w:lastRenderedPageBreak/>
        <w:t>C. Attiecīgais darījums</w:t>
      </w:r>
    </w:p>
    <w:p w14:paraId="6AFA82F5" w14:textId="05B66581" w:rsidR="00335C80" w:rsidRPr="006A430D" w:rsidRDefault="00E119CB" w:rsidP="009A1FD0">
      <w:pPr>
        <w:keepNext/>
        <w:keepLines/>
        <w:widowControl w:val="0"/>
        <w:tabs>
          <w:tab w:val="left" w:pos="525"/>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 </w:t>
      </w:r>
      <w:r>
        <w:rPr>
          <w:rFonts w:ascii="Times New Roman" w:hAnsi="Times New Roman"/>
          <w:b/>
          <w:bCs/>
          <w:sz w:val="24"/>
        </w:rPr>
        <w:t>“Attiecīgais darījums”</w:t>
      </w:r>
      <w:r>
        <w:rPr>
          <w:rFonts w:ascii="Times New Roman" w:hAnsi="Times New Roman"/>
          <w:sz w:val="24"/>
        </w:rPr>
        <w:t xml:space="preserve"> ir:</w:t>
      </w:r>
    </w:p>
    <w:p w14:paraId="277EE405" w14:textId="655C74C5" w:rsidR="00335C80" w:rsidRPr="006A430D" w:rsidRDefault="00E119CB" w:rsidP="009A1FD0">
      <w:pPr>
        <w:keepNext/>
        <w:keepLines/>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 maiņas darījums un</w:t>
      </w:r>
    </w:p>
    <w:p w14:paraId="49FE66C3" w14:textId="01CDBA78" w:rsidR="00335C80" w:rsidRPr="006A430D" w:rsidRDefault="00E119CB" w:rsidP="009A1FD0">
      <w:pPr>
        <w:keepNext/>
        <w:keepLines/>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attiecīgo kriptoaktīvu pārvedums.</w:t>
      </w:r>
    </w:p>
    <w:p w14:paraId="3FB9239A" w14:textId="0A08AC93" w:rsidR="00335C80" w:rsidRPr="006A430D" w:rsidRDefault="00E119CB" w:rsidP="009A1FD0">
      <w:pPr>
        <w:keepNext/>
        <w:keepLines/>
        <w:widowControl w:val="0"/>
        <w:tabs>
          <w:tab w:val="left" w:pos="525"/>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 </w:t>
      </w:r>
      <w:r>
        <w:rPr>
          <w:rFonts w:ascii="Times New Roman" w:hAnsi="Times New Roman"/>
          <w:b/>
          <w:bCs/>
          <w:sz w:val="24"/>
        </w:rPr>
        <w:t>“Maiņas darījums”</w:t>
      </w:r>
      <w:r>
        <w:rPr>
          <w:rFonts w:ascii="Times New Roman" w:hAnsi="Times New Roman"/>
          <w:sz w:val="24"/>
        </w:rPr>
        <w:t xml:space="preserve"> ir:</w:t>
      </w:r>
    </w:p>
    <w:p w14:paraId="3C979FD7" w14:textId="1DE5A48C" w:rsidR="00335C80" w:rsidRPr="006A430D" w:rsidRDefault="00E119CB" w:rsidP="00CC333D">
      <w:pPr>
        <w:widowControl w:val="0"/>
        <w:tabs>
          <w:tab w:val="left" w:pos="426"/>
          <w:tab w:val="left" w:pos="1236"/>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 attiecīgo kriptoaktīvu un bezseguma valūtu maiņa un</w:t>
      </w:r>
    </w:p>
    <w:p w14:paraId="1FDBCD3B" w14:textId="6C89E75A" w:rsidR="00335C80" w:rsidRPr="006A430D" w:rsidRDefault="00E119CB" w:rsidP="00CC333D">
      <w:pPr>
        <w:widowControl w:val="0"/>
        <w:tabs>
          <w:tab w:val="left" w:pos="426"/>
          <w:tab w:val="left" w:pos="1236"/>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viena vai vairāku virtuālo valūtu veidu maiņa.</w:t>
      </w:r>
    </w:p>
    <w:p w14:paraId="4E5D06E8" w14:textId="510DCC0B"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 </w:t>
      </w:r>
      <w:r>
        <w:rPr>
          <w:rFonts w:ascii="Times New Roman" w:hAnsi="Times New Roman"/>
          <w:b/>
          <w:bCs/>
          <w:sz w:val="24"/>
        </w:rPr>
        <w:t>“Neliela apjoma maksājumu darījums, par kuru jāsniedz ziņojums”</w:t>
      </w:r>
      <w:r>
        <w:rPr>
          <w:rFonts w:ascii="Times New Roman" w:hAnsi="Times New Roman"/>
          <w:sz w:val="24"/>
        </w:rPr>
        <w:t xml:space="preserve"> ir attiecīgo kriptoaktīvu pārvedums par precēm vai pakalpojumiem, kuru vērtība pārsniedz 50 000 USD.</w:t>
      </w:r>
    </w:p>
    <w:p w14:paraId="3203DF43" w14:textId="09E21BA4"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4. </w:t>
      </w:r>
      <w:r>
        <w:rPr>
          <w:rFonts w:ascii="Times New Roman" w:hAnsi="Times New Roman"/>
          <w:b/>
          <w:bCs/>
          <w:sz w:val="24"/>
        </w:rPr>
        <w:t>“Pārvedums”</w:t>
      </w:r>
      <w:r>
        <w:rPr>
          <w:rFonts w:ascii="Times New Roman" w:hAnsi="Times New Roman"/>
          <w:sz w:val="24"/>
        </w:rPr>
        <w:t xml:space="preserve"> ir darījums, ar kuru attiecīgo kriptoaktīvu pārvieto no/uz viena kriptoaktīvu lietotāja kriptoaktīva adresi vai kontu, kas nav adrese vai konts, kuru tā paša kriptoaktīvu lietotāja vārdā uztur kriptoaktīvu pakalpojumu sniedzējs, kas sniedz ziņojumus, ja kriptoaktīvu pakalpojumu sniedzējs, kas sniedz ziņojumus, pamatojoties uz darījuma brīdī tā rīcībā esošo informāciju, nevar noteikt, ka darījums ir maiņas darījums.</w:t>
      </w:r>
    </w:p>
    <w:p w14:paraId="5998E5AE" w14:textId="7790C63F"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5. </w:t>
      </w:r>
      <w:r>
        <w:rPr>
          <w:rFonts w:ascii="Times New Roman" w:hAnsi="Times New Roman"/>
          <w:b/>
          <w:bCs/>
          <w:sz w:val="24"/>
        </w:rPr>
        <w:t>“Bezseguma valūta”</w:t>
      </w:r>
      <w:r>
        <w:rPr>
          <w:rFonts w:ascii="Times New Roman" w:hAnsi="Times New Roman"/>
          <w:sz w:val="24"/>
        </w:rPr>
        <w:t xml:space="preserve"> ir jurisdikcijas oficiālā valūta, ko emitē jurisdikcija vai jurisdikcijas norīkota centrālā banka vai monetārā iestāde un kas pieejama kā fiziskas banknotes vai monētas, vai nauda dažādās digitālās formās, kā arī banku rezerves un centrālās bankas digitālās valūtas. Šis termins ietver arī komercbanku naudu un elektroniskās naudas produktus (tostarp noteiktos elektroniskās naudas produktus).</w:t>
      </w:r>
    </w:p>
    <w:p w14:paraId="5560C02D" w14:textId="02B65B5C" w:rsidR="00335C80" w:rsidRPr="00CC333D" w:rsidRDefault="00E119CB" w:rsidP="00CC333D">
      <w:pPr>
        <w:widowControl w:val="0"/>
        <w:tabs>
          <w:tab w:val="left" w:pos="524"/>
        </w:tabs>
        <w:autoSpaceDE w:val="0"/>
        <w:autoSpaceDN w:val="0"/>
        <w:spacing w:before="240" w:after="120" w:line="240" w:lineRule="auto"/>
        <w:jc w:val="both"/>
        <w:rPr>
          <w:rFonts w:ascii="Times New Roman" w:eastAsia="Arial" w:hAnsi="Times New Roman" w:cs="Times New Roman"/>
          <w:b/>
          <w:bCs/>
          <w:i/>
          <w:iCs/>
          <w:noProof/>
          <w:kern w:val="0"/>
          <w:sz w:val="26"/>
          <w:szCs w:val="26"/>
          <w14:ligatures w14:val="none"/>
        </w:rPr>
      </w:pPr>
      <w:bookmarkStart w:id="63" w:name="D._Reportable_User"/>
      <w:bookmarkEnd w:id="63"/>
      <w:r>
        <w:rPr>
          <w:rFonts w:ascii="Times New Roman" w:hAnsi="Times New Roman"/>
          <w:b/>
          <w:i/>
          <w:sz w:val="26"/>
        </w:rPr>
        <w:t>D. Lietotājs, par kuru jāsniedz ziņojums</w:t>
      </w:r>
    </w:p>
    <w:p w14:paraId="7BB96B71" w14:textId="753B393B" w:rsidR="00335C80" w:rsidRPr="006A430D" w:rsidRDefault="00E119CB" w:rsidP="00CC333D">
      <w:pPr>
        <w:widowControl w:val="0"/>
        <w:tabs>
          <w:tab w:val="left" w:pos="525"/>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 </w:t>
      </w:r>
      <w:r>
        <w:rPr>
          <w:rFonts w:ascii="Times New Roman" w:hAnsi="Times New Roman"/>
          <w:b/>
          <w:bCs/>
          <w:sz w:val="24"/>
        </w:rPr>
        <w:t>“Lietotājs, par kuru jāsniedz ziņojums”</w:t>
      </w:r>
      <w:r>
        <w:rPr>
          <w:rFonts w:ascii="Times New Roman" w:hAnsi="Times New Roman"/>
          <w:sz w:val="24"/>
        </w:rPr>
        <w:t>, ir kriptoaktīvu lietotājs, kas ir persona, par kuru jāsniedz ziņojums.</w:t>
      </w:r>
    </w:p>
    <w:p w14:paraId="135BB9E0" w14:textId="06BE0CE6"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 </w:t>
      </w:r>
      <w:r>
        <w:rPr>
          <w:rFonts w:ascii="Times New Roman" w:hAnsi="Times New Roman"/>
          <w:b/>
          <w:bCs/>
          <w:sz w:val="24"/>
        </w:rPr>
        <w:t>“Kriptovalūtu lietotājs”</w:t>
      </w:r>
      <w:r>
        <w:rPr>
          <w:rFonts w:ascii="Times New Roman" w:hAnsi="Times New Roman"/>
          <w:sz w:val="24"/>
        </w:rPr>
        <w:t xml:space="preserve"> ir fiziska persona vai vienība, kas saistībā ar attiecīgo darījumu veikšanu ir klients kriptovalūtu pakalpojumu sniedzējam, kas sniedz ziņojumus. Fizisku personu vai vienību, kas nav finanšu iestāde vai kriptoaktīvu pakalpojumu sniedzējs, kurš sniedz ziņojumus, un darbojas kā kriptoaktīvu lietotājs citas fiziskas personas vai vienības labā vai vārdā kā aģents, turētājs, nominālais finanšu aktīvu turētājs, parakstītājs, ieguldījumu konsultants vai starpnieks, neuzskata par kriptoaktīvu lietotāju, un šādu citu fizisku personu vai vienību uzskata par kriptoaktīvu lietotāju. Ja kriptoaktīvu pakalpojumu sniedzējs, kas sniedz ziņojumus, sniedz pakalpojumu, proti, tirgotāja vārdā vai tā uzdevumā veic neliela apjoma maksājumu darījumus, par kuriem jāsniedz ziņojumi, šis kriptoaktīvu pakalpojumu sniedzējs arī klientu, kas ir šā tirgotāja darījumu partneris attiecībā uz šādiem neliela apjoma maksājumu darījumiem, par kuriem jāsniedz ziņojumi, uzskata par kriptoaktīvu lietotāju attiecībā uz šādiem neliela apjoma maksājumu darījumiem, par kuriem jāsniedz ziņojumi, ja kriptoaktīvu pakalpojumu sniedzējam, kas sniedz ziņojumus, saskaņā ar valsts noteikumiem par nelikumīgi iegūtu līdzekļu legalizācijas novēršanu ir pienākums pārbaudīt šāda klienta identitāti saistībā ar neliela apjoma maksājumu darījumu, par kuru jāsniedz ziņojums.</w:t>
      </w:r>
    </w:p>
    <w:p w14:paraId="40F68889" w14:textId="30E6A413" w:rsidR="00335C80" w:rsidRPr="006A430D" w:rsidRDefault="00E119CB" w:rsidP="00CC333D">
      <w:pPr>
        <w:widowControl w:val="0"/>
        <w:tabs>
          <w:tab w:val="left" w:pos="525"/>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 </w:t>
      </w:r>
      <w:r>
        <w:rPr>
          <w:rFonts w:ascii="Times New Roman" w:hAnsi="Times New Roman"/>
          <w:b/>
          <w:bCs/>
          <w:sz w:val="24"/>
        </w:rPr>
        <w:t>“Fiziska persona, kas izmanto kriptoaktīvus”</w:t>
      </w:r>
      <w:r>
        <w:rPr>
          <w:rFonts w:ascii="Times New Roman" w:hAnsi="Times New Roman"/>
          <w:sz w:val="24"/>
        </w:rPr>
        <w:t>, ir kriptoaktīvu lietotājs, kas ir fiziska persona.</w:t>
      </w:r>
    </w:p>
    <w:p w14:paraId="4CE0D885" w14:textId="65DB6CA9"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4. </w:t>
      </w:r>
      <w:r>
        <w:rPr>
          <w:rFonts w:ascii="Times New Roman" w:hAnsi="Times New Roman"/>
          <w:b/>
          <w:bCs/>
          <w:sz w:val="24"/>
        </w:rPr>
        <w:t>“Iepriekšpastāvējusi fiziska persona, kas izmanto kriptoaktīvus”</w:t>
      </w:r>
      <w:r>
        <w:rPr>
          <w:rFonts w:ascii="Times New Roman" w:hAnsi="Times New Roman"/>
          <w:sz w:val="24"/>
        </w:rPr>
        <w:t>, ir fiziska persona, kas izmanto kriptoaktīvus un ir nodibinājusi attiecības ar kriptoaktīvu pakalpojumu sniedzēju, kas sniedz ziņojumus, no [xx.xx.xxxx].</w:t>
      </w:r>
    </w:p>
    <w:p w14:paraId="68DF3D9B" w14:textId="20C3463B" w:rsidR="00335C80" w:rsidRPr="006A430D" w:rsidRDefault="00E119CB" w:rsidP="00CC333D">
      <w:pPr>
        <w:widowControl w:val="0"/>
        <w:tabs>
          <w:tab w:val="left" w:pos="525"/>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5. </w:t>
      </w:r>
      <w:r>
        <w:rPr>
          <w:rFonts w:ascii="Times New Roman" w:hAnsi="Times New Roman"/>
          <w:b/>
          <w:bCs/>
          <w:sz w:val="24"/>
        </w:rPr>
        <w:t>“Vienība, kas izmanto kriptoaktīvus”</w:t>
      </w:r>
      <w:r>
        <w:rPr>
          <w:rFonts w:ascii="Times New Roman" w:hAnsi="Times New Roman"/>
          <w:sz w:val="24"/>
        </w:rPr>
        <w:t>, ir kriptoaktīvu lietotājs, kas ir vienība.</w:t>
      </w:r>
    </w:p>
    <w:p w14:paraId="574B5499" w14:textId="1646A993"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 xml:space="preserve">6. </w:t>
      </w:r>
      <w:r>
        <w:rPr>
          <w:rFonts w:ascii="Times New Roman" w:hAnsi="Times New Roman"/>
          <w:b/>
          <w:bCs/>
          <w:sz w:val="24"/>
        </w:rPr>
        <w:t>“Iepriekšpastāvējusi vienība, kas izmanto kriptoaktīvus”</w:t>
      </w:r>
      <w:r>
        <w:rPr>
          <w:rFonts w:ascii="Times New Roman" w:hAnsi="Times New Roman"/>
          <w:sz w:val="24"/>
        </w:rPr>
        <w:t>, ir vienība, kas izmanto kriptoaktīvus un ir nodibinājusi attiecības ar kriptoaktīvu pakalpojumu sniedzēju, kas sniedz ziņojumus, no [xx.xx.xxxx].</w:t>
      </w:r>
    </w:p>
    <w:p w14:paraId="7FF963FE" w14:textId="50CB5970"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7. </w:t>
      </w:r>
      <w:r>
        <w:rPr>
          <w:rFonts w:ascii="Times New Roman" w:hAnsi="Times New Roman"/>
          <w:b/>
          <w:bCs/>
          <w:sz w:val="24"/>
        </w:rPr>
        <w:t>“Persona, par kuru jāsniedz ziņojums”</w:t>
      </w:r>
      <w:r>
        <w:rPr>
          <w:rFonts w:ascii="Times New Roman" w:hAnsi="Times New Roman"/>
          <w:sz w:val="24"/>
        </w:rPr>
        <w:t xml:space="preserve"> ir persona jurisdikcijā, par kuru jāsniedz ziņojums, un nav izslēgtā persona.</w:t>
      </w:r>
    </w:p>
    <w:p w14:paraId="1D7E157D" w14:textId="67E1C1A9"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8. </w:t>
      </w:r>
      <w:r>
        <w:rPr>
          <w:rFonts w:ascii="Times New Roman" w:hAnsi="Times New Roman"/>
          <w:b/>
          <w:bCs/>
          <w:sz w:val="24"/>
        </w:rPr>
        <w:t>“Persona jurisdikcijā, par kuru jāsniedz ziņojums”</w:t>
      </w:r>
      <w:r>
        <w:rPr>
          <w:rFonts w:ascii="Times New Roman" w:hAnsi="Times New Roman"/>
          <w:sz w:val="24"/>
        </w:rPr>
        <w:t>, ir fiziska persona vai vienība, kam rezidenta statuss jurisdikcijā, par kuru jāsniedz ziņojums, saskaņā ar šīs jurisdikcijas nodokļu tiesību aktiem, vai tādas mirušas personas īpašums, kurai ir bijis rezidenta statuss jurisdikcijā, par kuru jāsniedz ziņojums. Šajā saistībā vienību, piemēram, personālsabiedrību, personālsabiedrību ar ierobežotu atbildību vai līdzīgu juridisku veidojumu, kam nodokļu aprēķina vajadzībām nav rezidenta statusa, uzskata par tās jurisdikcijas rezidentu, kurā atrodas tās faktiskā vadība.</w:t>
      </w:r>
    </w:p>
    <w:p w14:paraId="090B2CF6" w14:textId="63B468DB" w:rsidR="00335C80" w:rsidRPr="006A430D" w:rsidRDefault="00E119CB"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9. </w:t>
      </w:r>
      <w:r>
        <w:rPr>
          <w:rFonts w:ascii="Times New Roman" w:hAnsi="Times New Roman"/>
          <w:b/>
          <w:bCs/>
          <w:sz w:val="24"/>
        </w:rPr>
        <w:t>“Jurisdikcija, par kuru jāsniedz ziņojums”</w:t>
      </w:r>
      <w:r>
        <w:rPr>
          <w:rFonts w:ascii="Times New Roman" w:hAnsi="Times New Roman"/>
          <w:sz w:val="24"/>
        </w:rPr>
        <w:t xml:space="preserve"> ir jebkura jurisdikcija, a) ar kuru ir noslēgta vienošanās vai nolīgums, kas paredz, ka [jurisdikcijai] ir pienākums sniegt II pantā norādīto informāciju attiecībā uz personām, par kurām jāsniedz ziņojums un kuras ir rezidentes šajā jurisdikcijā, un b) kura ir šādi norādīta sarakstā, ko publicējusi [jurisdikcija].</w:t>
      </w:r>
    </w:p>
    <w:p w14:paraId="0CC896F6" w14:textId="0F7D8AAE" w:rsidR="00335C80" w:rsidRPr="006A430D" w:rsidRDefault="00E119CB" w:rsidP="00CC333D">
      <w:pPr>
        <w:widowControl w:val="0"/>
        <w:tabs>
          <w:tab w:val="left" w:pos="523"/>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10. </w:t>
      </w:r>
      <w:r>
        <w:rPr>
          <w:rFonts w:ascii="Times New Roman" w:hAnsi="Times New Roman"/>
          <w:b/>
          <w:bCs/>
          <w:sz w:val="24"/>
        </w:rPr>
        <w:t>“Kontrolējošās personas”</w:t>
      </w:r>
      <w:r>
        <w:rPr>
          <w:rFonts w:ascii="Times New Roman" w:hAnsi="Times New Roman"/>
          <w:sz w:val="24"/>
        </w:rPr>
        <w:t xml:space="preserve"> ir fiziskas personas, kas kontrolē vienību. Trasta gadījumā minētais termins nozīmē dibinātāju(-us), pilnvaroto(-os), aizstāvi(-jus) (ja tāds/tādi ir), labuma guvēju(-us) vai labuma guvēju klasi(-es) un jebkādu(-as) citu(-as) fizisku(-as) personu(-as), kas īsteno galīgu faktisko kontroli pār trastu; saistībā ar tādu juridisku veidojumu, kas nav trasts, šis termins nozīmē personas līdzvērtīgos vai līdzīgos posteņos. Termins “kontrolējošās personas” jāinterpretē atbilstīgi Finanšu darījumu darba grupas 2012. gada ieteikumiem, kas atjaunināti 2019. gadā attiecībā uz virtuālo aktīvu pakalpojumu sniedzējiem.</w:t>
      </w:r>
    </w:p>
    <w:p w14:paraId="639071B5" w14:textId="132ADA13" w:rsidR="00335C80" w:rsidRPr="006A430D" w:rsidRDefault="00E119CB" w:rsidP="00CC333D">
      <w:pPr>
        <w:widowControl w:val="0"/>
        <w:tabs>
          <w:tab w:val="left" w:pos="524"/>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11. </w:t>
      </w:r>
      <w:r>
        <w:rPr>
          <w:rFonts w:ascii="Times New Roman" w:hAnsi="Times New Roman"/>
          <w:b/>
          <w:bCs/>
          <w:sz w:val="24"/>
        </w:rPr>
        <w:t>“Aktīva vienība”</w:t>
      </w:r>
      <w:r>
        <w:rPr>
          <w:rFonts w:ascii="Times New Roman" w:hAnsi="Times New Roman"/>
          <w:sz w:val="24"/>
        </w:rPr>
        <w:t xml:space="preserve"> ir jebkura vienība, kas izpilda kādu no šādiem kritērijiem:</w:t>
      </w:r>
    </w:p>
    <w:p w14:paraId="37670731" w14:textId="3A3841AB" w:rsidR="00335C80" w:rsidRPr="006A430D" w:rsidRDefault="00E119CB" w:rsidP="00CC333D">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 mazāk nekā 50 % no vienības bruto ienākumiem iepriekšējā kalendārajā gadā vai citā atbilstīgā pārskata periodā ir pasīvi ienākumi, un mazāk nekā 50 % no vienības turētiem aktīviem iepriekšējā kalendārajā gadā vai citā atbilstīgā pārskata periodā ir aktīvi, kuri tiek turēti pasīvu ienākumu veidošanai;</w:t>
      </w:r>
    </w:p>
    <w:p w14:paraId="068BC5DC" w14:textId="3823679C" w:rsidR="00335C80" w:rsidRPr="006A430D" w:rsidRDefault="00E119CB" w:rsidP="00CC333D">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būtībā visa vienības darbība ir turēt (pilnībā vai daļēji) akcijas, ko emitējis viens vai vairāki meitasuzņēmumi, kuri veic tirdzniecību vai darījumdarbību, kas nav finanšu iestādes darījumdarbība, un sniegt finansējumu un pakalpojumus šādiem meitasuzņēmumiem, bet vienība neatbilst šāda statusa kritērijiem, ja tā darbojas (vai uzskata, ka tā darbojas) kā ieguldījumu fonds, piemēram, privāts kapitāla fonds, riska kapitāla fonds, fonds, kas veic pirkšanas darījumus, izmantojot aizņemtus līdzekļus, vai ieguldījumu sabiedrība, kuras nolūks ir iegādāties vai finansēt sabiedrības un tad būt līdzdalības daļu turētājai šādās sabiedrībās, turot kapitāla aktīvus ieguldīšanas nolūkā;</w:t>
      </w:r>
    </w:p>
    <w:p w14:paraId="3B324158" w14:textId="1894B6A4" w:rsidR="00335C80" w:rsidRPr="006A430D" w:rsidRDefault="00E119CB" w:rsidP="00CC333D">
      <w:pPr>
        <w:widowControl w:val="0"/>
        <w:tabs>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c) vienība vēl neveic darījumdarbību, un tā arī iepriekš nav veikusi darījumdarbību, bet tā veic kapitāla ieguldījumus aktīvos ar nolūku veikt darījumdarbību, kas nav finanšu iestādes darījumdarbība, ar nosacījumu, ka vienība neatbilst šādam izņēmuma statusam, ja kopš vienības sākotnējās izveides datuma ir pagājuši 24 mēneši;</w:t>
      </w:r>
    </w:p>
    <w:p w14:paraId="12019E32" w14:textId="42D0B872" w:rsidR="00335C80" w:rsidRPr="006A430D" w:rsidRDefault="00E119CB" w:rsidP="00CC333D">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d) vienība nav bijusi finanšu iestāde iepriekšējo piecu gadu laikā un atrodas tās aktīvu likvidācijas vai reorganizācijas procesā ar nolūku turpināt vai atsākt tādu darījumdarbību, kas nav finanšu iestādes darījumdarbība;</w:t>
      </w:r>
    </w:p>
    <w:p w14:paraId="631E93BE" w14:textId="3BF432AA" w:rsidR="00335C80" w:rsidRPr="006A430D" w:rsidRDefault="00E119CB" w:rsidP="002A28B7">
      <w:pPr>
        <w:tabs>
          <w:tab w:val="left" w:pos="1235"/>
          <w:tab w:val="left" w:pos="1237"/>
        </w:tabs>
        <w:autoSpaceDE w:val="0"/>
        <w:autoSpaceDN w:val="0"/>
        <w:spacing w:before="120" w:after="120" w:line="240" w:lineRule="auto"/>
        <w:ind w:left="568"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e) vienība galvenokārt iesaistās finansēšanas un riska ierobežošanas darījumos ar saistītām vienībām, kas nav finanšu iestādes, vai šādu vienību uzdevumā un nesniedz finansēšanas vai riska ierobežošanas pakalpojumus nevienai vienībai, kas nav saistītā vienība, ar </w:t>
      </w:r>
      <w:r>
        <w:rPr>
          <w:rFonts w:ascii="Times New Roman" w:hAnsi="Times New Roman"/>
          <w:sz w:val="24"/>
        </w:rPr>
        <w:lastRenderedPageBreak/>
        <w:t>nosacījumu, ka šādu saistītu vienību grupa galvenokārt ir iesaistīta darījumdarbībā, kas nav finanšu iestādes darījumdarbība, vai</w:t>
      </w:r>
    </w:p>
    <w:p w14:paraId="2716C6FA" w14:textId="65C76BC9" w:rsidR="00335C80" w:rsidRPr="006A430D" w:rsidRDefault="00E119CB" w:rsidP="00CC333D">
      <w:pPr>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f) vienība atbilst visām šādām prasībām:</w:t>
      </w:r>
    </w:p>
    <w:p w14:paraId="2FDC2E54" w14:textId="3335C8B7" w:rsidR="00335C80" w:rsidRPr="006A430D" w:rsidRDefault="00503FD4" w:rsidP="00CC333D">
      <w:pPr>
        <w:widowControl w:val="0"/>
        <w:tabs>
          <w:tab w:val="left" w:pos="1803"/>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i) tā ir izveidota un darbojas savā rezidences jurisdikcijā vienīgi ar reliģiju, labdarību, zinātni, mākslu, kultūru, sportu vai izglītību saistītiem mērķiem vai tā ir izveidota un darbojas savā rezidences jurisdikcijā un ir profesionāla organizācija, biznesa savienība, tirdzniecības kamera, arodorganizācija, lauksaimniecības vai dārzkopības organizācija, pilsoniska savienība vai organizācija, kas darbojas vienīgi sociālās labklājības veicināšanai;</w:t>
      </w:r>
    </w:p>
    <w:p w14:paraId="2CEA0743" w14:textId="5BD46C83" w:rsidR="00335C80" w:rsidRPr="006A430D" w:rsidRDefault="00503FD4" w:rsidP="00CC333D">
      <w:pPr>
        <w:widowControl w:val="0"/>
        <w:tabs>
          <w:tab w:val="left" w:pos="1802"/>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ii) tā ir atbrīvota no ienākuma nodokļa savā rezidences jurisdikcijā;</w:t>
      </w:r>
    </w:p>
    <w:p w14:paraId="29255867" w14:textId="5964122B" w:rsidR="00335C80" w:rsidRPr="006A430D" w:rsidRDefault="00503FD4" w:rsidP="00CC333D">
      <w:pPr>
        <w:widowControl w:val="0"/>
        <w:tabs>
          <w:tab w:val="left" w:pos="1799"/>
          <w:tab w:val="left" w:pos="1803"/>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iii) tai nav akcionāru vai dalībnieku, kam būtu īpašumtiesības vai labuma gūšanas intereses attiecībā uz tās ienākumiem vai aktīviem;</w:t>
      </w:r>
    </w:p>
    <w:p w14:paraId="18BD30B3" w14:textId="27C0CD8B" w:rsidR="00335C80" w:rsidRPr="006A430D" w:rsidRDefault="00503FD4" w:rsidP="00CC333D">
      <w:pPr>
        <w:widowControl w:val="0"/>
        <w:tabs>
          <w:tab w:val="left" w:pos="1801"/>
          <w:tab w:val="left" w:pos="1803"/>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iv) saskaņā ar vienības rezidences jurisdikcijas piemērojamiem tiesību aktiem vai vienības dibināšanas dokumentiem vienības ienākumus vai aktīvus nedrīkst sadalīt vai izmantot par labu privātpersonai vai vienībai, kas nav labdarības organizācija, ja šāda sadalīšana vai izmantošana nav saistīta ar vienības veiktajām labdarības darbībām, vai izmantot, lai veiktu pamatotas kompensācijas maksājumu par saņemtajiem pakalpojumiem vai maksājumu, kas atbilst vienības iegādāta īpašuma patiesai tirgus vērtībai, un</w:t>
      </w:r>
    </w:p>
    <w:p w14:paraId="2D020F3B" w14:textId="43018E0B" w:rsidR="00335C80" w:rsidRPr="006A430D" w:rsidRDefault="00503FD4" w:rsidP="00CC333D">
      <w:pPr>
        <w:widowControl w:val="0"/>
        <w:tabs>
          <w:tab w:val="left" w:pos="1801"/>
          <w:tab w:val="left" w:pos="1803"/>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v) saskaņā ar vienības rezidences jurisdikcijas piemērojamiem tiesību aktiem vai vienības dibināšanas dokumentiem tad, ja vienība tiek likvidēta vai beidz pastāvēt, visi tās aktīvi tiek sadalīti valdības vienībai vai citai bezpeļņas organizācijai vai pāriet vienības rezidences jurisdikcijas vai kāda tās administratīvi teritoriālā veidojuma valdības īpašumā.</w:t>
      </w:r>
    </w:p>
    <w:p w14:paraId="355FD514" w14:textId="6B077806" w:rsidR="00335C80" w:rsidRPr="00CC333D" w:rsidRDefault="00503FD4" w:rsidP="00CC333D">
      <w:pPr>
        <w:widowControl w:val="0"/>
        <w:tabs>
          <w:tab w:val="left" w:pos="513"/>
        </w:tabs>
        <w:autoSpaceDE w:val="0"/>
        <w:autoSpaceDN w:val="0"/>
        <w:spacing w:before="240" w:after="120" w:line="240" w:lineRule="auto"/>
        <w:jc w:val="both"/>
        <w:rPr>
          <w:rFonts w:ascii="Times New Roman" w:eastAsia="Arial" w:hAnsi="Times New Roman" w:cs="Times New Roman"/>
          <w:b/>
          <w:bCs/>
          <w:i/>
          <w:iCs/>
          <w:noProof/>
          <w:kern w:val="0"/>
          <w:sz w:val="26"/>
          <w:szCs w:val="26"/>
          <w14:ligatures w14:val="none"/>
        </w:rPr>
      </w:pPr>
      <w:bookmarkStart w:id="64" w:name="E._Excluded_Person"/>
      <w:bookmarkEnd w:id="64"/>
      <w:r>
        <w:rPr>
          <w:rFonts w:ascii="Times New Roman" w:hAnsi="Times New Roman"/>
          <w:b/>
          <w:i/>
          <w:sz w:val="26"/>
        </w:rPr>
        <w:t>E. Izslēgtā persona</w:t>
      </w:r>
    </w:p>
    <w:p w14:paraId="19B4258F" w14:textId="44BB5C20" w:rsidR="00335C80" w:rsidRPr="006A430D" w:rsidRDefault="00503FD4"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 </w:t>
      </w:r>
      <w:r>
        <w:rPr>
          <w:rFonts w:ascii="Times New Roman" w:hAnsi="Times New Roman"/>
          <w:b/>
          <w:bCs/>
          <w:sz w:val="24"/>
        </w:rPr>
        <w:t>“Izslēgtā persona”</w:t>
      </w:r>
      <w:r>
        <w:rPr>
          <w:rFonts w:ascii="Times New Roman" w:hAnsi="Times New Roman"/>
          <w:sz w:val="24"/>
        </w:rPr>
        <w:t xml:space="preserve"> ir a) vienība, kuras akcijas regulāri tirgo vienā vai vairākos vispāratzītos vērtspapīru tirgos; b) jebkura vienība, kas ir a) punktā aprakstītās vienības saistītā vienība; c) valdības vienība; d) starptautiska organizācija; e) Centrālā banka vai f) finanšu iestāde, kas nav IV panta E punkta 5. apakšpunkta b) daļā aprakstītā ieguldījumu vienība.</w:t>
      </w:r>
    </w:p>
    <w:p w14:paraId="2F119DD1" w14:textId="58DAF91D" w:rsidR="00335C80" w:rsidRPr="006A430D" w:rsidRDefault="00503FD4"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 </w:t>
      </w:r>
      <w:r>
        <w:rPr>
          <w:rFonts w:ascii="Times New Roman" w:hAnsi="Times New Roman"/>
          <w:b/>
          <w:bCs/>
          <w:sz w:val="24"/>
        </w:rPr>
        <w:t>“Finanšu iestāde”</w:t>
      </w:r>
      <w:r>
        <w:rPr>
          <w:rFonts w:ascii="Times New Roman" w:hAnsi="Times New Roman"/>
          <w:sz w:val="24"/>
        </w:rPr>
        <w:t xml:space="preserve"> ir turētājiestāde, noguldījumu iestāde, ieguldījumu vienība vai specializētā apdrošināšanas sabiedrība.</w:t>
      </w:r>
    </w:p>
    <w:p w14:paraId="51E01D9C" w14:textId="20EBE22B" w:rsidR="00335C80" w:rsidRPr="006A430D" w:rsidRDefault="00503FD4"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 </w:t>
      </w:r>
      <w:r>
        <w:rPr>
          <w:rFonts w:ascii="Times New Roman" w:hAnsi="Times New Roman"/>
          <w:b/>
          <w:bCs/>
          <w:sz w:val="24"/>
        </w:rPr>
        <w:t>“Turētājiestāde”</w:t>
      </w:r>
      <w:r>
        <w:rPr>
          <w:rFonts w:ascii="Times New Roman" w:hAnsi="Times New Roman"/>
          <w:sz w:val="24"/>
        </w:rPr>
        <w:t xml:space="preserve"> ir jebkura vienība, kas tur finanšu aktīvus citu uzdevumā, šādai darbībai veidojot tās darījumdarbības būtisku daļu. Finanšu aktīvu turēšana citu uzdevumā uzskatāma par vienības darījumdarbības būtisku daļu, ja vienības bruto ienākumi saistībā ar finanšu aktīvu turēšanu un saistītiem finanšu pakalpojumiem ir vismaz 20 % no vienības bruto ienākumiem vai nu i) trīs gadu laikposmā, kas beidzas 31. decembrī (vai arī tāda uzskaites perioda pēdējā dienā, kas nav kalendārais gads) pirms gada, kurā ir veikta noteikšana, vai arī ii) vienības pastāvēšanas laikposmā, piemērojot īsāko no šiem laika posmiem.</w:t>
      </w:r>
    </w:p>
    <w:p w14:paraId="1DDCDCD7" w14:textId="66947532" w:rsidR="00335C80" w:rsidRPr="006A430D" w:rsidRDefault="00503FD4" w:rsidP="00CC333D">
      <w:pPr>
        <w:widowControl w:val="0"/>
        <w:tabs>
          <w:tab w:val="left" w:pos="525"/>
        </w:tabs>
        <w:autoSpaceDE w:val="0"/>
        <w:autoSpaceDN w:val="0"/>
        <w:spacing w:before="120" w:after="120" w:line="240" w:lineRule="auto"/>
        <w:ind w:left="284" w:hanging="284"/>
        <w:jc w:val="both"/>
        <w:rPr>
          <w:rFonts w:ascii="Times New Roman" w:eastAsia="Arial" w:hAnsi="Times New Roman" w:cs="Times New Roman"/>
          <w:b/>
          <w:noProof/>
          <w:kern w:val="0"/>
          <w:sz w:val="24"/>
          <w:szCs w:val="24"/>
          <w14:ligatures w14:val="none"/>
        </w:rPr>
      </w:pPr>
      <w:r>
        <w:rPr>
          <w:rFonts w:ascii="Times New Roman" w:hAnsi="Times New Roman"/>
          <w:sz w:val="24"/>
        </w:rPr>
        <w:t xml:space="preserve">4. </w:t>
      </w:r>
      <w:r>
        <w:rPr>
          <w:rFonts w:ascii="Times New Roman" w:hAnsi="Times New Roman"/>
          <w:b/>
          <w:bCs/>
          <w:sz w:val="24"/>
        </w:rPr>
        <w:t>“Noguldījumu vienība”</w:t>
      </w:r>
      <w:r>
        <w:rPr>
          <w:rFonts w:ascii="Times New Roman" w:hAnsi="Times New Roman"/>
          <w:sz w:val="24"/>
        </w:rPr>
        <w:t xml:space="preserve"> ir jebkura vienība, kas:</w:t>
      </w:r>
    </w:p>
    <w:p w14:paraId="3D10DE8D" w14:textId="2FA40270" w:rsidR="00335C80" w:rsidRPr="006A430D" w:rsidRDefault="00503FD4" w:rsidP="00CC333D">
      <w:pPr>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 pieņem noguldījumus parastā banku vai līdzīgas darījumdarbības gaitā vai</w:t>
      </w:r>
    </w:p>
    <w:p w14:paraId="4B3694C6" w14:textId="112A857D" w:rsidR="00335C80" w:rsidRPr="006A430D" w:rsidRDefault="00503FD4" w:rsidP="00CC333D">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tur noteiktus elektroniskās naudas produktus vai Centrālās bankas digitālās valūtas klientu labā.</w:t>
      </w:r>
    </w:p>
    <w:p w14:paraId="07F649B3" w14:textId="56444E31" w:rsidR="00335C80" w:rsidRPr="006A430D" w:rsidRDefault="00503FD4" w:rsidP="00CC333D">
      <w:pPr>
        <w:widowControl w:val="0"/>
        <w:tabs>
          <w:tab w:val="left" w:pos="525"/>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5. </w:t>
      </w:r>
      <w:r>
        <w:rPr>
          <w:rFonts w:ascii="Times New Roman" w:hAnsi="Times New Roman"/>
          <w:b/>
          <w:bCs/>
          <w:sz w:val="24"/>
        </w:rPr>
        <w:t>“Ieguldījumu vienība”</w:t>
      </w:r>
      <w:r>
        <w:rPr>
          <w:rFonts w:ascii="Times New Roman" w:hAnsi="Times New Roman"/>
          <w:sz w:val="24"/>
        </w:rPr>
        <w:t xml:space="preserve"> ir jebkura vienība:</w:t>
      </w:r>
    </w:p>
    <w:p w14:paraId="0E75FC5F" w14:textId="0DD72EA4" w:rsidR="00335C80" w:rsidRPr="006A430D" w:rsidRDefault="00503FD4" w:rsidP="00302F44">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 kuras darījumdarbība galvenokārt ir veikt vienu vai vairākas šādas darbības vai operācijas klienta uzdevumā vai vārdā:</w:t>
      </w:r>
    </w:p>
    <w:p w14:paraId="5F5F7FA8" w14:textId="6AF51520" w:rsidR="00335C80" w:rsidRPr="006A430D" w:rsidRDefault="00503FD4" w:rsidP="00613E49">
      <w:pPr>
        <w:widowControl w:val="0"/>
        <w:tabs>
          <w:tab w:val="left" w:pos="1803"/>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i) tirdzniecība ar naudas tirgus instrumentiem (čekiem, vekseļiem, noguldījumu sertifikātiem, atvasinātiem instrumentiem u. c.); ārvalstu valūtu; valūtas kursa, procentu likmju un indeksu instrumentiem; pārvedamiem vērtspapīriem vai regulētā tirgū tirgotiem preču nākotnes līgumiem;</w:t>
      </w:r>
    </w:p>
    <w:p w14:paraId="6DB1443E" w14:textId="3BE1F140" w:rsidR="00335C80" w:rsidRPr="006A430D" w:rsidRDefault="00503FD4" w:rsidP="00613E49">
      <w:pPr>
        <w:widowControl w:val="0"/>
        <w:tabs>
          <w:tab w:val="left" w:pos="1802"/>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ii) individuāla un kolektīva portfeļa pārvaldība vai</w:t>
      </w:r>
    </w:p>
    <w:p w14:paraId="4493F429" w14:textId="367BB6F2" w:rsidR="00335C80" w:rsidRPr="006A430D" w:rsidRDefault="00503FD4" w:rsidP="00613E49">
      <w:pPr>
        <w:widowControl w:val="0"/>
        <w:tabs>
          <w:tab w:val="left" w:pos="1799"/>
          <w:tab w:val="left" w:pos="1803"/>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iii) citāda finanšu aktīvu, naudas vai attiecīgo kriptoaktīvu ieguldīšana, administrēšana vai pārvaldība citu personu vārdā vai</w:t>
      </w:r>
    </w:p>
    <w:p w14:paraId="7B0AA9A0" w14:textId="488E3EE8" w:rsidR="00335C80" w:rsidRPr="006A430D" w:rsidRDefault="00503FD4" w:rsidP="00302F44">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kuras bruto ienākumi galvenokārt ir saistīti ar finanšu aktīvu vai attiecīgo kriptoaktīvu ieguldīšanu, atkārtotu ieguldīšanu vai tirdzniecību, ja vienību pārvalda cita vienība, kas ir noguldījumu iestāde, turētājiestāde, specializētā apdrošināšanas sabiedrība vai ieguldījumu vienība, kas aprakstīta E punkta 5. apakšpunkta a) daļā.</w:t>
      </w:r>
    </w:p>
    <w:p w14:paraId="631A4C12" w14:textId="77777777" w:rsidR="00335C80" w:rsidRPr="006A430D" w:rsidRDefault="00335C80" w:rsidP="00613E49">
      <w:pPr>
        <w:widowControl w:val="0"/>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Uzskata, ka vienības darījumdarbība galvenokārt ir viena vai vairākas E punkta 5. apakšpunkta a) daļā aprakstītās darbības vai ka vienības bruto ienākumi galvenokārt ir saistīti ar finanšu aktīvu vai attiecīgo kriptoaktīvu ieguldīšanu, atkārtotu ieguldīšanu vai tirdzniecību E punkta 5. apakšpunkta b) daļas vajadzībām, ja vienības bruto ienākumi, kas saistīti ar attiecīgajām darbībām, ir vismaz 50 % no vienības bruto ienākumiem vai nu: i) trīs gadu laika posmā, kurš beidzas tāda gada 31. decembrī, kas seko gadam, kad ir veikta noteikšana, vai arī ii) vienības pastāvēšanas laika posmā, piemērojot īsāko no šiem laika posmiem. Šā panta E punkta 5. apakšpunkta a) daļas iii) punkta vajadzībām termins “citāda finanšu aktīvu, naudas vai attiecīgo kriptoaktīvu ieguldīšana, administrēšana vai pārvaldība citu personu vārdā” neietver pakalpojumu, ar ko izpilda maiņas darījumus klientiem vai to vārdā. Termins “ieguldījumu vienība” neietver vienību, kas ir aktīva vienība, jo minētā vienība atbilst visiem D punkta 11. apakšpunkta b)–e) daļas kritērijiem.</w:t>
      </w:r>
    </w:p>
    <w:p w14:paraId="2CEBDBAB" w14:textId="3C943488" w:rsidR="00335C80" w:rsidRPr="006A430D" w:rsidRDefault="00335C80" w:rsidP="00613E49">
      <w:pPr>
        <w:widowControl w:val="0"/>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Šo apakšpunktu interpretē atbilstīgi tam, kā ir formulēta termina “finanšu iestāde” definīcija Finanšu darījumu darba grupas ieteikumos.</w:t>
      </w:r>
    </w:p>
    <w:p w14:paraId="6F5707E9" w14:textId="1377EBAA" w:rsidR="00335C80" w:rsidRPr="006A430D" w:rsidRDefault="00503FD4"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6. </w:t>
      </w:r>
      <w:r>
        <w:rPr>
          <w:rFonts w:ascii="Times New Roman" w:hAnsi="Times New Roman"/>
          <w:b/>
          <w:bCs/>
          <w:sz w:val="24"/>
        </w:rPr>
        <w:t>“Specializētā apdrošināšanas sabiedrība”</w:t>
      </w:r>
      <w:r>
        <w:rPr>
          <w:rFonts w:ascii="Times New Roman" w:hAnsi="Times New Roman"/>
          <w:sz w:val="24"/>
        </w:rPr>
        <w:t xml:space="preserve"> ir vienība, kas ir apdrošināšanas sabiedrība (vai apdrošināšanas sabiedrības pārvaldītājsabiedrība) un izdod apdrošināšanas līgumu ar naudas vērtību vai anuitātes līgumu vai kam ir pienākums veikt maksājumus saistībā ar šādiem līgumiem.</w:t>
      </w:r>
    </w:p>
    <w:p w14:paraId="7CEA11F1" w14:textId="59241953" w:rsidR="00335C80" w:rsidRPr="006A430D" w:rsidRDefault="00503FD4"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7. </w:t>
      </w:r>
      <w:r>
        <w:rPr>
          <w:rFonts w:ascii="Times New Roman" w:hAnsi="Times New Roman"/>
          <w:b/>
          <w:bCs/>
          <w:sz w:val="24"/>
        </w:rPr>
        <w:t>“Valdības vienība”</w:t>
      </w:r>
      <w:r>
        <w:rPr>
          <w:rFonts w:ascii="Times New Roman" w:hAnsi="Times New Roman"/>
          <w:sz w:val="24"/>
        </w:rPr>
        <w:t xml:space="preserve"> ir jurisdikcijas valdība, jebkāds jurisdikcijas administratīvi teritoriāls veidojums (kas, lai izvairītos no neskaidrībām, ietver štatu, provinci, novadu vai municipalitāti) vai jurisdikcijai vai minētajiem administratīvi teritoriāliem veidojumiem pilnībā piederoša aģentūra vai iestāde. Šajā kategorijā ietilpst no jurisdikcijas neatņemamas daļas, kontrolētas vienības un administratīvi teritoriālie veidojumi.</w:t>
      </w:r>
    </w:p>
    <w:p w14:paraId="3ABF4A74" w14:textId="35A5DA45" w:rsidR="00335C80" w:rsidRPr="006A430D" w:rsidRDefault="00503FD4" w:rsidP="00613E49">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 Jurisdikcijas “neatņemama daļa” ir jebkura persona, organizācija, aģentūra, birojs, fonds, iestāde vai cita veida struktūra, kas ir jurisdikcijas pārvaldes iestāde. Pārvaldes iestādes neto ienākumi ir jāieskaita tās kontā vai citos jurisdikcijas kontos, lai neviena fiziska persona negūtu labumu no šiem ienākumiem. Par neatņemamu daļu neuzskata nevienu fizisku personu, kas ir vadītājs, amatpersona vai administrators un kas rīkojas privātpersonas statusā.</w:t>
      </w:r>
    </w:p>
    <w:p w14:paraId="57982060" w14:textId="35137A0A" w:rsidR="00335C80" w:rsidRPr="006A430D" w:rsidRDefault="00503FD4" w:rsidP="00613E49">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Kontrolēta vienība ir vienība, kas pēc savas formas ir atdalīta no jurisdikcijas vai kas citādi veido atsevišķu juridisku vienību, ar nosacījumu, ka:</w:t>
      </w:r>
    </w:p>
    <w:p w14:paraId="021EF3B9" w14:textId="685C1B36" w:rsidR="00335C80" w:rsidRPr="006A430D" w:rsidRDefault="00503FD4" w:rsidP="00613E49">
      <w:pPr>
        <w:widowControl w:val="0"/>
        <w:tabs>
          <w:tab w:val="left" w:pos="1803"/>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i) vienība tieši vai ar vienas vai vairāku kontrolētu vienību starpniecību pilnībā pieder vienai vai vairākām valdības vienībām un to kontrolē viena vai vairākas valdības vienības;</w:t>
      </w:r>
    </w:p>
    <w:p w14:paraId="7878A272" w14:textId="3DDA4A11" w:rsidR="00335C80" w:rsidRPr="006A430D" w:rsidRDefault="00503FD4" w:rsidP="00613E49">
      <w:pPr>
        <w:widowControl w:val="0"/>
        <w:tabs>
          <w:tab w:val="left" w:pos="1801"/>
          <w:tab w:val="left" w:pos="1803"/>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t>ii) vienības neto ienākumus ieskaita tās kontā vai vienas vai vairāku valdības vienību kontos, lai neviena privātpersona negūtu labumu no šā ienākuma, un</w:t>
      </w:r>
    </w:p>
    <w:p w14:paraId="46FCEFFE" w14:textId="0A8C828B" w:rsidR="00335C80" w:rsidRPr="006A430D" w:rsidRDefault="00503FD4" w:rsidP="00613E49">
      <w:pPr>
        <w:widowControl w:val="0"/>
        <w:tabs>
          <w:tab w:val="left" w:pos="1799"/>
        </w:tabs>
        <w:autoSpaceDE w:val="0"/>
        <w:autoSpaceDN w:val="0"/>
        <w:spacing w:before="120" w:after="120" w:line="240" w:lineRule="auto"/>
        <w:ind w:left="851" w:hanging="284"/>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iii) pēc likvidēšanas vienības aktīvi pāriet vienas vai vairāku valdības vienību rīcībā.</w:t>
      </w:r>
    </w:p>
    <w:p w14:paraId="708FC880" w14:textId="19A022C1" w:rsidR="00335C80" w:rsidRPr="006A430D" w:rsidRDefault="00503FD4" w:rsidP="00613E49">
      <w:pPr>
        <w:widowControl w:val="0"/>
        <w:tabs>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c) Uzskata, ka privātpersonas negūst labumu no šiem ienākumiem tad, kad šādas personas ir valdības programmās paredzētie labuma guvēji un programmas darbības tiek veiktas nolūkā nodrošināt plašas sabiedrības vispārējo labklājību vai ir saistītas ar valdības atsevišķas sfēras pārvaldīšanu. Neatkarīgi no iepriekš minētā ir tomēr uzskatāms, ka privātpersona gūst labumu no ienākumiem, ja šie ienākumi tiek gūti, izmantojot valdības vienību komercdarbības veikšanai, piemēram, komercbanku darījumdarbībā, ar kuru tiek sniegti finanšu pakalpojumi privātpersonām.</w:t>
      </w:r>
    </w:p>
    <w:p w14:paraId="570BBF8C" w14:textId="19245A29" w:rsidR="00335C80" w:rsidRPr="006A430D" w:rsidRDefault="00503FD4"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8. </w:t>
      </w:r>
      <w:r>
        <w:rPr>
          <w:rFonts w:ascii="Times New Roman" w:hAnsi="Times New Roman"/>
          <w:b/>
          <w:bCs/>
          <w:sz w:val="24"/>
        </w:rPr>
        <w:t>“Starptautiska organizācija”</w:t>
      </w:r>
      <w:r>
        <w:rPr>
          <w:rFonts w:ascii="Times New Roman" w:hAnsi="Times New Roman"/>
          <w:sz w:val="24"/>
        </w:rPr>
        <w:t xml:space="preserve"> ir jebkura starptautiska organizācija vai tai pilnībā piederoša aģentūra vai iestāde. Šajā kategorijā ietilpst jebkura starpvaldību organizācija (tostarp pārvalstiska organizācija), a) kura galvenokārt sastāv no valdībām; b) kurai faktiski ir galvenā mītne vai pēc būtības līdzīgs nolīgums ar jurisdikciju un c) no kuras ienākuma privātpersonas negūst labumu.</w:t>
      </w:r>
    </w:p>
    <w:p w14:paraId="78C0512C" w14:textId="591A3504" w:rsidR="00335C80" w:rsidRPr="006A430D" w:rsidRDefault="00503FD4" w:rsidP="00CC333D">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9. </w:t>
      </w:r>
      <w:r>
        <w:rPr>
          <w:rFonts w:ascii="Times New Roman" w:hAnsi="Times New Roman"/>
          <w:b/>
          <w:bCs/>
          <w:sz w:val="24"/>
        </w:rPr>
        <w:t>“Centrālā banka”</w:t>
      </w:r>
      <w:r>
        <w:rPr>
          <w:rFonts w:ascii="Times New Roman" w:hAnsi="Times New Roman"/>
          <w:sz w:val="24"/>
        </w:rPr>
        <w:t xml:space="preserve"> ir iestāde, kas ar likumu vai valdības atļauju līdztekus pašai jurisdikcijas valdībai ir noteikta kā galvenā iestāde, kura emitē instrumentus, ko paredzēts izmantot kā valūtu. Šāda iestāde var būt no jurisdikcijas valdības nodalīta iestāde, kas pilnībā vai daļēji pieder vai nepieder jurisdikcijai.</w:t>
      </w:r>
    </w:p>
    <w:p w14:paraId="04F6F3BB" w14:textId="3522FC8F" w:rsidR="00335C80" w:rsidRPr="006A430D" w:rsidRDefault="00503FD4" w:rsidP="00CC333D">
      <w:pPr>
        <w:widowControl w:val="0"/>
        <w:tabs>
          <w:tab w:val="left" w:pos="523"/>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10. </w:t>
      </w:r>
      <w:r>
        <w:rPr>
          <w:rFonts w:ascii="Times New Roman" w:hAnsi="Times New Roman"/>
          <w:b/>
          <w:bCs/>
          <w:sz w:val="24"/>
        </w:rPr>
        <w:t>“Finanšu aktīvs”</w:t>
      </w:r>
      <w:r>
        <w:rPr>
          <w:rFonts w:ascii="Times New Roman" w:hAnsi="Times New Roman"/>
          <w:sz w:val="24"/>
        </w:rPr>
        <w:t xml:space="preserve"> ir vērtspapīri (piemēram, kapitāla daļas kapitālsabiedrībā, uzņēmējsabiedrības daļas vai faktisko īpašumtiesību daļas plaši turētā vai publiskā akciju sabiedrībā vai trastā, vekseļi, obligācijas, parādzīmes vai cita veida parādsaistību apliecinājumi), daļas uzņēmējsabiedrībā, preces, mijmaiņas līgumi (piemēram, procentu likmju mijmaiņas līgumi, valūtas mijmaiņas līgumi, bāzes mijmaiņas līgumi, procentu likmes maksimālo robežvērtības līgumi, procentu likmju minimālo robežvērtību līgumi, ar precēm saistīti mijmaiņas līgumi, akciju mijmaiņas līgumi, akciju indeksu mijmaiņas līgumi un līdzīgas vienošanās), apdrošināšanas līgumi vai anuitātes līgumi, vai jebkāda līdzdalība (tostarp regulētā tirgū tirgoti un regulētā tirgū netirgoti nākotnes līgumi vai iespējas līgumi) vērtspapīros, attiecīgajos kriptoaktīvos, uzņēmējsabiedrības daļās, preču līgumos, mijmaiņas līgumos, apdrošināšanas līgumos vai anuitātes līgumos. Termins “finanšu aktīvs” neietver ar parāda finansējumu nesaistītu tiešu līdzdalību nekustamā īpašumā.</w:t>
      </w:r>
    </w:p>
    <w:p w14:paraId="10F11265" w14:textId="34063EB2" w:rsidR="00335C80" w:rsidRPr="006A430D" w:rsidRDefault="00503FD4" w:rsidP="00CC333D">
      <w:pPr>
        <w:widowControl w:val="0"/>
        <w:tabs>
          <w:tab w:val="left" w:pos="523"/>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11. </w:t>
      </w:r>
      <w:r>
        <w:rPr>
          <w:rFonts w:ascii="Times New Roman" w:hAnsi="Times New Roman"/>
          <w:b/>
          <w:bCs/>
          <w:sz w:val="24"/>
        </w:rPr>
        <w:t>“Līdzdalības daļa kapitālā”</w:t>
      </w:r>
      <w:r>
        <w:rPr>
          <w:rFonts w:ascii="Times New Roman" w:hAnsi="Times New Roman"/>
          <w:sz w:val="24"/>
        </w:rPr>
        <w:t xml:space="preserve"> tādas personālsabiedrības gadījumā, kas ir finanšu iestāde, ir līdzdalības daļa personālsabiedrības kapitālā vai peļņā. Tāda trasta gadījumā, kas ir finanšu iestāde, uzskata, ka līdzdalības daļu kapitālā tur jebkura persona, kuru uzskata par dibinātāju vai labuma guvēju saistībā ar visu trastu vai tā daļu, vai cita fiziska persona, kura īsteno galīgo faktisko kontroli pār trastu. Personu, par kuru jāsniedz ziņojums, uzskatīs par trasta labuma guvēju, ja šādai personai ir tiesības tieši vai netieši (piemēram, ar nominālā finanšu aktīvu turētāja starpniecību) saņemt obligāto peļņas sadali vai kura tieši vai netieši var saņemt diskrecionāru peļņas sadali no trasta.</w:t>
      </w:r>
    </w:p>
    <w:p w14:paraId="4DB5AA13" w14:textId="482ECE84" w:rsidR="00335C80" w:rsidRPr="006A430D" w:rsidRDefault="00503FD4" w:rsidP="00CC333D">
      <w:pPr>
        <w:widowControl w:val="0"/>
        <w:tabs>
          <w:tab w:val="left" w:pos="523"/>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12. </w:t>
      </w:r>
      <w:r>
        <w:rPr>
          <w:rFonts w:ascii="Times New Roman" w:hAnsi="Times New Roman"/>
          <w:b/>
          <w:bCs/>
          <w:sz w:val="24"/>
        </w:rPr>
        <w:t>“Apdrošināšanas līgums”</w:t>
      </w:r>
      <w:r>
        <w:rPr>
          <w:rFonts w:ascii="Times New Roman" w:hAnsi="Times New Roman"/>
          <w:sz w:val="24"/>
        </w:rPr>
        <w:t xml:space="preserve"> ir līgums (kas nav anuitātes līgums), saskaņā ar kuru līguma devējs piekrīt maksāt noteiktu summu, ja iestājas konkrēti apstākļi, kas ir saistīti ar mirstības, saslimstības, nelaimes gadījuma, atbildības vai īpašuma risku.</w:t>
      </w:r>
    </w:p>
    <w:p w14:paraId="4D4A7650" w14:textId="0603D65E" w:rsidR="00335C80" w:rsidRPr="006A430D" w:rsidRDefault="00503FD4" w:rsidP="00CC333D">
      <w:pPr>
        <w:widowControl w:val="0"/>
        <w:tabs>
          <w:tab w:val="left" w:pos="523"/>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13. </w:t>
      </w:r>
      <w:r>
        <w:rPr>
          <w:rFonts w:ascii="Times New Roman" w:hAnsi="Times New Roman"/>
          <w:b/>
          <w:bCs/>
          <w:sz w:val="24"/>
        </w:rPr>
        <w:t>“Anuitātes līgums”</w:t>
      </w:r>
      <w:r>
        <w:rPr>
          <w:rFonts w:ascii="Times New Roman" w:hAnsi="Times New Roman"/>
          <w:sz w:val="24"/>
        </w:rPr>
        <w:t xml:space="preserve"> ir līgums, saskaņā ar kuru līguma devējs piekrīt veikt maksājumus tādā laika posmā, kuru pilnībā vai daļēji nosaka, ņemot vērā vienas vai vairāku fizisku personu paredzamo dzīves ilgumu. Termins ietver arī līgumu, ko uzskata par anuitātes līgumu atbilstīgi tās jurisdikcijas normatīvajiem aktiem vai praksei, kurā līgums izdots, un saskaņā ar ko devējs piekrīt veikt maksājumus noteiktā vairāku gadu laikposmā.</w:t>
      </w:r>
    </w:p>
    <w:p w14:paraId="3CA9CBFB" w14:textId="64848D72" w:rsidR="00335C80" w:rsidRPr="006A430D" w:rsidRDefault="00503FD4" w:rsidP="00CC333D">
      <w:pPr>
        <w:widowControl w:val="0"/>
        <w:tabs>
          <w:tab w:val="left" w:pos="523"/>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14. </w:t>
      </w:r>
      <w:r>
        <w:rPr>
          <w:rFonts w:ascii="Times New Roman" w:hAnsi="Times New Roman"/>
          <w:b/>
          <w:bCs/>
          <w:sz w:val="24"/>
        </w:rPr>
        <w:t>“Apdrošināšanas līgums ar naudas vērību”</w:t>
      </w:r>
      <w:r>
        <w:rPr>
          <w:rFonts w:ascii="Times New Roman" w:hAnsi="Times New Roman"/>
          <w:sz w:val="24"/>
        </w:rPr>
        <w:t xml:space="preserve"> ir apdrošināšanas līgums (izņemot divu apdrošināšanas sabiedrību atlīdzības pārapdrošināšanas līgumu), kuram ir naudas vērtība.</w:t>
      </w:r>
    </w:p>
    <w:p w14:paraId="59032BC2" w14:textId="668D4990" w:rsidR="00335C80" w:rsidRPr="006A430D" w:rsidRDefault="00503FD4" w:rsidP="002A28B7">
      <w:pPr>
        <w:keepNext/>
        <w:keepLines/>
        <w:widowControl w:val="0"/>
        <w:tabs>
          <w:tab w:val="left" w:pos="523"/>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 xml:space="preserve">15. </w:t>
      </w:r>
      <w:r>
        <w:rPr>
          <w:rFonts w:ascii="Times New Roman" w:hAnsi="Times New Roman"/>
          <w:b/>
          <w:bCs/>
          <w:sz w:val="24"/>
        </w:rPr>
        <w:t>“Naudas vērtība”</w:t>
      </w:r>
      <w:r>
        <w:rPr>
          <w:rFonts w:ascii="Times New Roman" w:hAnsi="Times New Roman"/>
          <w:sz w:val="24"/>
        </w:rPr>
        <w:t xml:space="preserve"> ir lielākā no šādām summām: i) summa, ko polises turētājs ir tiesīgs saņemt pēc līguma pārtraukšanas vai termiņa beigām (to nosaka, neatskaitot maksu par līguma pārtraukšanu vai aizdevumu saskaņā ar polisi), vai ii) summa, ko polises turētājs var aizņemties saskaņā vai saistībā ar līguma noteikumiem. Neatkarīgi no iepriekš minētā termins “naudas vērtība” neietver summu, kas jāmaksā saskaņā ar apdrošināšanas līgumu:</w:t>
      </w:r>
    </w:p>
    <w:p w14:paraId="69B28791" w14:textId="4E6B21FE" w:rsidR="00335C80" w:rsidRPr="006A430D" w:rsidRDefault="00503FD4" w:rsidP="00613E49">
      <w:pPr>
        <w:widowControl w:val="0"/>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 vienīgi pamatojoties uz saskaņā ar dzīvības apdrošināšanas līgumu apdrošinātās privātpersonas nāvi;</w:t>
      </w:r>
    </w:p>
    <w:p w14:paraId="0107BA91" w14:textId="47C2592B" w:rsidR="00335C80" w:rsidRPr="006A430D" w:rsidRDefault="00503FD4" w:rsidP="00613E49">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b) kā pabalsts personai savainojuma vai slimības gadījumā vai cits pabalsts, ar kuru tiek kompensēts ekonomisks zaudējums, kas rodas, iestājoties apdrošināšanas gadījumam;</w:t>
      </w:r>
    </w:p>
    <w:p w14:paraId="208D0DF1" w14:textId="14971D04" w:rsidR="00335C80" w:rsidRPr="006A430D" w:rsidRDefault="00503FD4" w:rsidP="00613E49">
      <w:pPr>
        <w:widowControl w:val="0"/>
        <w:tabs>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c) kā iepriekš samaksātas prēmijas atmaksa (atskaitot apdrošināšanas nodevas neatkarīgi no tā, vai tās ir faktiski piemērotas) saskaņā ar apdrošināšanas līgumu (izņemot ar ieguldījumiem saistītu dzīvības apdrošināšanas līgumu vai anuitātes līgumu) saistībā ar līguma anulēšanu vai izbeigšanu, riska pozīcijas samazināšanos apdrošināšanas līguma darbības laikā vai tad, kad līguma prēmijas tiek labotas ieraksta kļūdas vai citas līdzīgas kļūdas dēļ;</w:t>
      </w:r>
    </w:p>
    <w:p w14:paraId="5E5C920B" w14:textId="3573A11F" w:rsidR="00335C80" w:rsidRPr="006A430D" w:rsidRDefault="00503FD4" w:rsidP="00613E49">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d) kā dividendes polises turētājam (izņemot dividendes, kas izmaksājamas līguma termiņa beigās) ar noteikumu, ka dividendes ir saistītas ar apdrošināšanas līgumu, saskaņā ar kuru vienīgie maksājamie pabalsti ir E punkta 15. apakšpunkta b) daļā norādītie pabalsti, vai</w:t>
      </w:r>
    </w:p>
    <w:p w14:paraId="205B9DE1" w14:textId="6122772D" w:rsidR="00335C80" w:rsidRPr="006A430D" w:rsidRDefault="00503FD4" w:rsidP="00613E49">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e) kā iepriekš iemaksātu prēmiju vai prēmiju depozīta atmaksu attiecībā uz tādu apdrošināšanas līgumu, par kuru prēmijas ir jāmaksā vismaz reizi gadā, ja iepriekš iemaksātu prēmiju vai prēmiju depozīta summa nepārsniedz nākamā gada prēmiju, kas būs jāmaksā saskaņā ar līgumu.</w:t>
      </w:r>
    </w:p>
    <w:p w14:paraId="11B5D997" w14:textId="590B87C0" w:rsidR="00335C80" w:rsidRPr="00613E49" w:rsidRDefault="007B4AEA" w:rsidP="00613E49">
      <w:pPr>
        <w:widowControl w:val="0"/>
        <w:tabs>
          <w:tab w:val="left" w:pos="499"/>
        </w:tabs>
        <w:autoSpaceDE w:val="0"/>
        <w:autoSpaceDN w:val="0"/>
        <w:spacing w:before="240" w:after="120" w:line="240" w:lineRule="auto"/>
        <w:jc w:val="both"/>
        <w:rPr>
          <w:rFonts w:ascii="Times New Roman" w:eastAsia="Arial" w:hAnsi="Times New Roman" w:cs="Times New Roman"/>
          <w:b/>
          <w:bCs/>
          <w:i/>
          <w:iCs/>
          <w:noProof/>
          <w:kern w:val="0"/>
          <w:sz w:val="26"/>
          <w:szCs w:val="26"/>
          <w14:ligatures w14:val="none"/>
        </w:rPr>
      </w:pPr>
      <w:bookmarkStart w:id="65" w:name="F._Miscellaneous"/>
      <w:bookmarkEnd w:id="65"/>
      <w:r>
        <w:rPr>
          <w:rFonts w:ascii="Times New Roman" w:hAnsi="Times New Roman"/>
          <w:b/>
          <w:i/>
          <w:sz w:val="26"/>
        </w:rPr>
        <w:t>F. Dažādi jautājumi</w:t>
      </w:r>
    </w:p>
    <w:p w14:paraId="0869200B" w14:textId="6808648E" w:rsidR="00335C80" w:rsidRPr="006A430D" w:rsidRDefault="007B4AEA" w:rsidP="00613E4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 </w:t>
      </w:r>
      <w:r>
        <w:rPr>
          <w:rFonts w:ascii="Times New Roman" w:hAnsi="Times New Roman"/>
          <w:b/>
          <w:bCs/>
          <w:sz w:val="24"/>
        </w:rPr>
        <w:t>“Partnerības jurisdikcija”</w:t>
      </w:r>
      <w:r>
        <w:rPr>
          <w:rFonts w:ascii="Times New Roman" w:hAnsi="Times New Roman"/>
          <w:sz w:val="24"/>
        </w:rPr>
        <w:t xml:space="preserve"> ir jurisdikcija, kas ieviesusi līdzvērtīgas tiesiskās prasības un ir iekļauta [jurisdikcijas] publicētajā sarakstā.</w:t>
      </w:r>
    </w:p>
    <w:p w14:paraId="43FF0396" w14:textId="6787DFF6" w:rsidR="00335C80" w:rsidRPr="006A430D" w:rsidRDefault="007B4AEA" w:rsidP="00613E4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 </w:t>
      </w:r>
      <w:r>
        <w:rPr>
          <w:rFonts w:ascii="Times New Roman" w:hAnsi="Times New Roman"/>
          <w:b/>
          <w:bCs/>
          <w:sz w:val="24"/>
        </w:rPr>
        <w:t>“</w:t>
      </w:r>
      <w:r>
        <w:rPr>
          <w:rFonts w:ascii="Times New Roman" w:hAnsi="Times New Roman"/>
          <w:b/>
          <w:bCs/>
          <w:i/>
          <w:iCs/>
          <w:sz w:val="24"/>
        </w:rPr>
        <w:t>AML</w:t>
      </w:r>
      <w:r>
        <w:rPr>
          <w:rFonts w:ascii="Times New Roman" w:hAnsi="Times New Roman"/>
          <w:b/>
          <w:bCs/>
          <w:sz w:val="24"/>
        </w:rPr>
        <w:t>/</w:t>
      </w:r>
      <w:r>
        <w:rPr>
          <w:rFonts w:ascii="Times New Roman" w:hAnsi="Times New Roman"/>
          <w:b/>
          <w:bCs/>
          <w:i/>
          <w:iCs/>
          <w:sz w:val="24"/>
        </w:rPr>
        <w:t>KYC</w:t>
      </w:r>
      <w:r>
        <w:rPr>
          <w:rFonts w:ascii="Times New Roman" w:hAnsi="Times New Roman"/>
          <w:b/>
          <w:bCs/>
          <w:sz w:val="24"/>
        </w:rPr>
        <w:t xml:space="preserve"> procedūras”</w:t>
      </w:r>
      <w:r>
        <w:rPr>
          <w:rFonts w:ascii="Times New Roman" w:hAnsi="Times New Roman"/>
          <w:sz w:val="24"/>
        </w:rPr>
        <w:t xml:space="preserve"> ir klientu pienācīgas pārbaudes procedūras, kuras kriptoaktīvu pakalpojumu sniedzējs, kas sniedz ziņojumus, veic saskaņā ar prasībām par noziedzīgi iegūtu līdzekļu legalizācijas novēršanu vai līdzīgām prasībām, kuras jāievēro šim kriptoaktīvu pakalpojumu sniedzējam, kas sniedz ziņojumus.</w:t>
      </w:r>
    </w:p>
    <w:p w14:paraId="2939772C" w14:textId="392341F5" w:rsidR="00335C80" w:rsidRPr="006A430D" w:rsidRDefault="007B4AEA" w:rsidP="00613E4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 </w:t>
      </w:r>
      <w:r>
        <w:rPr>
          <w:rFonts w:ascii="Times New Roman" w:hAnsi="Times New Roman"/>
          <w:b/>
          <w:bCs/>
          <w:sz w:val="24"/>
        </w:rPr>
        <w:t>“Vienība”</w:t>
      </w:r>
      <w:r>
        <w:rPr>
          <w:rFonts w:ascii="Times New Roman" w:hAnsi="Times New Roman"/>
          <w:sz w:val="24"/>
        </w:rPr>
        <w:t xml:space="preserve"> ir juridiska persona vai juridisks veidojums, piemēram, sabiedrība, personālsabiedrība, trasts vai fonds.</w:t>
      </w:r>
    </w:p>
    <w:p w14:paraId="1C9D991F" w14:textId="015CA8B1" w:rsidR="00335C80" w:rsidRPr="006A430D" w:rsidRDefault="007B4AEA" w:rsidP="00613E4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4. Vienība ir citas vienības </w:t>
      </w:r>
      <w:r>
        <w:rPr>
          <w:rFonts w:ascii="Times New Roman" w:hAnsi="Times New Roman"/>
          <w:b/>
          <w:bCs/>
          <w:sz w:val="24"/>
        </w:rPr>
        <w:t>“saistītā vienība”</w:t>
      </w:r>
      <w:r>
        <w:rPr>
          <w:rFonts w:ascii="Times New Roman" w:hAnsi="Times New Roman"/>
          <w:sz w:val="24"/>
        </w:rPr>
        <w:t>, ja viena vienība kontrolē otru vienību vai ja abas vienības tiek kontrolētas kopīgi. Šajā saistībā par kontroli uzskata tiešas vai netiešas īpašumtiesības uz vairāk nekā 50 % vienības balsstiesību vai vērtības.</w:t>
      </w:r>
    </w:p>
    <w:p w14:paraId="6507EE56" w14:textId="427345A3" w:rsidR="00335C80" w:rsidRPr="006A430D" w:rsidRDefault="007B4AEA" w:rsidP="00613E4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5. </w:t>
      </w:r>
      <w:r>
        <w:rPr>
          <w:rFonts w:ascii="Times New Roman" w:hAnsi="Times New Roman"/>
          <w:b/>
          <w:bCs/>
          <w:sz w:val="24"/>
        </w:rPr>
        <w:t>“</w:t>
      </w:r>
      <w:r>
        <w:rPr>
          <w:rFonts w:ascii="Times New Roman" w:hAnsi="Times New Roman"/>
          <w:b/>
          <w:bCs/>
          <w:i/>
          <w:iCs/>
          <w:sz w:val="24"/>
        </w:rPr>
        <w:t>TIN</w:t>
      </w:r>
      <w:r>
        <w:rPr>
          <w:rFonts w:ascii="Times New Roman" w:hAnsi="Times New Roman"/>
          <w:b/>
          <w:bCs/>
          <w:sz w:val="24"/>
        </w:rPr>
        <w:t>”</w:t>
      </w:r>
      <w:r>
        <w:rPr>
          <w:rFonts w:ascii="Times New Roman" w:hAnsi="Times New Roman"/>
          <w:sz w:val="24"/>
        </w:rPr>
        <w:t xml:space="preserve"> ir nodokļa maksātāja identifikācijas numurs (vai tā funkcionāls ekvivalents tad, ja nav nodokļa maksātāja identifikācijas numura).</w:t>
      </w:r>
    </w:p>
    <w:p w14:paraId="6A3A09FD" w14:textId="4231F4CC" w:rsidR="00335C80" w:rsidRPr="006A430D" w:rsidRDefault="007B4AEA" w:rsidP="00613E49">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6. </w:t>
      </w:r>
      <w:r>
        <w:rPr>
          <w:rFonts w:ascii="Times New Roman" w:hAnsi="Times New Roman"/>
          <w:b/>
          <w:bCs/>
          <w:sz w:val="24"/>
        </w:rPr>
        <w:t>“Filiāle”</w:t>
      </w:r>
      <w:r>
        <w:rPr>
          <w:rFonts w:ascii="Times New Roman" w:hAnsi="Times New Roman"/>
          <w:sz w:val="24"/>
        </w:rPr>
        <w:t xml:space="preserve"> ir kriptoaktīvu pakalpojumu sniedzēja, kas sniedz ziņojumus, struktūrvienība, uzņēmums vai birojs, kas saskaņā ar jurisdikcijas regulatīvo režīmu tiek uzskatīts par filiāli vai ko saskaņā ar jurisdikcijas tiesību aktiem citādi regulē kā atsevišķu no citiem kriptoaktīvu pakalpojumu sniedzēja, kas sniedz ziņojumus, birojiem, struktūrvienībām vai filiālēm. Visas vienā jurisdikcijā esošas struktūrvienības, uzņēmumus un birojus, kuri attiecināmi uz kriptoaktīvu pakalpojumu sniedzēju, kas sniedz ziņojumus, uzskata par vienu filiāli.</w:t>
      </w:r>
    </w:p>
    <w:p w14:paraId="75E62123" w14:textId="71C2C6A8" w:rsidR="00335C80" w:rsidRPr="006A430D" w:rsidRDefault="00335C80" w:rsidP="00BD1AD2">
      <w:pPr>
        <w:pStyle w:val="Heading1"/>
        <w:rPr>
          <w:rFonts w:ascii="Times New Roman" w:eastAsia="Arial" w:hAnsi="Times New Roman" w:cs="Times New Roman"/>
          <w:b/>
          <w:bCs/>
          <w:noProof/>
          <w:color w:val="0B769F" w:themeColor="accent4" w:themeShade="BF"/>
          <w:sz w:val="26"/>
          <w:szCs w:val="26"/>
        </w:rPr>
      </w:pPr>
      <w:bookmarkStart w:id="66" w:name="Section_V:_Effective_implementation"/>
      <w:bookmarkStart w:id="67" w:name="_bookmark16"/>
      <w:bookmarkStart w:id="68" w:name="_Toc241753063"/>
      <w:bookmarkEnd w:id="66"/>
      <w:bookmarkEnd w:id="67"/>
      <w:r>
        <w:rPr>
          <w:rFonts w:ascii="Times New Roman" w:hAnsi="Times New Roman"/>
          <w:b/>
          <w:color w:val="0B769F" w:themeColor="accent4" w:themeShade="BF"/>
          <w:sz w:val="26"/>
        </w:rPr>
        <w:lastRenderedPageBreak/>
        <w:t>V pants. Efektīva īstenošana</w:t>
      </w:r>
      <w:bookmarkEnd w:id="68"/>
    </w:p>
    <w:p w14:paraId="18923FD1" w14:textId="313AB17C" w:rsidR="006A430D" w:rsidRPr="00613E49" w:rsidRDefault="00335C80" w:rsidP="00BD1AD2">
      <w:pPr>
        <w:keepNext/>
        <w:keepLines/>
        <w:widowControl w:val="0"/>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Jurisdikcijā jābūt ieviestiem noteikumiem un administratīvām procedūrām, lai nodrošinātu iepriekš izklāstīto ziņojumu sniegšanas un pienācīgas pārbaudes procedūru efektīvu īstenošanu un atbilstību tām.</w:t>
      </w:r>
    </w:p>
    <w:p w14:paraId="33B7C15B" w14:textId="77777777" w:rsidR="006A430D" w:rsidRDefault="006A430D" w:rsidP="00BD1AD2">
      <w:pPr>
        <w:keepNext/>
        <w:keepLines/>
        <w:rPr>
          <w:rFonts w:ascii="Times New Roman" w:eastAsia="Arial" w:hAnsi="Times New Roman" w:cs="Times New Roman"/>
          <w:noProof/>
          <w:kern w:val="0"/>
          <w:sz w:val="20"/>
          <w:szCs w:val="20"/>
          <w14:ligatures w14:val="none"/>
        </w:rPr>
      </w:pPr>
      <w:r>
        <w:br w:type="page"/>
      </w:r>
    </w:p>
    <w:p w14:paraId="5CAAD5F1" w14:textId="48E6CA47" w:rsidR="00335C80" w:rsidRPr="006F4325" w:rsidRDefault="006F4325" w:rsidP="006F4325">
      <w:pPr>
        <w:pStyle w:val="Heading1"/>
        <w:rPr>
          <w:rFonts w:ascii="Times New Roman" w:eastAsia="Arial" w:hAnsi="Times New Roman" w:cs="Times New Roman"/>
          <w:b/>
          <w:bCs/>
          <w:noProof/>
          <w:color w:val="0B769F" w:themeColor="accent4" w:themeShade="BF"/>
          <w:sz w:val="48"/>
          <w:szCs w:val="48"/>
        </w:rPr>
      </w:pPr>
      <w:bookmarkStart w:id="69" w:name="3_Commentary_to_the_Rules"/>
      <w:bookmarkStart w:id="70" w:name="_bookmark17"/>
      <w:bookmarkStart w:id="71" w:name="_Toc241753064"/>
      <w:bookmarkEnd w:id="69"/>
      <w:bookmarkEnd w:id="70"/>
      <w:r>
        <w:rPr>
          <w:rFonts w:ascii="Times New Roman" w:hAnsi="Times New Roman"/>
          <w:b/>
          <w:color w:val="0B769F" w:themeColor="accent4" w:themeShade="BF"/>
          <w:sz w:val="72"/>
          <w:u w:val="single"/>
        </w:rPr>
        <w:lastRenderedPageBreak/>
        <w:t>3.</w:t>
      </w:r>
      <w:r>
        <w:rPr>
          <w:rFonts w:ascii="Times New Roman" w:hAnsi="Times New Roman"/>
          <w:b/>
          <w:color w:val="0B769F" w:themeColor="accent4" w:themeShade="BF"/>
          <w:sz w:val="72"/>
        </w:rPr>
        <w:t xml:space="preserve"> </w:t>
      </w:r>
      <w:r>
        <w:rPr>
          <w:rFonts w:ascii="Times New Roman" w:hAnsi="Times New Roman"/>
          <w:b/>
          <w:color w:val="0B769F" w:themeColor="accent4" w:themeShade="BF"/>
          <w:sz w:val="48"/>
        </w:rPr>
        <w:t>Komentāri par noteikumiem</w:t>
      </w:r>
      <w:bookmarkEnd w:id="71"/>
    </w:p>
    <w:p w14:paraId="20DE7012"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4"/>
          <w:szCs w:val="20"/>
          <w14:ligatures w14:val="none"/>
        </w:rPr>
      </w:pPr>
    </w:p>
    <w:p w14:paraId="51307CD7" w14:textId="77777777" w:rsidR="00335C80" w:rsidRPr="00994507" w:rsidRDefault="00335C80" w:rsidP="00994507">
      <w:pPr>
        <w:widowControl w:val="0"/>
        <w:autoSpaceDE w:val="0"/>
        <w:autoSpaceDN w:val="0"/>
        <w:spacing w:after="0" w:line="240" w:lineRule="auto"/>
        <w:jc w:val="both"/>
        <w:rPr>
          <w:rFonts w:ascii="Times New Roman" w:eastAsia="Arial" w:hAnsi="Times New Roman" w:cs="Times New Roman"/>
          <w:b/>
          <w:noProof/>
          <w:kern w:val="0"/>
          <w:sz w:val="24"/>
          <w:szCs w:val="20"/>
          <w14:ligatures w14:val="none"/>
        </w:rPr>
      </w:pPr>
    </w:p>
    <w:p w14:paraId="4C3215A1" w14:textId="77777777" w:rsidR="00335C80" w:rsidRPr="006F4325" w:rsidRDefault="00335C80" w:rsidP="006F4325">
      <w:pPr>
        <w:pStyle w:val="Heading1"/>
        <w:rPr>
          <w:rFonts w:ascii="Times New Roman" w:eastAsia="Arial" w:hAnsi="Times New Roman" w:cs="Times New Roman"/>
          <w:b/>
          <w:bCs/>
          <w:noProof/>
          <w:color w:val="0B769F" w:themeColor="accent4" w:themeShade="BF"/>
          <w:sz w:val="26"/>
          <w:szCs w:val="26"/>
        </w:rPr>
      </w:pPr>
      <w:bookmarkStart w:id="72" w:name="Commentary_on_Section_I:_Obligations_of_"/>
      <w:bookmarkStart w:id="73" w:name="_bookmark18"/>
      <w:bookmarkStart w:id="74" w:name="_Toc241753065"/>
      <w:bookmarkEnd w:id="72"/>
      <w:bookmarkEnd w:id="73"/>
      <w:r>
        <w:rPr>
          <w:rFonts w:ascii="Times New Roman" w:hAnsi="Times New Roman"/>
          <w:b/>
          <w:color w:val="0B769F" w:themeColor="accent4" w:themeShade="BF"/>
          <w:sz w:val="26"/>
        </w:rPr>
        <w:t>Komentāri par I pantu. To kriptoaktīvu pakalpojumu sniedzēju pienākumi, kas sniedz ziņojumus</w:t>
      </w:r>
      <w:bookmarkEnd w:id="74"/>
    </w:p>
    <w:p w14:paraId="38748CF1" w14:textId="566AE9DD"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 Šajā pantā ir sniegti kritēriji, atbilstoši kuriem kriptoaktīvu pakalpojumu sniedzējam, kas sniedz ziņojumus, ir piemērojamas II pantā un III pantā noteiktās ziņošanas un pienācīgas pārbaudes prasības [jurisdikcijā].</w:t>
      </w:r>
    </w:p>
    <w:p w14:paraId="6A4FD004" w14:textId="517F865E"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 A punktā ir sniegti četri kritēriji, kas saista kriptoaktīvu pakalpojumu sniedzēju, kas sniedz ziņojumus, ar [jurisdikciju]:</w:t>
      </w:r>
    </w:p>
    <w:p w14:paraId="12EC1AD3" w14:textId="77777777" w:rsidR="00335C80" w:rsidRPr="006F4D78" w:rsidRDefault="00335C80" w:rsidP="00326ABB">
      <w:pPr>
        <w:widowControl w:val="0"/>
        <w:numPr>
          <w:ilvl w:val="1"/>
          <w:numId w:val="3"/>
        </w:numPr>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vienība vai fiziska persona ir [jurisdikcijas] rezidents nodokļu aprēķina vajadzībām;</w:t>
      </w:r>
    </w:p>
    <w:p w14:paraId="06CDBD50" w14:textId="77777777" w:rsidR="00335C80" w:rsidRPr="006F4D78" w:rsidRDefault="00335C80" w:rsidP="00326ABB">
      <w:pPr>
        <w:widowControl w:val="0"/>
        <w:numPr>
          <w:ilvl w:val="1"/>
          <w:numId w:val="3"/>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vienība, kas a) ir reģistrēta vai izveidota saskaņā ar [jurisdikcijas] tiesību aktiem un b) tai ir juridiskas personas statuss [jurisdikcijā] vai pienākums iesniegt nodokļu deklarācijas vai nodokļu informācijas deklarācijas nodokļu iestādēm [jurisdikcijā] attiecībā uz vienības ienākumiem. Tādējādi šis kritērijs aptver situācijas, kad kriptoaktīvu pakalpojumu sniedzējs ir vienība, kas sniedz ziņojumus, un izvēlas noteiktas jurisdikcijas tiesisko regulējumu, lai dibinātu savu organizatorisko struktūru, tostarp to reģistrējot. Tomēr papildus tam, ka vienībai ir jābūt reģistrētai vai izveidotai saskaņā ar [jurisdikcijas] tiesisko regulējumu, tai ir jābūt arī vai nu juridiskas personas statusam [jurisdikcijā], vai arī pienākumam iesniegt nodokļu deklarācijas vai nodokļu informācijas deklarācijas nodokļu iestādēm [jurisdikcijā] attiecībā uz saviem ienākumiem. Šis nosacījums ir paredzēts, lai nodrošinātu, ka [jurisdikcijas] nodokļu administrācija spēj prasīt ziņošanas prasību izpildi. Saistībā ar A punkta 2. apakšpunktu nodokļu informācijas deklarācija ir ikviens iesniegums nodokļu administrācijai, lai paziņotu par visu vienības ienākumu vai tā daļu, bet tajā ne vienmēr ir jānorāda vienības attiecīgās nodokļu saistības;</w:t>
      </w:r>
    </w:p>
    <w:p w14:paraId="1DE4636E" w14:textId="77777777" w:rsidR="00335C80" w:rsidRPr="006F4D78" w:rsidRDefault="00335C80" w:rsidP="00326ABB">
      <w:pPr>
        <w:widowControl w:val="0"/>
        <w:numPr>
          <w:ilvl w:val="1"/>
          <w:numId w:val="3"/>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vienība tiek pārvaldīta no [jurisdikcijas]. Šis kritērijs ietver situācijas, kad trastu (vai funkcionāli līdzīgu vienību), kas ir kriptoaktīvu pakalpojumu sniedzējs, kas sniedz ziņojumus, pārvalda pilnvarotais (vai funkcionāli līdzīgs pārstāvis), kas ir nodokļu rezidents [jurisdikcijā]. Šis kritērijs aptver vienības faktiskās vadības vietu, kā arī citu vadības vietu, vai</w:t>
      </w:r>
    </w:p>
    <w:p w14:paraId="5DC743BB" w14:textId="77777777" w:rsidR="00335C80" w:rsidRPr="006F4D78" w:rsidRDefault="00335C80" w:rsidP="00326ABB">
      <w:pPr>
        <w:widowControl w:val="0"/>
        <w:numPr>
          <w:ilvl w:val="1"/>
          <w:numId w:val="3"/>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vienībai vai fiziskai personai pastāvīgā darījumdarbības vieta ir [jurisdikcijā]. Šajā saistībā uzskatāms, ka jebkura filiāle ir pastāvīga darījumdarbības vieta. Šis kritērijs aptver galveno pastāvīgo darījumdarbības vietu, kā arī citas pastāvīgās darījumdarbības vietas.</w:t>
      </w:r>
    </w:p>
    <w:p w14:paraId="407E55CB" w14:textId="6E5E273F"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 B punkts paredz, ka vienībai ir pienācīgas pārbaudes veikšanas un ziņošanas pienākums [jurisdikcijā] saistībā ar attiecīgajiem darījumiem, kas tiek izpildīti ar [jurisdikcijā] izveidotas filiāles starpniecību.</w:t>
      </w:r>
    </w:p>
    <w:p w14:paraId="49AE260F" w14:textId="44A93D39"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 Kriptoaktīvu pakalpojumu sniedzējam, kas sniedz ziņojumus, ir pienākums sniegt informāciju katrai jurisdikcijai, attiecībā uz kuru tas izpilda A un B punktā noteiktos kritērijus, ņemot vērā C–H punkta noteikumus, lai novērstu ziņošanas dublēšanos. Šim nolūkam A punktā norādītie kritēriji, kuri kriptoaktīvu pakalpojumu sniedzēju, kas sniedz ziņojumus, saista ar [jurisdikciju], C–F punktā ir noteikti hierarhiskā secībā. Šī hierarhija nodrošina, ka pienācīgas pārbaudes un ziņošanas prasības [jurisdikcijā] nepiemēro gadījumos, ja ir spēcīgāka saikne ar citu jurisdikciju.</w:t>
      </w:r>
    </w:p>
    <w:p w14:paraId="760AB169" w14:textId="66154EEF"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5. Tādējādi C punkts paredz, ka kriptoaktīvu pakalpojumu sniedzējam, kas sniedz ziņojumus un ir vienība, kura saistīta ar [jurisdikciju], pamatojoties uz A punkta 2., 3. un 4. apakšpunktā noteiktajiem kritērijiem (t. i., vienība ir reģistrēta vai izveidota saskaņā ar [jurisdikcijas] tiesisko regulējumu un tai ir juridiskas personas statuss vai pienākums iesniegt nodokļu deklarācijas vai nodokļu informācijas deklarācijas nodokļu iestādēm [jurisdikcijā] attiecībā uz saviem ienākumiem vai vienību pārvalda no [jurisdikcijas], vai tai ir pastāvīgā darījumdarbības vieta [jurisdikcijā]), nav jāizpilda II pantā un III pantā noteiktās pienācīgas pārbaudes un ziņošanas prasības [jurisdikcijā], ja vienība ir rezidents partnerības jurisdikcijā un izpilda pienācīgas pārbaudes un ziņošanas prasības šajā partnerības jurisdikcijā.</w:t>
      </w:r>
    </w:p>
    <w:p w14:paraId="1344FB1D" w14:textId="601718F3"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6. Turklāt D punkts paredz, ka kriptoaktīvu pakalpojumu sniedzējam, kas sniedz ziņojumus un ir vienība, nav jāizpilda II pantā un III pantā noteiktās pienācīgas pārbaudes un ziņošanas prasības [jurisdikcijā], kas tam noteiktas saskaņā ar A punkta 3. un 4. apakšpunktu (t. i., vienību pārvalda no [jurisdikcijas] vai tai ir pastāvīgā darījumdarbības vieta [jurisdikcijā]), ciktāl tai ir juridiskas personas statuss vai pienākums iesniegt nodokļu deklarācijas vai nodokļu informācijas deklarācijas nodokļu iestādēm [jurisdikcijā] attiecībā uz saviem ienākumiem, vai tā ir reģistrēta vai izveidota saskaņā ar partnerības jurisdikcijas tiesisko regulējumu un izpilda pienācīgas pārbaudes un ziņošanas prasības šajā partnerības jurisdikcijā.</w:t>
      </w:r>
    </w:p>
    <w:p w14:paraId="586245A6" w14:textId="433B5871"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7. E punkts paredz, ka kriptoaktīvu pakalpojumu sniedzējam, kas sniedz ziņojumus un ir vienība, nav jāizpilda II pantā un III pantā noteiktās pienācīgas pārbaudes un ziņošanas prasības [jurisdikcijā], kas tam noteiktas saskaņā ar A punkta 4. apakšpunktu (t. i., tam ir pastāvīgā darījumdarbības vieta [jurisdikcijā]), ciktāl šis kriptoaktīvu pakalpojumu sniedzējs izpilda pienācīgas pārbaudes un ziņošanas prasības partnerības jurisdikcijā, jo tas tiek pārvaldīts no šādas partnerības jurisdikcijas.</w:t>
      </w:r>
    </w:p>
    <w:p w14:paraId="4D16E166" w14:textId="3C6B0847"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8. F punkts paredz, ka kriptoaktīvu pakalpojumu sniedzējam, kas sniedz ziņojumus un ir fiziska persona, nav jāizpilda II pantā un III pantā noteiktās pienācīgas pārbaudes un ziņošanas prasības [jurisdikcijā], kas tam noteiktas saskaņā ar A punkta 4. apakšpunktu (t. i., tam ir pastāvīgā darījumdarbības vieta [jurisdikcijā]), ciktāl pienācīgas pārbaudes un ziņošanas prasības tiek izpildītas partnerības jurisdikcijā, kurā šis kriptoaktīvu pakalpojumu sniedzējs, kas sniedz ziņojumus un ir fiziska persona, ir rezidents nodokļu aprēķina vajadzībām.</w:t>
      </w:r>
    </w:p>
    <w:p w14:paraId="01D1D5B5" w14:textId="68C723F8"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9. G punkts paredz, ka kriptoaktīvu pakalpojumu sniedzējam, kas sniedz ziņojumus, nav jāizpilda II pantā un III pantā noteiktās pienācīgas pārbaudes un ziņošanas prasības [jurisdikcijā], ciktāl tās tiek izpildītas partnerības jurisdikcijā, jo attiecīgie darījumi kriptoaktīvu lietotājiem tiek izpildīti ar filiāles starpniecību šādā partnerības jurisdikcijā. Kriptoaktīvu pakalpojumu sniedzējs, kurš sniedz ziņojumus un kuram ir viena vai vairākas filiāles, izpilda pienācīgas pārbaudes un ziņošanas prasības attiecībā uz kriptoaktīvu lietotāju, ja šīs prasības izpilda jebkura no tā filiālēm [jurisdikcijā] vai partnerības jurisdikcija.</w:t>
      </w:r>
    </w:p>
    <w:p w14:paraId="6A003773" w14:textId="050B02D8"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10. Visbeidzot, H punkts paredz, ka kriptoaktīvu pakalpojumu sniedzējam, kas sniedz ziņojumus, nav jāizpilda II pantā un III pantā noteiktās ziņošanas un pienācīgas pārbaudes prasības, kas tam piemērojamas [jurisdikcijā] saskaņā ar A punkta 1., 2., 3. vai 4. apakšpunktu, ja tas iesniedzis paziņojumu [jurisdikcijā] tās noteiktajā formātā, ar kuru apliecina, ka šis kriptoaktīvu pakalpojumu sniedzējs ir izpildījis šīs ziņošanas un pienācīgas pārbaudes prasības saskaņā ar partnerības jurisdikcijas noteikumiem, ievērojot būtībā līdzīgu saikni, kas tam piemērojama [jurisdikcijā].</w:t>
      </w:r>
    </w:p>
    <w:p w14:paraId="255C278C" w14:textId="269BB98F" w:rsidR="00335C80" w:rsidRPr="006F4D78" w:rsidRDefault="006F4325" w:rsidP="006F432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11. H punkts ir piemērojams vienīgi gadījumos, kad kriptoaktīvu pakalpojumu sniedzējam, kas sniedz ziņojumus, ir tāda pati saikne divās vai vairākās jurisdikcijās. Piemēram, kriptoaktīvu pakalpojumu sniedzējs, kas sniedz ziņojumus un ir rezidents divās vai vairākās jurisdikcijās, var balstīties uz H punktu, lai izraudzītos vienu no divām nodokļu rezidences jurisdikcijām, kurās tas izpilda pienācīgas pārbaudes un ziņošanas prasības. Arī kriptoaktīvu pakalpojumu sniedzējs, kas sniedz ziņojumus un kam ir pastāvīgā darījumdarbības vieta divās vai vairākās </w:t>
      </w:r>
      <w:r>
        <w:rPr>
          <w:rFonts w:ascii="Times New Roman" w:hAnsi="Times New Roman"/>
          <w:sz w:val="24"/>
        </w:rPr>
        <w:lastRenderedPageBreak/>
        <w:t>jurisdikcijās, var balstīties uz H punktu, lai izraudzītos vienu no šīm jurisdikcijām, kurās tas izpilda pienācīgas pārbaudes un ziņošanas prasības, tomēr šāda balstīšanās nav atļauta, ja kriptoaktīvu pakalpojumu sniedzējam, kas sniedz ziņojumus, ir saikne jurisdikcijā saskaņā ar A punkta 1., 2. vai 3. apakšpunktu.</w:t>
      </w:r>
    </w:p>
    <w:p w14:paraId="72E149C4" w14:textId="77777777" w:rsidR="00335C80" w:rsidRPr="00B81688" w:rsidRDefault="00335C80" w:rsidP="00B81688">
      <w:pPr>
        <w:pStyle w:val="Heading1"/>
        <w:rPr>
          <w:rFonts w:ascii="Times New Roman" w:eastAsia="Arial" w:hAnsi="Times New Roman" w:cs="Times New Roman"/>
          <w:b/>
          <w:bCs/>
          <w:noProof/>
          <w:color w:val="0B769F" w:themeColor="accent4" w:themeShade="BF"/>
          <w:sz w:val="26"/>
          <w:szCs w:val="26"/>
        </w:rPr>
      </w:pPr>
      <w:bookmarkStart w:id="75" w:name="Commentary_on_Section_II:_Reporting_requ"/>
      <w:bookmarkStart w:id="76" w:name="_bookmark19"/>
      <w:bookmarkStart w:id="77" w:name="_Toc241753066"/>
      <w:bookmarkEnd w:id="75"/>
      <w:bookmarkEnd w:id="76"/>
      <w:r>
        <w:rPr>
          <w:rFonts w:ascii="Times New Roman" w:hAnsi="Times New Roman"/>
          <w:b/>
          <w:color w:val="0B769F" w:themeColor="accent4" w:themeShade="BF"/>
          <w:sz w:val="26"/>
        </w:rPr>
        <w:t>Komentāri par II pantu. Ziņošanas prasības</w:t>
      </w:r>
      <w:bookmarkEnd w:id="77"/>
    </w:p>
    <w:p w14:paraId="3EB30EED" w14:textId="151EF84F" w:rsidR="00335C80" w:rsidRPr="00DF4295" w:rsidRDefault="00B81688" w:rsidP="00DF429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 II pantā ir aprakstītas ziņošanas vispārējās prasības, kuras piemērojamas kriptoaktīvu pakalpojumu sniedzējiem, kas sniedz ziņojumus. A punktā ir norādīts, kāda informācija ir jāsniedz par kriptoaktīvu lietotājiem un kontrolējošām personām parastā kārtībā un ievērojot III pantā sniegtās pienācīgas pārbaudes procedūras, savukārt B un C punktā ir sniegti izņēmumi saistībā ar </w:t>
      </w:r>
      <w:r>
        <w:rPr>
          <w:rFonts w:ascii="Times New Roman" w:hAnsi="Times New Roman"/>
          <w:i/>
          <w:iCs/>
          <w:sz w:val="24"/>
        </w:rPr>
        <w:t>TIN</w:t>
      </w:r>
      <w:r>
        <w:rPr>
          <w:rFonts w:ascii="Times New Roman" w:hAnsi="Times New Roman"/>
          <w:sz w:val="24"/>
        </w:rPr>
        <w:t xml:space="preserve"> un dzimšanas vietu. D un E punktā ir iekļauti vērtēšanas un valūtas pārrēķināšanas noteikumi. F punktā ir noteikta prasība norādīt, kādā bezseguma valūtā ziņojumā ir norādīta attiecīgā darījuma summa. G punktā ir noteikts ziņošanas grafiks, kas jāievēro kriptoaktīvu pakalpojumu sniedzējam, kurš sniedz ziņojumus.</w:t>
      </w:r>
    </w:p>
    <w:p w14:paraId="5AC2DD6E" w14:textId="77777777" w:rsidR="00D00A83" w:rsidRPr="00881284" w:rsidRDefault="00335C80" w:rsidP="00DF4295">
      <w:pPr>
        <w:widowControl w:val="0"/>
        <w:autoSpaceDE w:val="0"/>
        <w:autoSpaceDN w:val="0"/>
        <w:spacing w:before="120" w:after="120" w:line="240" w:lineRule="auto"/>
        <w:jc w:val="both"/>
        <w:rPr>
          <w:rFonts w:ascii="Times New Roman" w:eastAsia="Arial" w:hAnsi="Times New Roman" w:cs="Times New Roman"/>
          <w:b/>
          <w:i/>
          <w:noProof/>
          <w:kern w:val="0"/>
          <w:sz w:val="26"/>
          <w:szCs w:val="26"/>
          <w14:ligatures w14:val="none"/>
        </w:rPr>
      </w:pPr>
      <w:bookmarkStart w:id="78" w:name="Paragraph_II_(A)_–_Information_to_be_rep"/>
      <w:bookmarkEnd w:id="78"/>
      <w:r>
        <w:rPr>
          <w:rFonts w:ascii="Times New Roman" w:hAnsi="Times New Roman"/>
          <w:b/>
          <w:i/>
          <w:sz w:val="26"/>
        </w:rPr>
        <w:t>II panta A punkts. Sniedzamā informācija</w:t>
      </w:r>
      <w:bookmarkStart w:id="79" w:name="Subparagraph_A(1)_–_Information_on_Repor"/>
      <w:bookmarkEnd w:id="79"/>
    </w:p>
    <w:p w14:paraId="362C31C8" w14:textId="77777777" w:rsidR="00DF4295" w:rsidRPr="00881284" w:rsidRDefault="00335C80" w:rsidP="00DF4295">
      <w:pPr>
        <w:widowControl w:val="0"/>
        <w:autoSpaceDE w:val="0"/>
        <w:autoSpaceDN w:val="0"/>
        <w:spacing w:before="120" w:after="120" w:line="240" w:lineRule="auto"/>
        <w:ind w:left="284"/>
        <w:jc w:val="both"/>
        <w:rPr>
          <w:rFonts w:ascii="Times New Roman" w:eastAsia="Arial" w:hAnsi="Times New Roman" w:cs="Times New Roman"/>
          <w:i/>
          <w:noProof/>
          <w:color w:val="616161"/>
          <w:kern w:val="0"/>
          <w:sz w:val="26"/>
          <w:szCs w:val="26"/>
          <w14:ligatures w14:val="none"/>
        </w:rPr>
      </w:pPr>
      <w:r>
        <w:rPr>
          <w:rFonts w:ascii="Times New Roman" w:hAnsi="Times New Roman"/>
          <w:i/>
          <w:color w:val="616161"/>
          <w:sz w:val="26"/>
        </w:rPr>
        <w:t>A punkta 1. apakšpunkts. Informācija par personām, par kurām jāsniedz ziņojums</w:t>
      </w:r>
      <w:bookmarkStart w:id="80" w:name="Jurisdiction(s)_of_residence"/>
      <w:bookmarkEnd w:id="80"/>
    </w:p>
    <w:p w14:paraId="091D5D1C" w14:textId="1ED6EC19" w:rsidR="00335C80" w:rsidRPr="00881284" w:rsidRDefault="00335C80" w:rsidP="00DF4295">
      <w:pPr>
        <w:widowControl w:val="0"/>
        <w:autoSpaceDE w:val="0"/>
        <w:autoSpaceDN w:val="0"/>
        <w:spacing w:before="120" w:after="120" w:line="240" w:lineRule="auto"/>
        <w:ind w:left="284"/>
        <w:jc w:val="both"/>
        <w:rPr>
          <w:rFonts w:ascii="Times New Roman" w:eastAsia="Arial" w:hAnsi="Times New Roman" w:cs="Times New Roman"/>
          <w:i/>
          <w:noProof/>
          <w:kern w:val="0"/>
          <w:sz w:val="26"/>
          <w:szCs w:val="26"/>
          <w14:ligatures w14:val="none"/>
        </w:rPr>
      </w:pPr>
      <w:r>
        <w:rPr>
          <w:rFonts w:ascii="Times New Roman" w:hAnsi="Times New Roman"/>
          <w:i/>
          <w:color w:val="616161"/>
          <w:sz w:val="26"/>
        </w:rPr>
        <w:t>Rezidences jurisdikcija(-as)</w:t>
      </w:r>
    </w:p>
    <w:p w14:paraId="2D5F4C90" w14:textId="0AE0E75B" w:rsidR="00335C80" w:rsidRPr="00DF4295" w:rsidRDefault="00DF4295" w:rsidP="00DF429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 Rezidences jurisdikcija(-as), kas sniedzama(-as) attiecībā uz personu, par kuru jāsniedz ziņojums, ir rezidences jurisdikcija(-as), ko kriptoaktīvu pakalpojumu sniedzējs, kurš sniedz ziņojumus, ir identificējis saskaņā ar III pantā sniegtajām pienācīgas pārbaudes procedūrām. Gadījumā, ja ir konstatēts, ka personai, par kuru jāsniedz ziņojums, ir vairākas rezidences jurisdikcijas, tad paziņo visas tās rezidences jurisdikcijas, ko kriptoaktīvu pakalpojumu sniedzējs, kurš sniedz ziņojumus, ir norādījis attiecībā uz personu, par kuru jāsniedz ziņojums.</w:t>
      </w:r>
    </w:p>
    <w:p w14:paraId="3D53BFD4" w14:textId="77777777" w:rsidR="00335C80" w:rsidRPr="00881284" w:rsidRDefault="00335C80" w:rsidP="005438B3">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r>
        <w:rPr>
          <w:rFonts w:ascii="Times New Roman" w:hAnsi="Times New Roman"/>
          <w:i/>
          <w:color w:val="616161"/>
          <w:sz w:val="26"/>
        </w:rPr>
        <w:t>Nodokļu maksātāja identifikācijas numurs</w:t>
      </w:r>
    </w:p>
    <w:p w14:paraId="50F30873" w14:textId="5F6E4DAA" w:rsidR="00335C80" w:rsidRPr="00DF4295" w:rsidRDefault="00DF4295" w:rsidP="00DF429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 </w:t>
      </w:r>
      <w:r>
        <w:rPr>
          <w:rFonts w:ascii="Times New Roman" w:hAnsi="Times New Roman"/>
          <w:i/>
          <w:iCs/>
          <w:sz w:val="24"/>
        </w:rPr>
        <w:t>TIN</w:t>
      </w:r>
      <w:r>
        <w:rPr>
          <w:rFonts w:ascii="Times New Roman" w:hAnsi="Times New Roman"/>
          <w:sz w:val="24"/>
        </w:rPr>
        <w:t xml:space="preserve">, kas jāpaziņo, ir </w:t>
      </w:r>
      <w:r>
        <w:rPr>
          <w:rFonts w:ascii="Times New Roman" w:hAnsi="Times New Roman"/>
          <w:i/>
          <w:iCs/>
          <w:sz w:val="24"/>
        </w:rPr>
        <w:t>TIN</w:t>
      </w:r>
      <w:r>
        <w:rPr>
          <w:rFonts w:ascii="Times New Roman" w:hAnsi="Times New Roman"/>
          <w:sz w:val="24"/>
        </w:rPr>
        <w:t xml:space="preserve">, ko personai, par kuru jāsniedz ziņojums, ir piešķīrusi tās rezidences jurisdikcija (t. i., nevis avota jurisdikcija). Gadījumā, ja ir konstatēts, ka personai, par kuru jāsniedz ziņojums, ir vairākas rezidences jurisdikcijas, paziņo šīs personas </w:t>
      </w:r>
      <w:r>
        <w:rPr>
          <w:rFonts w:ascii="Times New Roman" w:hAnsi="Times New Roman"/>
          <w:i/>
          <w:iCs/>
          <w:sz w:val="24"/>
        </w:rPr>
        <w:t>TIN</w:t>
      </w:r>
      <w:r>
        <w:rPr>
          <w:rFonts w:ascii="Times New Roman" w:hAnsi="Times New Roman"/>
          <w:sz w:val="24"/>
        </w:rPr>
        <w:t xml:space="preserve"> attiecībā uz katru jurisdikciju, par kuru jāsniedz ziņojums. Šajā saistībā, ja nav nodokļu maksātāja identifikācijas numura, termins “</w:t>
      </w:r>
      <w:r>
        <w:rPr>
          <w:rFonts w:ascii="Times New Roman" w:hAnsi="Times New Roman"/>
          <w:i/>
          <w:iCs/>
          <w:sz w:val="24"/>
        </w:rPr>
        <w:t>TIN</w:t>
      </w:r>
      <w:r>
        <w:rPr>
          <w:rFonts w:ascii="Times New Roman" w:hAnsi="Times New Roman"/>
          <w:sz w:val="24"/>
        </w:rPr>
        <w:t>” ietver tā funkcionālo ekvivalentu.</w:t>
      </w:r>
    </w:p>
    <w:p w14:paraId="1697F4DA" w14:textId="77777777" w:rsidR="00335C80" w:rsidRPr="00881284" w:rsidRDefault="00335C80" w:rsidP="005438B3">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81" w:name="Subparagraph_A(2)_–_Information_on_the_R"/>
      <w:bookmarkEnd w:id="81"/>
      <w:r>
        <w:rPr>
          <w:rFonts w:ascii="Times New Roman" w:hAnsi="Times New Roman"/>
          <w:i/>
          <w:color w:val="616161"/>
          <w:sz w:val="26"/>
        </w:rPr>
        <w:t>A punkta 2. apakšpunkts. Informācija par kriptoaktīvu pakalpojumu sniedzēju, kas sniedz ziņojumus</w:t>
      </w:r>
    </w:p>
    <w:p w14:paraId="5E991733" w14:textId="4B0EA3A9" w:rsidR="00335C80" w:rsidRPr="00DF4295" w:rsidRDefault="00DF4295" w:rsidP="00DF429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4. A punkta 2. apakšpunktā ir prasīts, ka kriptoaktīvu pakalpojumu sniedzējam, kas sniedz ziņojumus, jānorāda vārds, adrese un identifikācijas numurs (ja tāds ir). Identifikācijas informācija par kriptoaktīvu pakalpojumu sniedzēju, kas sniedz ziņojumus, ir paredzēta tam, lai ļautu identificēt paziņotās un pēc tam informācijas apmaiņā sniegtās informācijas avotu un lai informāciju sniegusī jurisdikcija varētu, piemēram, pārbaudīt kļūdu, kas varētu būt bijusi par iemeslu nepareizas vai nepilnīgas informācijas paziņošanai. Kriptoaktīvu pakalpojumu sniedzēja, kas sniedz ziņojumus, “identifikācijas numurs” ir viens no šādiem numuriem, kas šim kriptoaktīvu pakalpojumu sniedzējam ir piešķirts identifikācijas nolūkā – </w:t>
      </w:r>
      <w:r>
        <w:rPr>
          <w:rFonts w:ascii="Times New Roman" w:hAnsi="Times New Roman"/>
          <w:i/>
          <w:iCs/>
          <w:sz w:val="24"/>
        </w:rPr>
        <w:t>TIN</w:t>
      </w:r>
      <w:r>
        <w:rPr>
          <w:rFonts w:ascii="Times New Roman" w:hAnsi="Times New Roman"/>
          <w:sz w:val="24"/>
        </w:rPr>
        <w:t xml:space="preserve"> vai, ja tā nav, darījumdarbības/uzņēmējsabiedrības reģistrācijas kods/numurs vai starptautiskais juridiskās personas identifikators (</w:t>
      </w:r>
      <w:r>
        <w:rPr>
          <w:rFonts w:ascii="Times New Roman" w:hAnsi="Times New Roman"/>
          <w:i/>
          <w:iCs/>
          <w:sz w:val="24"/>
        </w:rPr>
        <w:t>LEI</w:t>
      </w:r>
      <w:r>
        <w:rPr>
          <w:rFonts w:ascii="Times New Roman" w:hAnsi="Times New Roman"/>
          <w:sz w:val="24"/>
        </w:rPr>
        <w:t>). Ja kriptoaktīvu pakalpojumu sniedzējam, kas sniedz ziņojumus, identifikācijas numurs nav piešķirts, tad jāpaziņo vienīgi šā kriptoaktīvu pakalpojumu sniedzēja nosaukums un adrese.</w:t>
      </w:r>
    </w:p>
    <w:p w14:paraId="74A1F7F6" w14:textId="77777777" w:rsidR="00335C80" w:rsidRPr="00881284" w:rsidRDefault="00335C80" w:rsidP="00433824">
      <w:pPr>
        <w:keepNext/>
        <w:keepLines/>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82" w:name="Subparagraph_A(3)_–_Information_on_Relev"/>
      <w:bookmarkEnd w:id="82"/>
      <w:r>
        <w:rPr>
          <w:rFonts w:ascii="Times New Roman" w:hAnsi="Times New Roman"/>
          <w:i/>
          <w:color w:val="616161"/>
          <w:sz w:val="26"/>
        </w:rPr>
        <w:lastRenderedPageBreak/>
        <w:t>A punkta 3. apakšpunkts. Informācija par attiecīgajiem darījumiem</w:t>
      </w:r>
    </w:p>
    <w:p w14:paraId="04B28085" w14:textId="1700CD1E" w:rsidR="00335C80" w:rsidRPr="00DF4295" w:rsidRDefault="00DF4295" w:rsidP="00433824">
      <w:pPr>
        <w:keepNext/>
        <w:keepLines/>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5. A punkta 3. apakšpunktā ir ietvertas finanšu pārskatu sniegšanas prasības, kuras piemērojamas kriptoaktīvu pakalpojumu sniedzējiem, kas sniedz ziņojumus, saskaņā ar kurām šiem kriptoaktīvu pakalpojumu sniedzējiem ir pienākums sniegt noteiktu informāciju par attiecīgajiem darījumiem, kas izpildīti katrā attiecīgajā kalendārajā gadā vai citā atbilstošā pārskata periodā un attiecībā uz katru lietotāju, par kuru jāsniedz ziņojums. Šajā saistībā A punkta 3. apakšpunktā ir norādīts, kāda informācija ir jāsniedz, savukārt D un E punktā ietverti piemērojamie vērtēšanas un valūtas pārrēķināšanas noteikumi.</w:t>
      </w:r>
    </w:p>
    <w:p w14:paraId="495B1A58" w14:textId="35B89F3D" w:rsidR="00335C80" w:rsidRPr="00DF4295" w:rsidRDefault="00DF4295" w:rsidP="00DF429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6. Lai parādītu dažādas attiecīgo darījumu kategorijas, kriptoaktīvu pakalpojumu sniedzējiem, kas sniedz ziņojumus, par katru attiecīgā kriptoaktīva veidu jānorāda:</w:t>
      </w:r>
    </w:p>
    <w:p w14:paraId="470E8925" w14:textId="77777777" w:rsidR="00335C80" w:rsidRPr="00DF4295" w:rsidRDefault="00335C80" w:rsidP="00326ABB">
      <w:pPr>
        <w:widowControl w:val="0"/>
        <w:numPr>
          <w:ilvl w:val="1"/>
          <w:numId w:val="2"/>
        </w:numPr>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attiecīgā kriptoaktīva veida pilnais nosaukums, kā norādīts A punkta 3. apakšpunkta a) daļā;</w:t>
      </w:r>
    </w:p>
    <w:p w14:paraId="13B02EDB" w14:textId="77777777" w:rsidR="00335C80" w:rsidRPr="00DF4295" w:rsidRDefault="00335C80" w:rsidP="00326ABB">
      <w:pPr>
        <w:widowControl w:val="0"/>
        <w:numPr>
          <w:ilvl w:val="1"/>
          <w:numId w:val="2"/>
        </w:numPr>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attiecīgo kriptoaktīvu iegāde un realizācija pret bezseguma valūtu, kā norādīts A punkta 3. apakšpunkta attiecīgi b) un c) daļā;</w:t>
      </w:r>
    </w:p>
    <w:p w14:paraId="690235F0" w14:textId="77777777" w:rsidR="00335C80" w:rsidRPr="00DF4295" w:rsidRDefault="00335C80" w:rsidP="00326ABB">
      <w:pPr>
        <w:widowControl w:val="0"/>
        <w:numPr>
          <w:ilvl w:val="1"/>
          <w:numId w:val="2"/>
        </w:numPr>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attiecīgo kriptoaktīvu iegāde un realizācija pret citiem attiecīgajiem kriptoaktīviem, kā norādīts A punkta 3. apakšpunkta attiecīgi d) un e) daļā;</w:t>
      </w:r>
    </w:p>
    <w:p w14:paraId="14DC22BD" w14:textId="77777777" w:rsidR="00335C80" w:rsidRPr="00DF4295" w:rsidRDefault="00335C80" w:rsidP="00326ABB">
      <w:pPr>
        <w:widowControl w:val="0"/>
        <w:numPr>
          <w:ilvl w:val="1"/>
          <w:numId w:val="2"/>
        </w:numPr>
        <w:tabs>
          <w:tab w:val="left" w:pos="1235"/>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neliela apjoma maksājumu darījumi, par kuriem jāsniedz ziņojums, kā norādīts A punkta 3. apakšpunkta f) daļā, un</w:t>
      </w:r>
    </w:p>
    <w:p w14:paraId="5C2D6B60" w14:textId="77777777" w:rsidR="00335C80" w:rsidRPr="00DF4295" w:rsidRDefault="00335C80" w:rsidP="00326ABB">
      <w:pPr>
        <w:widowControl w:val="0"/>
        <w:numPr>
          <w:ilvl w:val="1"/>
          <w:numId w:val="2"/>
        </w:numPr>
        <w:tabs>
          <w:tab w:val="left" w:pos="1235"/>
          <w:tab w:val="left" w:pos="1237"/>
        </w:tabs>
        <w:autoSpaceDE w:val="0"/>
        <w:autoSpaceDN w:val="0"/>
        <w:spacing w:before="120" w:after="120" w:line="240" w:lineRule="auto"/>
        <w:ind w:left="567" w:hanging="284"/>
        <w:jc w:val="both"/>
        <w:rPr>
          <w:rFonts w:ascii="Times New Roman" w:eastAsia="Arial" w:hAnsi="Times New Roman" w:cs="Times New Roman"/>
          <w:noProof/>
          <w:kern w:val="0"/>
          <w:sz w:val="24"/>
          <w:szCs w:val="24"/>
          <w14:ligatures w14:val="none"/>
        </w:rPr>
      </w:pPr>
      <w:r>
        <w:rPr>
          <w:rFonts w:ascii="Times New Roman" w:hAnsi="Times New Roman"/>
          <w:sz w:val="24"/>
        </w:rPr>
        <w:t>citi attiecīgo kriptoaktīvu pārvedumi, ko veic lietotājs, par kuru jāsniedz ziņojums, vai kas tiek veikti lietotājam, par kuru jāsniedz ziņojums, kā norādīts A punkta 3. apakšpunkta attiecīgi g), h) un i) daļā.</w:t>
      </w:r>
    </w:p>
    <w:p w14:paraId="557D1CFD" w14:textId="176F5E3F" w:rsidR="00335C80" w:rsidRPr="003F7860" w:rsidRDefault="005438B3" w:rsidP="005438B3">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7. Pārvedumi, ko veic lietotāji, par kuriem jāsniedz ziņojums, vai kas tiek veikti lietotājiem, par kuriem jāsniedz ziņojums, kas jāziņo saskaņā ar A punkta 3. apakšpunkta attiecīgi g), h) un i) daļu, ietver iegādes un realizācijas, par kurām kriptoaktīvu pakalpojuma sniedzējs, kas sniedz ziņojumus, faktiski nezina par samaksāto vai saņemto atlīdzību, kā arī pārvedumus, kas nav iegādes vai realizācijas (piemēram, lietotājs pārved kriptoaktīvus uz savu privāto maku vai savu kontu, izmantojot citu kriptoaktīvu pakalpojumu sniedzēju, kas sniedz ziņojumus).</w:t>
      </w:r>
    </w:p>
    <w:p w14:paraId="3BCDEAF4" w14:textId="7C716229" w:rsidR="00335C80" w:rsidRPr="003F7860" w:rsidRDefault="005438B3" w:rsidP="00DF429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8. Katrai kategorijai, par kuru jāsniedz ziņojums, ir atšķirīgi piemērojamie vērtēšanas noteikumi. Attiecībā uz kriptoaktīvu pret bezseguma valūtu maiņas darījumiem, kā norādīts A punkta 3. apakšpunkta b) un c) daļā, kriptoaktīvu pakalpojumu sniedzējiem, kas sniedz ziņojumus, ir pienākums ziņot summu, ko samaksājis vai saņēmis lietotājs, par kuru jāsniedz ziņojums, un no kā atskaitītas darījuma maksas. D punktā noteikts, ka šīs summas ziņojumā jānorāda tādā bezseguma valūtā, kādā tās samaksātas vai saņemtas. Tomēr, ja summas tika samaksātas vai saņemtas vairākās bezseguma valūtās, ziņojumā tās jānorāda vienotā bezseguma valūtā, kas konvertēta katra attiecīgā darījuma brīdī tādā veidā, ko saskanīgi piemēro kriptoaktīvu pakalpojumu sniedzējs, kurš sniedz ziņojumus.</w:t>
      </w:r>
    </w:p>
    <w:p w14:paraId="65BB72B2" w14:textId="50647985" w:rsidR="00335C80" w:rsidRPr="003F7860" w:rsidRDefault="005438B3" w:rsidP="00DF429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9. Attiecībā uz kriptoaktīvu savstarpējiem maiņas darījumiem, kā norādīts A punkta 3. apakšpunkta d) un e) daļā, neliela apjoma maksājumu darījumiem, par kuriem jāsniedz ziņojums, kā norādīts A punkta 3. apakšpunkta f) daļā, citiem pārvedumiem, kā norādīts A punkta 3. apakšpunkta g) un h) daļā, kā arī ziņojumiem par pārvedumiem uz makiem, par kuriem kriptoaktīvu pakalpojumu sniedzēji, kas sniedz ziņojumus, nezina, vai tie ir saistāmi ar virtuālo aktīvu pakalpojumu sniedzēju vai finanšu iestādi (kā šie termini ir definēti Finanšu darījumu darba grupas 2012. gada ieteikumos, kas atjaunināti 2019. gadā attiecībā uz virtuālo aktīvu pakalpojumu sniedzējiem), kā norādīts A punkta 3. apakšpunkta i) daļā, tā kā nav zināma atlīdzība, kriptoaktīvu pakalpojumu sniedzējiem, kas sniedz ziņojumus, ziņojumā jānorāda attiecīgo iegādāto un realizēto vai pārskaitīto attiecīgo kriptoaktīvu patiesā tirgus vērtība, no kuras atskaitītas darījuma maksas. E punktā ir noteikts, ka šīs summas jānosaka un jāziņo </w:t>
      </w:r>
      <w:r>
        <w:rPr>
          <w:rFonts w:ascii="Times New Roman" w:hAnsi="Times New Roman"/>
          <w:sz w:val="24"/>
        </w:rPr>
        <w:lastRenderedPageBreak/>
        <w:t>bezseguma valūtā, kuras vērtība noteikta katra attiecīgā darījuma brīdī tādā veidā, ko saskanīgi piemēro kriptoaktīvu pakalpojumu sniedzējs, kas sniedz ziņojumus. Attiecībā uz D un E punktu jurisdikcija var prasīt, lai ziņojums tiktu sniegts konkrētā bezseguma valūtā, piemēram, tās vietējā valūtā.</w:t>
      </w:r>
    </w:p>
    <w:p w14:paraId="632C119F" w14:textId="6B19AD13" w:rsidR="00335C80" w:rsidRPr="003F7860" w:rsidRDefault="005438B3" w:rsidP="00DF429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10. Attiecībā uz visām A punkta 3. apakšpunkta b)–i) daļā norādītajām kategorijām, par kurām jāziņo, noteikumos ir prasīts apvienot, t. i., summēt visus darījumus, kas attiecināmi uz katru ziņojamo kategoriju attiecībā uz katra veida attiecīgo kriptoaktīvu, konvertējot un novērtējot tos saskaņā ar D un E punktu. Piemēram, ja attiecīgā kriptoaktīva vienības var savstarpēji aizstāt ar atbilstošām tā paša attiecīgā kriptoaktīva vienībām, tās visas apvienošanas nolūkā ir jāuzskata par viena veida attiecīgo kriptoaktīvu. Ja tomēr attiecīgais kriptoaktīvs ir neaizstājams un dažādām attiecīgā kriptoaktīva variācijām fiksētajām vienībām nav vienas vērtības, katra vienība jāuzskata par atsevišķu attiecīgā kriptoaktīva veidu.</w:t>
      </w:r>
    </w:p>
    <w:p w14:paraId="7EB572D4" w14:textId="77777777" w:rsidR="00335C80" w:rsidRPr="00881284" w:rsidRDefault="00335C80" w:rsidP="003F7860">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83" w:name="Type_of_Relevant_Crypto-Asset"/>
      <w:bookmarkEnd w:id="83"/>
      <w:r>
        <w:rPr>
          <w:rFonts w:ascii="Times New Roman" w:hAnsi="Times New Roman"/>
          <w:i/>
          <w:color w:val="616161"/>
          <w:sz w:val="26"/>
        </w:rPr>
        <w:t>Attiecīgā kriptoaktīva veids</w:t>
      </w:r>
    </w:p>
    <w:p w14:paraId="2BEBECE5" w14:textId="7248D511" w:rsidR="00335C80" w:rsidRPr="003F7860" w:rsidRDefault="00DF4295" w:rsidP="00DF429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11. Informācija, kas norādīta A punkta 3. apakšpunkta b)–i) daļā, jāziņo par katru attiecīgā kriptoaktīva veidu. Šim nolūkam ir jānorāda A punkta 3. apakšpunkta a) daļā prasītais attiecīgā kriptoaktīva veida nosaukums, nevis “apzīmējums” vai saīsinātais simbols, ko kriptoaktīvu pakalpojumu sniedzējs, kas sniedz ziņojumus, izmanto, lai identificētu konkrētu attiecīgā kriptoaktīva veidu.</w:t>
      </w:r>
    </w:p>
    <w:p w14:paraId="39194EEF" w14:textId="77777777" w:rsidR="00335C80" w:rsidRPr="00881284" w:rsidRDefault="00335C80" w:rsidP="003F7860">
      <w:pPr>
        <w:widowControl w:val="0"/>
        <w:autoSpaceDE w:val="0"/>
        <w:autoSpaceDN w:val="0"/>
        <w:spacing w:after="0" w:line="240" w:lineRule="auto"/>
        <w:ind w:left="284"/>
        <w:jc w:val="both"/>
        <w:rPr>
          <w:rFonts w:ascii="Times New Roman" w:eastAsia="Arial" w:hAnsi="Times New Roman" w:cs="Times New Roman"/>
          <w:i/>
          <w:iCs/>
          <w:noProof/>
          <w:color w:val="616161"/>
          <w:kern w:val="0"/>
          <w:sz w:val="26"/>
          <w:szCs w:val="26"/>
          <w14:ligatures w14:val="none"/>
        </w:rPr>
      </w:pPr>
      <w:bookmarkStart w:id="84" w:name="Crypto-Asset-to-Fiat_Currency_transactio"/>
      <w:bookmarkEnd w:id="84"/>
      <w:r>
        <w:rPr>
          <w:rFonts w:ascii="Times New Roman" w:hAnsi="Times New Roman"/>
          <w:i/>
          <w:color w:val="616161"/>
          <w:sz w:val="26"/>
        </w:rPr>
        <w:t>Kriptoaktīvu pret bezseguma valūtu maiņas darījumi</w:t>
      </w:r>
    </w:p>
    <w:p w14:paraId="1AF5EB9C" w14:textId="787D9DED" w:rsidR="00335C80" w:rsidRPr="003F7860" w:rsidRDefault="003F7860" w:rsidP="00DE3082">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12. A punkta 3. apakšpunkta b) daļā prasīts, ka gadījumā, ja par attiecīgo kriptoaktīvu iegādi norēķinās ar bezseguma valūtu, kriptoaktīvu pakalpojumu sniedzējiem, kas sniedz ziņojumus, ziņojumā par katra veida attiecīgajiem kriptoaktīviem, ko iegādājies lietotājs, par kuru jāsniedz ziņojums, jānorāda kopsumma, ko samaksājis šis lietotājs, no kuras atskaitītas darījuma maksas.</w:t>
      </w:r>
    </w:p>
    <w:p w14:paraId="675C8FC5" w14:textId="6FB2BD9B" w:rsidR="00335C80" w:rsidRPr="003F7860" w:rsidRDefault="003F7860" w:rsidP="00DE3082">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13. Iegāde ir darījums, kuru izpildījis kriptoaktīvu pakalpojumu sniedzējs, kas sniedz ziņojumus, un kurā lietotājs, par ko jāsniedz ziņojums, iegūst attiecīgo kriptoaktīvu, neatkarīgi no tā, vai šis aktīvs ir iegūts no pārdevēja, kas ir trešā persona, vai no paša kriptoaktīvu pakalpojumu sniedzēja, kas sniedz ziņojumus.</w:t>
      </w:r>
    </w:p>
    <w:p w14:paraId="65045912" w14:textId="3AFA8607" w:rsidR="00335C80" w:rsidRPr="003F7860" w:rsidRDefault="003F7860" w:rsidP="00DE3082">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14. Ja par attiecīgo kriptoaktīvu realizāciju norēķinās ar bezseguma valūtu, A punkta 3. apakšpunkta c) daļā prasīts, ka kriptoaktīvu pakalpojumu sniedzējs, kas sniedz ziņojumus, ziņojumā norāda kopsummu, kas saņemta bezseguma valūtā, no kuras atskaitītas darījuma maksas par attiecīgajiem kriptoaktīviem, ko atsavinājis lietotājs, par kuru jāsniedz ziņojums.</w:t>
      </w:r>
    </w:p>
    <w:p w14:paraId="72DA05F1" w14:textId="2AA8D5F5" w:rsidR="00335C80" w:rsidRPr="003F7860" w:rsidRDefault="003F7860" w:rsidP="00DE3082">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15. Realizācija ir darījums, ko izpildījis kriptoaktīvu pakalpojumu sniedzējs, kas sniedz ziņojumus, kurā lietotājs, par ko jāsniedz ziņojums, atsavina attiecīgo kriptoaktīvu, neatkarīgi no tā, vai šis aktīvs ir nosūtīts pircējam, kas ir trešā persona, vai pašam kriptoaktīvu pakalpojumu sniedzējam, kas sniedz ziņojumus.</w:t>
      </w:r>
    </w:p>
    <w:p w14:paraId="3122D8CD" w14:textId="174D16D5" w:rsidR="00335C80" w:rsidRPr="003F7860" w:rsidRDefault="003F7860" w:rsidP="00DE3082">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16. Var būt gadījumi, kad lietotājs, par kuru jāsniedz ziņojums, iegādājas vai realizē attiecīgo kriptoaktīvu pret bezseguma valūtu, lai arī kriptoaktīvu pakalpojumu sniedzējs, kas sniedz ziņojumus, faktiski nezina bezseguma valūtā izteiktās atlīdzības apmēru. Tas varētu būt, piemēram, tad, ja kriptoaktīvu pakalpojumu sniedzējs, kas sniedz ziņojumus, ir tikai izpildījis attiecīgo kriptoaktīvu pārvedumu no lietotāja, par kuru jāsniedz ziņojums, vai pārvedumu šim lietotājam un faktiski nezina par bezseguma valūtā veiktā darījuma daļu. Par šādiem darījumiem jāziņo kā par pārvedumiem, kas nosūtīti lietotājam, par kuru jāsniedz ziņojums, vai kā par pārvedumiem, ko veicis šis lietotājs, saskaņā ar A punkta 3. apakšpunkta attiecīgi g) un h) daļu.</w:t>
      </w:r>
    </w:p>
    <w:p w14:paraId="64F40D2F" w14:textId="77777777" w:rsidR="00335C80" w:rsidRPr="00881284" w:rsidRDefault="00335C80" w:rsidP="00DE3082">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85" w:name="Crypto-Asset-to-Crypto-Asset_transaction"/>
      <w:bookmarkEnd w:id="85"/>
      <w:r>
        <w:rPr>
          <w:rFonts w:ascii="Times New Roman" w:hAnsi="Times New Roman"/>
          <w:i/>
          <w:color w:val="616161"/>
          <w:sz w:val="26"/>
        </w:rPr>
        <w:t>Kriptoaktīvu savstarpējās maiņas darījumi</w:t>
      </w:r>
    </w:p>
    <w:p w14:paraId="01AAB5BF" w14:textId="65CA8E7D" w:rsidR="00335C80" w:rsidRPr="003F7860" w:rsidRDefault="003F7860" w:rsidP="00DE3082">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17. Par kriptoaktīvu savstarpējās maiņas darījumu, ko izpildījis kriptoaktīvu pakalpojumu sniedzējs, kurš sniedz ziņojumus, jāsniedz ziņojums gan saskaņā ar A punkta 3. apakšpunkta d) daļu, gan tā e) daļu. Šajā ziņā A punkta 3. apakšpunkta d) daļā paredzēts, ka tad, ja </w:t>
      </w:r>
      <w:r>
        <w:rPr>
          <w:rFonts w:ascii="Times New Roman" w:hAnsi="Times New Roman"/>
          <w:sz w:val="24"/>
        </w:rPr>
        <w:lastRenderedPageBreak/>
        <w:t>kriptoaktīvus iegādājas apmaiņā pret citiem kriptoaktīviem, kriptoaktīvu pakalpojumu sniedzējam, kas sniedz ziņojumus, ir pienākums norādīt attiecīgo iegādāto kriptoaktīvu patieso tirgus vērtību, no kuras atskaitītas darījuma maksas. Attiecīgi A punkta 3. apakšpunkta e) daļā ir prasīts, ka tad, ja kriptoaktīvus realizē apmaiņā pret citiem kriptoaktīviem, kriptoaktīvu pakalpojumu sniedzējam, kas sniedz ziņojumus, ir pienākums norādīt attiecīgo realizēto kriptoaktīvu patieso tirgus vērtību, no kuras atskaitītas darījuma maksas.</w:t>
      </w:r>
    </w:p>
    <w:p w14:paraId="0D0B028F" w14:textId="7175E9EA" w:rsidR="00335C80" w:rsidRPr="003F7860" w:rsidRDefault="003F7860" w:rsidP="00DE3082">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18. Piemēram, ja attiecīgo kriptoaktīvu A maina pret attiecīgo kriptoaktīvu B, kriptoaktīvu pakalpojumu sniedzējam, kas sniedz ziņojumus, ir pienākums ziņot gan attiecīgā kriptoaktīva A patieso tirgus vērtību, t. i., attiecīgā realizētā kriptoaktīva patieso tirgus vērtību, kā norādīts A punkta 3. apakšpunkta e) daļā, gan attiecīgā kriptoaktīva B patieso tirgus vērtību, t. i., attiecīgā iegādātā kriptoaktīva patieso tirgus vērtību, kā norādīts A punkta 3. apakšpunkta d) daļā, kas vērtēta attiecīgā darījuma veikšanas brīdī, no abām šīm vērtībām atskaitot darījuma maksas.</w:t>
      </w:r>
    </w:p>
    <w:p w14:paraId="03A60471" w14:textId="64A9B23D" w:rsidR="00335C80" w:rsidRPr="003F7860" w:rsidRDefault="003F7860" w:rsidP="00DE3082">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19. Par visiem kriptoaktīvu savstarpējās maiņas darījumiem, ko izpildījis kriptoaktīvu pakalpojumu sniedzējs, kurš sniedz ziņojumus, jāsniedz ziņojums gan saskaņā ar A punkta 3. apakšpunkta d) daļu, gan tā e) daļu. Tāpat kā attiecībā uz kriptoaktīvu pret bezseguma valūtu maiņas darījumiem var būt gadījumi, ka lietotājs, par kuru jāsniedz ziņojums, veic kriptoaktīvu savstarpējās maiņas darījumu, lai arī kriptoaktīvu pakalpojumu sniedzējs, kas sniedz ziņojumus, faktiski nezina par attiecīgo iegādāto vai realizēto kriptoaktīvu. Tas varētu būt, piemēram, tad, ja kriptoaktīvu pakalpojumu sniedzējs, kas sniedz ziņojumus, ir tikai izpildījis attiecīgo realizēto vai iegādāto kriptoaktīvu pārvedumu, faktiski nezinot par darījuma otro daļu. Atkarībā no tā, par kuru darījuma daļu kriptoaktīvu pakalpojumu sniedzējs, kas sniedz ziņojumus, faktiski zina, par šādiem darījumiem jāziņo kā par pārvedumiem, kas nosūtīti lietotājam, par kuru jāsniedz ziņojums, vai kā par pārvedumiem, ko veicis šis lietotājs, saskaņā ar A punkta 3. apakšpunkta attiecīgi g) un h) daļu.</w:t>
      </w:r>
    </w:p>
    <w:p w14:paraId="744102A2" w14:textId="067D86F4" w:rsidR="00335C80" w:rsidRPr="003F7860" w:rsidRDefault="003F7860" w:rsidP="00DE3082">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20.</w:t>
      </w:r>
      <w:r>
        <w:rPr>
          <w:rFonts w:ascii="Times New Roman" w:hAnsi="Times New Roman"/>
          <w:b/>
          <w:sz w:val="24"/>
        </w:rPr>
        <w:t xml:space="preserve"> Piemērs.</w:t>
      </w:r>
      <w:r>
        <w:rPr>
          <w:rFonts w:ascii="Times New Roman" w:hAnsi="Times New Roman"/>
          <w:sz w:val="24"/>
        </w:rPr>
        <w:t xml:space="preserve"> Lietotājs, par kuru jāsniedz ziņojums, iegādājas attiecīgo kriptoaktīvu D apmaiņā pret attiecīgo kriptoaktīvu C. Kriptoaktīvu pakalpojumu sniedzējs, kas sniedz ziņojumus, izpilda attiecīgā kriptoaktīva C pārvedumu uz attiecīgā kriptoaktīva D pārdevēja maku. Apmaiņā attiecīgā kriptoaktīva D pārdevējs tieši pārved attiecīgo kriptoaktīvu D uz auksto maku, ko kontrolē lietotājs, par kuru jāsniedz ziņojums. Ja kriptoaktīvu pakalpojuma sniedzējs, kas sniedz ziņojumus, faktiski nezina par atlīdzību, t. i., par attiecīgā kriptoaktīva D pārvedumu, tam jāziņo par darījumu kā pār pārvedumu, ko veicis attiecīgā kriptoaktīva C lietotājs, par kuru jāsniedz ziņojums, saskaņā ar A punkta 3. apakšpunkta h) daļu.</w:t>
      </w:r>
    </w:p>
    <w:p w14:paraId="41862068" w14:textId="77777777" w:rsidR="00335C80" w:rsidRPr="00881284" w:rsidRDefault="00335C80" w:rsidP="00380470">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86" w:name="Reportable_Retail_Payment_Transactions"/>
      <w:bookmarkEnd w:id="86"/>
      <w:r>
        <w:rPr>
          <w:rFonts w:ascii="Times New Roman" w:hAnsi="Times New Roman"/>
          <w:i/>
          <w:color w:val="616161"/>
          <w:sz w:val="26"/>
        </w:rPr>
        <w:t>Neliela apjoma maksājumi, par kuriem jāsniedz ziņojums</w:t>
      </w:r>
    </w:p>
    <w:p w14:paraId="5195FF96" w14:textId="30600C09" w:rsidR="00335C80" w:rsidRPr="00380470" w:rsidRDefault="00DE3082"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21. Saskaņā ar A punkta 3. apakšpunkta f) daļu apkopotā informācija par pārvedumiem, kas ir neliela apjoma maksājumi, par kuriem jāsniedz ziņojums, ziņojumā ir jānorāda kā atsevišķa attiecīgo darījumu kategorija. Attiecībā uz šādiem neliela apjoma maksājumiem, par kuriem jāsniedz ziņojums, ne tikai tirgotājs, bet arī tirgotāja klients, kuram vai kura vārdā kriptoaktīvu pakalpojumu sniedzējs, kas sniedz ziņojumus, sniedz pakalpojumu, proti, izpilda neliela apjoma maksājumu darījumus, par kuriem jāsniedz ziņojums, ir jāuzskata par kriptoaktīvu lietotāju (kuram piemērojami kriptoaktīvu lietotāja definīcijā norādītie nosacījumi) un tādējādi par lietotāju, par kuru jāsniedz ziņojums. Apkopotā informācija par neliela apjoma maksājumu darījumiem, par kuriem jāsniedz ziņojums un kurus veicis tirgotāja klients, nav jāiekļauj apkopotajā informācijā, kas ziņota attiecībā uz A punkta 3. apakšpunkta h) daļā minētajiem pārvedumiem. Apkopotā informācija par pārvedumiem, kas nav neliela apjoma maksājumu darījumi, par kuriem jāsniedz ziņojums, tikai tāpēc, ka tie neatbilst minimālajai robežvērtībai, ir jāiekļauj apkopotajā informācijā, kas ziņota attiecībā uz A punkta 3. apakšpunkta g) un h) daļā minētajiem pārvedumiem. Turpmākajos piemēros ir parādīta A punkta 3. apakšpunkta f) un g) daļas piemērošana.</w:t>
      </w:r>
    </w:p>
    <w:p w14:paraId="027AF41D" w14:textId="4CB8EB76" w:rsidR="00335C80" w:rsidRPr="00380470" w:rsidRDefault="00DE3082"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22.</w:t>
      </w:r>
      <w:r>
        <w:rPr>
          <w:rFonts w:ascii="Times New Roman" w:hAnsi="Times New Roman"/>
          <w:b/>
          <w:sz w:val="24"/>
        </w:rPr>
        <w:t xml:space="preserve"> </w:t>
      </w:r>
      <w:r>
        <w:rPr>
          <w:rFonts w:ascii="Times New Roman" w:hAnsi="Times New Roman"/>
          <w:b/>
          <w:bCs/>
          <w:sz w:val="24"/>
        </w:rPr>
        <w:t>1. piemērs.</w:t>
      </w:r>
      <w:r>
        <w:rPr>
          <w:rFonts w:ascii="Times New Roman" w:hAnsi="Times New Roman"/>
          <w:sz w:val="24"/>
        </w:rPr>
        <w:t xml:space="preserve"> (Neliela apjoma maksājumu darījums, par kuru jāsniedz ziņojums). Lai veicinātu to, ka klienti izmanto kriptoaktīvus preču iegādei, tirgotājs ir noslēdzis vienošanos ar kriptoaktīvu pakalpojumu sniedzēju, kas sniedz ziņojumus, par to, ka tas apstrādā kriptoaktīvos veiktus maksājumus, ko tirgotāja klienti ir veikuši tirgotājam. Kriptoaktīvu pakalpojumu sniedzējam, kas sniedz ziņojumus, nav atsevišķu attiecību ar tirgotāja klientiem.</w:t>
      </w:r>
    </w:p>
    <w:p w14:paraId="41F3AF1D" w14:textId="77777777" w:rsidR="00335C80" w:rsidRPr="00380470" w:rsidRDefault="00335C80" w:rsidP="00380470">
      <w:pPr>
        <w:widowControl w:val="0"/>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Klienti par precēm, kas iegādātas no tirgotāja, maksā attiecīgajos kriptoaktīvos, ja to vērtība pārsniedz 50 000 USD. Šis darījums ir neliela apjoma maksājumu darījums, par kuru jāsniedz ziņojums. Kriptoaktīvu pakalpojumu sniedzējam, kas sniedz ziņojumus, tirgotāja klients ir jāuzskata par kriptoaktīvu lietotāju un jāziņo par maksājumu attiecīgajos kriptoaktīvos, kā norādīts A punkta 3. apakšpunkta f) daļā (neliela apjoma maksājumu darījumi, par kuriem jāsniedz ziņojums), ar nosacījumu, ka kriptoaktīvu pakalpojumu sniedzējam, kas sniedz ziņojumus, ir jāpārbauda šāda klienta identitāte saskaņā ar valsts noteikumiem par noziedzīgi iegūtu līdzekļu legalizācijas novēršanu, jo veikts neliela apjoma maksājumu darījums, par kuru jāsniedz ziņojums. Kriptoaktīvu pakalpojumu sniedzējam, kas sniedz ziņojumus, arī tirgotājs ir jāuzskata par šā darījuma kriptoaktīvu lietotāju un darījums jāziņo kā pārvedums tirgotājam saskaņā ar A punkta 3. apakšpunkta g) daļu.</w:t>
      </w:r>
    </w:p>
    <w:p w14:paraId="3C91B651" w14:textId="325610BC" w:rsidR="00335C80" w:rsidRPr="00380470" w:rsidRDefault="00DE3082"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23.</w:t>
      </w:r>
      <w:r>
        <w:rPr>
          <w:rFonts w:ascii="Times New Roman" w:hAnsi="Times New Roman"/>
          <w:b/>
          <w:sz w:val="24"/>
        </w:rPr>
        <w:t xml:space="preserve"> </w:t>
      </w:r>
      <w:r>
        <w:rPr>
          <w:rFonts w:ascii="Times New Roman" w:hAnsi="Times New Roman"/>
          <w:b/>
          <w:bCs/>
          <w:sz w:val="24"/>
        </w:rPr>
        <w:t>2. piemērs.</w:t>
      </w:r>
      <w:r>
        <w:rPr>
          <w:rFonts w:ascii="Times New Roman" w:hAnsi="Times New Roman"/>
          <w:sz w:val="24"/>
        </w:rPr>
        <w:t xml:space="preserve"> (Darījums nav neliela apjoma maksājumu darījums, par kuru jāsniedz ziņojums, ņemot vērā minimālo robežvērtību.) Klients noslēdz citu darījumu ar tirgotāju, kas ir identisks 1. piemērā minētajam darījumam, izņemot to, ka darījuma summa ir mazāka par 50 000 USD. Šis darījums nav neliela apjoma maksājumu darījums, par kuru jāsniedz ziņojums. Kriptoaktīvu pakalpojumu sniedzējam, kas sniedz ziņojumus, tirgotājs ir jāuzskata par šā darījuma kriptoaktīvu lietotāju, un darījums jāziņo kā pārvedums tirgotājam saskaņā ar A punkta 3. apakšpunkta g) daļu.</w:t>
      </w:r>
    </w:p>
    <w:p w14:paraId="13C9B987" w14:textId="77777777" w:rsidR="00335C80" w:rsidRPr="00881284" w:rsidRDefault="00335C80" w:rsidP="00380470">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87" w:name="Transfers_other_than_Reportable_Retail_P"/>
      <w:bookmarkEnd w:id="87"/>
      <w:r>
        <w:rPr>
          <w:rFonts w:ascii="Times New Roman" w:hAnsi="Times New Roman"/>
          <w:i/>
          <w:color w:val="616161"/>
          <w:sz w:val="26"/>
        </w:rPr>
        <w:t>Pārvedumi, kas nav neliela apjoma maksājumu darījumi, par kuriem jāsniedz ziņojums</w:t>
      </w:r>
    </w:p>
    <w:p w14:paraId="1F19ECF8" w14:textId="2124A100" w:rsidR="00335C80" w:rsidRPr="00380470" w:rsidRDefault="00651321"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24. Saskaņā ar A punkta 3. apakšpunkta g) un h) daļu kriptoaktīvu pakalpojumu sniedzējiem, kas sniedz ziņojumus, attiecīgi ir jāziņo patiesā tirgus vērtība attiecībā uz citiem pārvedumiem, kuri nosūtīti lietotājam, par ko jāsniedz ziņojums, vai kurus ir nosūtījis šis lietotājs. Turklāt kriptoaktīvu pakalpojumu sniedzējam, kas sniedz ziņojumus, kopējā patiesā tirgus vērtība, vienību kopskaits un lietotāja, par kuru jāsniedz ziņojums, vārdā izpildīto pārvedumu skaits pārskata periodā jānorāda iedalījumā pēc pārveduma veida, ja šim kriptoaktīvu pakalpojumu sniedzējam tas ir zināms. Piemēram, ja kriptoaktīvu pakalpojumu sniedzējs, kas sniedz ziņojumus, zina, ka saistībā ar lietotāju, par kuru jāsniedz ziņojums, tā vārdā veikti pārvedumi ir saistīti ar bezmaksas žetonu piešķiršanu (stingrā sazarojuma dēļ), bezmaksas žetonu piešķiršanu (ar stingro sazarojumu nesaistītu iemeslu dēļ), ienākumu, kas gūts no likmes veikšanas, izmaksas, atmaksas vai saistīta ieņēmuma par aizdevumu, vai ar apmaiņu par precēm un pakalpojumiem, tam ir jānorāda kopējā patiesā tirgus vērtība, vienību kopskaits un izpildīto pārvedumu skaits iedalījumā pēc pārveduma veida.</w:t>
      </w:r>
    </w:p>
    <w:p w14:paraId="0861A829" w14:textId="77777777" w:rsidR="00335C80" w:rsidRPr="00881284" w:rsidRDefault="00335C80" w:rsidP="00380470">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88" w:name="Transfers_to_external_wallet_addresses"/>
      <w:bookmarkEnd w:id="88"/>
      <w:r>
        <w:rPr>
          <w:rFonts w:ascii="Times New Roman" w:hAnsi="Times New Roman"/>
          <w:i/>
          <w:color w:val="616161"/>
          <w:sz w:val="26"/>
        </w:rPr>
        <w:t>Pārvedumi uz ārēja maka adresēm</w:t>
      </w:r>
    </w:p>
    <w:p w14:paraId="257CD7D5" w14:textId="6FBF9659" w:rsidR="00335C80" w:rsidRPr="00380470" w:rsidRDefault="00651321" w:rsidP="00433824">
      <w:pPr>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25. A punkta 3. apakšpunkta i) daļā prasīts, ka kriptoaktīvu pakalpojumu sniedzējam, kas sniedz ziņojumus, ir pienākums ziņot vienību kopskaitu, kā arī kopējo patieso tirgus vērtību bezseguma valūtā dalījumā pa attiecīgo kriptoaktīvu veidiem attiecībā uz pārvedumiem, ko tas veicis tāda lietotāja vārdā, par kuru jāsniedz ziņojums, uz maka adresēm (tostarp citiem līdzvērtīgiem identifikatoriem, kas izmantoti pārveduma galamērķa raksturošanai), par kurām šis kriptoaktīvu pakalpojumu sniedzējs nezina, vai tās ir saistāmas ar virtuālo aktīvu pakalpojumu sniedzēju vai finanšu iestādi, kā definēts </w:t>
      </w:r>
      <w:r>
        <w:rPr>
          <w:rFonts w:ascii="Times New Roman" w:hAnsi="Times New Roman"/>
          <w:i/>
          <w:iCs/>
          <w:sz w:val="24"/>
        </w:rPr>
        <w:t>FATF</w:t>
      </w:r>
      <w:r>
        <w:rPr>
          <w:rFonts w:ascii="Times New Roman" w:hAnsi="Times New Roman"/>
          <w:sz w:val="24"/>
        </w:rPr>
        <w:t xml:space="preserve"> ieteikumos. Kriptoaktīvu pakalpojumu sniedzējam, kas sniedz ziņojumus, nav prasīts ziņot A punkta 3. apakšpunkta i) daļā norādīto pārvedumu vienību kopskaitu vai kopējo patieso tirgus vērtību, ja šis kriptoaktīvu pakalpojumu sniedzējs zina, ka maka adrese, uz kuru ir pārvests attiecīgais </w:t>
      </w:r>
      <w:r>
        <w:rPr>
          <w:rFonts w:ascii="Times New Roman" w:hAnsi="Times New Roman"/>
          <w:sz w:val="24"/>
        </w:rPr>
        <w:lastRenderedPageBreak/>
        <w:t xml:space="preserve">kriptoaktīvs, ir saistīta ar virtuālo aktīvu pakalpojumu sniedzēju vai finanšu iestādi, kā definēts </w:t>
      </w:r>
      <w:r>
        <w:rPr>
          <w:rFonts w:ascii="Times New Roman" w:hAnsi="Times New Roman"/>
          <w:i/>
          <w:iCs/>
          <w:sz w:val="24"/>
        </w:rPr>
        <w:t>FATF</w:t>
      </w:r>
      <w:r>
        <w:rPr>
          <w:rFonts w:ascii="Times New Roman" w:hAnsi="Times New Roman"/>
          <w:sz w:val="24"/>
        </w:rPr>
        <w:t xml:space="preserve"> ieteikumos.</w:t>
      </w:r>
    </w:p>
    <w:p w14:paraId="4170BCED" w14:textId="7523A07B" w:rsidR="00335C80" w:rsidRPr="00380470" w:rsidRDefault="00651321"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26. Saskaņā ar šo noteikumu netiek prasīts paziņot maka adreses, kas ir saistītas ar attiecīgo kriptoaktīvu pārvedumiem. Tomēr saskaņā ar III panta D punkta 3. apakšpunktu un tamdēļ, lai nodrošinātu, ka nodokļu administrācijām ir pieejama nepieciešamā informācija saistībā ar uzraudzības pieprasījumiem, kriptoaktīvu pakalpojumu sniedzējam, kas sniedz ziņojumus, ir prasīts ievākt un vismaz piecus gadus savos pierakstos saglabāt visas ārējā maka adreses (tostarp citus līdzvērtīgus identifikatorus), kas saistītas ar attiecīgo kriptoaktīvu pārvedumiem, uz kuriem attiecas ziņošana saskaņā ar A punkta 3. apakšpunkta i) daļu.</w:t>
      </w:r>
    </w:p>
    <w:p w14:paraId="0B391E58" w14:textId="77777777" w:rsidR="00335C80" w:rsidRPr="00881284" w:rsidRDefault="00335C80" w:rsidP="00380470">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89" w:name="Appropriate_reporting_period"/>
      <w:bookmarkEnd w:id="89"/>
      <w:r>
        <w:rPr>
          <w:rFonts w:ascii="Times New Roman" w:hAnsi="Times New Roman"/>
          <w:i/>
          <w:color w:val="616161"/>
          <w:sz w:val="26"/>
        </w:rPr>
        <w:t>Atbilstošs pārskata periods</w:t>
      </w:r>
    </w:p>
    <w:p w14:paraId="294DCD31" w14:textId="748DC537" w:rsidR="00335C80" w:rsidRPr="00380470" w:rsidRDefault="00651321"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27. Informācijai, kas jāsniedz saskaņā ar A punkta 1.–3. apakšpunktu, jāattiecas uz attiecīgā kalendārā gada vai cita atbilstoša pārskata perioda beigām. Nosakot, kas ir “atbilstošs pārskata periods”, par pamatu jāņem nozīme, kas šim terminam piešķirta konkrētajā laikā katras jurisdikcijas ziņošanas noteikumos.</w:t>
      </w:r>
    </w:p>
    <w:p w14:paraId="416F8FEA" w14:textId="77777777" w:rsidR="00335C80" w:rsidRPr="00881284" w:rsidRDefault="00335C80" w:rsidP="00380470">
      <w:pPr>
        <w:widowControl w:val="0"/>
        <w:autoSpaceDE w:val="0"/>
        <w:autoSpaceDN w:val="0"/>
        <w:spacing w:before="120" w:after="120" w:line="240" w:lineRule="auto"/>
        <w:jc w:val="both"/>
        <w:rPr>
          <w:rFonts w:ascii="Times New Roman" w:eastAsia="Arial" w:hAnsi="Times New Roman" w:cs="Times New Roman"/>
          <w:b/>
          <w:bCs/>
          <w:i/>
          <w:iCs/>
          <w:noProof/>
          <w:kern w:val="0"/>
          <w:sz w:val="26"/>
          <w:szCs w:val="26"/>
          <w14:ligatures w14:val="none"/>
        </w:rPr>
      </w:pPr>
      <w:bookmarkStart w:id="90" w:name="Paragraphs_II_(B)_and_(C)_–_Exceptions"/>
      <w:bookmarkEnd w:id="90"/>
      <w:r>
        <w:rPr>
          <w:rFonts w:ascii="Times New Roman" w:hAnsi="Times New Roman"/>
          <w:b/>
          <w:i/>
          <w:sz w:val="26"/>
        </w:rPr>
        <w:t>II panta B un C punkts. Izņēmumi</w:t>
      </w:r>
    </w:p>
    <w:p w14:paraId="078CB339" w14:textId="77777777" w:rsidR="00335C80" w:rsidRPr="00881284" w:rsidRDefault="00335C80" w:rsidP="00380470">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91" w:name="Taxpayer_Identification_Number"/>
      <w:bookmarkEnd w:id="91"/>
      <w:r>
        <w:rPr>
          <w:rFonts w:ascii="Times New Roman" w:hAnsi="Times New Roman"/>
          <w:i/>
          <w:color w:val="616161"/>
          <w:sz w:val="26"/>
        </w:rPr>
        <w:t>Nodokļu maksātāja identifikācijas numurs</w:t>
      </w:r>
    </w:p>
    <w:p w14:paraId="3BC43CF1" w14:textId="627670D2" w:rsidR="00335C80" w:rsidRPr="00380470" w:rsidRDefault="00651321"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28. B punktā ir ietverts izņēmums, saskaņā ar kuru </w:t>
      </w:r>
      <w:r>
        <w:rPr>
          <w:rFonts w:ascii="Times New Roman" w:hAnsi="Times New Roman"/>
          <w:i/>
          <w:iCs/>
          <w:sz w:val="24"/>
        </w:rPr>
        <w:t>TIN</w:t>
      </w:r>
      <w:r>
        <w:rPr>
          <w:rFonts w:ascii="Times New Roman" w:hAnsi="Times New Roman"/>
          <w:sz w:val="24"/>
        </w:rPr>
        <w:t xml:space="preserve"> nav jāziņo, ja:</w:t>
      </w:r>
    </w:p>
    <w:p w14:paraId="7262BBF8" w14:textId="77777777" w:rsidR="00335C80" w:rsidRPr="00380470" w:rsidRDefault="00335C80" w:rsidP="00326ABB">
      <w:pPr>
        <w:widowControl w:val="0"/>
        <w:numPr>
          <w:ilvl w:val="1"/>
          <w:numId w:val="2"/>
        </w:numPr>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attiecīgā jurisdikcija, par kuru jāsniedz ziņojums, nav izdevusi </w:t>
      </w:r>
      <w:r>
        <w:rPr>
          <w:rFonts w:ascii="Times New Roman" w:hAnsi="Times New Roman"/>
          <w:i/>
          <w:iCs/>
          <w:sz w:val="24"/>
        </w:rPr>
        <w:t>TIN</w:t>
      </w:r>
      <w:r>
        <w:rPr>
          <w:rFonts w:ascii="Times New Roman" w:hAnsi="Times New Roman"/>
          <w:sz w:val="24"/>
        </w:rPr>
        <w:t xml:space="preserve"> vai</w:t>
      </w:r>
    </w:p>
    <w:p w14:paraId="50D211CD" w14:textId="77777777" w:rsidR="00335C80" w:rsidRPr="00380470" w:rsidRDefault="00335C80" w:rsidP="00326ABB">
      <w:pPr>
        <w:widowControl w:val="0"/>
        <w:numPr>
          <w:ilvl w:val="1"/>
          <w:numId w:val="2"/>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attiecīgajā jurisdikcijā, par kuru jāsniedz ziņojums, valsts tiesību aktos nav noteikts pienākums vākt šīs jurisdikcijas izdotos </w:t>
      </w:r>
      <w:r>
        <w:rPr>
          <w:rFonts w:ascii="Times New Roman" w:hAnsi="Times New Roman"/>
          <w:i/>
          <w:iCs/>
          <w:sz w:val="24"/>
        </w:rPr>
        <w:t>TIN</w:t>
      </w:r>
      <w:r>
        <w:rPr>
          <w:rFonts w:ascii="Times New Roman" w:hAnsi="Times New Roman"/>
          <w:sz w:val="24"/>
        </w:rPr>
        <w:t>.</w:t>
      </w:r>
    </w:p>
    <w:p w14:paraId="1C262FB3" w14:textId="272C76F6"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29. Uzskatāms, ka jurisdikcija, par kuru jāsniedz ziņojums, nav izdevusi </w:t>
      </w:r>
      <w:r>
        <w:rPr>
          <w:rFonts w:ascii="Times New Roman" w:hAnsi="Times New Roman"/>
          <w:i/>
          <w:iCs/>
          <w:sz w:val="24"/>
        </w:rPr>
        <w:t>TIN</w:t>
      </w:r>
      <w:r>
        <w:rPr>
          <w:rFonts w:ascii="Times New Roman" w:hAnsi="Times New Roman"/>
          <w:sz w:val="24"/>
        </w:rPr>
        <w:t xml:space="preserve">, ja i) šī jurisdikcija neizdod </w:t>
      </w:r>
      <w:r>
        <w:rPr>
          <w:rFonts w:ascii="Times New Roman" w:hAnsi="Times New Roman"/>
          <w:i/>
          <w:iCs/>
          <w:sz w:val="24"/>
        </w:rPr>
        <w:t>TIN</w:t>
      </w:r>
      <w:r>
        <w:rPr>
          <w:rFonts w:ascii="Times New Roman" w:hAnsi="Times New Roman"/>
          <w:sz w:val="24"/>
        </w:rPr>
        <w:t xml:space="preserve"> vai, ja tā nav, tā funkcionālo ekvivalentu vai ii) jurisdikcija nav izdevusi </w:t>
      </w:r>
      <w:r>
        <w:rPr>
          <w:rFonts w:ascii="Times New Roman" w:hAnsi="Times New Roman"/>
          <w:i/>
          <w:iCs/>
          <w:sz w:val="24"/>
        </w:rPr>
        <w:t>TIN</w:t>
      </w:r>
      <w:r>
        <w:rPr>
          <w:rFonts w:ascii="Times New Roman" w:hAnsi="Times New Roman"/>
          <w:sz w:val="24"/>
        </w:rPr>
        <w:t xml:space="preserve"> konkrētai fiziskai personai vai vienībai. Līdz ar to </w:t>
      </w:r>
      <w:r>
        <w:rPr>
          <w:rFonts w:ascii="Times New Roman" w:hAnsi="Times New Roman"/>
          <w:i/>
          <w:iCs/>
          <w:sz w:val="24"/>
        </w:rPr>
        <w:t>TIN</w:t>
      </w:r>
      <w:r>
        <w:rPr>
          <w:rFonts w:ascii="Times New Roman" w:hAnsi="Times New Roman"/>
          <w:sz w:val="24"/>
        </w:rPr>
        <w:t xml:space="preserve"> nav obligāti jāpaziņo attiecībā uz personu, par kuru jāsniedz ziņojums un kura ir rezidents šādā jurisdikcijā, par ko jāsniedz ziņojums, vai attiecībā uz personu, kurai </w:t>
      </w:r>
      <w:r>
        <w:rPr>
          <w:rFonts w:ascii="Times New Roman" w:hAnsi="Times New Roman"/>
          <w:i/>
          <w:iCs/>
          <w:sz w:val="24"/>
        </w:rPr>
        <w:t>TIN</w:t>
      </w:r>
      <w:r>
        <w:rPr>
          <w:rFonts w:ascii="Times New Roman" w:hAnsi="Times New Roman"/>
          <w:sz w:val="24"/>
        </w:rPr>
        <w:t xml:space="preserve"> nav izdots. Tomēr tad, ja jurisdikcija, par ko jāsniedz ziņojums, sāk izdot </w:t>
      </w:r>
      <w:r>
        <w:rPr>
          <w:rFonts w:ascii="Times New Roman" w:hAnsi="Times New Roman"/>
          <w:i/>
          <w:iCs/>
          <w:sz w:val="24"/>
        </w:rPr>
        <w:t>TIN</w:t>
      </w:r>
      <w:r>
        <w:rPr>
          <w:rFonts w:ascii="Times New Roman" w:hAnsi="Times New Roman"/>
          <w:sz w:val="24"/>
        </w:rPr>
        <w:t xml:space="preserve"> un izdod </w:t>
      </w:r>
      <w:r>
        <w:rPr>
          <w:rFonts w:ascii="Times New Roman" w:hAnsi="Times New Roman"/>
          <w:i/>
          <w:iCs/>
          <w:sz w:val="24"/>
        </w:rPr>
        <w:t>TIN</w:t>
      </w:r>
      <w:r>
        <w:rPr>
          <w:rFonts w:ascii="Times New Roman" w:hAnsi="Times New Roman"/>
          <w:sz w:val="24"/>
        </w:rPr>
        <w:t xml:space="preserve"> arī konkrētai personai, par kuru jāsniedz ziņojums, B punktā noteikto izņēmumu vairs nepiemēro un personas, par kuru jāsniedz ziņojums, </w:t>
      </w:r>
      <w:r>
        <w:rPr>
          <w:rFonts w:ascii="Times New Roman" w:hAnsi="Times New Roman"/>
          <w:i/>
          <w:iCs/>
          <w:sz w:val="24"/>
        </w:rPr>
        <w:t>TIN</w:t>
      </w:r>
      <w:r>
        <w:rPr>
          <w:rFonts w:ascii="Times New Roman" w:hAnsi="Times New Roman"/>
          <w:sz w:val="24"/>
        </w:rPr>
        <w:t xml:space="preserve"> būtu jāpaziņo, ja kriptoaktīvu pakalpojumu sniedzējs, kas sniedz ziņojumus, saņem pašapliecinājumu, kurā norādīts šāds </w:t>
      </w:r>
      <w:r>
        <w:rPr>
          <w:rFonts w:ascii="Times New Roman" w:hAnsi="Times New Roman"/>
          <w:i/>
          <w:iCs/>
          <w:sz w:val="24"/>
        </w:rPr>
        <w:t>TIN</w:t>
      </w:r>
      <w:r>
        <w:rPr>
          <w:rFonts w:ascii="Times New Roman" w:hAnsi="Times New Roman"/>
          <w:sz w:val="24"/>
        </w:rPr>
        <w:t xml:space="preserve">, vai iegūst šādu </w:t>
      </w:r>
      <w:r>
        <w:rPr>
          <w:rFonts w:ascii="Times New Roman" w:hAnsi="Times New Roman"/>
          <w:i/>
          <w:iCs/>
          <w:sz w:val="24"/>
        </w:rPr>
        <w:t>TIN</w:t>
      </w:r>
      <w:r>
        <w:rPr>
          <w:rFonts w:ascii="Times New Roman" w:hAnsi="Times New Roman"/>
          <w:sz w:val="24"/>
        </w:rPr>
        <w:t xml:space="preserve"> citā veidā.</w:t>
      </w:r>
    </w:p>
    <w:p w14:paraId="0000B90D" w14:textId="1AE08D1E"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30. Izņēmums, kas izklāstīts B punkta ii) klauzulā, ir vērsts uz tiesību aktiem personas, par kuru jāsniedz ziņojumi, jurisdikcijā. Ja jurisdikcija, par ko jāsniedz ziņojums, ir izdevusi </w:t>
      </w:r>
      <w:r>
        <w:rPr>
          <w:rFonts w:ascii="Times New Roman" w:hAnsi="Times New Roman"/>
          <w:i/>
          <w:iCs/>
          <w:sz w:val="24"/>
        </w:rPr>
        <w:t>TIN</w:t>
      </w:r>
      <w:r>
        <w:rPr>
          <w:rFonts w:ascii="Times New Roman" w:hAnsi="Times New Roman"/>
          <w:sz w:val="24"/>
        </w:rPr>
        <w:t xml:space="preserve"> personai, par kuru jāsniedz ziņojums, un šāda </w:t>
      </w:r>
      <w:r>
        <w:rPr>
          <w:rFonts w:ascii="Times New Roman" w:hAnsi="Times New Roman"/>
          <w:i/>
          <w:iCs/>
          <w:sz w:val="24"/>
        </w:rPr>
        <w:t>TIN</w:t>
      </w:r>
      <w:r>
        <w:rPr>
          <w:rFonts w:ascii="Times New Roman" w:hAnsi="Times New Roman"/>
          <w:sz w:val="24"/>
        </w:rPr>
        <w:t xml:space="preserve"> pieprasīšana nav paredzēta šīs jurisdikcijas tiesību aktos (piemēram, tādēļ, ka saskaņā ar šiem tiesību aktiem nodokļu maksātājs sniedz savu </w:t>
      </w:r>
      <w:r>
        <w:rPr>
          <w:rFonts w:ascii="Times New Roman" w:hAnsi="Times New Roman"/>
          <w:i/>
          <w:iCs/>
          <w:sz w:val="24"/>
        </w:rPr>
        <w:t>TIN</w:t>
      </w:r>
      <w:r>
        <w:rPr>
          <w:rFonts w:ascii="Times New Roman" w:hAnsi="Times New Roman"/>
          <w:sz w:val="24"/>
        </w:rPr>
        <w:t xml:space="preserve"> saskaņā ar brīvprātības principu), tad kriptoaktīvu pakalpojuma sniedzējam, kas sniedz ziņojumus, nav pienākuma iegūt un paziņot šo </w:t>
      </w:r>
      <w:r>
        <w:rPr>
          <w:rFonts w:ascii="Times New Roman" w:hAnsi="Times New Roman"/>
          <w:i/>
          <w:iCs/>
          <w:sz w:val="24"/>
        </w:rPr>
        <w:t>TIN</w:t>
      </w:r>
      <w:r>
        <w:rPr>
          <w:rFonts w:ascii="Times New Roman" w:hAnsi="Times New Roman"/>
          <w:sz w:val="24"/>
        </w:rPr>
        <w:t xml:space="preserve">. Tomēr kriptoaktīvu pakalpojumu sniedzējam, kas sniedz ziņojumus, nav liegts lūgt </w:t>
      </w:r>
      <w:r>
        <w:rPr>
          <w:rFonts w:ascii="Times New Roman" w:hAnsi="Times New Roman"/>
          <w:i/>
          <w:iCs/>
          <w:sz w:val="24"/>
        </w:rPr>
        <w:t>TIN</w:t>
      </w:r>
      <w:r>
        <w:rPr>
          <w:rFonts w:ascii="Times New Roman" w:hAnsi="Times New Roman"/>
          <w:sz w:val="24"/>
        </w:rPr>
        <w:t xml:space="preserve"> personai, par kuru jāsniedz ziņojums, un iegūt to ar informācijas sniegšanu saistītām vajadzībām, ja šī persona piekrīt to sniegt. Šādā gadījumā kriptoaktīvu pakalpojumu sniedzējam, kas sniedz ziņojumus, ir pienākums paziņot </w:t>
      </w:r>
      <w:r>
        <w:rPr>
          <w:rFonts w:ascii="Times New Roman" w:hAnsi="Times New Roman"/>
          <w:i/>
          <w:iCs/>
          <w:sz w:val="24"/>
        </w:rPr>
        <w:t>TIN</w:t>
      </w:r>
      <w:r>
        <w:rPr>
          <w:rFonts w:ascii="Times New Roman" w:hAnsi="Times New Roman"/>
          <w:sz w:val="24"/>
        </w:rPr>
        <w:t>. Praksē šāds gadījums pastāv vien dažās jurisdikcijās (piemēram, Austrālijā).</w:t>
      </w:r>
    </w:p>
    <w:p w14:paraId="36C7E517" w14:textId="52CC1491"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31. Tiek gaidīts, ka jurisdikcijas sniedz kriptoaktīvu pakalpojumu sniedzējiem, kas sniedz ziņojumus, informāciju par nodokļu maksātāju identifikācijas numuru izdošanu, apkopošanu un, ciktāl tas praktiski iespējams, par to struktūru un citām specifikācijām. </w:t>
      </w:r>
      <w:r>
        <w:rPr>
          <w:rFonts w:ascii="Times New Roman" w:hAnsi="Times New Roman"/>
          <w:i/>
          <w:iCs/>
          <w:sz w:val="24"/>
        </w:rPr>
        <w:t>OECD</w:t>
      </w:r>
      <w:r>
        <w:rPr>
          <w:rFonts w:ascii="Times New Roman" w:hAnsi="Times New Roman"/>
          <w:sz w:val="24"/>
        </w:rPr>
        <w:t xml:space="preserve"> centīsies veicināt šādas informācijas izplatīšanu.</w:t>
      </w:r>
    </w:p>
    <w:p w14:paraId="2DAC7422" w14:textId="77777777" w:rsidR="00335C80" w:rsidRPr="00881284" w:rsidRDefault="00335C80" w:rsidP="00433824">
      <w:pPr>
        <w:keepNext/>
        <w:keepLines/>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92" w:name="Place_of_birth"/>
      <w:bookmarkEnd w:id="92"/>
      <w:r>
        <w:rPr>
          <w:rFonts w:ascii="Times New Roman" w:hAnsi="Times New Roman"/>
          <w:i/>
          <w:color w:val="616161"/>
          <w:sz w:val="26"/>
        </w:rPr>
        <w:lastRenderedPageBreak/>
        <w:t>Dzimšanas vieta</w:t>
      </w:r>
    </w:p>
    <w:p w14:paraId="4BEFF645" w14:textId="25484CC7" w:rsidR="00335C80" w:rsidRPr="00380470" w:rsidRDefault="00380470" w:rsidP="00433824">
      <w:pPr>
        <w:keepNext/>
        <w:keepLines/>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32. C punktā ir ietverts izņēmums saistībā dzimšanas vietas informāciju, proti, tā nav jāziņo, izņemot tad, kad kriptoaktīvu pakalpojumu sniedzējam, kas sniedz ziņojumus, valsts tiesību aktos ir noteikts pienākums vākt un sniegt šādu informāciju saistībā ar citām vajadzībām un tā ir pieejama elektroniski uzmeklējamajos datos, kurus uztur šis kriptoaktīvu pakalpojumu sniedzējs. Līdz ar to dzimšanas vieta ir jāpaziņo, ja attiecībā uz personu, par kuru jāsniedz ziņojums:</w:t>
      </w:r>
    </w:p>
    <w:p w14:paraId="4FC79E91" w14:textId="77777777" w:rsidR="00335C80" w:rsidRPr="00380470" w:rsidRDefault="00335C80" w:rsidP="00326ABB">
      <w:pPr>
        <w:widowControl w:val="0"/>
        <w:numPr>
          <w:ilvl w:val="1"/>
          <w:numId w:val="2"/>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kriptoaktīvu pakalpojumu sniedzējam, kas sniedz ziņojumus, valsts tiesību aktos ir kā citādi prasīts iegūt un paziņot informāciju par dzimšanas vietu un</w:t>
      </w:r>
    </w:p>
    <w:p w14:paraId="381AF0ED" w14:textId="77777777" w:rsidR="00335C80" w:rsidRPr="00380470" w:rsidRDefault="00335C80" w:rsidP="00326ABB">
      <w:pPr>
        <w:widowControl w:val="0"/>
        <w:numPr>
          <w:ilvl w:val="1"/>
          <w:numId w:val="2"/>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informācija par dzimšanas vietu ir pieejama elektroniski uzmeklējamos datos, kuru uztur kriptoaktīvu pakalpojumu sniedzējs, kas sniedz ziņojumus.</w:t>
      </w:r>
    </w:p>
    <w:p w14:paraId="273DC083" w14:textId="77777777" w:rsidR="00335C80" w:rsidRPr="00881284" w:rsidRDefault="00335C80" w:rsidP="002B30BD">
      <w:pPr>
        <w:widowControl w:val="0"/>
        <w:autoSpaceDE w:val="0"/>
        <w:autoSpaceDN w:val="0"/>
        <w:spacing w:after="0" w:line="240" w:lineRule="auto"/>
        <w:jc w:val="both"/>
        <w:rPr>
          <w:rFonts w:ascii="Times New Roman" w:eastAsia="Arial" w:hAnsi="Times New Roman" w:cs="Times New Roman"/>
          <w:b/>
          <w:bCs/>
          <w:i/>
          <w:iCs/>
          <w:noProof/>
          <w:kern w:val="0"/>
          <w:sz w:val="26"/>
          <w:szCs w:val="26"/>
          <w14:ligatures w14:val="none"/>
        </w:rPr>
      </w:pPr>
      <w:bookmarkStart w:id="93" w:name="Paragraphs_II_(D),_(E)_and_(F)_–_Valuati"/>
      <w:bookmarkEnd w:id="93"/>
      <w:r>
        <w:rPr>
          <w:rFonts w:ascii="Times New Roman" w:hAnsi="Times New Roman"/>
          <w:b/>
          <w:i/>
          <w:sz w:val="26"/>
        </w:rPr>
        <w:t>II panta D, E un F punkts. Vērtēšana un valūta</w:t>
      </w:r>
    </w:p>
    <w:p w14:paraId="6B3D211A" w14:textId="77777777" w:rsidR="00335C80" w:rsidRPr="00881284"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r>
        <w:rPr>
          <w:rFonts w:ascii="Times New Roman" w:hAnsi="Times New Roman"/>
          <w:i/>
          <w:color w:val="616161"/>
          <w:sz w:val="26"/>
        </w:rPr>
        <w:t>Vērtēšanas un valūtas pārrēķināšanas noteikumi attiecībā uz kriptoaktīvu pret bezseguma valūtu maiņas darījumiem</w:t>
      </w:r>
    </w:p>
    <w:p w14:paraId="232BC713" w14:textId="5630AC86"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33. D punktā ir noteikts, ka saistībā ar A punkta 3. apakšpunkta b) un c) daļu summas jāziņo tādā bezseguma valūtā, kādā tās tika samaksātas. Tomēr, ja summas tika samaksātas vai saņemtas vairākās bezseguma valūtās, ziņojumā tās jānorāda vienotā bezseguma valūtā, kas konvertēta katra attiecīgā darījuma brīdī tādā veidā, ko saskanīgi piemēro kriptoaktīvu pakalpojumu sniedzējs, kas sniedz ziņojumus. Piemēram, kriptoaktīvu pakalpojumu sniedzējs, kas sniedz ziņojumus, var piemērot tūlītējo(-os) maiņas kursu(-us) darījuma(-u) brīdī, lai pārrēķinātu šīs summas vienotā bezseguma valūtā, ko noteicis kriptoaktīvu pakalpojumu sniedzējs, kas sniedz ziņojumus. Sniedzot informāciju, jānorāda arī tas, kādā bezseguma valūtā ir izteikta katra summa.</w:t>
      </w:r>
    </w:p>
    <w:p w14:paraId="6180FBA4" w14:textId="4B64563A"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34. Turklāt saistībā ar A punkta 3. apakšpunkta b) un c) daļā norādīto ziņošanu kriptoaktīvu pakalpojumu sniedzējam, kas sniedz ziņojumus, ir jāapkopo, t. i., jāsummē, visi darījumi, kas attiecināmi uz katru ziņojamo kategoriju katram attiecīgā kriptoaktīva veidam un kas konvertēti saskaņā ar D punktu.</w:t>
      </w:r>
    </w:p>
    <w:p w14:paraId="167F781E" w14:textId="77777777" w:rsidR="00335C80" w:rsidRPr="00881284"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r>
        <w:rPr>
          <w:rFonts w:ascii="Times New Roman" w:hAnsi="Times New Roman"/>
          <w:i/>
          <w:color w:val="616161"/>
          <w:sz w:val="26"/>
        </w:rPr>
        <w:t>Vērtēšanas un valūtas pārrēķināšanas noteikumi attiecībā uz kriptoaktīvu savstarpējās maiņas darījumiem</w:t>
      </w:r>
    </w:p>
    <w:p w14:paraId="26131486" w14:textId="27397E06"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35. Saistībā ar A punkta 3. apakšpunkta d) un e) daļu patiesā tirgus vērtība jānosaka un jāziņo vienotā bezseguma valūtā, kuras vērtība noteikta katra attiecīgā darījuma brīdī pamatotā veidā, ko saskanīgi piemēro kriptoaktīvu pakalpojumu sniedzējs, kas sniedz ziņojumus. Šajā saistībā kriptoaktīvu pakalpojumu sniedzējs, kas sniedz ziņojumus, var paļauties uz piemērojamajiem kriptoaktīvu pret bezseguma valūtu tirdzniecības pāriem, ko tas uztur, lai noteiktu abu attiecīgo kriptoaktīvu patieso tirgus vērtību. Piemēram, saistībā ar attiecīgā kriptoaktīva A realizāciju pret attiecīgo kriptoaktīvu B kriptoaktīvu pakalpojumu sniedzējs, kas sniedz ziņojumus, brīdī, kad tiek izpildīts darījums, var: i) netieši konvertēt attiecīgo kriptoaktīvu A pret bezseguma valūtu, lai noteiktu realizētā attiecīgā kriptoaktīva A patieso tirgus vērtību A punkta 3. apakšpunkta e) daļā norādītās ziņošanas nolūkā, un ii) netieši konvertēt iegādāto attiecīgo kriptoaktīvu B pret bezseguma valūtu, lai noteiktu iegādātā attiecīgā kriptoaktīva B patieso tirgus vērtību A punkta 3. apakšpunkta d) daļā norādītās ziņošanas nolūkā.</w:t>
      </w:r>
    </w:p>
    <w:p w14:paraId="45072B7A" w14:textId="699FB0A5"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36. Tādējādi grūti novērtējams attiecīgais kriptoaktīvs tiek apmainīts pret attiecīgo kriptoaktīvu, kuru var uzreiz novērtēt. Šādos gadījumos jāpaļaujas uz attiecīgā kriptoaktīva novērtējumu bezseguma valūtā, pret kuru šis grūti novērtējamais attiecīgais kriptoaktīvs ir apmainīts, lai noteiktu bezseguma valūtas vērtību grūti novērtējamam attiecīgajam kriptoaktīvam, kā parādīts turpmāk sniegtajā piemērā.</w:t>
      </w:r>
    </w:p>
    <w:p w14:paraId="3F1BB625" w14:textId="77777777" w:rsidR="00335C80" w:rsidRPr="00380470" w:rsidRDefault="00335C80" w:rsidP="00433824">
      <w:pPr>
        <w:keepNext/>
        <w:keepLines/>
        <w:widowControl w:val="0"/>
        <w:numPr>
          <w:ilvl w:val="1"/>
          <w:numId w:val="2"/>
        </w:numPr>
        <w:tabs>
          <w:tab w:val="left" w:pos="1235"/>
          <w:tab w:val="left" w:pos="1237"/>
        </w:tabs>
        <w:autoSpaceDE w:val="0"/>
        <w:autoSpaceDN w:val="0"/>
        <w:spacing w:before="120" w:after="120" w:line="240" w:lineRule="auto"/>
        <w:ind w:left="568" w:hanging="284"/>
        <w:jc w:val="both"/>
        <w:rPr>
          <w:rFonts w:ascii="Times New Roman" w:eastAsia="Arial" w:hAnsi="Times New Roman" w:cs="Times New Roman"/>
          <w:noProof/>
          <w:kern w:val="0"/>
          <w:sz w:val="24"/>
          <w:szCs w:val="24"/>
          <w14:ligatures w14:val="none"/>
        </w:rPr>
      </w:pPr>
      <w:r>
        <w:rPr>
          <w:rFonts w:ascii="Times New Roman" w:hAnsi="Times New Roman"/>
          <w:b/>
          <w:bCs/>
          <w:sz w:val="24"/>
        </w:rPr>
        <w:lastRenderedPageBreak/>
        <w:t>Piemērs.</w:t>
      </w:r>
      <w:r>
        <w:rPr>
          <w:rFonts w:ascii="Times New Roman" w:hAnsi="Times New Roman"/>
          <w:sz w:val="24"/>
        </w:rPr>
        <w:t xml:space="preserve"> Kriptoaktīvu lietotājs izmanto kriptoaktīvu pakalpojumu sniedzēju, kas sniedz ziņojumus, lai realizētu attiecīgo kriptoaktīvu A un apmaiņā iegādātos kriptoaktīvu B. Attiecīgajam kriptoaktīvam A uzreiz var iegūt bezseguma valūtas ekvivalento vērtību, un kriptoaktīvu pakalpojumu sniedzējs, kas sniedz ziņojumus, var veikt netiešu konvertāciju, lai noteiktu attiecīgā kriptoaktīva A patieso tirgus vērtību. Savukārt kriptoaktīvs B ir nesen apgrozībā laists kriptoaktīvs, un kriptoaktīvu pakalpojumu sniedzējs, kas sniedz ziņojumus, nevar noteikt ekvivalento patieso tirgus vērtību, jo nav pieejama bezseguma valūtas konvertācijas summa. Šajā gadījumā, lai noteiktu iegādes vērtību, kas piemērojama kriptoaktīva lietotāja iegādātajam kriptoaktīvam B, kriptoaktīvu pakalpojumu sniedzējs, kas sniedz ziņojumus, var netieši konvertēt attiecīgo kriptoaktīvu B, piemērojot tam to pašu bezseguma valūtas summu, kas piemērota attiecīgajam kriptoaktīvam A.</w:t>
      </w:r>
    </w:p>
    <w:p w14:paraId="25278694" w14:textId="504F9C59"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37. Tur</w:t>
      </w:r>
      <w:r>
        <w:rPr>
          <w:rFonts w:ascii="Times New Roman" w:hAnsi="Times New Roman"/>
          <w:sz w:val="24"/>
          <w:u w:val="single"/>
        </w:rPr>
        <w:t>klāt</w:t>
      </w:r>
      <w:r>
        <w:rPr>
          <w:rFonts w:ascii="Times New Roman" w:hAnsi="Times New Roman"/>
          <w:sz w:val="24"/>
        </w:rPr>
        <w:t xml:space="preserve"> saistībā ar A punkta 3. apakšpunkta d) un e) daļā norādīto ziņošanu kriptoaktīvu pakalpojumu sniedzējam, kas sniedz ziņojumus, ir jāapkopo, t. i., jāsummē, visi darījumi, kas attiecināmi uz katru ziņojamo kategoriju un kas konvertēti saskaņā ar D punktu.</w:t>
      </w:r>
    </w:p>
    <w:p w14:paraId="7862AD22" w14:textId="77777777" w:rsidR="00335C80" w:rsidRPr="00881284"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r>
        <w:rPr>
          <w:rFonts w:ascii="Times New Roman" w:hAnsi="Times New Roman"/>
          <w:i/>
          <w:color w:val="616161"/>
          <w:sz w:val="26"/>
        </w:rPr>
        <w:t>Vērtēšanas un valūtas pārrēķināšanas noteikumi neliela apjoma maksājumu darījumiem, par kuriem jāsniedz ziņojums, un citiem pārvedumiem</w:t>
      </w:r>
      <w:bookmarkStart w:id="94" w:name="Valuation_and_currency_translation_rules"/>
      <w:bookmarkEnd w:id="94"/>
    </w:p>
    <w:p w14:paraId="7C98FB97" w14:textId="603ABA5B"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38. Saistībā ar A punkta 3. apakšpunkta f), g), h) un i) daļu patiesā tirgus vērtība jānosaka un jāziņo vienotā bezseguma valūtā, izmantojot pamatotu vērtēšanas metodi, ar kuru cenšas gūt vienlaicīgu vērtības apliecinājumu brīdī, kad tiek veikts katrs attiecīgais darījums, tādā veidā, ko saskanīgi piemēro kriptoaktīvu pakalpojumu sniedzējs, kas sniedz ziņojumus. Veicot šādu novērtējumu, kriptoaktīvu pakalpojumu sniedzējs, kas sniedz ziņojumus, kā atsauci var izmantot attiecīgā kriptoaktīva un bezseguma valūtas tirdzniecības pāru vērtības, ko tas uztur, lai noteiktu attiecīgā kriptoaktīva patieso tirgus vērtību pārveduma brīdī. Sniedzot informāciju, jānorāda arī tas, kādā bezseguma valūtā ir izteikta katra summa. Turpmākajā piemērā ir parādīta šī pieeja.</w:t>
      </w:r>
    </w:p>
    <w:p w14:paraId="13F8D502" w14:textId="77777777" w:rsidR="00335C80" w:rsidRPr="00380470" w:rsidRDefault="00335C80" w:rsidP="00326ABB">
      <w:pPr>
        <w:widowControl w:val="0"/>
        <w:numPr>
          <w:ilvl w:val="1"/>
          <w:numId w:val="2"/>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b/>
          <w:sz w:val="24"/>
        </w:rPr>
        <w:t>Piemērs.</w:t>
      </w:r>
      <w:r>
        <w:rPr>
          <w:rFonts w:ascii="Times New Roman" w:hAnsi="Times New Roman"/>
          <w:sz w:val="24"/>
        </w:rPr>
        <w:t xml:space="preserve"> Kriptoaktīvu pakalpojumu sniedzējs, kas sniedz ziņojumus, uztur tirdzniecības platformu un arī veicina attiecīgo kriptoaktīvu pārvedumus. Kriptoaktīvu pakalpojumu sniedzējs, kas sniedz ziņojumus, izpilda attiecīgā kriptoaktīva A pārvedumu kriptoaktīvu lietotājam A. Attiecīgo kriptoaktīvu A šā kriptoaktīvu pakalpojumu sniedzēja tirdzniecības platformā regulāri tirgo arī bezseguma valūtā. Kriptoaktīvu pakalpojumu sniedzējs, kas sniedz ziņojumus, var paļauties uz šiem tirdzniecības datiem, lai noteiktu attiecīgā kriptoaktīva A patieso tirgus vērtību pārveduma brīdī.</w:t>
      </w:r>
    </w:p>
    <w:p w14:paraId="4C1058A9" w14:textId="1D2B8CAC"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39. Ja kriptoaktīvu pakalpojumu sniedzējs, kas sniedz ziņojumus, izpildot pārvedumu, neuztur atsauces vērtību, kas piemērojama attiecīgā kriptoaktīva un bezseguma valūtas tirdzniecības pāriem, jāizmanto šādas vērtēšanas metodes:</w:t>
      </w:r>
    </w:p>
    <w:p w14:paraId="14E51B2B" w14:textId="77777777" w:rsidR="00335C80" w:rsidRPr="00380470" w:rsidRDefault="00335C80" w:rsidP="00326ABB">
      <w:pPr>
        <w:widowControl w:val="0"/>
        <w:numPr>
          <w:ilvl w:val="1"/>
          <w:numId w:val="2"/>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pirmkārt, jāizmanto iekšējās uzskaites vērtības, ko kriptoaktīvu pakalpojumu sniedzējs, kas sniedz ziņojumus, uztur saistībā ar attiecīgo kriptoaktīvu;</w:t>
      </w:r>
    </w:p>
    <w:p w14:paraId="34500A80" w14:textId="77777777" w:rsidR="00335C80" w:rsidRPr="00380470" w:rsidRDefault="00335C80" w:rsidP="00326ABB">
      <w:pPr>
        <w:widowControl w:val="0"/>
        <w:numPr>
          <w:ilvl w:val="1"/>
          <w:numId w:val="2"/>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ja uzskaites vērtība nav pieejama, jāizmanto vērtība, ko sniegušas trešās puses – uzņēmumi vai tīmekļa vietnes –, kuras apkopo attiecīgo kriptoaktīvu pašreizējās cenas, ar nosacījumu, ka var pamatoti uzskatīt, ka vērtēšanas metode, ko izmanto šī trešā puse, nodrošina ticamu vērtības rādītāju;</w:t>
      </w:r>
    </w:p>
    <w:p w14:paraId="7DAFAE15" w14:textId="77777777" w:rsidR="00335C80" w:rsidRPr="00380470" w:rsidRDefault="00335C80" w:rsidP="00326ABB">
      <w:pPr>
        <w:widowControl w:val="0"/>
        <w:numPr>
          <w:ilvl w:val="1"/>
          <w:numId w:val="2"/>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ja neviena no minētajām metodēm nav pieejama, jāizmanto jaunākais attiecīgā kriptoaktīva novērtējums, ko veicis kriptoaktīvu pakalpojumu sniedzējs, kas sniedz ziņojumus, un</w:t>
      </w:r>
    </w:p>
    <w:p w14:paraId="57B656CF" w14:textId="77777777" w:rsidR="00335C80" w:rsidRPr="00380470" w:rsidRDefault="00335C80" w:rsidP="00326ABB">
      <w:pPr>
        <w:widowControl w:val="0"/>
        <w:numPr>
          <w:ilvl w:val="1"/>
          <w:numId w:val="2"/>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ja joprojām nevar attiecināt nevienu vērtību, kā galējs pasākums varētu būt pamatotas aplēses izmantošana.</w:t>
      </w:r>
    </w:p>
    <w:p w14:paraId="092D34B8" w14:textId="6B4ED75A"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 xml:space="preserve">40. Ja kriptoaktīvu pakalpojumu sniedzējs, kas sniedz ziņojumus, attiecīgajam kriptoaktīvam ir izmantojis kādu no 39. punktā minētajām alternatīvajām vērtēšanas metodēm, katram šādam kriptoaktīvam jānorāda metode, izmantojot atbilstošu elementu attiecīgajā </w:t>
      </w:r>
      <w:r>
        <w:rPr>
          <w:rFonts w:ascii="Times New Roman" w:hAnsi="Times New Roman"/>
          <w:i/>
          <w:iCs/>
          <w:sz w:val="24"/>
        </w:rPr>
        <w:t>XML</w:t>
      </w:r>
      <w:r>
        <w:rPr>
          <w:rFonts w:ascii="Times New Roman" w:hAnsi="Times New Roman"/>
          <w:sz w:val="24"/>
        </w:rPr>
        <w:t xml:space="preserve"> shēmā.</w:t>
      </w:r>
    </w:p>
    <w:p w14:paraId="264C3171" w14:textId="41F8775A"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41. Turklāt saistībā ar A punkta 3. apakšpunkta f), g), h) un i) daļā norādīto ziņošanu kriptoaktīvu pakalpojumu sniedzējam, kas sniedz ziņojumus, ir jāapkopo, t. i., jāsummē, visi darījumi, kas attiecināmi uz katru ziņojamo kategoriju katram attiecīgā kriptoaktīva veidam un kas konvertēti saskaņā ar D punktu.</w:t>
      </w:r>
    </w:p>
    <w:p w14:paraId="3C2F9CDF" w14:textId="77777777" w:rsidR="00335C80" w:rsidRPr="00881284" w:rsidRDefault="00335C80" w:rsidP="00380470">
      <w:pPr>
        <w:widowControl w:val="0"/>
        <w:autoSpaceDE w:val="0"/>
        <w:autoSpaceDN w:val="0"/>
        <w:spacing w:before="120" w:after="120" w:line="240" w:lineRule="auto"/>
        <w:jc w:val="both"/>
        <w:rPr>
          <w:rFonts w:ascii="Times New Roman" w:eastAsia="Arial" w:hAnsi="Times New Roman" w:cs="Times New Roman"/>
          <w:b/>
          <w:bCs/>
          <w:i/>
          <w:iCs/>
          <w:noProof/>
          <w:kern w:val="0"/>
          <w:sz w:val="26"/>
          <w:szCs w:val="26"/>
          <w14:ligatures w14:val="none"/>
        </w:rPr>
      </w:pPr>
      <w:bookmarkStart w:id="95" w:name="Paragraph_II_(G)_–_Timing_of_reporting"/>
      <w:bookmarkEnd w:id="95"/>
      <w:r>
        <w:rPr>
          <w:rFonts w:ascii="Times New Roman" w:hAnsi="Times New Roman"/>
          <w:b/>
          <w:i/>
          <w:sz w:val="26"/>
        </w:rPr>
        <w:t>II panta G punkts. Ziņošanas laiks</w:t>
      </w:r>
    </w:p>
    <w:p w14:paraId="09A1E278" w14:textId="5A57263E" w:rsidR="00335C80" w:rsidRPr="00380470" w:rsidRDefault="00380470" w:rsidP="00380470">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42. G punktā ir noteikts, līdz kuram laikam ir jāiesniedz A punktā prasītā informācija. Lai arī par datumu, līdz kuram kriptoaktīvu pakalpojumu sniedzējam, kas sniedz ziņojumus, jāiesniedz informācija, lemj jurisdikcija, kas īsteno noteikumus, šim datumam ir jābūt tādam, lai jurisdikcija varētu apmainīties ar informāciju kompetentās iestādes nolīgumā noteiktajā termiņā.</w:t>
      </w:r>
    </w:p>
    <w:p w14:paraId="34A22F08" w14:textId="77777777" w:rsidR="00335C80" w:rsidRPr="00881284" w:rsidRDefault="00335C80" w:rsidP="004319B8">
      <w:pPr>
        <w:pStyle w:val="Heading1"/>
        <w:jc w:val="both"/>
        <w:rPr>
          <w:rFonts w:ascii="Times New Roman" w:eastAsia="Arial" w:hAnsi="Times New Roman" w:cs="Times New Roman"/>
          <w:b/>
          <w:bCs/>
          <w:noProof/>
          <w:color w:val="0B769F" w:themeColor="accent4" w:themeShade="BF"/>
          <w:sz w:val="26"/>
          <w:szCs w:val="26"/>
        </w:rPr>
      </w:pPr>
      <w:bookmarkStart w:id="96" w:name="Commentary_on_Section_III:_Due_diligence"/>
      <w:bookmarkStart w:id="97" w:name="_bookmark20"/>
      <w:bookmarkStart w:id="98" w:name="_Toc241753067"/>
      <w:bookmarkEnd w:id="96"/>
      <w:bookmarkEnd w:id="97"/>
      <w:r>
        <w:rPr>
          <w:rFonts w:ascii="Times New Roman" w:hAnsi="Times New Roman"/>
          <w:b/>
          <w:color w:val="0B769F" w:themeColor="accent4" w:themeShade="BF"/>
          <w:sz w:val="26"/>
        </w:rPr>
        <w:t>Komentāri par III pantu. Pienācīgas pārbaudes procedūras</w:t>
      </w:r>
      <w:bookmarkEnd w:id="98"/>
    </w:p>
    <w:p w14:paraId="25101FD4" w14:textId="1E21DD2D" w:rsidR="00335C80" w:rsidRPr="004319B8" w:rsidRDefault="00881284" w:rsidP="004319B8">
      <w:pPr>
        <w:widowControl w:val="0"/>
        <w:tabs>
          <w:tab w:val="left" w:pos="963"/>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 III pantā ir ietvertas pienācīgas pārbaudes procedūras, lai identificētu personas, par kurām jāsniedz ziņojums. Šīs prasības ir sadalītas četros punktos:</w:t>
      </w:r>
    </w:p>
    <w:p w14:paraId="76A1D8C9" w14:textId="77777777" w:rsidR="00335C80" w:rsidRPr="004319B8" w:rsidRDefault="00335C80" w:rsidP="00326ABB">
      <w:pPr>
        <w:widowControl w:val="0"/>
        <w:numPr>
          <w:ilvl w:val="1"/>
          <w:numId w:val="1"/>
        </w:numPr>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A punktā ir noteiktas procedūras fiziskām personām, kas izmanto kriptoaktīvus;</w:t>
      </w:r>
    </w:p>
    <w:p w14:paraId="3A068FE1" w14:textId="77777777" w:rsidR="00335C80" w:rsidRPr="004319B8" w:rsidRDefault="00335C80" w:rsidP="00326ABB">
      <w:pPr>
        <w:widowControl w:val="0"/>
        <w:numPr>
          <w:ilvl w:val="1"/>
          <w:numId w:val="1"/>
        </w:numPr>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B punktā ir noteiktas procedūras vienībām, kas izmanto kriptoaktīvus;</w:t>
      </w:r>
    </w:p>
    <w:p w14:paraId="28CA8421"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C punktā ir noteiktas derīguma prasības attiecībā uz pašapliecinājumiem, ko sniegušas fiziskas personas, kas izmanto kriptoaktīvus, kontrolējošas personas, kā arī vienības, kas izmanto kriptoaktīvus, un</w:t>
      </w:r>
    </w:p>
    <w:p w14:paraId="7C3BB436" w14:textId="77777777" w:rsidR="00335C80" w:rsidRPr="004319B8" w:rsidRDefault="00335C80" w:rsidP="00326ABB">
      <w:pPr>
        <w:widowControl w:val="0"/>
        <w:numPr>
          <w:ilvl w:val="1"/>
          <w:numId w:val="1"/>
        </w:numPr>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D punktā ir sniegtas pienācīgas pārbaudes vispārējās prasības.</w:t>
      </w:r>
    </w:p>
    <w:p w14:paraId="7BE79159" w14:textId="77777777" w:rsidR="00335C80" w:rsidRPr="004319B8" w:rsidRDefault="00335C80" w:rsidP="004319B8">
      <w:pPr>
        <w:widowControl w:val="0"/>
        <w:autoSpaceDE w:val="0"/>
        <w:autoSpaceDN w:val="0"/>
        <w:spacing w:before="120" w:after="120" w:line="240" w:lineRule="auto"/>
        <w:jc w:val="both"/>
        <w:rPr>
          <w:rFonts w:ascii="Times New Roman" w:eastAsia="Arial" w:hAnsi="Times New Roman" w:cs="Times New Roman"/>
          <w:b/>
          <w:bCs/>
          <w:i/>
          <w:iCs/>
          <w:noProof/>
          <w:kern w:val="0"/>
          <w:sz w:val="26"/>
          <w:szCs w:val="26"/>
          <w14:ligatures w14:val="none"/>
        </w:rPr>
      </w:pPr>
      <w:bookmarkStart w:id="99" w:name="Paragraph_A_–_Due_diligence_procedures_f"/>
      <w:bookmarkEnd w:id="99"/>
      <w:r>
        <w:rPr>
          <w:rFonts w:ascii="Times New Roman" w:hAnsi="Times New Roman"/>
          <w:b/>
          <w:i/>
          <w:sz w:val="26"/>
        </w:rPr>
        <w:t>A punkts. Pienācīgas pārbaudes procedūras fiziskām personām, kas izmanto kriptoaktīvus</w:t>
      </w:r>
    </w:p>
    <w:p w14:paraId="7DBFEB2E" w14:textId="1565BEE7" w:rsidR="00335C80" w:rsidRPr="004319B8" w:rsidRDefault="00881284"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 A punktā ir noteikts, ka kriptoaktīvu pakalpojumu sniedzējam, kas sniedz ziņojumus, ir pienākums no fiziskām personām, kas izmanto kriptoaktīvus un ir tā klientes, ievākt pašapliecinājumus un apstiprināt to pamatotību.</w:t>
      </w:r>
    </w:p>
    <w:p w14:paraId="46AE3A9F" w14:textId="0F200862"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 A punkta 1. apakšpunktā ir noteikts, ka, nodibinot attiecības ar lietotāju, kas varētu būt arī vienreizējs darījums, kriptoaktīvu pakalpojumu sniedzējam, kas sniedz ziņojumus:</w:t>
      </w:r>
    </w:p>
    <w:p w14:paraId="250BC9CB"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jāiegūst pašapliecinājums, kuru kriptoaktīvu pakalpojumu sniedzējs, kas sniedz ziņojumus, var izmantot tam, lai noteiktu šīs fiziskās personas rezidenta statusu(-us) nodokļu aprēķina vajadzībām, un</w:t>
      </w:r>
    </w:p>
    <w:p w14:paraId="50493707"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jāapstiprina šāda pašapliecinājuma pamatotība, pamatojoties uz informāciju, ko kriptoaktīvu pakalpojumu sniedzējs, kas sniedz ziņojumus, ir ieguvis saistībā ar attiecību nodibināšanu ar šo lietotāju. Šāda informācija ietver informāciju, ko kriptoaktīvu pakalpojumu sniedzējs, kas sniedz ziņojumus, ir ievācis saistībā ar </w:t>
      </w:r>
      <w:r>
        <w:rPr>
          <w:rFonts w:ascii="Times New Roman" w:hAnsi="Times New Roman"/>
          <w:i/>
          <w:iCs/>
          <w:sz w:val="24"/>
        </w:rPr>
        <w:t>AML/KYC</w:t>
      </w:r>
      <w:r>
        <w:rPr>
          <w:rFonts w:ascii="Times New Roman" w:hAnsi="Times New Roman"/>
          <w:sz w:val="24"/>
        </w:rPr>
        <w:t xml:space="preserve"> procedūrām.</w:t>
      </w:r>
    </w:p>
    <w:p w14:paraId="2190E530" w14:textId="6FF2DF5A"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 Attiecībā uz iepriekšpastāvējušām fiziskām personām, kas izmanto kriptoaktīvus, A punkta 1. apakšpunktā ir precizēts, ka kriptoaktīvu pakalpojumu sniedzējam, kas sniedz ziņojumus, ir jāiegūst derīgs pašapliecinājums un jāapstiprina tā pamatotība vēlākais 12 mēnešus pēc noteikumu ieviešanas jurisdikcijā.</w:t>
      </w:r>
    </w:p>
    <w:p w14:paraId="14F0F9DB" w14:textId="77777777" w:rsidR="00335C80" w:rsidRPr="00B86180" w:rsidRDefault="00335C80" w:rsidP="00433824">
      <w:pPr>
        <w:keepNext/>
        <w:keepLines/>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100" w:name="Obtaining_a_self-certification"/>
      <w:bookmarkEnd w:id="100"/>
      <w:r>
        <w:rPr>
          <w:rFonts w:ascii="Times New Roman" w:hAnsi="Times New Roman"/>
          <w:i/>
          <w:color w:val="616161"/>
          <w:sz w:val="26"/>
        </w:rPr>
        <w:lastRenderedPageBreak/>
        <w:t>Pašapliecinājuma iegūšana</w:t>
      </w:r>
    </w:p>
    <w:p w14:paraId="7BADF34A" w14:textId="44B0B2E9" w:rsidR="00335C80" w:rsidRPr="004319B8" w:rsidRDefault="008D014C" w:rsidP="00433824">
      <w:pPr>
        <w:keepNext/>
        <w:keepLines/>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5. Pašapliecinājumam, kas iegūts saskaņā ar A punkta 1. apakšpunktu, jābūt tādam, kas ļauj noteikt kriptoaktīvu lietotāja (kam ir fiziskās personas statuss) rezidenci(-es) nodokļu aprēķina vajadzībām. Sīkāku informāciju par to, kāds saturs jāiekļauj pašapliecinājumā, kuru sniedz fiziskas personas, kas izmanto kriptoaktīvus, skatīt komentāros par III panta C punkta 1. apakšpunktu. Dažādu jurisdikciju tiesību aktos ir noteikti nosacījumi, kas jāizpilda, lai fizisku personu varētu uzskatīt par nodokļu “rezidentu”. Tie ietver dažādu formu piesaisti jurisdikcijai, kura valstu tiesību aktos noteikta kā pamats nodokļu vispārējai piemērošanai (pilna apjoma nodokļu saistības). Tie ietver arī gadījumus, kad saskaņā ar jurisdikcijas nodokļu tiesību aktiem fiziska persona tiek uzskatīta par šīs jurisdikcijas rezidentu (piemēram, diplomāti vai citas civildienestā strādājošas personas). Parasti fiziskai personai būs tikai viena rezidences jurisdikcija. Tomēr nodokļu aprēķina vajadzībām fiziska persona var būt divu vai vairāku jurisdikciju rezidents. Šādos apstākļos tiek gaidīts, ka pašapliecinājumā tiek norādītas visas jurisdikcijas rezidences un ka kriptoaktīvu pakalpojumu sniedzējs, kas sniedz ziņojumus, uzskata fizisko personu, kas izmanto kriptoaktīvus, par lietotāju, par kuru jāsniedz ziņojums attiecībā uz visām jurisdikcijām, par kurām jāsniedz ziņojums.</w:t>
      </w:r>
    </w:p>
    <w:p w14:paraId="5B5B4894" w14:textId="370B23E7"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6. No jurisdikcijām, par kurām jāsniedz ziņojums, tiek gaidīts, ka tās palīdzēs nodokļu maksātājiem noteikt viņu rezidenta statusu(-us) nodokļu aprēķina vajadzībām un šajā saistībā sniegs viņiem informāciju. To var nodrošināt, piemēram, ar dažādu pakalpojumu kanālu starpniecību, kas tiek izmantoti informācijas vai norādījumu sniegšanai nodokļu maksātājiem par nodokļu tiesību aktu piemērošanu. </w:t>
      </w:r>
      <w:r>
        <w:rPr>
          <w:rFonts w:ascii="Times New Roman" w:hAnsi="Times New Roman"/>
          <w:i/>
          <w:iCs/>
          <w:sz w:val="24"/>
        </w:rPr>
        <w:t>OECD</w:t>
      </w:r>
      <w:r>
        <w:rPr>
          <w:rFonts w:ascii="Times New Roman" w:hAnsi="Times New Roman"/>
          <w:sz w:val="24"/>
        </w:rPr>
        <w:t xml:space="preserve"> centīsies veicināt šādas informācijas izplatīšanu.</w:t>
      </w:r>
    </w:p>
    <w:p w14:paraId="0480F388" w14:textId="77777777" w:rsidR="00335C80" w:rsidRPr="00B86180"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r>
        <w:rPr>
          <w:rFonts w:ascii="Times New Roman" w:hAnsi="Times New Roman"/>
          <w:i/>
          <w:color w:val="616161"/>
          <w:sz w:val="26"/>
        </w:rPr>
        <w:t>Pašapliecinājumu pamatotība</w:t>
      </w:r>
    </w:p>
    <w:p w14:paraId="620B57D6" w14:textId="0B1AA280"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7. A punkta 1. apakšpunktā ir noteikts, ka kriptoaktīvu pakalpojumu sniedzējam, kas sniedz ziņojumus, ir jāapstiprina pašapliecinājuma pamatotība.</w:t>
      </w:r>
    </w:p>
    <w:p w14:paraId="683585C1" w14:textId="5C94ABAE"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8. Uzskatāms, ka kriptoaktīvu pakalpojumu sniedzējs, kas sniedz ziņojumus, ir apstiprinājis pašapliecinājuma “pamatotību”, ja, nodibinot attiecības ar fizisku personu, kas izmanto kriptoaktīvus, un pārskatot informāciju, kas iegūta saistībā ar attiecību nodibināšanu (tostarp pārskatot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savākto dokumentāciju), tam nav zināms vai nav pamata zināt, ka pašapliecinājums ir nepareizs vai neuzticams. Kriptoaktīvu pakalpojumu sniedzējiem, kas sniedz ziņojumus, nav pienākuma veikt attiecīgo nodokļu tiesību aktu neatkarīgu juridisko analīzi, lai apstiprinātu pašapliecinājuma pamatotību.</w:t>
      </w:r>
    </w:p>
    <w:p w14:paraId="68593539" w14:textId="4A7E1F80"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9. Turpmākie piemēri parāda, kā piemērot “pamatotības” pārbaudi.</w:t>
      </w:r>
    </w:p>
    <w:p w14:paraId="415BAC11"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b/>
          <w:bCs/>
          <w:sz w:val="24"/>
        </w:rPr>
        <w:t>1. piemērs.</w:t>
      </w:r>
      <w:r>
        <w:rPr>
          <w:rFonts w:ascii="Times New Roman" w:hAnsi="Times New Roman"/>
          <w:sz w:val="24"/>
        </w:rPr>
        <w:t xml:space="preserve"> Kriptoaktīvu pakalpojumu sniedzējs, kas sniedz ziņojumus, nodibinot attiecības ar fizisku personu, kas izmanto kriptoaktīvus, no tās iegūst pašapliecinājumu. Pašapliecinājumā norādītā dzīvesvietas adreses jurisdikcija nesakrīt ar to, kas norādīta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savāktajā dokumentācijā. Pretrunīgas informācijas dēļ pašapliecinājums ir nepareizs vai neuzticams, tāpēc tas nav atzīstams par pamatotu.</w:t>
      </w:r>
    </w:p>
    <w:p w14:paraId="74E4D247"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b/>
          <w:bCs/>
          <w:sz w:val="24"/>
        </w:rPr>
        <w:t>2. piemērs.</w:t>
      </w:r>
      <w:r>
        <w:rPr>
          <w:rFonts w:ascii="Times New Roman" w:hAnsi="Times New Roman"/>
          <w:sz w:val="24"/>
        </w:rPr>
        <w:t xml:space="preserve"> Kriptoaktīvu pakalpojumu sniedzējs, kas sniedz ziņojumus, nodibinot attiecības ar fizisku personu, kas izmanto kriptoaktīvus, no tās iegūst pašapliecinājumu. Pašapliecinājumā norādītā dzīvesvietas adrese neatrodas jurisdikcijā, kuru šī fiziskā persona norādījusi kā savu rezidences jurisdikciju nodokļu aprēķina vajadzībām. Pretrunīgas informācijas dēļ pašapliecinājums nav atzīstams par pamatotu.</w:t>
      </w:r>
    </w:p>
    <w:p w14:paraId="33EAFB19" w14:textId="3BECC378"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10. Gadījumā, ja pamatotības pārbaudē pašapliecinājums nav atzīstams par pamatotu, kriptoaktīvu pakalpojumu sniedzējam, kas sniedz ziņojumus, lai varētu sniegt pakalpojumus, proti, izpildīt attiecīgos pārvedumus fiziskai personai, kas izmanto kriptoaktīvus, vispirms ir jāiegūst vai nu i) derīgs pašapliecinājums, vai ii) pamatots paskaidrojums un dokumentācija (atbilstīgi vajadzībai), kas apliecina pašapliecinājuma pamatotību (un jāsaglabā šāda paskaidrojuma un dokumentācijas kopija vai notācija). Šāds “pamatots paskaidrojums” ir, </w:t>
      </w:r>
      <w:r>
        <w:rPr>
          <w:rFonts w:ascii="Times New Roman" w:hAnsi="Times New Roman"/>
          <w:sz w:val="24"/>
        </w:rPr>
        <w:lastRenderedPageBreak/>
        <w:t xml:space="preserve">piemēram, fiziskas personas paziņojums, ka persona 1) studē izglītības iestādē attiecīgajā jurisdikcijā un ir saņēmusi atbilstīgu vīzu (ja piemērojams); 2) ir pasniedzējs, māceklis vai praktikants izglītības iestādē attiecīgajā jurisdikcijā vai izglītības vai kultūras apmaiņas programmas dalībnieks un ir saņēmusi atbilstīgu vīzu (ja piemērojams); 3) ir ārvalstnieks, kas norīkots darbā diplomātiskajā dienestā, konsulātā vai vēstniecībā attiecīgajā jurisdikcijā, vai 4) ir pierobežas darbinieks vai darbinieks, kura darba pienākumos ietilpst pārvietošanās no vienas jurisdikcijas uz otru jurisdikciju ar kravas automobili vai vilcienu. Turpmākajā piemērā parādīta šā punkta piemērošana. Kriptoaktīvu pakalpojumu sniedzējs, kas sniedz ziņojumus, nodibinot attiecības ar fizisku personu, kas izmanto kriptoaktīvus, iegūst šīs personas pašapliecinājumu. Nodokļu aprēķina vajadzībām noteiktā rezidences jurisdikcija, kas norādīta pašapliecinājumā, nesakrīt ar dzīvesvietas adresi, kas norādīta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savāktajā dokumentācijā. Fiziskā persona, kas izmanto kriptoaktīvus, paskaidro, ka viņa ir diplomāts no konkrētas jurisdikcijas un ka tādēļ viņa ir šīs jurisdikcijas rezidents; viņa uzrāda arī savu diplomātisko pasi. Tā kā kriptoaktīvu pakalpojumu sniedzējs, kas sniedz ziņojumus, ir ieguvis pamatotu paskaidrojumu un dokumentāciju, kas apliecina pašapliecinājuma pamatotību, pašapliecinājums atzīstams par pamatotu.</w:t>
      </w:r>
    </w:p>
    <w:p w14:paraId="6A11405A" w14:textId="77777777" w:rsidR="00335C80" w:rsidRPr="00B86180"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101" w:name="Reliance_on_self-certifications"/>
      <w:bookmarkEnd w:id="101"/>
      <w:r>
        <w:rPr>
          <w:rFonts w:ascii="Times New Roman" w:hAnsi="Times New Roman"/>
          <w:i/>
          <w:color w:val="616161"/>
          <w:sz w:val="26"/>
        </w:rPr>
        <w:t>Paļaušanās uz pašapliecinājumu</w:t>
      </w:r>
    </w:p>
    <w:p w14:paraId="32DEBA34" w14:textId="2E292202"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11. A punkta 2. apakšpunktā ir noteikts, ka tad, ja kādā brīdī mainās apstākļi attiecībā uz fizisku personu, kas izmanto kriptoaktīvus, un tādēļ kriptoaktīvu pakalpojumu sniedzējs, kas sniedz ziņojumus, zina vai tam ir pamats zināt, ka sākotnējais pašapliecinājums ir nepareizs vai neuzticams, minētais kriptoaktīvu pakalpojumu sniedzējs nedrīkst paļauties uz sākotnējo pašapliecinājumu un tam jāiegūst derīgs pašapliecinājums vai pamatots skaidrojums un dokumentācija (atbilstīgi vajadzībai), kas pamato sākotnējā pašapliecinājuma derīgumu.</w:t>
      </w:r>
    </w:p>
    <w:p w14:paraId="23DFC766" w14:textId="77777777" w:rsidR="00335C80" w:rsidRPr="00B86180"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r>
        <w:rPr>
          <w:rFonts w:ascii="Times New Roman" w:hAnsi="Times New Roman"/>
          <w:i/>
          <w:color w:val="616161"/>
          <w:sz w:val="26"/>
        </w:rPr>
        <w:t>Zināšanu prasību standarti attiecībā uz pašapliecinājumiem</w:t>
      </w:r>
    </w:p>
    <w:p w14:paraId="5AF154CB" w14:textId="7402DA27"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12. Kriptoaktīvu pakalpojumu sniedzējam, kas sniedz ziņojumus, ir pamats uzskatīt, ka pašapliecinājums ir neuzticams vai nepareizs, ja uzzinātie būtiskie fakti vai paziņojumi, kas ietverti pašapliecinājumā vai citā dokumentā, pietiekami apdomīgai personai situācijā, kādā ir kriptoaktīvu pakalpojumu sniedzējs, kas sniedz ziņojumus, liktu apšaubīt sniegtā apgalvojuma patiesumu. Kriptoaktīvu pakalpojumu sniedzējam, kas sniedz ziņojumus, ir pamats arī uzskatīt, ka pašapliecinājums ir neuzticams vai nepareizs, ja dokumentācijā vai šā kriptoaktīvu pakalpojumu sniedzēja datnēs ir iekļauta informācija, kas ir pretrunā ar personas apgalvojumiem par tās statusu.</w:t>
      </w:r>
    </w:p>
    <w:p w14:paraId="774EC72F" w14:textId="79CFFAA2"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13. Kriptoaktīvu pakalpojumu sniedzējam, kas sniedz ziņojumus, ir pamats uzskatīt, ka personas sniegtais pašapliecinājums ir neuzticams vai nepareizs, ja pašapliecinājumā trūkst kāda elementa, kas ir būtisks personas apgalvojumu patiesuma noskaidrošanai, pašapliecinājumā iekļauta informācija, kas ir pretrunā ar personas apgalvojumu, vai kriptoaktīvu pakalpojumu sniedzējam, kas sniedz ziņojumus, ir pieejama cita informācija, kas ir pretrunā ar personas apgalvojumu. Uzskatāms, ka kriptoaktīvu pakalpojumu sniedzējs, kas sniedz ziņojumus un pašapliecinājumu pārskatīšanai un uzturēšanai izmanto pakalpojuma sniedzēju, zina pakalpojuma sniedzēja rīcībā esošo informāciju vai tam ir pamats šādu informāciju zināt.</w:t>
      </w:r>
    </w:p>
    <w:p w14:paraId="243C554E" w14:textId="15B570F8" w:rsidR="00335C80" w:rsidRPr="004319B8" w:rsidRDefault="008D014C" w:rsidP="00B14EC9">
      <w:pPr>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14. Kriptoaktīvu pakalpojumu sniedzējs, kas sniedz ziņojumus, nevar paļauties uz personas sniegtu dokumentāciju, ja šī dokumentācija nepietiekami apliecina to iesniegušās personas identitāti. Piemēram, dokumentācija nav uzticama, ja to personīgi iesniedz persona, kuras ārējais izskats vai paraksts neatbilst attiecīgi dokumentācijā iekļautās personas fotogrāfijai vai parakstam. Kriptoaktīvu pakalpojumu sniedzējs, kas sniedz ziņojumus, nevar paļauties uz dokumentāciju, ja tajā iekļauta informācija, kas ir pretrunā ar personas apgalvojumu par viņas statusu, kriptoaktīvu pakalpojumu sniedzējam, kas sniedz ziņojumus, ir cita informācija, kas ir </w:t>
      </w:r>
      <w:r>
        <w:rPr>
          <w:rFonts w:ascii="Times New Roman" w:hAnsi="Times New Roman"/>
          <w:sz w:val="24"/>
        </w:rPr>
        <w:lastRenderedPageBreak/>
        <w:t>pretrunā ar personas statusu, vai dokumentācijā nav sniegta informācija, kas nepieciešama personas statusa noskaidrošanai.</w:t>
      </w:r>
    </w:p>
    <w:p w14:paraId="7D5214C7" w14:textId="77777777" w:rsidR="00335C80" w:rsidRPr="00384255"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r>
        <w:rPr>
          <w:rFonts w:ascii="Times New Roman" w:hAnsi="Times New Roman"/>
          <w:i/>
          <w:color w:val="616161"/>
          <w:sz w:val="26"/>
        </w:rPr>
        <w:t>Apstākļu maiņa</w:t>
      </w:r>
    </w:p>
    <w:p w14:paraId="50F42422" w14:textId="6B48157F"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15. “Apstākļu maiņa” ir maiņa, kuras rezultātā tiek pievienota informācija, kas attiecas uz fiziskās personas, kura izmanto kriptoaktīvus, statusu vai kas kā citādi ir pretrunā ar šā lietotāja statusu, vai informācijas maiņa vai papildināšana profilā, kas saistīts ar šo fizisko personu, kura izmanto kriptoaktīvus, ja šāda informācijas maiņa vai papildināšana ietekmē šīs fiziskās personas statusu. Šajā nolūkā kriptoaktīvu pakalpojumu sniedzējam, kas sniedz ziņojumus, ir jānoskaidro, vai jaunā informācija, kas iegūta saistībā ar fiziskās personas, kura izmanto kriptoaktīvus, profilu saskaņā ar atkārtoto dokumentāciju, kas ievākta saskaņā ar </w:t>
      </w:r>
      <w:r>
        <w:rPr>
          <w:rFonts w:ascii="Times New Roman" w:hAnsi="Times New Roman"/>
          <w:i/>
          <w:iCs/>
          <w:sz w:val="24"/>
        </w:rPr>
        <w:t>AML/KYC</w:t>
      </w:r>
      <w:r>
        <w:rPr>
          <w:rFonts w:ascii="Times New Roman" w:hAnsi="Times New Roman"/>
          <w:sz w:val="24"/>
        </w:rPr>
        <w:t xml:space="preserve"> procedūrām vai citiem reglamentējošiem pienākumiem, iekļauj jauno informāciju, kas satur apstākļu maiņu. Ja apstākļu maiņa skar pašapliecinājumu, kurš iesniegts kriptoaktīvu pakalpojumu sniedzējam, kas sniedz ziņojumus, tad pašapliecinājums vairs nebūs derīgs attiecībā uz informāciju, kura zaudējusi ticamību, līdz brīdim, kad šāda informācija tiks atjaunināta.</w:t>
      </w:r>
    </w:p>
    <w:p w14:paraId="43E9218F" w14:textId="57DC1F25" w:rsidR="00335C80" w:rsidRPr="004319B8" w:rsidRDefault="008D014C" w:rsidP="0038425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16. Ja notikusi apstākļu maiņa saskaņā ar A punkta 2. apakšpunktu, kriptoaktīvu pakalpojumu sniedzējs, kas sniedz ziņojumus, nevar paļauties uz sākotnējo pašapliecinājumu un tam ir jāiegūst vai nu i) derīgs pašapliecinājums, kurā norādīts fiziskās personas, kas izmanto kriptoaktīvus, rezidenta statuss(-i) nodokļu aprēķina vajadzībām, vai ii) pamatots skaidrojums un dokumentācija (atbilstīgi vajadzībai), kas pamato sākotnējā pašapliecinājuma derīgumu (un saglabāta šāda pamatojuma un dokumentācijas kopija vai notācija). Tāpēc kriptoaktīvu pakalpojumu sniedzējam, kas sniedz ziņojumus, būtu jāievieš procedūras, ar kurām nodrošina, ka šis kriptoaktīvu pakalpojumu sniedzējs identificē jebkuras izmaiņas, kas uzskatāmas par apstākļu maiņu. Turklāt kriptoaktīvu pakalpojumu sniedzējam, kas sniedz ziņojumus, ir jāinformē persona, kura sniedz pašapliecinājumu, par personas pienākumu informēt par apstākļu maiņu šo kriptoaktīvu pakalpojumu sniedzēju.</w:t>
      </w:r>
    </w:p>
    <w:p w14:paraId="61B952DF" w14:textId="417C11C4"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17. Pašapliecinājums kļūst nederīgs dienā, kad šo pašapliecinājumu glabājošais kriptoaktīvu pakalpojumu sniedzējs, kas sniedz ziņojumus, uzzina vai tam ir pamats zināt, ka ir mainījušies apstākļi, kas ietekmē pašapliecinājuma atbilstību patiesībai. Tomēr kriptoaktīvu pakalpojumu sniedzējs, kas sniedz ziņojumus, var izvēlēties uzskatīt, ka personai ir tāds pats statuss, kāds tai bija pirms apstākļu maiņas, līdz agrākajai no šādām dienām – diena, kad apritējušas 90 kalendārās dienas no dienas, kad pašapliecinājums kļuvis nederīgs apstākļu maiņas dēļ; diena, kad ir apstiprināts pašapliecinājuma derīgums, vai diena, kad ir iegūts jauns pašapliecinājums. Ja kriptoaktīvu pakalpojumu sniedzējs, kas sniedz ziņojumus, nespēj iegūt apstiprinājumu par sākotnējā pašapliecinājuma derīgumu vai iegūt derīgu pašapliecinājumu minēto 90 dienu laikā, tam ir jāuzskata, ka fiziskā persona, kas izmanto kriptoaktīvus, ir rezidents jurisdikcijā, kuru tā norādījusi kā rezidences jurisdikciju sākotnējā pašapliecinājumā, un jurisdikcijā(-ās), kurā(-s) šī fiziskā persona varētu būt rezidents apstākļu maiņas rezultātā. Kriptoaktīvu pakalpojumu sniedzējs, kas sniedz ziņojumus, var paļauties uz pašapliecinājumu, nepieprasot informāciju par iespējamo apstākļu maiņu, kas var ietekmēt apliecinājuma derīgumu, izņemot tad, ja tas zina vai tam ir pamats zināt, ka apstākļi ir mainījušies. Piemēram, ja kriptoaktīvu pakalpojumu sniedzējs, kas sniedz ziņojumus, iegūst informāciju saskaņā ar savām </w:t>
      </w:r>
      <w:r>
        <w:rPr>
          <w:rFonts w:ascii="Times New Roman" w:hAnsi="Times New Roman"/>
          <w:i/>
          <w:iCs/>
          <w:sz w:val="24"/>
        </w:rPr>
        <w:t>AML/KYC</w:t>
      </w:r>
      <w:r>
        <w:rPr>
          <w:rFonts w:ascii="Times New Roman" w:hAnsi="Times New Roman"/>
          <w:sz w:val="24"/>
        </w:rPr>
        <w:t xml:space="preserve"> procedūrām vai citām normatīvajām prasībām, ka pašapliecinājumā ietvertā informācija vairs nav precīza vai uzticama, kriptoaktīvu pakalpojumu sniedzējam, kas sniedz ziņojumus, ir jāatjaunina pašapliecinājums attiecībā uz identificēto informāciju, un tikai pēc tam tas var paļauties uz šo pašapliecinājumu.</w:t>
      </w:r>
    </w:p>
    <w:p w14:paraId="1DAD32BE" w14:textId="5F0AD922"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18. Kriptoaktīvu pakalpojumu sniedzējs, kas sniedz ziņojumus, var saglabāt pašapliecinājuma sākotnējo apliecināto norakstu vai fotokopiju (tostarp mikrofišu, elektronisku skenējumu vai līdzīgu elektroniskās glabāšanas līdzekli) vai elektronisko kopiju. Pašapliecinājums (arī tā oriģināleksemplārs) var būt arī vienīgi elektroniskā veidā.</w:t>
      </w:r>
    </w:p>
    <w:p w14:paraId="188074EC" w14:textId="77777777" w:rsidR="00335C80" w:rsidRPr="00384255"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102" w:name="Curing_self-certification_errors"/>
      <w:bookmarkEnd w:id="102"/>
      <w:r>
        <w:rPr>
          <w:rFonts w:ascii="Times New Roman" w:hAnsi="Times New Roman"/>
          <w:i/>
          <w:color w:val="616161"/>
          <w:sz w:val="26"/>
        </w:rPr>
        <w:lastRenderedPageBreak/>
        <w:t>Pašapliecinājuma kļūdu labošana</w:t>
      </w:r>
    </w:p>
    <w:p w14:paraId="1ACA1E6D" w14:textId="61DA190C"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19. Kriptoaktīvu pakalpojumu sniedzējs, kas sniedz ziņojumus, var uzskatīt, ka pašapliecinājums ir derīgs neatkarīgi no tā, ka pašapliecinājumā ir nebūtiska kļūda, ja šī kriptoaktīvu pakalpojumu sniedzēja rīcībā ir pietiekama dokumentācija, ar kuru iespējams aizvietot kļūdas dēļ trūkstošo informāciju. Šādā gadījumā nebūtiskās kļūdas labošanā izmantotajai dokumentācijai jābūt pārliecinošai. Piemēram, pašapliecinājumu, kurā fiziska persona, kas izmanto kriptoaktīvus, iesniedzot veidlapu, ir norādījusi jurisdikcijas saīsinājumu, var uzskatīt par derīgu neatkarīgi no tā, ka šāds saīsinājums ir izmantots, ja kriptoaktīvu pakalpojumu sniedzējam, kas sniedz ziņojumus, ir valsts izdota personas identifikācija no jurisdikcijas, uz kuru var pamatoti attiecināt šo saīsinājumu. No otras puses, tāda rezidences jurisdikcijas saīsinājuma izmantošanu, kuru nevar pamatoti attiecināt uz personas pasē norādīto rezidences jurisdikciju, nevar uzskatīt par nebūtisku kļūdu. Rezidences jurisdikcijas nenorādīšana nav uzskatāma par nebūtisku kļūdu. Turklāt par nebūtisku kļūdu nevar uzskatīt to, ka pašapliecinājumā sniegtā informācija ir pretrunā ar citu pašapliecinājumā vai kriptoaktīvu pakalpojumu sniedzēja, kas sniedz ziņojumus, lietas materiālos sniegtu informāciju.</w:t>
      </w:r>
    </w:p>
    <w:p w14:paraId="68E02584" w14:textId="77777777" w:rsidR="00335C80" w:rsidRPr="00384255" w:rsidRDefault="00335C80" w:rsidP="004319B8">
      <w:pPr>
        <w:widowControl w:val="0"/>
        <w:autoSpaceDE w:val="0"/>
        <w:autoSpaceDN w:val="0"/>
        <w:spacing w:before="120" w:after="120" w:line="240" w:lineRule="auto"/>
        <w:jc w:val="both"/>
        <w:rPr>
          <w:rFonts w:ascii="Times New Roman" w:eastAsia="Arial" w:hAnsi="Times New Roman" w:cs="Times New Roman"/>
          <w:b/>
          <w:bCs/>
          <w:i/>
          <w:iCs/>
          <w:noProof/>
          <w:kern w:val="0"/>
          <w:sz w:val="26"/>
          <w:szCs w:val="26"/>
          <w14:ligatures w14:val="none"/>
        </w:rPr>
      </w:pPr>
      <w:bookmarkStart w:id="103" w:name="Paragraph_B_–_Due_diligence_procedures_f"/>
      <w:bookmarkEnd w:id="103"/>
      <w:r>
        <w:rPr>
          <w:rFonts w:ascii="Times New Roman" w:hAnsi="Times New Roman"/>
          <w:b/>
          <w:i/>
          <w:sz w:val="26"/>
        </w:rPr>
        <w:t>B punkts. Pienācīgas pārbaudes procedūras vienībām, kas izmanto kriptoaktīvus</w:t>
      </w:r>
    </w:p>
    <w:p w14:paraId="7A0C3974" w14:textId="148514C8" w:rsidR="00335C80" w:rsidRPr="004319B8" w:rsidRDefault="008D014C" w:rsidP="004319B8">
      <w:pPr>
        <w:widowControl w:val="0"/>
        <w:tabs>
          <w:tab w:val="left" w:pos="963"/>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20. B punktā ir noteiktas pienācīgas pārbaudes procedūras vienībām, kas izmanto kriptoaktīvus. Saskaņā ar šīm procedūrām kriptoaktīvu pakalpojumu sniedzējam, kas sniedz ziņojumus, ir jānoskaidro:</w:t>
      </w:r>
    </w:p>
    <w:p w14:paraId="420504B0" w14:textId="77777777" w:rsidR="00335C80" w:rsidRPr="004319B8" w:rsidRDefault="00335C80" w:rsidP="00326ABB">
      <w:pPr>
        <w:widowControl w:val="0"/>
        <w:numPr>
          <w:ilvl w:val="1"/>
          <w:numId w:val="1"/>
        </w:numPr>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vai vienība, kas izmanto kriptoaktīvus, ir lietotājs, par kuru jāsniedz ziņojums, un</w:t>
      </w:r>
    </w:p>
    <w:p w14:paraId="55919CFE"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vai vienību, kas izmanto kriptoaktīvus, kontrolē viena vai vairākas personas, kas ir personas, par kurām jāsniedz ziņojums, ja vien vienība, kas izmanto kriptoaktīvus, nav izslēgtā persona vai aktīvā vienība.</w:t>
      </w:r>
    </w:p>
    <w:p w14:paraId="4E4099EF" w14:textId="4B73C1E7"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21. Attiecībā uz iepriekšpastāvējušām vienībām, kas izmanto kriptoaktīvus, B punkta 1. apakšpunkta a) daļā ir precizēts, ka kriptoaktīvu pakalpojumu sniedzējam, kas sniedz ziņojumus, ir jāiegūst derīgs pašapliecinājums un jāapstiprina tā pamatotība vēlākais 12 mēnešus pēc šo noteikumu ieviešanas jurisdikcijā.</w:t>
      </w:r>
    </w:p>
    <w:p w14:paraId="7E07EB10" w14:textId="77777777" w:rsidR="00335C80" w:rsidRPr="00384255"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104" w:name="Review_procedure_for_Entity_Crypto-Asset"/>
      <w:bookmarkEnd w:id="104"/>
      <w:r>
        <w:rPr>
          <w:rFonts w:ascii="Times New Roman" w:hAnsi="Times New Roman"/>
          <w:i/>
          <w:color w:val="616161"/>
          <w:sz w:val="26"/>
        </w:rPr>
        <w:t>Vienībām, kas izmanto kriptoaktīvus, piemērojamā pārskatīšanas procedūra</w:t>
      </w:r>
    </w:p>
    <w:p w14:paraId="10D1CC83" w14:textId="492A8E31"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22. B punkta 1. apakšpunktā ir ietvertas pārskatīšanas procedūras, kas jāizmanto, lai noteiktu, vai vienība, kas izmanto kriptoaktīvus, ir lietotājs, par kuru jāsniedz ziņojums. Lai noteiktu, vai vienība, kas izmanto kriptoaktīvus, ir lietotājs, par kuru jāsniedz ziņojums, B punkta 1. apakšpunkta a) daļā ir prasīts, ka, nodibinot attiecības ar vienību, kas izmanto aktīvus, vai attiecībā uz iepriekšpastāvējušām vienībām, kas izmanto kriptoaktīvus, 12 mēnešu laikposmam pēc šo noteikumu piemērošanas dienas, kriptoaktīvu pakalpojumu sniedzējam, kas sniedz ziņojumus:</w:t>
      </w:r>
    </w:p>
    <w:p w14:paraId="5B9F6F44"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jāiegūst pašapliecinājums, kuru kriptoaktīvu pakalpojumu sniedzējs, kas sniedz ziņojumus, var izmantot tam, lai noteiktu šīs vienības rezidenta statusu(-us) nodokļu aprēķina vajadzībām, un</w:t>
      </w:r>
    </w:p>
    <w:p w14:paraId="0E7C6DF4"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jāapstiprina šāda pašapliecinājuma pamatotība, pamatojoties uz informāciju, kuru kriptoaktīvu pakalpojumu sniedzējs, kas sniedz ziņojumus, ir ieguvis saistībā ar attiecību nodibināšanu ar šo vienību, kas izmanto kriptoaktīvus, tostarp dokumentāciju, kas ievākta saskaņā ar </w:t>
      </w:r>
      <w:r>
        <w:rPr>
          <w:rFonts w:ascii="Times New Roman" w:hAnsi="Times New Roman"/>
          <w:i/>
          <w:iCs/>
          <w:sz w:val="24"/>
        </w:rPr>
        <w:t>AML/KYC</w:t>
      </w:r>
      <w:r>
        <w:rPr>
          <w:rFonts w:ascii="Times New Roman" w:hAnsi="Times New Roman"/>
          <w:sz w:val="24"/>
        </w:rPr>
        <w:t xml:space="preserve"> procedūrām. Ja vienība, kas izmanto kriptoaktīvus, apliecina, ka tai nav rezidences nodokļu aprēķina vajadzībām, kriptoaktīvu pakalpojumu sniedzējs, kas sniedz ziņojumus, var paļauties uz faktiskās vadības vietu vai galvenā biroja adresi, lai noteiktu šīs vienības rezidenci.</w:t>
      </w:r>
    </w:p>
    <w:p w14:paraId="5692F2D8" w14:textId="6D302E7B" w:rsidR="00335C80" w:rsidRPr="004319B8" w:rsidRDefault="008D014C" w:rsidP="00B14EC9">
      <w:pPr>
        <w:keepNext/>
        <w:keepLines/>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23. Ja pašapliecinājumā ir norādīts, ka vienība, kas izmanto kriptoaktīvus, ir rezidents jurisdikcijā, par kuru jāsniedz ziņojums, tad, kā norādīts B punkta 1. apakšpunkta b) daļā, kriptoaktīvu pakalpojumu sniedzējam, kas sniedz ziņojumus, ir jāuzskata, ka vienība, kas izmanto kriptoaktīvus, ir lietotājs, par kuru jāsniedz ziņojums, ja vien tas, pamatojoties uz pašapliecinājumu vai tā rīcībā esošo vai publiski pieejamo informāciju, pamatoti nekonstatē, ka šī vienība, kas izmanto kriptoaktīvus, ir izslēgtā persona. Šāda informācija ietver informāciju, kas tika iegūta, lai izpildītu pienācīgas pārbaudes procedūras saskaņā ar Kopējo ziņošanas standartu.</w:t>
      </w:r>
    </w:p>
    <w:p w14:paraId="27F7D7FD" w14:textId="0327A992"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24. “Publiski pieejama” informācija ir informācija, ko publicējusi pilnvarota jurisdikcijas valdības struktūra (piemēram, valdība vai tās aģentūra, vai pašvaldība), piemēram, informācija nodokļu administrācijas publicētajā sarakstā, informācija publiski pieejamā reģistrā, ko uztur vai autorizē pilnvarota jurisdikcijas valdības struktūra, vai informācija, kas atklāta vispāratzītā vērtspapīru tirgū. Šajā saistībā kriptoaktīvu pakalpojumu sniedzējam, kas sniedz ziņojumus, ir jāsaglabā notācija par pārskatītās informācijas veidu un datums, kad veikta informācijas pārskatīšana.</w:t>
      </w:r>
    </w:p>
    <w:p w14:paraId="6A25DF32" w14:textId="7B9FA0E9"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25. Nosakot, vai vienība, kas izmanto kriptoaktīvus, ir persona, par kuru jāsniedz ziņojums, kriptoaktīvu pakalpojumu sniedzējs, kas sniedz ziņojumus, var rīkoties atbilstīgi tam, kā norādīts B punkta 1. apakšpunkta a) un b) daļā, apstākļiem vispiemērotākajā kārtībā. Tas ļautu kriptoaktīvu pakalpojumu sniedzējam, kas sniedz ziņojumus, piemēram, noteikt saskaņā ar B punkta 1. apakšpunkta b) daļu, ka vienība, kas izmanto kriptoaktīvus, ir izslēgtā persona un tādējādi nav lietotājs, par kuru jāsniedz ziņojums.</w:t>
      </w:r>
    </w:p>
    <w:p w14:paraId="49F07CA5" w14:textId="3F2880A9"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26. Pašapliecinājumam jānodrošina tas, ka vienībai, kas izmanto kriptoaktīvus, var noteikt rezidenta statusu(-us) nodokļu aprēķina vajadzībām. Dažādu jurisdikciju tiesību aktos ir noteikti nosacījumi, saskaņā ar kuriem vienība ir uzskatāma par nodokļu “rezidentu”. Tajos ietverta dažādu formu piesaiste jurisdikcijai, kura valstu tiesību aktos noteikta kā pamats nodokļu vispārējai piemērošanai (pilna apjoma nodokļu saistības). Parasti vienība būs jurisdikcijas rezidents nodokļu aprēķina vajadzībām, ja saskaņā ar šīs jurisdikcijas tiesību aktiem tā maksā vai tai ir jāmaksā nodokļi šajā jurisdikcijā tādēļ, ka šajā jurisdikcijā atrodas tās vadības vieta vai reģistrācijas vieta vai tiek izpildīts kāds līdzīga veida kritērijs, nevis vienīgi tādēļ, ka šajā jurisdikcijā atrodas tās ienākumu avoti. Ja vienībai ir piemērojami nodokļi kā rezidentam vairākās jurisdikcijās, pašapliecinājumā jānorāda visas jurisdikcijas rezidences un kriptoaktīvu pakalpojumu sniedzējam, kas sniedz ziņojumus, jāuzskata vienība, kas izmanto kriptoaktīvus, par lietotāju, par kuru jāsniedz ziņojums, visās jurisdikcijās, par kurām jāsniedz ziņojums.</w:t>
      </w:r>
    </w:p>
    <w:p w14:paraId="29EAACF8" w14:textId="799BFA90"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27. No jurisdikcijām, par kurām jāsniedz ziņojums, tiek gaidīts, ka tās palīdzēs nodokļu maksātājiem noteikt viņu rezidenta statusu(-us) nodokļu aprēķina vajadzībām un šajā saistībā sniegs viņiem informāciju. To var nodrošināt, piemēram, ar dažādu pakalpojumu kanālu starpniecību, kas tiek izmantoti informācijas vai norādījumu sniegšanai nodokļu maksātājiem par nodokļu tiesību aktu piemērošanu. </w:t>
      </w:r>
      <w:r>
        <w:rPr>
          <w:rFonts w:ascii="Times New Roman" w:hAnsi="Times New Roman"/>
          <w:i/>
          <w:iCs/>
          <w:sz w:val="24"/>
        </w:rPr>
        <w:t>OECD</w:t>
      </w:r>
      <w:r>
        <w:rPr>
          <w:rFonts w:ascii="Times New Roman" w:hAnsi="Times New Roman"/>
          <w:sz w:val="24"/>
        </w:rPr>
        <w:t xml:space="preserve"> centīsies veicināt šādas informācijas izplatīšanu.</w:t>
      </w:r>
    </w:p>
    <w:p w14:paraId="2AFA7691" w14:textId="0B7B1C2C"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28. Ja vienība, kas izmanto kriptoaktīvus, apliecina, ka tai nav rezidences nodokļu aprēķina vajadzībām, kriptoaktīvu pakalpojumu sniedzējs, kas sniedz ziņojumus, var paļauties uz faktiskās vadības vietu vai kā pilnvarojumu – uz galvenā biroja adresi, lai noteiktu šīs vienības rezidenci. Vienības, kas izmanto kriptoaktīvus un kam nav rezidences nodokļu aprēķina vajadzībām, ir, piemēram, vienības, kas tiek uzskatītas par fiskāli pārredzamām, un vienības, kas ir rezidentes jurisdikcijā, kurā nav uzņēmumu ienākuma nodokļa sistēmas.</w:t>
      </w:r>
    </w:p>
    <w:p w14:paraId="4AE5BE31" w14:textId="77777777" w:rsidR="00335C80" w:rsidRPr="00384255"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r>
        <w:rPr>
          <w:rFonts w:ascii="Times New Roman" w:hAnsi="Times New Roman"/>
          <w:i/>
          <w:color w:val="616161"/>
          <w:sz w:val="26"/>
        </w:rPr>
        <w:t>Pašapliecinājumu pamatotība</w:t>
      </w:r>
    </w:p>
    <w:p w14:paraId="6ABE49EC" w14:textId="02812F24"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29. Tiklīdz kriptoaktīvu pakalpojumu sniedzējs, kas sniedz ziņojumus, ir ieguvis pašapliecinājumu, kas nodokļu aprēķina vajadzībām ļauj noteikt rezidenta statusu(-us) vienībai, kura izmanto kriptoaktīvus, šim kriptoaktīvu pakalpojumu sniedzējam ir pienākums apstiprināt </w:t>
      </w:r>
      <w:r>
        <w:rPr>
          <w:rFonts w:ascii="Times New Roman" w:hAnsi="Times New Roman"/>
          <w:sz w:val="24"/>
        </w:rPr>
        <w:lastRenderedPageBreak/>
        <w:t xml:space="preserve">šāda pašapliecinājuma pamatotību, pamatojoties uz informāciju, kas iegūta saistībā ar attiecību nodibināšanu, tostarp pamatojoties uz jebkuru dokumentāciju, kura savākta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w:t>
      </w:r>
    </w:p>
    <w:p w14:paraId="2126C0B2" w14:textId="3BE9B69A"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30. Ir uzskatāms, ka kriptoaktīvu pakalpojumu sniedzējs, kas sniedz ziņojumus, ir apstiprinājis pašapliecinājuma “pamatotību”, ja, nodibinot attiecības ar vienību, kas izmanto kriptoaktīvus, un pārskatot informāciju, kas iegūta saistībā ar attiecību nodibināšanu (tostarp pārskatot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savākto dokumentāciju), tam nav zināms vai nav pamata zināt, ka pašapliecinājums ir nepareizs vai neuzticams. Kriptoaktīvu pakalpojumu sniedzējiem, kas sniedz ziņojumus, nav pienākuma veikt attiecīgo nodokļu tiesību aktu neatkarīgu juridisko analīzi, lai apstiprinātu pašapliecinājuma pamatotību.</w:t>
      </w:r>
    </w:p>
    <w:p w14:paraId="66BB3DF6" w14:textId="6BDE3C21"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31. Turpmākie piemēri parāda, kā piemērot “pamatotības” pārbaudi.</w:t>
      </w:r>
    </w:p>
    <w:p w14:paraId="3844E347"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b/>
          <w:bCs/>
          <w:sz w:val="24"/>
        </w:rPr>
        <w:t>1. piemērs.</w:t>
      </w:r>
      <w:r>
        <w:rPr>
          <w:rFonts w:ascii="Times New Roman" w:hAnsi="Times New Roman"/>
          <w:sz w:val="24"/>
        </w:rPr>
        <w:t xml:space="preserve"> Kriptoaktīvu pakalpojumu sniedzējs, kas sniedz ziņojumus, nodibinot attiecības ar vienību, kas izmanto kriptoaktīvus, no tās iegūst pašapliecinājumu. Pašapliecinājumā norādītā adrese nesakrīt ar adresi, kas norādīta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savāktajā dokumentācijā. Pretrunīgas informācijas dēļ pašapliecinājums ir nepareizs vai neuzticams, tāpēc tas nav atzīstams par pamatotu.</w:t>
      </w:r>
    </w:p>
    <w:p w14:paraId="5741AD01" w14:textId="77777777" w:rsidR="00335C80" w:rsidRPr="004319B8"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b/>
          <w:bCs/>
          <w:sz w:val="24"/>
        </w:rPr>
        <w:t>2. piemērs.</w:t>
      </w:r>
      <w:r>
        <w:rPr>
          <w:rFonts w:ascii="Times New Roman" w:hAnsi="Times New Roman"/>
          <w:sz w:val="24"/>
        </w:rPr>
        <w:t xml:space="preserve"> Kriptoaktīvu pakalpojumu sniedzējs, kas sniedz ziņojumus, nodibinot attiecības ar vienību, kas izmanto kriptoaktīvus, no tās iegūst pašapliecinājumu. </w:t>
      </w:r>
      <w:r>
        <w:rPr>
          <w:rFonts w:ascii="Times New Roman" w:hAnsi="Times New Roman"/>
          <w:i/>
          <w:iCs/>
          <w:sz w:val="24"/>
        </w:rPr>
        <w:t>AML/KYC</w:t>
      </w:r>
      <w:r>
        <w:rPr>
          <w:rFonts w:ascii="Times New Roman" w:hAnsi="Times New Roman"/>
          <w:sz w:val="24"/>
        </w:rPr>
        <w:t xml:space="preserve"> procedūrās savāktajā dokumentācijā attiecībā uz vienību, kas izmanto kriptoaktīvus, norādīta vienīgi tās reģistrācijas vieta. Pašapliecinājumā vienība, kas izmanto kriptoaktīvus, apgalvo, ka nodokļu aprēķina vajadzībām tai ir rezidenta statuss citā jurisdikcijā, kas nav reģistrācijas vietas jurisdikcija. Vienība, kas izmanto kriptoaktīvus, paskaidrojusi kriptoaktīvu pakalpojumu sniedzējam, kas sniedz ziņojumus, ka saskaņā ar attiecīgajiem nodokļu tiesību aktiem tās rezidenta statuss nodokļu aprēķina vajadzībām ir noteikts pēc faktiskās vadības atrašanās vietas un ka tās faktiskā vadība atrodas jurisdikcijā, kas nav reģistrācijas vietas jurisdikcija. Līdz ar to, ņemot vērā, ka saņemts pienācīgs paskaidrojums par pretrunīgo informāciju, pašapliecinājums nav nepareizs vai neuzticams, līdz ar to atzīstams par pamatotu.</w:t>
      </w:r>
    </w:p>
    <w:p w14:paraId="0D96DCF4" w14:textId="2286348F"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32. Gadījumā, ja pamatotības pārbaudē pašapliecinājums nav atzīstams par pamatotu, kriptoaktīvu pakalpojumu sniedzējam, kas sniedz ziņojumus, lai varētu sniegt pakalpojumus, proti, izpildīt attiecīgos pārvedumus vienībai, kas izmanto kriptoaktīvus, vispirms ir jāiegūst vai nu i) derīgs pašapliecinājums, vai ii) pamatots paskaidrojums un dokumentācija (atbilstīgi vajadzībai), kas apliecina pašapliecinājuma pamatotību (un jāsaglabā šāda paskaidrojuma un dokumentācijas kopija vai notācija). Sīkākas norādes šajā saistībā ir sniegtas komentāros par III panta A punktu.</w:t>
      </w:r>
    </w:p>
    <w:p w14:paraId="7B2D293B" w14:textId="77777777" w:rsidR="00335C80" w:rsidRPr="00384255"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105" w:name="Review_procedure_for_Controlling_Persons"/>
      <w:bookmarkEnd w:id="105"/>
      <w:r>
        <w:rPr>
          <w:rFonts w:ascii="Times New Roman" w:hAnsi="Times New Roman"/>
          <w:i/>
          <w:color w:val="616161"/>
          <w:sz w:val="26"/>
        </w:rPr>
        <w:t>Kontrolējošo personu pārskatīšanas procedūra</w:t>
      </w:r>
    </w:p>
    <w:p w14:paraId="55CC7E8C" w14:textId="273D3FBD" w:rsidR="00335C80" w:rsidRPr="004319B8" w:rsidRDefault="008D014C" w:rsidP="00384255">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33. B punkta 2. apakšpunktā ir ietverta pārskatīšanas procedūra, ko izmanto, lai noteiktu, vai vienību, kas izmanto kriptoaktīvus un kas nav izslēgtā persona, tur viena vai vairākas kontrolējošās personas, ja vien tā nekonstatē, ka vienība, kas izmanto kriptoaktīvus, ir aktīvā vienība. Tas jānosaka, ņemot vērā pašapliecinājumu, kura pamatotība jāapstiprina, pamatojoties uz atbilstošu informāciju, kas pieejama kriptoaktīvu pakalpojumu sniedzējam, kurš sniedz ziņojumus. Ja kriptoaktīvu pakalpojumu sniedzējs, kas sniedz ziņojumus, ir konstatējis, ka vienība, kas izmanto kriptoaktīvus, nav aktīvā persona, šim kriptoaktīvu pakalpojumu sniedzējam ir jārīkojas atbilstīgi tam, kā norādīts B punkta 2. apakšpunkta a) un b) daļā, apstākļiem vispiemērotākajā kārtībā. Šo apakšpunktu mērķis ir:</w:t>
      </w:r>
    </w:p>
    <w:p w14:paraId="211F953B" w14:textId="77777777" w:rsidR="00335C80" w:rsidRPr="00326ABB" w:rsidRDefault="00335C80" w:rsidP="00326ABB">
      <w:pPr>
        <w:widowControl w:val="0"/>
        <w:numPr>
          <w:ilvl w:val="1"/>
          <w:numId w:val="1"/>
        </w:numPr>
        <w:tabs>
          <w:tab w:val="left" w:pos="1237"/>
        </w:tabs>
        <w:autoSpaceDE w:val="0"/>
        <w:autoSpaceDN w:val="0"/>
        <w:spacing w:before="120" w:after="120" w:line="240" w:lineRule="auto"/>
        <w:ind w:left="567" w:hanging="283"/>
        <w:jc w:val="both"/>
        <w:rPr>
          <w:rFonts w:ascii="Times New Roman" w:eastAsia="Arial" w:hAnsi="Times New Roman" w:cs="Times New Roman"/>
          <w:bCs/>
          <w:noProof/>
          <w:kern w:val="0"/>
          <w:sz w:val="24"/>
          <w:szCs w:val="24"/>
          <w14:ligatures w14:val="none"/>
        </w:rPr>
      </w:pPr>
      <w:r>
        <w:rPr>
          <w:rFonts w:ascii="Times New Roman" w:hAnsi="Times New Roman"/>
          <w:sz w:val="24"/>
        </w:rPr>
        <w:t>noteikt personas, kuras kontrolē vienību, kas izmanto kriptoaktīvus, un</w:t>
      </w:r>
    </w:p>
    <w:p w14:paraId="53ACC024" w14:textId="77777777" w:rsidR="00335C80" w:rsidRPr="00326ABB" w:rsidRDefault="00335C80" w:rsidP="00326ABB">
      <w:pPr>
        <w:widowControl w:val="0"/>
        <w:numPr>
          <w:ilvl w:val="1"/>
          <w:numId w:val="1"/>
        </w:numPr>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bCs/>
          <w:noProof/>
          <w:kern w:val="0"/>
          <w:sz w:val="24"/>
          <w:szCs w:val="24"/>
          <w14:ligatures w14:val="none"/>
        </w:rPr>
      </w:pPr>
      <w:r>
        <w:rPr>
          <w:rFonts w:ascii="Times New Roman" w:hAnsi="Times New Roman"/>
          <w:sz w:val="24"/>
        </w:rPr>
        <w:t>noteikt, vai personas, kuras kontrolē vienību, kas izmanto kriptoaktīvus, ir personas, par kurām jāsniedz ziņojums.</w:t>
      </w:r>
    </w:p>
    <w:p w14:paraId="2553F866" w14:textId="77CEC6D4"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 xml:space="preserve">34. Lai noteiktu personas, kuras kontrolē vienību, kas izmanto kriptoaktīvus, kriptoaktīvu pakalpojumu sniedzējs, kas sniedz ziņojumus, saskaņā ar B punkta 2. apakšpunkta a) daļu var paļauties uz informāciju, kas savākta un uzturēta saskaņā ar </w:t>
      </w:r>
      <w:r>
        <w:rPr>
          <w:rFonts w:ascii="Times New Roman" w:hAnsi="Times New Roman"/>
          <w:i/>
          <w:iCs/>
          <w:sz w:val="24"/>
        </w:rPr>
        <w:t>AML/KYC</w:t>
      </w:r>
      <w:r>
        <w:rPr>
          <w:rFonts w:ascii="Times New Roman" w:hAnsi="Times New Roman"/>
          <w:sz w:val="24"/>
        </w:rPr>
        <w:t xml:space="preserve"> procedūrām, ja šādas procedūras saskan ar </w:t>
      </w:r>
      <w:r>
        <w:rPr>
          <w:rFonts w:ascii="Times New Roman" w:hAnsi="Times New Roman"/>
          <w:i/>
          <w:iCs/>
          <w:sz w:val="24"/>
        </w:rPr>
        <w:t>FATF</w:t>
      </w:r>
      <w:r>
        <w:rPr>
          <w:rFonts w:ascii="Times New Roman" w:hAnsi="Times New Roman"/>
          <w:sz w:val="24"/>
        </w:rPr>
        <w:t xml:space="preserve"> 2012. gada ieteikumiem (kas atjaunināti 2019. gadā attiecībā uz virtuālo aktīvu pakalpojumu sniedzējiem). Ja kriptoaktīvu pakalpojumu sniedzējam, kas sniedz ziņojumus, nav juridiski noteikts pienākums piemērot </w:t>
      </w:r>
      <w:r>
        <w:rPr>
          <w:rFonts w:ascii="Times New Roman" w:hAnsi="Times New Roman"/>
          <w:i/>
          <w:iCs/>
          <w:sz w:val="24"/>
        </w:rPr>
        <w:t>AML/KYC</w:t>
      </w:r>
      <w:r>
        <w:rPr>
          <w:rFonts w:ascii="Times New Roman" w:hAnsi="Times New Roman"/>
          <w:sz w:val="24"/>
        </w:rPr>
        <w:t xml:space="preserve"> procedūras, kas saskan ar </w:t>
      </w:r>
      <w:r>
        <w:rPr>
          <w:rFonts w:ascii="Times New Roman" w:hAnsi="Times New Roman"/>
          <w:i/>
          <w:iCs/>
          <w:sz w:val="24"/>
        </w:rPr>
        <w:t>FATF</w:t>
      </w:r>
      <w:r>
        <w:rPr>
          <w:rFonts w:ascii="Times New Roman" w:hAnsi="Times New Roman"/>
          <w:sz w:val="24"/>
        </w:rPr>
        <w:t xml:space="preserve"> 2012. gada ieteikumiem (kas atjaunināti 2019. gadā attiecībā uz virtuālo aktīvu pakalpojumu sniedzējiem), tam kontrolējošo personu noteikšanai jāpiemēro pēc būtības līdzīgas procedūras.</w:t>
      </w:r>
    </w:p>
    <w:p w14:paraId="216D3A4C" w14:textId="0F0C044C"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35. Lai noteiktu, vai persona, kura kontrolē vienību, kas izmanto kriptoaktīvus, ir persona, par kuru jāsniedz ziņojums, kriptoaktīvu pakalpojumu sniedzējam, kas sniedz ziņojumus, saskaņā ar B punkta 2. apakšpunkta b) daļu ir jāpaļaujas uz pašapliecinājumu, ko sniegusi vienība, kas izmanto kriptoaktīvus, vai to kontrolējošā persona, un jāapstiprina šāda pašapliecinājuma pamatotība, pamatojoties uz informāciju, ko ieguvis kriptoaktīvu pakalpojumu sniedzējs, kas sniedz ziņojumus, tostarp pamatojoties uz dokumentāciju, kas iegūta saskaņā ar </w:t>
      </w:r>
      <w:r>
        <w:rPr>
          <w:rFonts w:ascii="Times New Roman" w:hAnsi="Times New Roman"/>
          <w:i/>
          <w:iCs/>
          <w:sz w:val="24"/>
        </w:rPr>
        <w:t>AML/KYC</w:t>
      </w:r>
      <w:r>
        <w:rPr>
          <w:rFonts w:ascii="Times New Roman" w:hAnsi="Times New Roman"/>
          <w:sz w:val="24"/>
        </w:rPr>
        <w:t xml:space="preserve"> procedūrām.</w:t>
      </w:r>
    </w:p>
    <w:p w14:paraId="30BA8C8D" w14:textId="77777777" w:rsidR="00335C80" w:rsidRPr="00326ABB"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106" w:name="Change_of_circumstances"/>
      <w:bookmarkEnd w:id="106"/>
      <w:r>
        <w:rPr>
          <w:rFonts w:ascii="Times New Roman" w:hAnsi="Times New Roman"/>
          <w:i/>
          <w:color w:val="616161"/>
          <w:sz w:val="26"/>
        </w:rPr>
        <w:t>Apstākļu maiņa</w:t>
      </w:r>
    </w:p>
    <w:p w14:paraId="5E75F9A5" w14:textId="27858715"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36. Kā noteikts B punkta 3. apakšpunktā, ja kādā brīdī mainās apstākļi saistībā ar vienību, kas izmanto kriptoaktīvus, vai to kontrolējošo(-ām) personu(-ām), kā rezultātā kriptoaktīvu pakalpojumu sniedzējam, kas sniedz ziņojumus, jāzina vai ir pamats zināt, ka pašapliecinājums vai cita dokumentācija, kas saistīta ar vienību, kura izmanto kriptoaktīvus, vai to kontrolējošo(-ām) personu(-ām), ir nepareiza vai neuzticama, kriptoaktīvu pakalpojumu sniedzējs, kas sniedz ziņojumus, nevar paļauties uz sākotnējo pašapliecinājumu un tam ir atkārtoti jānoskaidro šīs vienības vai to kontrolējošo personu statuss. Tālab ir jāpiemēro procedūras, kas noteiktas komentāru par III pantu 15.–18. punktā.</w:t>
      </w:r>
    </w:p>
    <w:p w14:paraId="1AB8FD0C" w14:textId="77777777" w:rsidR="00335C80" w:rsidRPr="00326ABB" w:rsidRDefault="00335C80" w:rsidP="004319B8">
      <w:pPr>
        <w:widowControl w:val="0"/>
        <w:autoSpaceDE w:val="0"/>
        <w:autoSpaceDN w:val="0"/>
        <w:spacing w:before="120" w:after="120" w:line="240" w:lineRule="auto"/>
        <w:jc w:val="both"/>
        <w:rPr>
          <w:rFonts w:ascii="Times New Roman" w:eastAsia="Arial" w:hAnsi="Times New Roman" w:cs="Times New Roman"/>
          <w:b/>
          <w:bCs/>
          <w:i/>
          <w:iCs/>
          <w:noProof/>
          <w:kern w:val="0"/>
          <w:sz w:val="26"/>
          <w:szCs w:val="26"/>
          <w14:ligatures w14:val="none"/>
        </w:rPr>
      </w:pPr>
      <w:bookmarkStart w:id="107" w:name="Paragraph_C_–_Requirements_for_validity_"/>
      <w:bookmarkEnd w:id="107"/>
      <w:r>
        <w:rPr>
          <w:rFonts w:ascii="Times New Roman" w:hAnsi="Times New Roman"/>
          <w:b/>
          <w:i/>
          <w:sz w:val="26"/>
        </w:rPr>
        <w:t>C punkts. Prasības attiecībā uz pašapliecinājumu derīgumu</w:t>
      </w:r>
    </w:p>
    <w:p w14:paraId="45D08502" w14:textId="727EB17D"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37. C punktā ir noteiktas prasības, kas jāizpilda, lai iegūtu derīgus pašapliecinājumus attiecībā uz fiziskām personām un vienībām, kas izmanto kriptoaktīvus, kā arī kontrolējošām personām.</w:t>
      </w:r>
    </w:p>
    <w:p w14:paraId="6B8B7AC9" w14:textId="77777777" w:rsidR="00335C80" w:rsidRPr="00326ABB"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108" w:name="Validity_of_self-certifications_for_Indi"/>
      <w:bookmarkEnd w:id="108"/>
      <w:r>
        <w:rPr>
          <w:rFonts w:ascii="Times New Roman" w:hAnsi="Times New Roman"/>
          <w:i/>
          <w:color w:val="616161"/>
          <w:sz w:val="26"/>
        </w:rPr>
        <w:t>Fiziskām personām, kas izmanto kriptoaktīvus, un kontrolējošām personām piemērojamo pašapliecinājumu derīgums</w:t>
      </w:r>
    </w:p>
    <w:p w14:paraId="60F261C9" w14:textId="09627A54"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38. Pašapliecinājums, kas norādīts C punkta 1. apakšpunktā, ir apliecinājums, kuru sniegusi fiziska persona, kas izmanto kriptoaktīvus, vai kontrolējošā persona, un tajā ir norādīts šīs fiziskās personas vai kontrolējošās personas statuss un jebkāda cita informācija, ko varētu pamatoti prasīt kriptoaktīvu pakalpojumu sniedzējs, kas sniedz ziņojumus, lai izpildītu savus ziņošanas un pienācīgas pārbaudes pienākumus, piemēram, vai fiziska persona, kas izmanto kriptoaktīvus, vai kontrolējošā persona ir rezidents nodokļu aprēķina vajadzībām jurisdikcijā, par kuru jāsniedz ziņojums. Pašapliecinājums ir derīgs tikai tad, ja to ir parakstījusi vai citādi nepārprotami apstiprinājusi šī fiziskā persona, kas izmanto kriptoaktīvus, vai kontrolējošā persona, tas ir datēts ne vēlāk kā saņemšanas dienā un tajā par fizisko personu, kas izmanto kriptoaktīvus, vai kontrolējošo personu ir norādīta šāda informācija:</w:t>
      </w:r>
    </w:p>
    <w:p w14:paraId="4D9E4418" w14:textId="20D2FE02" w:rsidR="00335C80" w:rsidRPr="004319B8" w:rsidRDefault="008D014C" w:rsidP="00326ABB">
      <w:pPr>
        <w:widowControl w:val="0"/>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a) vārds, uzvārds;</w:t>
      </w:r>
    </w:p>
    <w:p w14:paraId="4BA73205" w14:textId="50498E73" w:rsidR="00335C80" w:rsidRPr="004319B8" w:rsidRDefault="008D014C" w:rsidP="00326ABB">
      <w:pPr>
        <w:widowControl w:val="0"/>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b) dzīvesvietas adrese;</w:t>
      </w:r>
    </w:p>
    <w:p w14:paraId="6836D9D5" w14:textId="6C45F68E" w:rsidR="00335C80" w:rsidRPr="004319B8" w:rsidRDefault="008D014C" w:rsidP="00326ABB">
      <w:pPr>
        <w:widowControl w:val="0"/>
        <w:tabs>
          <w:tab w:val="left" w:pos="1236"/>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c) rezidences jurisdikcija(-as) nodokļu aprēķina vajadzībām;</w:t>
      </w:r>
    </w:p>
    <w:p w14:paraId="1B4FAF6D" w14:textId="29940C8D" w:rsidR="00335C80" w:rsidRPr="004319B8" w:rsidRDefault="008D014C" w:rsidP="00326A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 xml:space="preserve">d) attiecībā uz katru personu, par kuru jāsniedz ziņojums, </w:t>
      </w:r>
      <w:r>
        <w:rPr>
          <w:rFonts w:ascii="Times New Roman" w:hAnsi="Times New Roman"/>
          <w:i/>
          <w:iCs/>
          <w:sz w:val="24"/>
        </w:rPr>
        <w:t>TIN</w:t>
      </w:r>
      <w:r>
        <w:rPr>
          <w:rFonts w:ascii="Times New Roman" w:hAnsi="Times New Roman"/>
          <w:sz w:val="24"/>
        </w:rPr>
        <w:t xml:space="preserve"> attiecībā uz katru jurisdikciju, par kuru jāsniedz ziņojums, un</w:t>
      </w:r>
    </w:p>
    <w:p w14:paraId="5B09A36A" w14:textId="64195DC4" w:rsidR="00335C80" w:rsidRPr="004319B8" w:rsidRDefault="008D014C" w:rsidP="00326ABB">
      <w:pPr>
        <w:widowControl w:val="0"/>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e) dzimšanas datums.</w:t>
      </w:r>
    </w:p>
    <w:p w14:paraId="1BCF09E7" w14:textId="79A6CE6C"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lastRenderedPageBreak/>
        <w:t>39. Pašapliecinājumu var būt iepriekš aizpildījis kriptoaktīvu pakalpojumu sniedzējs, kas sniedz ziņojumus, proti, tas ir iekļāvis informāciju par fizisko personu, kas izmanto kriptoaktīvus, un kontrolējošām personām, ciktāl tā ir pieejama tā reģistros, izņemot datus par rezidences jurisdikciju(-ām) nodokļu aprēķina vajadzībām. Turklāt kriptoaktīvu pakalpojumu sniedzējs, kas sniedz ziņojumus, var paļauties uz pašapliecinājumu, kas iegūts attiecībā uz fizisku personu, kura izmanto kriptoaktīvus, vai kontrolējošo personu saskaņā ar Kopējo ziņošanas standartu, vai uz pašapliecinājumu, kas jau iegūts citiem nodokļu nolūkiem, piemēram, valstī noteiktiem ziņošanas mērķiem saistībā ar Ārvalstu kontu nodokļu saistību izpildes likumu (</w:t>
      </w:r>
      <w:r>
        <w:rPr>
          <w:rFonts w:ascii="Times New Roman" w:hAnsi="Times New Roman"/>
          <w:i/>
          <w:iCs/>
          <w:sz w:val="24"/>
        </w:rPr>
        <w:t>FATCA</w:t>
      </w:r>
      <w:r>
        <w:rPr>
          <w:rFonts w:ascii="Times New Roman" w:hAnsi="Times New Roman"/>
          <w:sz w:val="24"/>
        </w:rPr>
        <w:t xml:space="preserve">) vai </w:t>
      </w:r>
      <w:r>
        <w:rPr>
          <w:rFonts w:ascii="Times New Roman" w:hAnsi="Times New Roman"/>
          <w:i/>
          <w:iCs/>
          <w:sz w:val="24"/>
        </w:rPr>
        <w:t>FATCA</w:t>
      </w:r>
      <w:r>
        <w:rPr>
          <w:rFonts w:ascii="Times New Roman" w:hAnsi="Times New Roman"/>
          <w:sz w:val="24"/>
        </w:rPr>
        <w:t xml:space="preserve"> starpvaldību līgumu, ciktāl tajā ir iekļauta visa C punkta 1. apakšpunktā prasītā informācija.</w:t>
      </w:r>
    </w:p>
    <w:p w14:paraId="70BBA813" w14:textId="51A897DC"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40. Ja fiziskā persona, kas izmanto kriptoaktīvus, vai kontrolējošā persona ir rezidents nodokļu aprēķina vajadzībām jurisdikcijā, par kuru jāsniedz ziņojums, pašapliecinājumā ir jāiekļauj šīs fiziskās personas vai kontrolējošās personas </w:t>
      </w:r>
      <w:r>
        <w:rPr>
          <w:rFonts w:ascii="Times New Roman" w:hAnsi="Times New Roman"/>
          <w:i/>
          <w:iCs/>
          <w:sz w:val="24"/>
        </w:rPr>
        <w:t>TIN</w:t>
      </w:r>
      <w:r>
        <w:rPr>
          <w:rFonts w:ascii="Times New Roman" w:hAnsi="Times New Roman"/>
          <w:sz w:val="24"/>
        </w:rPr>
        <w:t xml:space="preserve"> attiecībā uz katru jurisdikciju, par kuru jāsniedz ziņojums, ņemot vērā C punkta 3. apakšpunktu.</w:t>
      </w:r>
    </w:p>
    <w:p w14:paraId="6A2BD3D7" w14:textId="582570A2"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41. Pašapliecinājumu var iesniegt jebkādā veidā un formā. Ja pašapliecinājums tiek sniegts elektroniski, elektroniskajai sistēmai ir jānodrošina, ka tiek saņemta tā pati informācija, kas tika nosūtīta, un jādokumentē visi lietotāju piekļuves gadījumi, kad pašapliecinājums tiek iesniegts, atjaunināts vai grozīts. Turklāt jānodrošina, ka elektroniskā sistēma, kā arī piekļuves procedūras ir izstrādātas un darbojas tā, ka persona, kas pieslēdzas sistēmai un iesniedz pašapliecinājumu, ir šajā pašapliecinājumā norādītā persona un spēj pēc pieprasījuma sniegt elektroniski iesniegtā pašapliecinājuma cieto kopiju.</w:t>
      </w:r>
    </w:p>
    <w:p w14:paraId="2E6AD186" w14:textId="0AA74C97"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42. Pašapliecinājumu drīkst parakstīt (vai citādi nepārprotami apstiprināt) jebkura persona, kura saskaņā ar valsts tiesību aktiem ir pilnvarota parakstīties fiziskās personas, kas izmanto kriptoaktīvus, vai kontrolējošās personas vārdā.</w:t>
      </w:r>
    </w:p>
    <w:p w14:paraId="12F01906" w14:textId="5A30EBC4"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43. III panta C punkta 3. apakšpunktā noteikts, ka, atkāpjoties no C punkta 1. un 2. apakšpunkta prasībām iegūt </w:t>
      </w:r>
      <w:r>
        <w:rPr>
          <w:rFonts w:ascii="Times New Roman" w:hAnsi="Times New Roman"/>
          <w:i/>
          <w:iCs/>
          <w:sz w:val="24"/>
        </w:rPr>
        <w:t>TIN</w:t>
      </w:r>
      <w:r>
        <w:rPr>
          <w:rFonts w:ascii="Times New Roman" w:hAnsi="Times New Roman"/>
          <w:sz w:val="24"/>
        </w:rPr>
        <w:t xml:space="preserve"> attiecībā uz lietotājiem, par kuriem jāsniedz ziņojums, un personām, par kurām jāsniedz ziņojums un kuras kontrolē vienību, kas izmanto kriptoaktīvus, </w:t>
      </w:r>
      <w:r>
        <w:rPr>
          <w:rFonts w:ascii="Times New Roman" w:hAnsi="Times New Roman"/>
          <w:i/>
          <w:iCs/>
          <w:sz w:val="24"/>
        </w:rPr>
        <w:t>TIN</w:t>
      </w:r>
      <w:r>
        <w:rPr>
          <w:rFonts w:ascii="Times New Roman" w:hAnsi="Times New Roman"/>
          <w:sz w:val="24"/>
        </w:rPr>
        <w:t xml:space="preserve"> nav jāiegūst, ja jurisdikcija, kas ir šīs personas rezidences vieta, neizdod </w:t>
      </w:r>
      <w:r>
        <w:rPr>
          <w:rFonts w:ascii="Times New Roman" w:hAnsi="Times New Roman"/>
          <w:i/>
          <w:iCs/>
          <w:sz w:val="24"/>
        </w:rPr>
        <w:t>TIN</w:t>
      </w:r>
      <w:r>
        <w:rPr>
          <w:rFonts w:ascii="Times New Roman" w:hAnsi="Times New Roman"/>
          <w:sz w:val="24"/>
        </w:rPr>
        <w:t xml:space="preserve"> personai, par kuru jāsniedz ziņojums.</w:t>
      </w:r>
    </w:p>
    <w:p w14:paraId="3B329B4D" w14:textId="77777777" w:rsidR="00335C80" w:rsidRPr="00326ABB" w:rsidRDefault="00335C80" w:rsidP="00A9181E">
      <w:pPr>
        <w:widowControl w:val="0"/>
        <w:autoSpaceDE w:val="0"/>
        <w:autoSpaceDN w:val="0"/>
        <w:spacing w:before="120" w:after="120" w:line="240" w:lineRule="auto"/>
        <w:ind w:left="284"/>
        <w:jc w:val="both"/>
        <w:rPr>
          <w:rFonts w:ascii="Times New Roman" w:eastAsia="Arial" w:hAnsi="Times New Roman" w:cs="Times New Roman"/>
          <w:i/>
          <w:iCs/>
          <w:noProof/>
          <w:color w:val="616161"/>
          <w:kern w:val="0"/>
          <w:sz w:val="26"/>
          <w:szCs w:val="26"/>
          <w14:ligatures w14:val="none"/>
        </w:rPr>
      </w:pPr>
      <w:bookmarkStart w:id="109" w:name="Validity_of_self-certifications_for_Enti"/>
      <w:bookmarkEnd w:id="109"/>
      <w:r>
        <w:rPr>
          <w:rFonts w:ascii="Times New Roman" w:hAnsi="Times New Roman"/>
          <w:i/>
          <w:color w:val="616161"/>
          <w:sz w:val="26"/>
        </w:rPr>
        <w:t>Vienībām, kas izmanto kriptoaktīvus, piemērojamo pašapliecinājumu derīgums</w:t>
      </w:r>
    </w:p>
    <w:p w14:paraId="1F7C9E5C" w14:textId="331DCBEA"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44. Pašapliecinājums ir apliecinājums, ko sniegusi vienība, kas izmanto kriptoaktīvus, un tajā ir norādīts šīs vienības statuss un jebkāda cita informācija, ko varētu pamatoti prasīt kriptoaktīvu pakalpojumu sniedzējs, kas sniedz ziņojumus, lai izpildītu savus ziņošanas un pienācīgas pārbaudes pienākumus, piemēram, vai vienība, kas izmanto kriptoaktīvus, ir rezidents nodokļu aprēķina vajadzībām jurisdikcijā, par kuru jāsniedz ziņojums. Pašapliecinājums ir derīgs tikai tad, ja tas datēts ne vēlāk kā saņemšanas dienā un tajā par vienību, kas izmanto kriptoaktīvus, ir norādīta šāda informācija:</w:t>
      </w:r>
    </w:p>
    <w:p w14:paraId="0AD3EA8B" w14:textId="6FDB60C7" w:rsidR="00335C80" w:rsidRPr="004319B8" w:rsidRDefault="008D014C" w:rsidP="00326ABB">
      <w:pPr>
        <w:widowControl w:val="0"/>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a) juridiskais nosaukums;</w:t>
      </w:r>
    </w:p>
    <w:p w14:paraId="7ED99608" w14:textId="72D331EC" w:rsidR="00335C80" w:rsidRPr="004319B8" w:rsidRDefault="008D014C" w:rsidP="00326ABB">
      <w:pPr>
        <w:widowControl w:val="0"/>
        <w:tabs>
          <w:tab w:val="left" w:pos="1235"/>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b) adrese;</w:t>
      </w:r>
    </w:p>
    <w:p w14:paraId="7C5DB24E" w14:textId="0A96C538" w:rsidR="00335C80" w:rsidRPr="004319B8" w:rsidRDefault="008D014C" w:rsidP="00326ABB">
      <w:pPr>
        <w:widowControl w:val="0"/>
        <w:tabs>
          <w:tab w:val="left" w:pos="1236"/>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c) rezidences jurisdikcija(-as) nodokļu aprēķina vajadzībām un</w:t>
      </w:r>
    </w:p>
    <w:p w14:paraId="318E4EDA" w14:textId="747468C1" w:rsidR="00335C80" w:rsidRPr="004319B8" w:rsidRDefault="008D014C" w:rsidP="00B14EC9">
      <w:pPr>
        <w:tabs>
          <w:tab w:val="left" w:pos="1235"/>
          <w:tab w:val="left" w:pos="1237"/>
        </w:tabs>
        <w:autoSpaceDE w:val="0"/>
        <w:autoSpaceDN w:val="0"/>
        <w:spacing w:before="120" w:after="120" w:line="240" w:lineRule="auto"/>
        <w:ind w:left="568"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d) attiecībā uz katru personu, par kuru jāsniedz ziņojums, </w:t>
      </w:r>
      <w:r>
        <w:rPr>
          <w:rFonts w:ascii="Times New Roman" w:hAnsi="Times New Roman"/>
          <w:i/>
          <w:iCs/>
          <w:sz w:val="24"/>
        </w:rPr>
        <w:t>TIN</w:t>
      </w:r>
      <w:r>
        <w:rPr>
          <w:rFonts w:ascii="Times New Roman" w:hAnsi="Times New Roman"/>
          <w:sz w:val="24"/>
        </w:rPr>
        <w:t xml:space="preserve"> attiecībā uz katru jurisdikciju, par kuru jāsniedz ziņojums, un</w:t>
      </w:r>
    </w:p>
    <w:p w14:paraId="3B73C60E" w14:textId="1C335160" w:rsidR="00335C80" w:rsidRPr="004319B8" w:rsidRDefault="008D014C" w:rsidP="00B14EC9">
      <w:pPr>
        <w:tabs>
          <w:tab w:val="left" w:pos="1235"/>
          <w:tab w:val="left" w:pos="1237"/>
        </w:tabs>
        <w:autoSpaceDE w:val="0"/>
        <w:autoSpaceDN w:val="0"/>
        <w:spacing w:before="120" w:after="120" w:line="240" w:lineRule="auto"/>
        <w:ind w:left="568" w:hanging="284"/>
        <w:jc w:val="both"/>
        <w:rPr>
          <w:rFonts w:ascii="Times New Roman" w:eastAsia="Arial" w:hAnsi="Times New Roman" w:cs="Times New Roman"/>
          <w:noProof/>
          <w:kern w:val="0"/>
          <w:sz w:val="24"/>
          <w:szCs w:val="24"/>
          <w14:ligatures w14:val="none"/>
        </w:rPr>
      </w:pPr>
      <w:r>
        <w:rPr>
          <w:rFonts w:ascii="Times New Roman" w:hAnsi="Times New Roman"/>
          <w:sz w:val="24"/>
        </w:rPr>
        <w:t xml:space="preserve">e) attiecībā uz vienību, kas izmanto kriptoaktīvus un nav izslēgtā persona vai aktīvā vienība, C punkta 1. apakšpunktā aprakstītā informācija par katru personu, kura kontrolē vienību, kas izmanto kriptoaktīvus, ja vien minētā kontrolējošā persona nav iesniegusi pašapliecinājumu saskaņā ar C punkta 1. apakšpunktu, kā arī par pienākumu(-iem), </w:t>
      </w:r>
      <w:r>
        <w:rPr>
          <w:rFonts w:ascii="Times New Roman" w:hAnsi="Times New Roman"/>
          <w:sz w:val="24"/>
        </w:rPr>
        <w:lastRenderedPageBreak/>
        <w:t xml:space="preserve">pamatojoties uz kuru(-iem) katra persona, par kuru jāsniedz ziņojums, ir vienību kontrolējošā persona, ja tā jau nav noteikta, pamatojoties uz </w:t>
      </w:r>
      <w:r>
        <w:rPr>
          <w:rFonts w:ascii="Times New Roman" w:hAnsi="Times New Roman"/>
          <w:i/>
          <w:iCs/>
          <w:sz w:val="24"/>
        </w:rPr>
        <w:t>AML/KYC</w:t>
      </w:r>
      <w:r>
        <w:rPr>
          <w:rFonts w:ascii="Times New Roman" w:hAnsi="Times New Roman"/>
          <w:sz w:val="24"/>
        </w:rPr>
        <w:t xml:space="preserve"> procedūrām, un</w:t>
      </w:r>
    </w:p>
    <w:p w14:paraId="6381DE27" w14:textId="4988505A" w:rsidR="00335C80" w:rsidRPr="004319B8" w:rsidRDefault="008D014C" w:rsidP="00326A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Times New Roman"/>
          <w:noProof/>
          <w:kern w:val="0"/>
          <w:sz w:val="24"/>
          <w:szCs w:val="24"/>
          <w14:ligatures w14:val="none"/>
        </w:rPr>
      </w:pPr>
      <w:r>
        <w:rPr>
          <w:rFonts w:ascii="Times New Roman" w:hAnsi="Times New Roman"/>
          <w:sz w:val="24"/>
        </w:rPr>
        <w:t>f) ja piemērojams, informācija par to, kādiem kritērijiem tā atbilst, lai to uzskatītu par aktīvo vienību vai izslēgto personu.</w:t>
      </w:r>
    </w:p>
    <w:p w14:paraId="08345A8F" w14:textId="00D2EB40"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45. Pašapliecinājumu var būt iepriekš aizpildījis kriptoaktīvu pakalpojumu sniedzējs, kas sniedz ziņojumus, proti, tas ir iekļāvis informāciju par vienību, kas izmanto kriptoaktīvus, ciktāl tā ir pieejama tā reģistros, izņemot datus par rezidences jurisdikciju(-ām) nodokļu aprēķina vajadzībām. Turklāt kriptoaktīvu pakalpojumu sniedzējs, kas sniedz ziņojumus, var paļauties uz pašapliecinājumu, kas iegūts attiecībā uz vienību, kura izmanto kriptoaktīvus, saskaņā ar Kopējo ziņošanas standartu, vai uz pašapliecinājumu, kas jau iegūts citiem nodokļu nolūkiem, piemēram, valstī noteiktiem ziņošanas mērķiem saistībā ar </w:t>
      </w:r>
      <w:r>
        <w:rPr>
          <w:rFonts w:ascii="Times New Roman" w:hAnsi="Times New Roman"/>
          <w:i/>
          <w:iCs/>
          <w:sz w:val="24"/>
        </w:rPr>
        <w:t>FATCA</w:t>
      </w:r>
      <w:r>
        <w:rPr>
          <w:rFonts w:ascii="Times New Roman" w:hAnsi="Times New Roman"/>
          <w:sz w:val="24"/>
        </w:rPr>
        <w:t xml:space="preserve"> vai </w:t>
      </w:r>
      <w:r>
        <w:rPr>
          <w:rFonts w:ascii="Times New Roman" w:hAnsi="Times New Roman"/>
          <w:i/>
          <w:iCs/>
          <w:sz w:val="24"/>
        </w:rPr>
        <w:t>FATCA</w:t>
      </w:r>
      <w:r>
        <w:rPr>
          <w:rFonts w:ascii="Times New Roman" w:hAnsi="Times New Roman"/>
          <w:sz w:val="24"/>
        </w:rPr>
        <w:t xml:space="preserve"> starpvaldību līgumu, ciktāl tajā ir iekļauta visa C punkta 2. apakšpunktā prasītā informācija.</w:t>
      </w:r>
    </w:p>
    <w:p w14:paraId="5B82D200" w14:textId="7BF578AF"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46. Pašapliecinājumu drīkst parakstīt (vai citādi nepārprotami apstiprināt) jebkura persona, kura saskaņā ar valsts tiesību aktiem ir pilnvarota parakstīties tās vienības vārdā, kas izmanto kriptoaktīvus. Tiesības parakstīt pašapliecinājumu, ko iesniegusi vienība, kas izmanto kriptoaktīvus, parasti ir tādām personām kā sabiedrības amatpersona vai direktors, personālsabiedrības partneris vai trasta pilnvarotā persona, vai persona, kas ieņem līdzvērtīgu amatu, kā arī jebkurai citai personai, kuru vienība, kas izmanto kriptoaktīvus, ir pilnvarojusi parakstīt dokumentāciju šādas personas vārdā.</w:t>
      </w:r>
    </w:p>
    <w:p w14:paraId="44BF30BA" w14:textId="0BE346CB"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47. Šī panta 40.–41. punktā noteiktās prasības par pašapliecinājumu derīgumu attiecībā uz fiziskām personām, kas izmanto kriptoaktīvus, vai kontrolējošām personām ir piemērojamas arī attiecībā uz pašapliecinājumiem, ko sniedz vienības, kuras izmanto kriptoaktīvus.</w:t>
      </w:r>
    </w:p>
    <w:p w14:paraId="751590E0" w14:textId="77777777" w:rsidR="00335C80" w:rsidRPr="00326ABB" w:rsidRDefault="00335C80" w:rsidP="004319B8">
      <w:pPr>
        <w:widowControl w:val="0"/>
        <w:autoSpaceDE w:val="0"/>
        <w:autoSpaceDN w:val="0"/>
        <w:spacing w:before="120" w:after="120" w:line="240" w:lineRule="auto"/>
        <w:jc w:val="both"/>
        <w:rPr>
          <w:rFonts w:ascii="Times New Roman" w:eastAsia="Arial" w:hAnsi="Times New Roman" w:cs="Times New Roman"/>
          <w:b/>
          <w:bCs/>
          <w:i/>
          <w:iCs/>
          <w:noProof/>
          <w:kern w:val="0"/>
          <w:sz w:val="26"/>
          <w:szCs w:val="26"/>
          <w14:ligatures w14:val="none"/>
        </w:rPr>
      </w:pPr>
      <w:bookmarkStart w:id="110" w:name="Paragraph_D_–_General_due_diligence_requ"/>
      <w:bookmarkEnd w:id="110"/>
      <w:r>
        <w:rPr>
          <w:rFonts w:ascii="Times New Roman" w:hAnsi="Times New Roman"/>
          <w:b/>
          <w:i/>
          <w:sz w:val="26"/>
        </w:rPr>
        <w:t>D punkts. Pienācīgas pārbaudes vispārējās prasības</w:t>
      </w:r>
    </w:p>
    <w:p w14:paraId="66C244B7" w14:textId="4A3ED940"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48. D punkta 1. apakšpunkts paredz nodrošināt pienācīgas pārbaudes procedūru saskanīgu piemērošanu, ja kriptoaktīvu pakalpojumu sniedzējs, kas sniedz ziņojumus, ir arī finanšu iestāde, kas sniedz ziņojumus, saskaņā ar Kopējo ziņošanas standartu. Šādos gadījumos, kad kriptoaktīvu pakalpojumu sniedzējs, kas sniedz ziņojumus, būdams arī finanšu iestāde, kas sniedz ziņojumus, ir izpildījis pienācīgas pārbaudes procedūras saskaņā ar Kopējā ziņošanas standarta IV un VI pantu, tas var paļauties uz šādām procedūrām, lai izpildītu kriptoaktīvu ziņošanas sistēmā noteiktās pienācīgas pārbaudes procedūras.</w:t>
      </w:r>
    </w:p>
    <w:p w14:paraId="45D30CE7" w14:textId="099E9F08"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49. Kriptoaktīvu pakalpojumu sniedzējs, kas sniedz ziņojumus, var arī paļauties uz pašapliecinājumu, kas jau iegūts citiem nodokļu mērķiem, piemēram, valstī noteiktiem ziņošanas mērķiem saistībā ar </w:t>
      </w:r>
      <w:r>
        <w:rPr>
          <w:rFonts w:ascii="Times New Roman" w:hAnsi="Times New Roman"/>
          <w:i/>
          <w:iCs/>
          <w:sz w:val="24"/>
        </w:rPr>
        <w:t>FATCA</w:t>
      </w:r>
      <w:r>
        <w:rPr>
          <w:rFonts w:ascii="Times New Roman" w:hAnsi="Times New Roman"/>
          <w:sz w:val="24"/>
        </w:rPr>
        <w:t xml:space="preserve"> vai </w:t>
      </w:r>
      <w:r>
        <w:rPr>
          <w:rFonts w:ascii="Times New Roman" w:hAnsi="Times New Roman"/>
          <w:i/>
          <w:iCs/>
          <w:sz w:val="24"/>
        </w:rPr>
        <w:t>FATCA</w:t>
      </w:r>
      <w:r>
        <w:rPr>
          <w:rFonts w:ascii="Times New Roman" w:hAnsi="Times New Roman"/>
          <w:sz w:val="24"/>
        </w:rPr>
        <w:t xml:space="preserve"> starpvaldību līgumu, ja šāds pašapliecinājums atbilst šī panta C punkta prasībām. Šādos gadījumos kriptoaktīvu pakalpojumu sniedzējam, kas sniedz ziņojumus, joprojām ir piemērojami citi III pantā noteikto pienācīgas pārbaudes procedūru elementi.</w:t>
      </w:r>
    </w:p>
    <w:p w14:paraId="4CA2CD63" w14:textId="722B5454"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50. Kriptoaktīvu pakalpojumu sniedzējs, kas sniedz ziņojumus, var paļauties uz trešajām pusēm, lai izpildītu pienācīgas pārbaudes pienākumus. Lai izpildītu pienācīgas pārbaudes pienākumus, kriptoaktīvu pakalpojumu sniedzējs, kas sniedz ziņojumus, varēs paļauties uz trešajām pusēm šādās situācijās: pirmkārt, attiecībā uz dokumentāciju, ko ievākuši pakalpojuma sniedzēji vai aģenti trešās puses statusā, vai tad, ja kriptoaktīvu pakalpojumu sniedzējs, kas sniedz ziņojumus, paļaujas uz iegādāta uzņēmuma dokumentāciju; otrkārt, situācijā, kad kriptoaktīvu pakalpojumu sniedzējs, kas sniedz ziņojumus, paļaujas uz citiem kriptoaktīvu pakalpojumu sniedzējiem, kas sniedz ziņojumus un apstrādā to pašu attiecīgo darījumu. Turpmāk sniegts šo scenāriju sīkāks apraksts.</w:t>
      </w:r>
    </w:p>
    <w:p w14:paraId="1CAE3625" w14:textId="2133AF79"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51. Saskaņā ar D punkta 2. apakšpunktu [jurisdikcija] var ļaut kriptoaktīvu pakalpojumu sniedzējiem, kas sniedz ziņojumus, izmantot pakalpojuma sniedzējus, lai izpildītu savus pienācīgas pārbaudes pienākumus. Šādos gadījumos kriptoaktīvu pakalpojumu sniedzējs, kas </w:t>
      </w:r>
      <w:r>
        <w:rPr>
          <w:rFonts w:ascii="Times New Roman" w:hAnsi="Times New Roman"/>
          <w:sz w:val="24"/>
        </w:rPr>
        <w:lastRenderedPageBreak/>
        <w:t>sniedz ziņojumus, var izmantot pakalpojumu sniedzēju savākto dokumentāciju (tostarp pašapliecinājumus), ievērojot valsts tiesību aktu nosacījumus. Tomēr kriptoaktīvu pakalpojumu sniedzējs, kas sniedz ziņojumus, saglabā atbildību par pienācīgas pārbaudes pienākumu izpildi.</w:t>
      </w:r>
    </w:p>
    <w:p w14:paraId="625FE17C" w14:textId="24ADC1DD"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52. Kriptoaktīvu pakalpojumu sniedzējs, kas sniedz ziņojumus, var paļauties arī uz dokumentāciju (arī pašapliecinājumiem), ko ievācis tā aģents. Aģents var saglabāt dokumentāciju informācijas sistēmā, kas tiek uzturēta viena vai vairāku kriptoaktīvu pakalpojumu sniedzēju, kuri sniedz ziņojumus, vajadzībām, ja vien šajā sistēmā kriptoaktīvu pakalpojumu sniedzējs, kurš sniedz ziņojumus un kura vārdā aģents glabā dokumentāciju, spēj viegli piekļūt datiem par dokumentācijas veidu, dokumentācijā iekļauto informāciju (tostarp pašas dokumentācijas kopijai) un informācijai par tās derīgumu, un šī sistēma ļauj šim kriptoaktīvu pakalpojumu sniedzējam ērti nosūtīt datus, darot to tieši elektroniskajā sistēmā vai sniedzot šādu informāciju aģentam, par jebkuriem faktiem, kas tam kļuvuši zināmi un var ietekmēt dokumentācijas uzticamību. Kriptoaktīvu pakalpojumu sniedzējam, kas sniedz ziņojumus, jāspēj noskaidrot, ciktāl tas nepieciešams, kā un kad tas nosūtījis datus par jebkuriem faktiem, kas tam kļuvuši zināmi un var ietekmēt dokumentācijas uzticamību, un jāspēj pārliecināties par to, ka jebkuri nosūtītie dati ir apstrādāti un ka attiecībā uz dokumentācijas derīgumu ir piemērota atbilstīga pienācīga pārbaude. Aģentam jābūt ieviestai sistēmai, lai nodrošinātu, ka jebkura informācija, ko tas saņem par faktiem, kuri ietekmē dokumentācijas uzticamību vai statusu, kas piešķirts kriptoaktīvu pakalpojumu sniedzējam, kurš sniedz ziņojumus, tiek sniegta visiem kriptoaktīvu pakalpojumu sniedzējiem, kuri sniedz ziņojumus un kuru vajadzībām aģents glabā šo dokumentāciju.</w:t>
      </w:r>
    </w:p>
    <w:p w14:paraId="135A4D28" w14:textId="1AE43BD4"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53. Ja kriptoaktīvu pakalpojumu sniedzējs, kurš sniedz ziņojumus, iegādājas uzņēmējdarbību no cita kriptoaktīvu pakalpojumu sniedzēja, kurš sniedz ziņojumus un ir izpildījis visas pienācīgas pārbaudes, kas prasītas III pantā attiecībā uz fiziskām personām, kuras izmanto kriptoaktīvus, šis kriptoaktīvu pakalpojumu sniedzējs kopumā var paļauties uz šīs fiziskās personas statusu, ko noteicis priekšgājējs vai tiesību nodevējs, līdz brīdim, kamēr uzzina vai tam ir pamats zināt, ka statuss ir neprecīzs vai ir notikusi apstākļu maiņa.</w:t>
      </w:r>
    </w:p>
    <w:p w14:paraId="31AD8910" w14:textId="2184DCE0"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54. Ar D punkta 2. apakšpunktu arī paredzēts novērst to, ka fiziskās personas vai vienības, kuras kā kriptoaktīvu pakalpojumu sniedzēji, kas sniedz ziņojumus, izpilda vienu attiecīgo darījumu attiecībā uz vienu kriptoaktīvu lietotāju, dublē vai vairākkārtīgi piemēro pienācīgas pārbaudes procedūras. Tas ir jo īpaši būtiski gadījumos, kad citam kriptoaktīvu pakalpojumu sniedzējam, kas sniedz ziņojumus, varētu būt labāka piekļuve informācijai, lai veiktu pienācīgas pārbaudes procedūras, jo jāņem vērā, ka atsevišķa fiziska persona vai vienība ne vienmēr nodrošina visas funkcionalitātes vai pakalpojumus saistībā ar konkrēto attiecīgo darījumu. Dažkārt šīs funkcionalitātes var dalīt vairākas fiziskās personas vai vienības, kas katra atsevišķi attiecībā uz attiecīgo darījumu var būt kriptoaktīvu pakalpojumu sniedzējs, kurš sniedz ziņojumus. Piemēram, attiecīgo kriptoaktīvu mākleris var saņemt no klienta rīkojumu veikt attiecīgo darījumu ar kriptoaktīviem. Mākleris var pārsūtīt klienta rīkojumu uz tirdzniecības platformu, kas izpilda darījumu klienta vārdā. Šādā gadījumā mākleris ir kriptoaktīvu pakalpojumu sniedzējs, kas sniedz ziņojumus un rīkojas klienta vārdā, lai izpildītu rīkojumus nopirkt vai pārdot interesējošos attiecīgos kriptoaktīvus. Arī tirdzniecības platforma ir kriptoaktīvu pakalpojumu sniedzēja, kas sniedz ziņojumus, jo tā veic faktisko maiņas darījumu. Tādējādi var būt vairāki kriptoaktīvu pakalpojumu sniedzēji, kas sniedz ziņojumus un kas izpilda vienu attiecīgo darījumu attiecībā uz vienu kriptoaktīvu lietotāju.</w:t>
      </w:r>
    </w:p>
    <w:p w14:paraId="696FFFDB" w14:textId="3BE6CF72"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55. Saskaņā ar D punkta 2. apakšpunktu kriptoaktīvu pakalpojumu sniedzēji, kas sniedz ziņojumus, var iecelt vienu kriptoaktīvu pakalpojumu sniedzēju, kas sniedz ziņojumus, lai tas izpildītu visas pienācīgas pārbaudes prasības gadījumā, vai vairāki kriptoaktīvu pakalpojumu sniedzēji izpilda vienu attiecīgo darījumu.</w:t>
      </w:r>
    </w:p>
    <w:p w14:paraId="08B7549F" w14:textId="7DD094EA"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 xml:space="preserve">56. Tālab kriptoaktīvu pakalpojumu sniedzējs, kas sniedz ziņojumus, var paļauties uz trešajām pusēm, lai izpildītu III pantā noteiktos pienācīgas pārbaudes pienākumus. Lai kriptoaktīvu </w:t>
      </w:r>
      <w:r>
        <w:rPr>
          <w:rFonts w:ascii="Times New Roman" w:hAnsi="Times New Roman"/>
          <w:sz w:val="24"/>
        </w:rPr>
        <w:lastRenderedPageBreak/>
        <w:t>pakalpojumu sniedzējs, kas sniedz ziņojumus, varētu paļauties uz trešo personu (tostarp uz citu kriptoaktīvu pakalpojumu sniedzēju, kas sniedz ziņojumus) saistībā ar III pantā noteikto pienācīgas pārbaudes pienākumu izpildi, ir jābūt noslēgtiem atbilstošiem nolīgumiem. Šādos nolīgumos jāiekļauj noteikums, ka kriptoaktīvu pakalpojumu sniedzējam, kas sniedz ziņojumus, ir pienākums trešajai(-ām) personai(-ām), kas izpilda kriptoaktīvu ziņošanas sistēmā noteiktās pienācīgas pārbaudes procedūras, darīt pieejamu informāciju, kas nepieciešama šo pienākumu izpildei. Tostarp būtu jāiekļauj informācija, ko tur kriptoaktīvu pakalpojumu sniedzēji, kuri sniedz ziņojumus, un kas ir nepieciešama trešajām personām, lai izpildītu pienācīgas pārbaudes procedūras. Nolīgumā jānodrošina arī tas, ka kriptoaktīvu pakalpojumu sniedzējs, kas sniedz ziņojumus, var iegūt visu informāciju, ko par kriptoaktīvu lietotājiem ir ievākušas un pārbaudījušas trešās personas, lai šis kriptoaktīvu pakalpojumu sniedzējs varētu pierādīt III panta prasību izpildi, piemēram, audita kontekstā.</w:t>
      </w:r>
    </w:p>
    <w:p w14:paraId="7C3605FD" w14:textId="21F9FF79" w:rsidR="00335C80" w:rsidRPr="004319B8" w:rsidRDefault="008D014C"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r>
        <w:rPr>
          <w:rFonts w:ascii="Times New Roman" w:hAnsi="Times New Roman"/>
          <w:sz w:val="24"/>
        </w:rPr>
        <w:t>57. Ir svarīgi atzīmēt, ka tas, ka kriptoaktīvu pakalpojumu sniedzējs, kas sniedz ziņojumus, paļaujas uz trešo personu (tostarp uz citu kriptoaktīvu pakalpojumu sniedzēju, kas sniedz ziņojumus), lai izpildītu pienācīgas pārbaudes procedūras, nenozīmē, ka šis kriptoaktīvu pakalpojumu sniedzējs ir atbrīvots no savu III pantā noteikto pienākumu izpildes. Attiecīgi D punkta 2. apakšpunktā noteikts, ka par pienācīgas pārbaudes procedūru izpildi joprojām ir atbildīgs kriptoaktīvu pakalpojumu sniedzējs, kas sniedz ziņojumus.</w:t>
      </w:r>
    </w:p>
    <w:p w14:paraId="3F90BDE3" w14:textId="720D8480" w:rsidR="00335C80" w:rsidRDefault="008D014C" w:rsidP="004319B8">
      <w:pPr>
        <w:widowControl w:val="0"/>
        <w:tabs>
          <w:tab w:val="left" w:pos="961"/>
        </w:tabs>
        <w:autoSpaceDE w:val="0"/>
        <w:autoSpaceDN w:val="0"/>
        <w:spacing w:before="120" w:after="120" w:line="240" w:lineRule="auto"/>
        <w:jc w:val="both"/>
        <w:rPr>
          <w:rFonts w:ascii="Times New Roman" w:hAnsi="Times New Roman"/>
          <w:sz w:val="24"/>
        </w:rPr>
      </w:pPr>
      <w:r>
        <w:rPr>
          <w:rFonts w:ascii="Times New Roman" w:hAnsi="Times New Roman"/>
          <w:sz w:val="24"/>
        </w:rPr>
        <w:t>58. D punkta 3. apakšpunktā ir noteikts pienākums saglabāt būtisku informāciju, proti, kriptoaktīvu pakalpojumu sniedzējam, kas sniedz ziņojumus, ir jānodrošina, ka visai dokumentācijai un datiem jābūt pieejamiem vismaz piecus gadus (lai atbilstu uzskaites prasībām saskaņā ar Pasaules foruma standartu informācijas apmaiņai pēc pieprasījuma) pēc tā perioda beigām, kurā kriptoaktīvu pakalpojumu sniedzējam, kas sniedz ziņojumus, ir pienākums sniegt II pantā prasīto informāciju, tostarp gadījumos, ja kriptoaktīvu pakalpojumu sniedzējs, kas sniedz ziņojumus, ir likvidēts vai kā citādi izbeidzis uzņēmējdarbību. Šāda informācija ir informācija, ko izmanto, lai identificētu kriptoaktīvu pakalpojumu sniedzējus, kas sniedz ziņojumus, kā arī ārējā maka adreses (vai citi līdzvērtīgi identifikatori) saistībā ar A punkta 3. apakšpunkta i) daļā norādītiem attiecīgo kriptoaktīvu pārvedumiem.</w:t>
      </w:r>
    </w:p>
    <w:p w14:paraId="454E7676" w14:textId="77777777" w:rsidR="00491410" w:rsidRDefault="00491410" w:rsidP="004319B8">
      <w:pPr>
        <w:widowControl w:val="0"/>
        <w:tabs>
          <w:tab w:val="left" w:pos="961"/>
        </w:tabs>
        <w:autoSpaceDE w:val="0"/>
        <w:autoSpaceDN w:val="0"/>
        <w:spacing w:before="120" w:after="120" w:line="240" w:lineRule="auto"/>
        <w:jc w:val="both"/>
        <w:rPr>
          <w:rFonts w:ascii="Times New Roman" w:hAnsi="Times New Roman"/>
          <w:sz w:val="24"/>
        </w:rPr>
      </w:pPr>
    </w:p>
    <w:p w14:paraId="67520FBB" w14:textId="77777777" w:rsidR="00491410" w:rsidRPr="005A6829" w:rsidRDefault="00491410" w:rsidP="00491410">
      <w:pPr>
        <w:pStyle w:val="Heading1"/>
        <w:spacing w:before="120" w:after="120" w:line="240" w:lineRule="auto"/>
        <w:jc w:val="both"/>
        <w:rPr>
          <w:rFonts w:ascii="Times New Roman" w:eastAsia="Arial" w:hAnsi="Times New Roman" w:cs="Times New Roman"/>
          <w:b/>
          <w:bCs/>
          <w:noProof/>
          <w:color w:val="0B769F" w:themeColor="accent4" w:themeShade="BF"/>
          <w:sz w:val="26"/>
          <w:szCs w:val="26"/>
        </w:rPr>
      </w:pPr>
      <w:bookmarkStart w:id="111" w:name="_Toc241753068"/>
      <w:r>
        <w:rPr>
          <w:rFonts w:ascii="Times New Roman" w:hAnsi="Times New Roman"/>
          <w:b/>
          <w:color w:val="0B769F" w:themeColor="accent4" w:themeShade="BF"/>
          <w:sz w:val="26"/>
        </w:rPr>
        <w:t>Komentāri par IV pantu. Terminu definīcijas</w:t>
      </w:r>
      <w:bookmarkEnd w:id="111"/>
    </w:p>
    <w:p w14:paraId="5232759D" w14:textId="77777777" w:rsidR="00491410" w:rsidRPr="005A6829"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12" w:name="Paragraph_IV_(A)_–_Relevant_Crypto-Asset"/>
      <w:bookmarkEnd w:id="112"/>
      <w:r>
        <w:rPr>
          <w:rFonts w:ascii="Times New Roman" w:hAnsi="Times New Roman"/>
          <w:b/>
          <w:i/>
          <w:sz w:val="26"/>
        </w:rPr>
        <w:t>IV panta A punkts. Attiecīgais kriptoaktīvs</w:t>
      </w:r>
    </w:p>
    <w:p w14:paraId="74D6EB76" w14:textId="77777777" w:rsidR="00491410" w:rsidRPr="005A6829"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13" w:name="Subparagraph_A(1)_–_Crypto-Asset"/>
      <w:bookmarkEnd w:id="113"/>
      <w:r>
        <w:rPr>
          <w:rFonts w:ascii="Times New Roman" w:hAnsi="Times New Roman"/>
          <w:i/>
          <w:color w:val="616161"/>
          <w:sz w:val="26"/>
        </w:rPr>
        <w:t>A punkta 1. apakšpunkts. Kriptoaktīvs</w:t>
      </w:r>
    </w:p>
    <w:p w14:paraId="74140F7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Termins “kriptoaktīvs” saskaņā ar A punkta 1. apakšpunktā sniegto definīciju ir vērtības digitāls atveidojums, kura pamatā ir kriptogrāfiski aizsargāta sadalītā virsgrāmata vai līdzīga tehnoloģija, ko izmanto, lai validētu un aizsargātu darījumus.</w:t>
      </w:r>
    </w:p>
    <w:p w14:paraId="40A337E7"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Šajā kontekstā “vērtības digitāls atveidojums” nozīmē to, ka kriptoaktīvam jāizsaka tiesības uz vērtību un ka šīs vērtības īpašumtiesības vai tiesības uz šo vērtību var digitālā veidā tirgot vai nodot citām fiziskām personām vai vienībām. Piemēram, kriptoaktīvs ir kriptogrāfisks žetons, kas ļauj fiziskām personām uzglabāt vērtību, veikt maksājumus un kas nav prasījums vai dalības tiesības pret personu, tiesības uz īpašumu vai citas absolūtas vai relatīvas tiesības.</w:t>
      </w:r>
    </w:p>
    <w:p w14:paraId="50A47EB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 Turklāt kriptoaktīvs ir kriptogrāfisks žetons, kas ir prasījums vai dalības tiesības pret fizisku personu vai vienību, tiesības uz īpašumu vai citas absolūtas vai relatīvas tiesības (piemēram, vērtspapīru žetons vai atvasināts līgums, vai tiesības pirkt vai pārdot aktīvu, tostarp finanšu aktīvu un kriptoaktīvu, noteiktā dienā, par noteiktu cenu vai saskaņā ar citu iepriekš noteiktu faktoru) un ko var digitāli apmainīt pret bezseguma valūtām vai citiem kriptoaktīviem. Piemēram, turpmāk sniegtie piemēri parāda ziņošanas prasības attiecībā uz atvasinātiem instrumentiem.</w:t>
      </w:r>
    </w:p>
    <w:p w14:paraId="519F3975"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b/>
          <w:bCs/>
          <w:sz w:val="24"/>
        </w:rPr>
        <w:lastRenderedPageBreak/>
        <w:t>1. piemērs.</w:t>
      </w:r>
      <w:r>
        <w:rPr>
          <w:rFonts w:ascii="Times New Roman" w:hAnsi="Times New Roman"/>
          <w:sz w:val="24"/>
        </w:rPr>
        <w:t xml:space="preserve"> (Kriptogrāfisks atvasinātais instruments A, kriptogrāfisks žetons, kas nopirkts, izmantojot attiecīgos kriptoaktīvus (t. i., stabilas kriptomonētas, kas nav noteiktie elektroniskās naudas produkti).) Kriptogrāfisks atvasinātais instruments A ir uzkrātie procenti no attiecīgā pamatkriptoaktīva, tādējādi kriptogrāfiskā atvasinātā instrumenta A vērtība atainos attiecīgā pamatkriptoaktīva cenas pārmaiņas (uz augšu vai leju) trijās reizēs, kad mainās tirgus cena.</w:t>
      </w:r>
    </w:p>
    <w:p w14:paraId="646C0FB3" w14:textId="77777777" w:rsidR="00491410" w:rsidRPr="003A1063" w:rsidRDefault="00491410" w:rsidP="00491410">
      <w:pPr>
        <w:widowControl w:val="0"/>
        <w:autoSpaceDE w:val="0"/>
        <w:autoSpaceDN w:val="0"/>
        <w:spacing w:before="120" w:after="120" w:line="240" w:lineRule="auto"/>
        <w:ind w:left="567"/>
        <w:jc w:val="both"/>
        <w:rPr>
          <w:rFonts w:ascii="Times New Roman" w:eastAsia="Arial" w:hAnsi="Times New Roman" w:cs="Arial"/>
          <w:kern w:val="0"/>
          <w:sz w:val="24"/>
          <w:szCs w:val="20"/>
          <w14:ligatures w14:val="none"/>
        </w:rPr>
      </w:pPr>
      <w:r>
        <w:rPr>
          <w:rFonts w:ascii="Times New Roman" w:hAnsi="Times New Roman"/>
          <w:sz w:val="24"/>
        </w:rPr>
        <w:t>Lietotājs 1 iegādājas vienu kriptogrāfiskā atvasinātā instrumenta A vienību, saņemot atlīdzību stabilās kriptomonētās. Tā kā kriptogrāfisks atvasinātais instruments A ir attiecīgais kriptoaktīvs, par to jāziņo saskaņā ar kriptoaktīvu ziņošanas sistēmu ar nosacījumu, ka tirdzniecība veikta, izmantojot kriptoaktīvu pakalpojumu sniedzēju, kas sniedz ziņojumus. Tirdzniecība ietver šādus attiecīgos darījumus:</w:t>
      </w:r>
    </w:p>
    <w:p w14:paraId="20A329D6" w14:textId="77777777" w:rsidR="00491410" w:rsidRPr="003A1063" w:rsidRDefault="00491410" w:rsidP="00491410">
      <w:pPr>
        <w:widowControl w:val="0"/>
        <w:tabs>
          <w:tab w:val="left" w:pos="1801"/>
          <w:tab w:val="left" w:pos="1803"/>
        </w:tabs>
        <w:autoSpaceDE w:val="0"/>
        <w:autoSpaceDN w:val="0"/>
        <w:spacing w:before="120" w:after="120" w:line="240" w:lineRule="auto"/>
        <w:ind w:left="1134" w:hanging="283"/>
        <w:jc w:val="both"/>
        <w:rPr>
          <w:rFonts w:ascii="Times New Roman" w:eastAsia="Arial" w:hAnsi="Times New Roman" w:cs="Arial"/>
          <w:kern w:val="0"/>
          <w:sz w:val="24"/>
          <w14:ligatures w14:val="none"/>
        </w:rPr>
      </w:pPr>
      <w:r>
        <w:rPr>
          <w:rFonts w:ascii="Times New Roman" w:hAnsi="Times New Roman"/>
          <w:sz w:val="24"/>
        </w:rPr>
        <w:t>1. lietotājs 1 realizē stabilo kriptomonētu, kas ziņota bezseguma valūtā patiesajā tirgus vērtībā, kopā ar vienību skaitu un</w:t>
      </w:r>
    </w:p>
    <w:p w14:paraId="2E88A81F" w14:textId="77777777" w:rsidR="00491410" w:rsidRPr="003A1063" w:rsidRDefault="00491410" w:rsidP="00491410">
      <w:pPr>
        <w:widowControl w:val="0"/>
        <w:tabs>
          <w:tab w:val="left" w:pos="1801"/>
          <w:tab w:val="left" w:pos="1803"/>
        </w:tabs>
        <w:autoSpaceDE w:val="0"/>
        <w:autoSpaceDN w:val="0"/>
        <w:spacing w:before="120" w:after="120" w:line="240" w:lineRule="auto"/>
        <w:ind w:left="1134" w:hanging="283"/>
        <w:jc w:val="both"/>
        <w:rPr>
          <w:rFonts w:ascii="Times New Roman" w:eastAsia="Arial" w:hAnsi="Times New Roman" w:cs="Arial"/>
          <w:kern w:val="0"/>
          <w:sz w:val="24"/>
          <w14:ligatures w14:val="none"/>
        </w:rPr>
      </w:pPr>
      <w:r>
        <w:rPr>
          <w:rFonts w:ascii="Times New Roman" w:hAnsi="Times New Roman"/>
          <w:sz w:val="24"/>
        </w:rPr>
        <w:t>2. lietotājs 1 iegādājas kriptogrāfisku atvasināto instrumentu A, kas ziņots bezseguma valūtā patiesajā tirgus vērtībā, kopā ar vienību skaitu.</w:t>
      </w:r>
    </w:p>
    <w:p w14:paraId="4BA67BA3"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b/>
          <w:bCs/>
          <w:sz w:val="24"/>
        </w:rPr>
        <w:t>2. piemērs.</w:t>
      </w:r>
      <w:r>
        <w:rPr>
          <w:rFonts w:ascii="Times New Roman" w:hAnsi="Times New Roman"/>
          <w:sz w:val="24"/>
        </w:rPr>
        <w:t xml:space="preserve"> (Kriptogrāfiska atvasinātā instrumenta A dzēšana ar norēķiniem stabilās kriptomonētās.) Pēc 1. piemērā parādītās tirdzniecības lietotājs 1 dzēš emitentam kriptogrāfisko atvasināto instrumentu A. Kad lietotājs 1 dzēš kriptogrāfisko atvasināto instrumentu A, attiecīgā kriptopamataktīva tirgus cena ir pieaugusi par 10 %, kopš lietotājs 1 bija iegādājies kriptogrāfisku atvasināto instrumentu A. Lietotāja 1 peļņu palielināja arī žetona svira, un lietotājs 1 dzēš no emitenta kriptogrāfisku atvasināto instrumentu A par vērtību, kas ir par 30 % augstāka par sākotnējo pirkuma cenu. Kriptoaktīvu pakalpojuma sniedzējs, kas sniedz ziņojumus, iemaksā šo dzēšanas summu lietotāja 1 makā stabilās kriptomonētās. Tirdzniecība ietver šādus attiecīgos darījumus:</w:t>
      </w:r>
    </w:p>
    <w:p w14:paraId="4CE1F5E7" w14:textId="77777777" w:rsidR="00491410" w:rsidRPr="003A1063" w:rsidRDefault="00491410" w:rsidP="00491410">
      <w:pPr>
        <w:widowControl w:val="0"/>
        <w:tabs>
          <w:tab w:val="left" w:pos="1801"/>
          <w:tab w:val="left" w:pos="1803"/>
        </w:tabs>
        <w:autoSpaceDE w:val="0"/>
        <w:autoSpaceDN w:val="0"/>
        <w:spacing w:before="120" w:after="120" w:line="240" w:lineRule="auto"/>
        <w:ind w:left="1134" w:hanging="283"/>
        <w:jc w:val="both"/>
        <w:rPr>
          <w:rFonts w:ascii="Times New Roman" w:eastAsia="Arial" w:hAnsi="Times New Roman" w:cs="Arial"/>
          <w:kern w:val="0"/>
          <w:sz w:val="24"/>
          <w14:ligatures w14:val="none"/>
        </w:rPr>
      </w:pPr>
      <w:r>
        <w:rPr>
          <w:rFonts w:ascii="Times New Roman" w:hAnsi="Times New Roman"/>
          <w:sz w:val="24"/>
        </w:rPr>
        <w:t>1. realizē kriptogrāfisku atvasināto instrumentu A, kas novērtēts bezseguma valūtā patiesajā tirgus vērtībā, kopā ar vienību skaitu un</w:t>
      </w:r>
    </w:p>
    <w:p w14:paraId="13A38905" w14:textId="77777777" w:rsidR="00491410" w:rsidRPr="003A1063" w:rsidRDefault="00491410" w:rsidP="00491410">
      <w:pPr>
        <w:widowControl w:val="0"/>
        <w:tabs>
          <w:tab w:val="left" w:pos="1801"/>
          <w:tab w:val="left" w:pos="1803"/>
        </w:tabs>
        <w:autoSpaceDE w:val="0"/>
        <w:autoSpaceDN w:val="0"/>
        <w:spacing w:before="120" w:after="120" w:line="240" w:lineRule="auto"/>
        <w:ind w:left="1134" w:hanging="283"/>
        <w:jc w:val="both"/>
        <w:rPr>
          <w:rFonts w:ascii="Times New Roman" w:eastAsia="Arial" w:hAnsi="Times New Roman" w:cs="Arial"/>
          <w:kern w:val="0"/>
          <w:sz w:val="24"/>
          <w14:ligatures w14:val="none"/>
        </w:rPr>
      </w:pPr>
      <w:r>
        <w:rPr>
          <w:rFonts w:ascii="Times New Roman" w:hAnsi="Times New Roman"/>
          <w:sz w:val="24"/>
        </w:rPr>
        <w:t>2. iegādājas stabilo kriptomonētu, kas novērtēta bezseguma valūtā patiesajā tirgus vērtībā, kopā ar vienību skaitu.</w:t>
      </w:r>
    </w:p>
    <w:p w14:paraId="03CC4017" w14:textId="77777777" w:rsidR="00491410" w:rsidRPr="003B70DA"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b/>
          <w:bCs/>
          <w:sz w:val="24"/>
        </w:rPr>
        <w:t>3. piemērs.</w:t>
      </w:r>
      <w:r>
        <w:rPr>
          <w:rFonts w:ascii="Times New Roman" w:hAnsi="Times New Roman"/>
          <w:sz w:val="24"/>
        </w:rPr>
        <w:t xml:space="preserve"> (Ierastais atvasinātais līgums, kas nokārtots, fiziski piegādājot attiecīgo kriptoaktīvu.) Divi darījuma partneri, pircējs un pārdevējs, noslēdz standartizētu nākotnes līgumu, kļūstot par pretējām darījuma pusēm, proti, attiecīgi noteiktā datumā viens iegādājas un otrs pārdod attiecīgo kriptoaktīvu B. Atvasinātā instrumenta norēķins paredz, ka pircējs konkrētajā datumā un par iepriekš noteiktu cenu bezseguma valūtā no pārdevēja iegādājas attiecīgo kriptoaktīvu B. Pēc tam pārdevējam ir pienākums fiziski piegādāt attiecīgo kriptoaktīvu B uz pircēja maka adresi. Konkrētajā dienā pircējs un pārdevējs veic darījumu, izmantojot kriptoaktīvu pakalpojumu sniedzēju, kas sniedz ziņojumus, lai veicinātu šādus attiecīgos darījumus saistībā ar attiecīgo kriptoaktīvu B:</w:t>
      </w:r>
    </w:p>
    <w:p w14:paraId="4DC35978" w14:textId="77777777" w:rsidR="00491410" w:rsidRPr="003A1063" w:rsidRDefault="00491410" w:rsidP="00491410">
      <w:pPr>
        <w:widowControl w:val="0"/>
        <w:tabs>
          <w:tab w:val="left" w:pos="1801"/>
          <w:tab w:val="left" w:pos="1803"/>
        </w:tabs>
        <w:autoSpaceDE w:val="0"/>
        <w:autoSpaceDN w:val="0"/>
        <w:spacing w:before="120" w:after="120" w:line="240" w:lineRule="auto"/>
        <w:ind w:left="1134" w:hanging="283"/>
        <w:jc w:val="both"/>
        <w:rPr>
          <w:rFonts w:ascii="Times New Roman" w:eastAsia="Arial" w:hAnsi="Times New Roman" w:cs="Arial"/>
          <w:kern w:val="0"/>
          <w:sz w:val="24"/>
          <w14:ligatures w14:val="none"/>
        </w:rPr>
      </w:pPr>
      <w:r>
        <w:rPr>
          <w:rFonts w:ascii="Times New Roman" w:hAnsi="Times New Roman"/>
          <w:sz w:val="24"/>
        </w:rPr>
        <w:t>1. pārdevējs realizē attiecīgo kriptoaktīvu B, kas ziņots saņemtajā bezseguma valūtā, kopā ar vienību skaitu un</w:t>
      </w:r>
    </w:p>
    <w:p w14:paraId="5A4C2363" w14:textId="77777777" w:rsidR="00491410" w:rsidRPr="003A1063" w:rsidRDefault="00491410" w:rsidP="00491410">
      <w:pPr>
        <w:widowControl w:val="0"/>
        <w:tabs>
          <w:tab w:val="left" w:pos="1801"/>
          <w:tab w:val="left" w:pos="1803"/>
        </w:tabs>
        <w:autoSpaceDE w:val="0"/>
        <w:autoSpaceDN w:val="0"/>
        <w:spacing w:before="120" w:after="120" w:line="240" w:lineRule="auto"/>
        <w:ind w:left="1134" w:hanging="283"/>
        <w:jc w:val="both"/>
        <w:rPr>
          <w:rFonts w:ascii="Times New Roman" w:eastAsia="Arial" w:hAnsi="Times New Roman" w:cs="Arial"/>
          <w:kern w:val="0"/>
          <w:sz w:val="24"/>
          <w14:ligatures w14:val="none"/>
        </w:rPr>
      </w:pPr>
      <w:r>
        <w:rPr>
          <w:rFonts w:ascii="Times New Roman" w:hAnsi="Times New Roman"/>
          <w:sz w:val="24"/>
        </w:rPr>
        <w:t>2. pircējs iegādājas attiecīgo kriptoaktīvu B, kas ziņots samaksātajā bezseguma valūtā, kopā ar vienību skaitu.</w:t>
      </w:r>
    </w:p>
    <w:p w14:paraId="35F68227" w14:textId="77777777" w:rsidR="00491410" w:rsidRPr="003A1063" w:rsidRDefault="00491410" w:rsidP="00B14EC9">
      <w:pPr>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 Termins “kriptoaktīvs” ietver jebkādu vērtības digitālu atveidojumu, kas balstīts uz kriptogrāfiski aizsargātu sadalīto virsgrāmatu vai līdzīgu tehnoloģiju, ko izmanto, lai validētu un aizsargātu darījumus, ja šādas vērtības īpašumtiesības vai tiesības uz šādu vērtību var tirgot vai nodot digitālā veidā citām fiziskām personām vai vienībām. Tādējādi termins “kriptoaktīvs” ietver gan aizstājamus, gan neaizstājamus blokķēžu žetonus un līdz ar to ietver neaizstājamus blokķēžu žetonus (</w:t>
      </w:r>
      <w:r>
        <w:rPr>
          <w:rFonts w:ascii="Times New Roman" w:hAnsi="Times New Roman"/>
          <w:i/>
          <w:iCs/>
          <w:sz w:val="24"/>
        </w:rPr>
        <w:t>NFT</w:t>
      </w:r>
      <w:r>
        <w:rPr>
          <w:rFonts w:ascii="Times New Roman" w:hAnsi="Times New Roman"/>
          <w:sz w:val="24"/>
        </w:rPr>
        <w:t xml:space="preserve">), kas atveido tiesības uz kolekcijas priekšmetiem, spēlēm, mākslas </w:t>
      </w:r>
      <w:r>
        <w:rPr>
          <w:rFonts w:ascii="Times New Roman" w:hAnsi="Times New Roman"/>
          <w:sz w:val="24"/>
        </w:rPr>
        <w:lastRenderedPageBreak/>
        <w:t>priekšmetiem, fizisku īpašumu vai finanšu dokumentiem, kurus var tirgot vai nodot digitālā veidā citām fiziskām personām vai vienībām.</w:t>
      </w:r>
    </w:p>
    <w:p w14:paraId="4CEBEF4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 Citādi lietota kriptogrāfiskā tehnoloģija, kas nav vērtības digitāls atveidojums, nav kriptoaktīvi. Kriptogrāfijas lietojums ir, piemēram:</w:t>
      </w:r>
    </w:p>
    <w:p w14:paraId="124854B6"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radīt ar produkta izgatavošanu, uzglabāšanu, transportēšanu vai piegādi saistītu darbību vai materiālu decentralizētu, nemainīgu ierakstu, ja ar šādu ierakstu netiek nodotas īpašumtiesības uz šo produktu, vai</w:t>
      </w:r>
    </w:p>
    <w:p w14:paraId="7BE687A1"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īpašumtiesību uz aktīvu deklaratīvs ieraksts (piemēram, nekustamā īpašuma virsgrāmata vai līdzīgs nolīgums), ja ar šādu ierakstu netiek nodotas īpašumtiesības uz šiem aktīviem, kurus atveido šāds ieraksts.</w:t>
      </w:r>
    </w:p>
    <w:p w14:paraId="55EE308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 Papildus tam, ka kriptoaktīvam piemīt vērtība, kas ir digitāli pārdodama vai nododama, kriptoaktīvam jābalstās uz kriptogrāfiski aizsargātu sadalīto virsgrāmatu vai līdzīgu tehnoloģiju, ko izmanto, lai validētu un aizsargātu darījumus, neatkarīgi no tā, vai šis darījums faktiski tiek reģistrēts šajā sadalītajā virsgrāmatā vai ar līdzīgu tehnoloģiju. Sadalītā virsgrāmata ir veids, kā decentralizēti reģistrēt darījumus ar kriptoaktīviem vairākās vietās un vienlaikus. Kriptogrāfija ir matemātiska un skaitļošanas prakse, ko izmanto, lai šifrētu un atšifrētu datus, kas tiek izmantoti, lai validētu un aizsargātu darījumus decentralizētā vai nepastarpinātā veidā. Kriptogrāfisko procesu izmanto, lai decentralizētā veidā nodrošinātu kriptoaktīvu integritāti, kriptoaktīvu skaidru piešķiršanu lietotājiem un kriptoaktīvu realizāciju.</w:t>
      </w:r>
    </w:p>
    <w:p w14:paraId="2DC9CE9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7. Šis kriptogrāfiskais process ļauj vairākiem dalībniekiem iesaistīties darījumu ar kriptoaktīviem nepastarpinātā validācijā, ko bieži vien veic, pārbaudot publiskās un privātās kriptogrāfiskās darījuma atslēgas. Šī validācija nodrošina to, ka lietotāji, kuru rīcībā ir kriptoaktīvs, šo pašu kriptoaktīvu nav jau apmainījuši citā darījumā. Kriptogrāfiskais process arī aizsargā tos darījumus, kas veikti ar kriptoaktīviem, kompilējot katru darījumu citu darījumu blokā. Tad darījumu bloku pievieno oficiālajai, publiski pieejamajai darījuma virsgrāmatai (piemēram, blokķēdei), tiklīdz lietotājs pabeidz kriptogrāfisko jaukšanu.</w:t>
      </w:r>
    </w:p>
    <w:p w14:paraId="32066AB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8. Kriptoaktīvi var balstīties arī uz līdzīgu tehnoloģiju, kas ļauj kriptoaktīvu nepastarpinātu turēšanu vai validēšanu. Neatkarīgi no izmantotās programmatūras veida, ja tehnoloģija, uz kuras pamata veidots kriptoaktīvs, ļauj decentralizētā un nepastarpinātā veidā validēt un aizsargāt digitālos darījumus, uzskatāms, ka tā ir tehnoloģija, kas līdzinās kriptogrāfiski aizsargātai sadalītai virsgrāmatai.</w:t>
      </w:r>
    </w:p>
    <w:p w14:paraId="3B39BB3D" w14:textId="77777777" w:rsidR="00491410" w:rsidRPr="003B70DA"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14" w:name="Subparagraph_A(2)_–_Relevant_Crypto-Asse"/>
      <w:bookmarkEnd w:id="114"/>
      <w:r>
        <w:rPr>
          <w:rFonts w:ascii="Times New Roman" w:hAnsi="Times New Roman"/>
          <w:i/>
          <w:color w:val="616161"/>
          <w:sz w:val="26"/>
        </w:rPr>
        <w:t>A punkta 2. apakšpunkts. Attiecīgie kriptoaktīvi</w:t>
      </w:r>
    </w:p>
    <w:p w14:paraId="30D0E03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9. Attiecīgie kriptoaktīvi ir kriptoaktīvi, attiecībā uz kuriem kriptoaktīvu pakalpojumu sniedzējiem, kas sniedz ziņojumus, ir pienākums izpildīt ziņošanas un pienācīgas pārbaudes prasības. Termins “attiecīgais kriptoaktīvs” attiecas uz visiem kriptoaktīviem, kas nav centrālās bankas digitālās valūtas, noteikti elektroniskās naudas produkti un kriptoaktīvi, attiecībā uz kuriem kriptoaktīvu pakalpojumu sniedzējs, kas sniedz ziņojumus, ir noteicis, ka tos nevar izmantot maksājumu vai ieguldījumu nolūkos. Ja fiziska persona vai vienība ir kriptoaktīvu pakalpojumu sniedzējs, kas sniedz ziņojumus (piemēram, ja tas veic attiecīgo kriptoaktīvu apmaiņu), tam tomēr netiek prasīts ziņot informāciju par maiņas darījumiem ar kriptoaktīviem, kas nav attiecīgie kriptoaktīvi.</w:t>
      </w:r>
    </w:p>
    <w:p w14:paraId="583560C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10. Lai pienācīgi noskaidrotu, vai kriptoaktīvu nevar izmantot maksājumu vai ieguldījumu nolūkos, kriptoaktīvu pakalpojumu sniedzēji, kas sniedz ziņojumus, var vispirms paļauties uz kriptoaktīva klasifikāciju, kas veikta, lai noteiktu, vai kriptoaktīvs ir virtuālais aktīvs </w:t>
      </w:r>
      <w:r>
        <w:rPr>
          <w:rFonts w:ascii="Times New Roman" w:hAnsi="Times New Roman"/>
          <w:i/>
          <w:iCs/>
          <w:sz w:val="24"/>
        </w:rPr>
        <w:t>AML/KYC</w:t>
      </w:r>
      <w:r>
        <w:rPr>
          <w:rFonts w:ascii="Times New Roman" w:hAnsi="Times New Roman"/>
          <w:sz w:val="24"/>
        </w:rPr>
        <w:t xml:space="preserve"> nolūkos saskaņā ar </w:t>
      </w:r>
      <w:r>
        <w:rPr>
          <w:rFonts w:ascii="Times New Roman" w:hAnsi="Times New Roman"/>
          <w:i/>
          <w:iCs/>
          <w:sz w:val="24"/>
        </w:rPr>
        <w:t>FATF</w:t>
      </w:r>
      <w:r>
        <w:rPr>
          <w:rFonts w:ascii="Times New Roman" w:hAnsi="Times New Roman"/>
          <w:sz w:val="24"/>
        </w:rPr>
        <w:t xml:space="preserve"> ieteikumiem. Ja uzskatāms, ka kriptoaktīvs ir virtuālais aktīvs saskaņā ar </w:t>
      </w:r>
      <w:r>
        <w:rPr>
          <w:rFonts w:ascii="Times New Roman" w:hAnsi="Times New Roman"/>
          <w:i/>
          <w:iCs/>
          <w:sz w:val="24"/>
        </w:rPr>
        <w:t>FATF</w:t>
      </w:r>
      <w:r>
        <w:rPr>
          <w:rFonts w:ascii="Times New Roman" w:hAnsi="Times New Roman"/>
          <w:sz w:val="24"/>
        </w:rPr>
        <w:t xml:space="preserve"> ieteikumiem, jo to var izmantot maksājumu un ieguldījumu nolūkos, tas kriptoaktīvu ziņošanas sistēmā ir uzskatāms par attiecīgo kriptoaktīvu.</w:t>
      </w:r>
    </w:p>
    <w:p w14:paraId="12CEE69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 xml:space="preserve">11. Ja aktīvs nav virtuālais aktīvs saskaņā ar </w:t>
      </w:r>
      <w:r>
        <w:rPr>
          <w:rFonts w:ascii="Times New Roman" w:hAnsi="Times New Roman"/>
          <w:i/>
          <w:iCs/>
          <w:sz w:val="24"/>
        </w:rPr>
        <w:t>FATF</w:t>
      </w:r>
      <w:r>
        <w:rPr>
          <w:rFonts w:ascii="Times New Roman" w:hAnsi="Times New Roman"/>
          <w:sz w:val="24"/>
        </w:rPr>
        <w:t xml:space="preserve"> ieteikumiem vai ja kriptoaktīvu pakalpojumu sniedzējs, kas sniedz ziņojumus, šajā ziņā nav veicis noteikšanu, šim kriptoaktīvu pakalpojumu sniedzējam ir pienākums par katru kriptoaktīvu noteikt, vai to nevar izmantot maksājumu vai ieguldījumu nolūkos. Tikai tad, ja šo pārbaudi var nepārprotami apstiprināt, kriptoaktīvs nav uzskatāms par attiecīgo kriptoaktīvu. Ja rodas šaubas par to, vai kriptoaktīvu var izmantot maksājumu vai ieguldījumu nolūkos, kriptoaktīvs ir uzskatāms par attiecīgo kriptoaktīvu.</w:t>
      </w:r>
    </w:p>
    <w:p w14:paraId="267049E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12. Novērtējot, vai kriptoaktīvu nevar izmantot maksājumu vai ieguldījumu nolūkos, var ņemt vērā turpmāk minētos aspektus.</w:t>
      </w:r>
    </w:p>
    <w:p w14:paraId="3CD0EF9A"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Kriptoaktīvus, kas ir finanšu aktīvi vai kam piemērojams finanšu regulējums, var izmantot maksājumu vai ieguldījumu nolūkos, tādējādi tos uzskatot par attiecīgajiem kriptoaktīviem.</w:t>
      </w:r>
    </w:p>
    <w:p w14:paraId="3684AD01"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Neaizstājamos blokķēžu žetonus (</w:t>
      </w:r>
      <w:r>
        <w:rPr>
          <w:rFonts w:ascii="Times New Roman" w:hAnsi="Times New Roman"/>
          <w:i/>
          <w:iCs/>
          <w:sz w:val="24"/>
        </w:rPr>
        <w:t>NFT</w:t>
      </w:r>
      <w:r>
        <w:rPr>
          <w:rFonts w:ascii="Times New Roman" w:hAnsi="Times New Roman"/>
          <w:sz w:val="24"/>
        </w:rPr>
        <w:t xml:space="preserve">) bieži vien tirgo kā kolekcijas priekšmetus. Pati šī funkcija tomēr neliedz </w:t>
      </w:r>
      <w:r>
        <w:rPr>
          <w:rFonts w:ascii="Times New Roman" w:hAnsi="Times New Roman"/>
          <w:i/>
          <w:iCs/>
          <w:sz w:val="24"/>
        </w:rPr>
        <w:t>NFT</w:t>
      </w:r>
      <w:r>
        <w:rPr>
          <w:rFonts w:ascii="Times New Roman" w:hAnsi="Times New Roman"/>
          <w:sz w:val="24"/>
        </w:rPr>
        <w:t xml:space="preserve"> izmantot arī maksājumu vai ieguldījumu nolūkos. Ir svarīgi izvērtēt </w:t>
      </w:r>
      <w:r>
        <w:rPr>
          <w:rFonts w:ascii="Times New Roman" w:hAnsi="Times New Roman"/>
          <w:i/>
          <w:iCs/>
          <w:sz w:val="24"/>
        </w:rPr>
        <w:t>NFT</w:t>
      </w:r>
      <w:r>
        <w:rPr>
          <w:rFonts w:ascii="Times New Roman" w:hAnsi="Times New Roman"/>
          <w:sz w:val="24"/>
        </w:rPr>
        <w:t xml:space="preserve"> būtību un tās praktisko funkciju, nevis to, kāda terminoloģija vai mārketinga termini tiek lietoti. Ja </w:t>
      </w:r>
      <w:r>
        <w:rPr>
          <w:rFonts w:ascii="Times New Roman" w:hAnsi="Times New Roman"/>
          <w:i/>
          <w:iCs/>
          <w:sz w:val="24"/>
        </w:rPr>
        <w:t>NFT</w:t>
      </w:r>
      <w:r>
        <w:rPr>
          <w:rFonts w:ascii="Times New Roman" w:hAnsi="Times New Roman"/>
          <w:sz w:val="24"/>
        </w:rPr>
        <w:t xml:space="preserve"> var izmantot maksājumu vai ieguldījumu nolūkos, praksē tie ir attiecīgie kriptoaktīvi. Tāpēc kriptoaktīvu pakalpojumu sniedzējiem, kas sniedz ziņojumus, katrā atsevišķā gadījumā jāizvērtē, vai </w:t>
      </w:r>
      <w:r>
        <w:rPr>
          <w:rFonts w:ascii="Times New Roman" w:hAnsi="Times New Roman"/>
          <w:i/>
          <w:iCs/>
          <w:sz w:val="24"/>
        </w:rPr>
        <w:t>NFT</w:t>
      </w:r>
      <w:r>
        <w:rPr>
          <w:rFonts w:ascii="Times New Roman" w:hAnsi="Times New Roman"/>
          <w:sz w:val="24"/>
        </w:rPr>
        <w:t xml:space="preserve"> nevar izmantot maksājumu vai ieguldījumu nolūkos, ņemot vērā kriptoaktīva vispārēji atzīto lietojumu. Tirgū laistos </w:t>
      </w:r>
      <w:r>
        <w:rPr>
          <w:rFonts w:ascii="Times New Roman" w:hAnsi="Times New Roman"/>
          <w:i/>
          <w:iCs/>
          <w:sz w:val="24"/>
        </w:rPr>
        <w:t>NFT</w:t>
      </w:r>
      <w:r>
        <w:rPr>
          <w:rFonts w:ascii="Times New Roman" w:hAnsi="Times New Roman"/>
          <w:sz w:val="24"/>
        </w:rPr>
        <w:t xml:space="preserve"> var izmantot maksājumu vai ieguldījumu nolūkos, tādējādi tos var uzskatīt par attiecīgajiem kriptoaktīviem.</w:t>
      </w:r>
    </w:p>
    <w:p w14:paraId="1AEDD2D6"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Noteiktus kriptoaktīvus var apmainīt vai dzēst tikai ierobežotā fiksētā tīklā vai vidē attiecībā uz norādītām precēm un pakalpojumiem, piemēram, pārtiku, grāmatām un restorāna kuponiem, kā arī par nolidotajām jūdzēm vai citiem lojalitātes programmas atlīdzinājumiem. Šajā saistībā termins “preces un pakalpojumi” var būt arī digitālās preces un pakalpojumi, piemēram, digitālā mūzika, spēles, grāmatas vai citi plašsaziņas līdzekļi, kā arī biļetes, lietojumprogrammatūras un tiešsaistes abonementi. Ja šos kriptoaktīvus raksturo tas, ka tie darbojas ierobežotā fiksētā tīklā vai vidē, un ārpus tās šos kriptoaktīvus nevar nodot vai apmainīt otrreizējā tirgū ārpus noslēgtas sistēmas, un tos nevar pārdot vai apmainīt par tirgus likmi šīs noslēgtās sistēmas iekšienē vai ārpus tās, šādus kriptoaktīvus parasti nevar izmantot maksājumu vai ieguldījumu nolūkos.</w:t>
      </w:r>
    </w:p>
    <w:p w14:paraId="30BE1C8E" w14:textId="77777777" w:rsidR="00491410" w:rsidRPr="003B70DA"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15" w:name="Subparagraph_A(3)_–_Central_Bank_Digital"/>
      <w:bookmarkEnd w:id="115"/>
      <w:r>
        <w:rPr>
          <w:rFonts w:ascii="Times New Roman" w:hAnsi="Times New Roman"/>
          <w:i/>
          <w:color w:val="616161"/>
          <w:sz w:val="26"/>
        </w:rPr>
        <w:t>A punkta 3. apakšpunkts. Centrālās bankas digitālā valūta</w:t>
      </w:r>
    </w:p>
    <w:p w14:paraId="085A520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13. Centrālās bankas digitālā valūta ir jebkura digitāla bezseguma valūta, ko emitējusi centrālā banka. Uzskatāms, ka centrālās bankas digitālās valūtas nav attiecīgie kriptoaktīvi, ja tās ir bezseguma valūtas digitālais formāts.</w:t>
      </w:r>
    </w:p>
    <w:p w14:paraId="0C087862" w14:textId="77777777" w:rsidR="00491410" w:rsidRPr="003B70DA"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16" w:name="Subparagraph_A(4)_–_Specified_Electronic"/>
      <w:bookmarkEnd w:id="116"/>
      <w:r>
        <w:rPr>
          <w:rFonts w:ascii="Times New Roman" w:hAnsi="Times New Roman"/>
          <w:i/>
          <w:color w:val="616161"/>
          <w:sz w:val="26"/>
        </w:rPr>
        <w:t>A punkta 4. apakšpunkts. Noteikts elektroniskās naudas produkts</w:t>
      </w:r>
    </w:p>
    <w:p w14:paraId="3BFF0BC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14. A punkta 4. apakšpunktā termins “noteikts elektroniskās naudas produkts” ir definēts kā jebkurš kriptoaktīvs, kas ir:</w:t>
      </w:r>
    </w:p>
    <w:p w14:paraId="42740319" w14:textId="77777777" w:rsidR="00491410" w:rsidRPr="003A1063" w:rsidRDefault="00491410" w:rsidP="00491410">
      <w:pPr>
        <w:widowControl w:val="0"/>
        <w:tabs>
          <w:tab w:val="left" w:pos="1261"/>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a) vienotas bezseguma valūtas digitāls atveidojums;</w:t>
      </w:r>
    </w:p>
    <w:p w14:paraId="77A7B131" w14:textId="77777777" w:rsidR="00491410" w:rsidRPr="003A1063" w:rsidRDefault="00491410" w:rsidP="00491410">
      <w:pPr>
        <w:widowControl w:val="0"/>
        <w:tabs>
          <w:tab w:val="left" w:pos="1261"/>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b) izdots, saņemot līdzekļus maksājumu darījumu veikšanai;</w:t>
      </w:r>
    </w:p>
    <w:p w14:paraId="7745A034" w14:textId="77777777" w:rsidR="00491410" w:rsidRPr="003A1063" w:rsidRDefault="00491410" w:rsidP="00491410">
      <w:pPr>
        <w:widowControl w:val="0"/>
        <w:tabs>
          <w:tab w:val="left" w:pos="1261"/>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c) pārstāvēts ar tādu prasījumu pret emitentu, kurš ir denominēts tajā pašā bezseguma valūtā;</w:t>
      </w:r>
    </w:p>
    <w:p w14:paraId="451FF163" w14:textId="77777777" w:rsidR="00491410" w:rsidRPr="003A1063" w:rsidRDefault="00491410" w:rsidP="00491410">
      <w:pPr>
        <w:widowControl w:val="0"/>
        <w:tabs>
          <w:tab w:val="left" w:pos="1261"/>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d) saņemts kā maksājums, un to ir saņēmusi fiziska vai juridiska persona, kas nav emitents, un</w:t>
      </w:r>
    </w:p>
    <w:p w14:paraId="757C3E99" w14:textId="77777777" w:rsidR="00491410" w:rsidRPr="003A1063" w:rsidRDefault="00491410" w:rsidP="00491410">
      <w:pPr>
        <w:widowControl w:val="0"/>
        <w:tabs>
          <w:tab w:val="left" w:pos="1261"/>
          <w:tab w:val="left" w:pos="1263"/>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e) dzēšams pēc produkta turētāja pieprasījuma jebkurā laikā saskaņā ar emitentam izvirzītajām regulatīvajām prasībām un par tādu pašu bezseguma valūtas nominālvērtību.</w:t>
      </w:r>
    </w:p>
    <w:p w14:paraId="3A7A7968"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 xml:space="preserve">Termins “noteikts elektroniskās naudas produkts” neietver produktu, kas radīts vienīgi tādēļ, lai atvieglotu naudas līdzekļu pārvešanu no klienta citai personai saskaņā ar klienta norādījumiem. </w:t>
      </w:r>
      <w:r>
        <w:rPr>
          <w:rFonts w:ascii="Times New Roman" w:hAnsi="Times New Roman"/>
          <w:sz w:val="24"/>
        </w:rPr>
        <w:lastRenderedPageBreak/>
        <w:t>Produkts nav radīts vienīgi tādēļ, lai atvieglotu naudas līdzekļu pārvešanu, ja vienība, kas veic pārvedumu, parastajā darbībā ar šādu produktu saistītos līdzekļus tur ilgāk par 60 dienām pēc tam, kad saņemti norādījumi pārvešanas atvieglošanai vai arī, ja šādi norādījumi nav saņemti, ar šādu produktu saistītie līdzekļi tiek turēti ilgāk par 60 dienām pēc līdzekļu saņemšanas.</w:t>
      </w:r>
    </w:p>
    <w:p w14:paraId="07904E2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15. A punkta 4. apakšpunkta a) daļā ir prasīts, ka kriptoaktīvam jābūt vienotas bezseguma valūtas digitālam atveidojumam, lai tas būtu noteikts elektroniskās naudas produkts. Uzskatāms, ka kriptoaktīvs digitāli atveido un attēlo tās bezseguma valūtas vērtību, kurā tas ir denominēts. Attiecīgi, ja kriptoaktīvs attēlo vairāku valūtu vai aktīvu vērtību, tas nav noteikts elektroniskās naudas produkts.</w:t>
      </w:r>
    </w:p>
    <w:p w14:paraId="4612A03B"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16. A punkta 4. apakšpunkta b) daļā ir paredzēts, ka kriptoaktīvu izdod, saņemot līdzekļus. Šī definīcijas daļa nozīmē to, ka noteikts elektroniskās naudas produkts ir priekšapmaksas produkts. Darbība “izdošana” ir interpretējama plaši un iekļauj darbību, ar kuru tiek darīta pieejama iepriekš apmaksāta saglabātā vērtība un maksāšanas līdzekļi apmaiņā pret līdzekļiem. Turklāt šajā apakšpunktā ir paredzēts, ka kriptoaktīvi ir jāizdod maksājumu darījumu veikšanai.</w:t>
      </w:r>
    </w:p>
    <w:p w14:paraId="5399D984"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17. A punkta 4. apakšpunkta c) daļā ir prasīts, ka tamdēļ, lai kriptoaktīvs būtu noteikts elektroniskās naudas produkts, tam ir jābūt pārstāvētam ar tajā pašā bezseguma valūtā denominētu prasījumu pret emitentu. Šajā saistībā “prasījums” ir jebkāds naudas prasījums pret emitentu, kas ataino tās bezseguma valūtas vērtību, ko pārstāv klientam izdots kriptoaktīvs.</w:t>
      </w:r>
    </w:p>
    <w:p w14:paraId="503A6DE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18. Saskaņā ar A punkta 4. apakšpunkta d) daļu, lai kriptoaktīvs būtu noteikts elektroniskās naudas produkts, jānodrošina, ka kriptoaktīvu ir saņēmusi fiziska vai juridiska persona, kas nav emitents, savukārt šīm trešajām personām ir jāatzīst kriptoaktīvs kā maksāšanas līdzeklis. Tādējādi par noteiktiem elektroniskās naudas produktiem nav uzskatāma monetārā vērtība, kas tiek saglabāta ar konkrētiem priekšapmaksas instrumentiem, kuri izstrādāti, lai risinātu konkrētas vajadzības, un var tikt izmantoti ierobežotā veidā, jo tie ļauj elektroniskās naudas turētājam iegādāties preces vai pakalpojumus tikai elektroniskās naudas emitenta telpās vai ierobežotā pakalpojumu sniedzēju tīklā saskaņā ar tiešu komerclīgumu ar profesionālu emitentu, vai arī tos var izmantot tikai tamdēļ, lai iegādātos ierobežota klāsta preces vai pakalpojumus.</w:t>
      </w:r>
    </w:p>
    <w:p w14:paraId="6C960ACE" w14:textId="77777777" w:rsidR="00491410" w:rsidRPr="00897B57"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19. A punkta 4. apakšpunkta e) daļā ir paredzēts, ka kriptoaktīvu emitents ir jāuzrauga, lai nodrošinātu, ka produkts ir dzēšams pēc produkta turētāja pieprasījuma jebkurā laikā un par tādu pašu bezseguma valūtas nominālvērtību, lai tas būtu noteikts elektroniskās naudas produkts. Šajā saistībā formulējums “par tādu pašu” bezseguma valūtu attiecas uz bezseguma valūtu, kuras digitālais atveidojums ir kriptoaktīvs. Kad veicama dzēšana, tiek atzīts, ka emitents var atskaitīt no dzēšanas summas jebkādas maksas vai darījuma izmaksas.</w:t>
      </w:r>
    </w:p>
    <w:p w14:paraId="5329784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20. Šajā definīcijā neietilpst tādi produkti, kas radīti vienīgi tāpēc, lai veicinātu līdzekļu pārvedumu saskaņā ar klienta norādījumiem, un ko nevar izmantot vērtības saglabāšanai. Piemēram, šādus produktus var izmantot tā, lai darba devējs varētu pārskaitīt mēnešalgas saviem darbiniekiem vai lai migrējošs darba ņēmējs varētu pārskaitīt līdzekļus radiniekiem, kas dzīvo citā valstī. Produkts nav radīts vienīgi tādēļ, lai atvieglotu naudas līdzekļu pārvešanu, ja vienība, kas veic pārvedumu, parastajā darbībā ar šādu produktu saistītos līdzekļus tur ilgāk par 60 dienām pēc tam, kad saņemti norādījumi pārvešanas atvieglošanai vai arī, ja šādi norādījumi nav saņemti, ar šādu produktu saistītie līdzekļi tiek turēti ilgāk par 60 dienām pēc līdzekļu saņemšanas.</w:t>
      </w:r>
    </w:p>
    <w:p w14:paraId="78F7DD95" w14:textId="77777777" w:rsidR="00491410" w:rsidRPr="00E62BFD"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17" w:name="Paragraph_IV_(B)_–_Reporting_Crypto-Asse"/>
      <w:bookmarkEnd w:id="117"/>
      <w:r>
        <w:rPr>
          <w:rFonts w:ascii="Times New Roman" w:hAnsi="Times New Roman"/>
          <w:b/>
          <w:i/>
          <w:sz w:val="26"/>
        </w:rPr>
        <w:t>IV panta B punkts. Kriptoaktīvu pakalpojumu sniedzējs, kas sniedz ziņojumus</w:t>
      </w:r>
    </w:p>
    <w:p w14:paraId="57FC9A42"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18" w:name="Subparagraph_B(1)_–_Reporting_Crypto-Ass"/>
      <w:bookmarkEnd w:id="118"/>
      <w:r>
        <w:rPr>
          <w:rFonts w:ascii="Times New Roman" w:hAnsi="Times New Roman"/>
          <w:i/>
          <w:color w:val="616161"/>
          <w:sz w:val="26"/>
        </w:rPr>
        <w:t>B punkta 1. apakšpunkts. Kriptoaktīvu pakalpojumu sniedzējs, kas sniedz ziņojumus</w:t>
      </w:r>
    </w:p>
    <w:p w14:paraId="10B6BD0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21. Termins “kriptoaktīvu pakalpojumu sniedzējs, kas sniedz ziņojumus” attiecas uz fizisku personu vai vienību, kas nodarbojas ar pakalpojuma sniegšanu – maiņas darījumu izpildi klientu vārdā (kas saistībā ar šo definīciju ietver lietotājus, kuri izmanto pakalpojumus, ko </w:t>
      </w:r>
      <w:r>
        <w:rPr>
          <w:rFonts w:ascii="Times New Roman" w:hAnsi="Times New Roman"/>
          <w:sz w:val="24"/>
        </w:rPr>
        <w:lastRenderedPageBreak/>
        <w:t>sniedz kriptoaktīvu pakalpojumu sniedzēji, kuri sniedz ziņojumus), tostarp rīkojoties darījumu partnera vai starpnieka statusā šādos maiņas darījumos vai arī darot pieejamu tirdzniecības platformu.</w:t>
      </w:r>
    </w:p>
    <w:p w14:paraId="4D7D9FD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22. Formulējums “nodarbojas ar” nozīmē to, ka netiek iekļautas fiziskās personas vai vienības, kas pakalpojumu sniedz ļoti neregulāri nekomerciālu apsvērumu dēļ. Nosakot, kas ir domāts ar terminu “nodarbojas ar”, var atsaukties uz katras jurisdikcijas attiecīgajiem noteikumiem.</w:t>
      </w:r>
    </w:p>
    <w:p w14:paraId="6769B1B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23. Maiņas darījumu izpildes pakalpojumi ir visi pakalpojumi, ar kuru starpniecību klients var saņemt attiecīgos kriptoaktīvus pret bezseguma valūtām vai otrādi vai vienus attiecīgos kriptoaktīvus apmainīt pret citiem attiecīgajiem kriptoaktīviem. Ieguldījumu fondu darbības saistībā ar ieguldījumiem attiecīgajos kriptoaktīvos nav maiņas darījumu izpildes pakalpojums, jo šādas darbības neļauj personām, kas veic ieguldījumus fondos, izpildīt maiņas darījumus.</w:t>
      </w:r>
    </w:p>
    <w:p w14:paraId="5CD4165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24. Fiziska persona vai vienība, kas izpilda maiņas darījumus, būs kriptoaktīvu pakalpojumu sniedzējs, kas sniedz ziņojumus, tikai tad, ja veic šādas darbības klientiem vai klientu vārdā. Tas nozīmē, piemēram, ka fiziska persona vai vienība, kas nodarbojas vienīgi ar to, ka validē sadalītās virsgrāmatas darījumus ar attiecīgajiem kriptoaktīviem, nav kriptoaktīvu pakalpojumu sniedzējs, kas sniedz ziņojumus, pat ja saņem atlīdzību par šādu validāciju.</w:t>
      </w:r>
    </w:p>
    <w:p w14:paraId="4F6B004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25. Fiziska persona vai vienība var izpildīt maiņas darījumus klientiem vai klientu vārdā, rīkojoties kā maiņas darījumu partneris vai starpnieks. Fiziskas personas vai vienības, kas sniedz maiņas darījumu izpildes pakalpojumus darījuma partnera vai starpnieka statusā, ir, piemēram:</w:t>
      </w:r>
    </w:p>
    <w:p w14:paraId="56F63507" w14:textId="77777777" w:rsidR="00491410" w:rsidRPr="003A1063" w:rsidRDefault="00491410" w:rsidP="00491410">
      <w:pPr>
        <w:widowControl w:val="0"/>
        <w:numPr>
          <w:ilvl w:val="1"/>
          <w:numId w:val="39"/>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dīleri, kas rīkojas uz sava rēķina, pērkot un pārdodot attiecīgos kriptoaktīvus klientiem;</w:t>
      </w:r>
    </w:p>
    <w:p w14:paraId="3E5D1ED7"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kriptoaktīvu </w:t>
      </w:r>
      <w:r>
        <w:rPr>
          <w:rFonts w:ascii="Times New Roman" w:hAnsi="Times New Roman"/>
          <w:i/>
          <w:iCs/>
          <w:sz w:val="24"/>
        </w:rPr>
        <w:t>ATM</w:t>
      </w:r>
      <w:r>
        <w:rPr>
          <w:rFonts w:ascii="Times New Roman" w:hAnsi="Times New Roman"/>
          <w:sz w:val="24"/>
        </w:rPr>
        <w:t xml:space="preserve"> operatori, kas ļauj apmainīt attiecīgos kriptoaktīvus pret bezseguma valūtām vai citiem kriptoaktīviem, izmantojot šos </w:t>
      </w:r>
      <w:r>
        <w:rPr>
          <w:rFonts w:ascii="Times New Roman" w:hAnsi="Times New Roman"/>
          <w:i/>
          <w:iCs/>
          <w:sz w:val="24"/>
        </w:rPr>
        <w:t>ATM</w:t>
      </w:r>
      <w:r>
        <w:rPr>
          <w:rFonts w:ascii="Times New Roman" w:hAnsi="Times New Roman"/>
          <w:sz w:val="24"/>
        </w:rPr>
        <w:t>;</w:t>
      </w:r>
    </w:p>
    <w:p w14:paraId="1574FB05"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kriptoaktīvu biržas, kas rīkojas kā tirgus veidotāji un saņem piedāvātās cenas un pieprasītās cenas starpību kā darījuma komisijas maksu par saviem pakalpojumiem;</w:t>
      </w:r>
    </w:p>
    <w:p w14:paraId="43CEAB49"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attiecīgo kriptoaktīvu mākleri, ja tie rīkojas klientu vārdā, lai izpildītu rīkojumus nopirkt vai pārdot interesējošos attiecīgos kriptoaktīvus, un</w:t>
      </w:r>
    </w:p>
    <w:p w14:paraId="6A8DD966"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fiziskās personas vai vienības, kas parakstās uz vienu vai vairākiem attiecīgajiem kriptoaktīviem. Pati attiecīgā kriptoaktīva radīšana un emitēšana nebūtu uzskatāma par maiņas darījumu izpildes pakalpojumu darījuma partnera vai starpnieka statusā, savukārt attiecīgo kriptoaktīvu tiešā pirkšana no emitenta, lai šos attiecīgos kriptoaktīvus atkārtoti pārdotu un izplatītu klientiem, būtu uzskatāma par maiņas darījuma izpildi.</w:t>
      </w:r>
    </w:p>
    <w:p w14:paraId="5ED9FBA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26. Fiziska persona vai vienība var arī izpildīt maiņas darījumus klientiem vai klientu vārdā, darot pieejamu tirdzniecības platformu, kas nodrošina iespēju šiem klientiem šādā platformā veikt maiņas darījumus. “Tirdzniecības platforma” ir jebkāda programmatūras programma vai lietotne, kas ļauj lietotājiem veikt (daļēji vai pilnībā) maiņas darījumus. Fiziska persona vai vienība, kas dara pieejamu platformu, kura ietver vienīgi sludinājuma dēļa funkcionalitāti, lai publicētu attiecīgo kriptoaktīvu pirkšanas, pārdošanas vai konvertācijas cenas, nav kriptoaktīvu pakalpojuma sniedzējs, kas sniedz ziņojumus, jo tas nesniedz pakalpojumu, kas ļauj lietotājiem izpildīt maiņas darījumus. Šā paša iemesla dēļ fiziska persona vai vienība, kas tikai rada vai pārdod programmatūru vai lietotni, nav kriptoaktīvu pakalpojuma sniedzējs, kas sniedz ziņojumus, ja vien tā neizmanto šo programmatūru vai lietotni, lai sniegtu maiņas darījumu izpildes pakalpojumu klientiem vai klientu vārdā.</w:t>
      </w:r>
    </w:p>
    <w:p w14:paraId="6B97976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27. Ir uzskatāms, ka fiziska persona vai vienība dara pieejamu tirdzniecības platformu, ja tā kontrolē vai pietiekami ietekmē platformu, ļaujot tai izpildīt pienācīgas pārbaudes un ziņošanas pienākumus attiecībā uz platformā noslēgtiem maiņas darījumiem. To, vai fiziska persona vai vienība īsteno šādu kontroli vai pietiekamu ietekmi, novērtē atbilstoši </w:t>
      </w:r>
      <w:r>
        <w:rPr>
          <w:rFonts w:ascii="Times New Roman" w:hAnsi="Times New Roman"/>
          <w:i/>
          <w:iCs/>
          <w:sz w:val="24"/>
        </w:rPr>
        <w:t>FATF</w:t>
      </w:r>
      <w:r>
        <w:rPr>
          <w:rFonts w:ascii="Times New Roman" w:hAnsi="Times New Roman"/>
          <w:sz w:val="24"/>
        </w:rPr>
        <w:t xml:space="preserve"> 2012. gada </w:t>
      </w:r>
      <w:r>
        <w:rPr>
          <w:rFonts w:ascii="Times New Roman" w:hAnsi="Times New Roman"/>
          <w:sz w:val="24"/>
        </w:rPr>
        <w:lastRenderedPageBreak/>
        <w:t xml:space="preserve">ieteikumiem (kas grozīti 2019. gada jūnijā attiecībā uz virtuālajiem aktīviem un virtuālā aktīva pakalpojumu sniedzējiem) un saistītajām </w:t>
      </w:r>
      <w:r>
        <w:rPr>
          <w:rFonts w:ascii="Times New Roman" w:hAnsi="Times New Roman"/>
          <w:i/>
          <w:iCs/>
          <w:sz w:val="24"/>
        </w:rPr>
        <w:t>FATF</w:t>
      </w:r>
      <w:r>
        <w:rPr>
          <w:rFonts w:ascii="Times New Roman" w:hAnsi="Times New Roman"/>
          <w:sz w:val="24"/>
        </w:rPr>
        <w:t xml:space="preserve"> vadlīnijām.</w:t>
      </w:r>
    </w:p>
    <w:p w14:paraId="3197EF3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28. Fiziska persona vai vienība var būt kriptoaktīvu pakalpojuma sniedzējs, kas sniedz ziņojumus, ja veic darbības, kas nav ar maiņas darījumu saistīta rīcība darījuma partnera vai starpnieka statusā vai tirdzniecības platformas nodrošināšana, kamēr tā savā darījumdarbībā funkcionāli sniedz maiņas darījumu izpildes pakalpojumu klientiem vai klientu vārdā. Lai noteiktu, vai fiziska persona vai vienība ir kriptoaktīvu pakalpojuma sniedzējs, kas sniedz ziņojumus, tam, kāda tehnoloģija tiek izmantota šā pakalpojuma sniegšanai, nav nozīmes.</w:t>
      </w:r>
    </w:p>
    <w:p w14:paraId="2CC0A54A" w14:textId="77777777" w:rsidR="00491410" w:rsidRPr="00E62BFD"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19" w:name="Paragraph_IV_(C)_–_Relevant_Transaction"/>
      <w:bookmarkEnd w:id="119"/>
      <w:r>
        <w:rPr>
          <w:rFonts w:ascii="Times New Roman" w:hAnsi="Times New Roman"/>
          <w:b/>
          <w:i/>
          <w:sz w:val="26"/>
        </w:rPr>
        <w:t>IV panta C punkts. Attiecīgais darījums</w:t>
      </w:r>
    </w:p>
    <w:p w14:paraId="7591C3F9"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20" w:name="Subparagraph_C(1)_–_Relevant_Transaction"/>
      <w:bookmarkEnd w:id="120"/>
      <w:r>
        <w:rPr>
          <w:rFonts w:ascii="Times New Roman" w:hAnsi="Times New Roman"/>
          <w:i/>
          <w:color w:val="616161"/>
          <w:sz w:val="26"/>
        </w:rPr>
        <w:t>C punkta 1. apakšpunkts. Attiecīgais darījums</w:t>
      </w:r>
    </w:p>
    <w:p w14:paraId="74181B3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29. Termins “attiecīgais darījums” attiecas uz jebkādu attiecīgo kriptoaktīvu un bezseguma valūtu maiņu, viena vai vairāku veidu attiecīgo kriptoaktīvu savstarpējo maiņu un attiecīgo kriptoaktīvu pārvedumiem, tostarp neliela apjoma maksājumu darījumiem, par kuriem jāsniedz ziņojums. Šī definīcija ir vērsta uz darījumiem, kas ar lielu varbūtību rada nodokļa uzlikšanas notikumus (t. i., kapitāla pieauguma un ienākuma nodokļus).</w:t>
      </w:r>
    </w:p>
    <w:p w14:paraId="5BD9259C"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21" w:name="Subparagraph_C(2)_–_Exchange_Transaction"/>
      <w:bookmarkEnd w:id="121"/>
      <w:r>
        <w:rPr>
          <w:rFonts w:ascii="Times New Roman" w:hAnsi="Times New Roman"/>
          <w:i/>
          <w:color w:val="616161"/>
          <w:sz w:val="26"/>
        </w:rPr>
        <w:t>C punkta 2. apakšpunkts. Maiņas darījums</w:t>
      </w:r>
    </w:p>
    <w:p w14:paraId="3484ABA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30. Maiņas darījums, kā noteikts C punkta 2. apakšpunktā, attiecas uz jebkādu attiecīgo kriptoaktīvu un bezseguma valūtu maiņu, kā arī viena vai vairāku veidu attiecīgo kriptoaktīvu savstarpējo maiņu. Šajā nolūkā maiņa ietver attiecīgā kriptoaktīva pārvietošanu no vienas maka adreses uz citu par atlīdzību citā kriptoaktīvā vai bezseguma valūtā.</w:t>
      </w:r>
    </w:p>
    <w:p w14:paraId="60BA5200"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22" w:name="Subparagraph_C(3)_–_Reportable_Retail_Pa"/>
      <w:bookmarkEnd w:id="122"/>
      <w:r>
        <w:rPr>
          <w:rFonts w:ascii="Times New Roman" w:hAnsi="Times New Roman"/>
          <w:i/>
          <w:color w:val="616161"/>
          <w:sz w:val="26"/>
        </w:rPr>
        <w:t>C punkta 3. apakšpunkts. Neliela apjoma maksājumu darījums, par kuru jāsniedz ziņojums</w:t>
      </w:r>
    </w:p>
    <w:p w14:paraId="66E8C182" w14:textId="77777777" w:rsidR="00491410" w:rsidRPr="00897B57"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31. C punkta 3. apakšpunktā termins “neliela apjoma maksājumu darījums, par kuru jāsniedz ziņojums” ir definēts kā attiecīgo kriptoaktīvu pārvedums par precēm vai pakalpojumiem, kuru vērtība pārsniedz 50 000 USD. Šis termins attiecas uz situācijām, kurās kriptoaktīvu pakalpojumu sniedzējs, kas sniedz ziņojumus, pārskaita attiecīgos kriptoaktīvus, kurus klients izmantojis preču vai pakalpojumi iegādei no tirgotāja, kas saņem attiecīgos kriptoaktīvus kā atlīdzību. Piemēram, kriptoaktīvu pakalpojumu sniedzējs, kas sniedz ziņojumus, var veikt attiecīgos darījumus starp tirgotāju un tā klientiem, lai ļautu samaksāt par precēm un pakalpojumiem ar attiecīgajiem kriptoaktīviem. Ja kriptoaktīvu pakalpojumu sniedzējs, kas sniedz ziņojumus, klienta maksājumu, kas veikts attiecīgajā kriptoaktīvā, pārskaita tirgotājam un tā vērtība pārsniedz norādīto robežvērtību, kriptoaktīvu pakalpojumu sniedzējam, kas sniedz ziņojumus, jāziņo par šo darījumu kā par neliela apjoma maksājumu darījumu, par kuru jāsniedz ziņojums. Attiecībā uz šādiem pārvedumiem kriptoaktīvu pakalpojumu sniedzējam, kas sniedz ziņojumus, ir prasīts arī tirgotāja klientu traktēt kā kriptoaktīva lietotāju, ar nosacījumu, ka kriptoaktīvu pakalpojumu sniedzējam, kas sniedz ziņojumus, ir prasīts pārbaudīt klienta identitāti, pamatojoties uz valsts noteikumiem noziedzīgi iegūtu līdzekļu legalizācijas novēršanas jomā un saistībā ar to, ka tiek izpildīts neliela apjoma maksājumu darījums, par kuru jāsniedz ziņojums.</w:t>
      </w:r>
    </w:p>
    <w:p w14:paraId="0A548D91"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23" w:name="Subparagraph_C(4)_–Transfers"/>
      <w:bookmarkEnd w:id="123"/>
      <w:r>
        <w:rPr>
          <w:rFonts w:ascii="Times New Roman" w:hAnsi="Times New Roman"/>
          <w:i/>
          <w:color w:val="616161"/>
          <w:sz w:val="26"/>
        </w:rPr>
        <w:t>C punkta 4. apakšpunkts. Pārvedumi</w:t>
      </w:r>
    </w:p>
    <w:p w14:paraId="68C7B86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32. “Pārvedums” ir darījums, ar kuru attiecīgo kriptoaktīvu pārvieto no/uz viena kriptoaktīvu lietotāja kriptoaktīva adresi vai kontu, kas nav adrese vai konts, ko tā paša kriptoaktīvu lietotāja vārdā uztur kriptoaktīvu pakalpojumu sniedzējs, kas sniedz ziņojumus. Kriptoaktīvu pakalpojumu sniedzējs, kas sniedz ziņojumus, var klasificēt attiecīgo darījumu kā darījumu tikai tad, ja, pamatojoties uz darījuma brīdī tā rīcībā esošo informāciju, šis pakalpojuma sniedzējs nevar noteikt, ka darījums ir maiņas darījums. Šāda informācija jānoskaidro, atsaucoties uz šā kriptoaktīvu pakalpojumu sniedzēja rīcībā esošām faktiskajām ziņām, kas </w:t>
      </w:r>
      <w:r>
        <w:rPr>
          <w:rFonts w:ascii="Times New Roman" w:hAnsi="Times New Roman"/>
          <w:sz w:val="24"/>
        </w:rPr>
        <w:lastRenderedPageBreak/>
        <w:t>iegūtas no tūlītēji pieejamas informācijas un noteikta līmeņa kompetences un sapratnes, kas nepieciešama, lai veiktu attiecīgo darījumu. Piemēram, var būt gadījumi, ka kriptoaktīvu lietotājs iegādājas vai realizē attiecīgo kriptoaktīvu pret bezseguma valūtu, lai arī kriptoaktīvu pakalpojumu sniedzējs, kas sniedz ziņojumus, faktiski nezina pamatā esošās atlīdzības apmēru. Tas varētu būt, piemēram, gadījumā, ja kriptoaktīvu pakalpojumu sniedzējs, kas sniedz ziņojumus, ir tikai izpildījis attiecīgo kriptoaktīvu pārvedumu no kriptoaktīva lietotāja vai pārvedumu šim lietotājam un neredz bezseguma valūtā veiktā darījuma daļu. Šādus darījumus joprojām varētu uzskatīt par attiecīgajiem darījumiem, bet kriptoaktīvu pakalpojumu sniedzējam, kas sniedz ziņojumus, šie attiecīgie darījumi būtu jāziņo kā pārvedumi.</w:t>
      </w:r>
    </w:p>
    <w:p w14:paraId="50F9771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33. Termins “pārvedums” varētu iekļaut arī gadījumus, kad kriptoaktīvu pakalpojumu sniedzējs, kas sniedz ziņojumus, sekmē fizisku personu vai vienību, kas saņem attiecīgo kriptoaktīvu, piešķirot bezmaksas žetonus, kad tiek emitēts jauns kriptoaktīvs. Piemēram, saistībā ar “stingro sazarojumu” jaunais attiecīgais kriptoaktīvs novirzās no senāka attiecīgā kriptoaktīva. Rezultātā stingrā sazarojuma izstrādātāji parasti nosūta jauno attiecīgo kriptoaktīvu bezmaksas žetonus visiem senāka attiecīgā kriptoaktīva turētājiem, un šie kriptoaktīvu lietotāji papildus senākiem attiecīgajiem kriptoaktīviem turēs arī jaunos attiecīgos kriptoaktīvus. Piemēram, jauna attiecīgā kriptoaktīva bezmaksas žetonu saņemšana ir uzskatāma par saņemošā kriptoaktīvu lietotāja ienākošo pārvedumu.</w:t>
      </w:r>
    </w:p>
    <w:p w14:paraId="0D5AB85A"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24" w:name="Subparagraph_C(5)_–_Fiat_Currency"/>
      <w:bookmarkEnd w:id="124"/>
      <w:r>
        <w:rPr>
          <w:rFonts w:ascii="Times New Roman" w:hAnsi="Times New Roman"/>
          <w:i/>
          <w:color w:val="616161"/>
          <w:sz w:val="26"/>
        </w:rPr>
        <w:t>C punkta 5. apakšpunkts. Bezseguma valūta</w:t>
      </w:r>
    </w:p>
    <w:p w14:paraId="6C5F05F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34. “Bezseguma valūta” ir jurisdikcijas oficiālā valūta, ko emitē jurisdikcija vai jurisdikcijas norīkota centrālā banka vai monetārā iestāde un kas pieejama kā fiziskas banknotes vai monētas vai nauda dažādās digitālās formās, tostarp banku rezerves, un centrālās bankas digitālās valūtas. Šis termins ietver arī komercbanku naudu un elektroniskās naudas produktus (tostarp noteiktos elektroniskās naudas produktus). Attiecīgi stabilās kriptomonētas, kas tiek kvalificētas kā noteikti elektroniskās naudas produkti, tiek uzskatītas par bezseguma valūtu.</w:t>
      </w:r>
    </w:p>
    <w:p w14:paraId="1475F569" w14:textId="77777777" w:rsidR="00491410" w:rsidRPr="00E62BFD"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25" w:name="Paragraph_IV_(D)_–_Reportable_User"/>
      <w:bookmarkEnd w:id="125"/>
      <w:r>
        <w:rPr>
          <w:rFonts w:ascii="Times New Roman" w:hAnsi="Times New Roman"/>
          <w:b/>
          <w:i/>
          <w:sz w:val="26"/>
        </w:rPr>
        <w:t>IV panta D punkts. Lietotājs, par kuru jāsniedz ziņojums</w:t>
      </w:r>
    </w:p>
    <w:p w14:paraId="0C5474AB"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26" w:name="Subparagraph_D(1)_–_Reportable_User"/>
      <w:bookmarkEnd w:id="126"/>
      <w:r>
        <w:rPr>
          <w:rFonts w:ascii="Times New Roman" w:hAnsi="Times New Roman"/>
          <w:i/>
          <w:color w:val="616161"/>
          <w:sz w:val="26"/>
        </w:rPr>
        <w:t>D punkta 1. apakšpunkts. Lietotājs, par kuru jāsniedz ziņojums</w:t>
      </w:r>
    </w:p>
    <w:p w14:paraId="1F0C8E74"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35. “Lietotājs, par kuru jāsniedz ziņojums”, kā definēts D punkta 1. apakšpunktā, ir kriptoaktīvu lietotājs, kas ir persona, par kuru jāsniedz ziņojums.</w:t>
      </w:r>
    </w:p>
    <w:p w14:paraId="3FC1B2CF"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27" w:name="Subparagraph_D(2)_–_Crypto-Asset_User"/>
      <w:bookmarkEnd w:id="127"/>
      <w:r>
        <w:rPr>
          <w:rFonts w:ascii="Times New Roman" w:hAnsi="Times New Roman"/>
          <w:i/>
          <w:color w:val="616161"/>
          <w:sz w:val="26"/>
        </w:rPr>
        <w:t>D punkta 2. apakšpunkts. Kriptoaktīva lietotājs</w:t>
      </w:r>
    </w:p>
    <w:p w14:paraId="04F591A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36. Saskaņā ar D punkta 2. apakšpunkta definīciju “kriptoaktīvu lietotājs” ir klients, kam kriptoaktīvu pakalpojumu sniedzējs, kas sniedz ziņojumus, veic attiecīgos darījumus. Ikviena fiziska persona vai vienība, ko identificējis kriptoaktīvu pakalpojumu sniedzējs, kas sniedz ziņojumus, saistībā ar attiecīgo darījumu veikšanu, tiek uzskatīta par kriptoaktīvu lietotāju neatkarīgi no tā, vai kriptoaktīvu pakalpojumu sniedzējs, kas sniedz ziņojumus, attiecīgos kriptoaktīvus ir glabājis kriptoaktīvu lietotāja vārdā, un neatkarīgi no šā pakalpojuma sniedzēja un šādas fiziskas personas vai vienības attiecību juridiskā raksturojuma.</w:t>
      </w:r>
    </w:p>
    <w:p w14:paraId="5BE1A76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37. Fizisku personu vai vienību, kas nav finanšu iestāde vai kriptoaktīvu pakalpojumu sniedzējs, kas sniedz ziņojumus, un darbojas kā kriptoaktīvu lietotājs citas fiziskas personas vai vienības labā vai vārdā kā aģents, turētājs, nominālais finanšu aktīvu turētājs, parakstītājs, ieguldījumu konsultants vai starpnieks, neuzskata par kriptoaktīvu lietotāju, un šādu citu fizisku personu vai vienību uzskata par kriptoaktīvu lietotāju. Šajā saistībā kriptoaktīvu pakalpojumu sniedzējs, kas sniedz ziņojumus, var paļauties uz tā rīcībā esošo informāciju (tostarp uz informāciju, kas savākta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ko tas var izmantot, lai pamatoti noteiktu, vai fiziska persona vai vienība darbojas citas fiziskas personas vai vienības labā vai vārdā. Lai apstiprinātu, vai kriptoaktīvu lietotājs var būt kriptoaktīvu pakalpojumu sniedzējs, kas sniedz ziņojumus, vai finanšu iestāde, šis kriptoaktīvu pakalpojumu sniedzējs, kas sniedz ziņojumus, var, piemēram, veikt kriptoaktīvu lietotāja sniegtās informācijas kontrolpārbaudi, ielūkojoties </w:t>
      </w:r>
      <w:r>
        <w:rPr>
          <w:rFonts w:ascii="Times New Roman" w:hAnsi="Times New Roman"/>
          <w:sz w:val="24"/>
        </w:rPr>
        <w:lastRenderedPageBreak/>
        <w:t>regulēto iestāžu sarakstos, ko snieguši citi kriptoaktīvu pakalpojumu sniedzēji, kas sniedz ziņojumus, vai finanšu iestādes, ja pieejamas.</w:t>
      </w:r>
    </w:p>
    <w:p w14:paraId="7AE1192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38. Turpmākajos piemēros parādīta šīs definīcijas piemērošana.</w:t>
      </w:r>
    </w:p>
    <w:p w14:paraId="288EC01E"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F tur U izsniegtu pilnvaru, ar kuru F tiek pilnvarots nodibināt attiecības kriptoaktīvu lietotāja statusā ar kriptoaktīvu pakalpojumu sniedzēju X, kas sniedz ziņojumus, lai veiktu attiecīgos darījumus U vārdā. F ir nodibinājis attiecības ar šo kriptoaktīvu pakalpojumu sniedzēju X kā persona, kas var veikt attiecīgos darījumus. Tomēr, tā kā F nav finanšu iestāde vai kriptoaktīvu pakalpojumu sniedzējs, kas sniedz ziņojumus, un šim kriptoaktīvu pakalpojumu sniedzējam ir informācija </w:t>
      </w:r>
      <w:r>
        <w:rPr>
          <w:rFonts w:ascii="Times New Roman" w:hAnsi="Times New Roman"/>
          <w:i/>
          <w:iCs/>
          <w:sz w:val="24"/>
        </w:rPr>
        <w:t>AML/KYC</w:t>
      </w:r>
      <w:r>
        <w:rPr>
          <w:rFonts w:ascii="Times New Roman" w:hAnsi="Times New Roman"/>
          <w:sz w:val="24"/>
        </w:rPr>
        <w:t xml:space="preserve"> datnēs, kas liecina, ka F rīkojas kā aģents U labā, kriptoaktīvu pakalpojumu sniedzējam, kas sniedz ziņojumus, ir jāuzskata, ka U ir kriptoaktīvu lietotājs;</w:t>
      </w:r>
    </w:p>
    <w:p w14:paraId="076CF560"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kriptoaktīvu pakalpojumu sniedzējs A, kas sniedz ziņojumus, izmanto pakalpojumus, kurus sniedz kriptoaktīvu pakalpojumu sniedzējs B, kas sniedz ziņojumus, lai izpildītu attiecīgos darījumus maiņas platformā, ko uztur B. Tāpēc A ir kriptoaktīvu lietotājs attiecībā pret B, un B ziņos par attiecīgiem darījumiem, ko izpildījis A. Tā kā A ir kriptoaktīvu pakalpojumu sniedzējs, kas sniedz ziņojumus, nav būtiski, vai A izpilda šādus attiecīgos darījumus pats savā vārdā vai kā aģents, turētājs, nominālais finanšu aktīvu turētājs, parakstītājs, ieguldījumu konsultants vai starpnieks.</w:t>
      </w:r>
    </w:p>
    <w:p w14:paraId="7A0E195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noProof/>
          <w:sz w:val="24"/>
        </w:rPr>
        <mc:AlternateContent>
          <mc:Choice Requires="wps">
            <w:drawing>
              <wp:anchor distT="0" distB="0" distL="0" distR="0" simplePos="0" relativeHeight="251658248" behindDoc="1" locked="0" layoutInCell="1" allowOverlap="1" wp14:anchorId="6AEF6F7A" wp14:editId="7E948139">
                <wp:simplePos x="0" y="0"/>
                <wp:positionH relativeFrom="page">
                  <wp:posOffset>3423539</wp:posOffset>
                </wp:positionH>
                <wp:positionV relativeFrom="paragraph">
                  <wp:posOffset>1368902</wp:posOffset>
                </wp:positionV>
                <wp:extent cx="35560" cy="139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3970"/>
                        </a:xfrm>
                        <a:custGeom>
                          <a:avLst/>
                          <a:gdLst/>
                          <a:ahLst/>
                          <a:cxnLst/>
                          <a:rect l="l" t="t" r="r" b="b"/>
                          <a:pathLst>
                            <a:path w="35560" h="13970">
                              <a:moveTo>
                                <a:pt x="35051" y="0"/>
                              </a:moveTo>
                              <a:lnTo>
                                <a:pt x="0" y="0"/>
                              </a:lnTo>
                              <a:lnTo>
                                <a:pt x="0" y="13716"/>
                              </a:lnTo>
                              <a:lnTo>
                                <a:pt x="35051" y="13716"/>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511091" id="Graphic 44" o:spid="_x0000_s1026" style="position:absolute;margin-left:269.55pt;margin-top:107.8pt;width:2.8pt;height:1.1pt;z-index:-251658232;visibility:visible;mso-wrap-style:square;mso-wrap-distance-left:0;mso-wrap-distance-top:0;mso-wrap-distance-right:0;mso-wrap-distance-bottom:0;mso-position-horizontal:absolute;mso-position-horizontal-relative:page;mso-position-vertical:absolute;mso-position-vertical-relative:text;v-text-anchor:top" coordsize="3556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" path="m35051,l,,,13716r35051,l35051,xe" fillcolor="black" stroked="f">
                <v:path arrowok="t"/>
                <w10:wrap anchorx="page"/>
              </v:shape>
            </w:pict>
          </mc:Fallback>
        </mc:AlternateContent>
      </w:r>
      <w:r>
        <w:rPr>
          <w:rFonts w:ascii="Times New Roman" w:hAnsi="Times New Roman"/>
          <w:sz w:val="24"/>
        </w:rPr>
        <w:t>39. Kriptoaktīvu pakalpojumu sniedzējs, kas sniedz ziņojumus, var veikt attiecīgos darījumus, kas ļauj tirgotājam piedāvāt saviem klientiem maksājumu attiecīgajos kriptoaktīvos kā atlīdzinājumu par preču un pakalpojumu pirkšanu. Šādos gadījumos un ar nosacījumu, ka darījuma vērtība pārsniedz 50 000 USD, darījums tiek uzskatīts par attiecīgo darījumu, jo tas ir neliela apjoma maksājumu darījums, par kuru jāsniedz ziņojums. Skat. komentārus par C punkta 3. apakšpunktu. Attiecībā uz neliela apjoma maksājumu darījumiem, par kuriem jāsniedz ziņojums, kriptoaktīvu pakalpojumu sniedzējam, kas sniedz ziņojumus, tirgotāja klients ir jāuzskata par kriptoaktīvu lietotāju un darījums jāziņo kā neliela apjoma maksājumu darījums, par kuru jāsniedz ziņojums, kā norādīts II panta A punkta 3. apakšpunkta f) daļā, ar nosacījumu, ka kriptoaktīvu pakalpojumu sniedzējam, kas sniedz ziņojumus, ir jāpārbauda šāda klienta identitāte saskaņā ar valsts noteikumiem par noziedzīgi iegūtu līdzekļu legalizācijas novēršanu, jo veikts neliela apjoma maksājumu darījums, par kuru jāsniedz ziņojums. Prasība pārbaudīt klienta identitāti ir prasība, kura noteikta valsts noteikumos par noziedzīgi iegūtu līdzekļu legalizācijas novēršanu un kura paredz, ka kriptoaktīvu pakalpojumu sniedzējam, kas sniedz ziņojumus, jāpārbauda identitāte, izmantojot uzticamus, neatkarīgus primāros dokumentus, datus vai informāciju.</w:t>
      </w:r>
    </w:p>
    <w:p w14:paraId="09F045E1"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28" w:name="Subparagraphs_D(3)_through_(6)_–_Preexis"/>
      <w:bookmarkEnd w:id="128"/>
      <w:r>
        <w:rPr>
          <w:rFonts w:ascii="Times New Roman" w:hAnsi="Times New Roman"/>
          <w:i/>
          <w:color w:val="616161"/>
          <w:sz w:val="26"/>
        </w:rPr>
        <w:t>D punkta 3.–6. apakšpunkts. Iepriekšpastāvējušas fiziskas personas un vienības, kas izmanto kriptoaktīvus</w:t>
      </w:r>
    </w:p>
    <w:p w14:paraId="61B57FA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40. D punkta 3.–6. apakšpunktā ir ietverti vairāku kategoriju kriptoaktīvu lietotāji, kas klasificēti, atsaucoties uz attiecību nodibināšanas datumu vai kriptoaktīvu lietotāja veidu: “fiziska persona, kas izmanto kriptoaktīvus”, “iepriekšpastāvējusi fiziska persona, kas izmanto kriptoaktīvus”, “vienība, kas izmanto kriptoaktīvus”, “iepriekšpastāvējusi vienība, kas izmanto kriptoaktīvus”.</w:t>
      </w:r>
    </w:p>
    <w:p w14:paraId="0AEF55B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41. Kriptoaktīvu lietotāju klasificē, pirmkārt, atkarībā no tā, vai tas ir fiziska persona vai vienība, un, otrkārt, atkarībā no datuma, kad ir nodibinātas attiecības ar kriptoaktīvu pakalpojumu sniedzēju, kas sniedz ziņojumus. Tādējādi kriptoaktīvu lietotājs var būt “iepriekšpastāvējusi fiziska persona, kas izmanto kriptoaktīvus”, “iepriekšpastāvējusi vienība, kas izmanto kriptoaktīvus”, “fiziska persona, kas izmanto kriptoaktīvus” un/vai “vienība, kas izmanto kriptoaktīvus”.</w:t>
      </w:r>
    </w:p>
    <w:p w14:paraId="1AB7B608" w14:textId="77777777" w:rsidR="00491410" w:rsidRPr="003A1063" w:rsidRDefault="00491410" w:rsidP="00B14EC9">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42. Tādējādi “iepriekšpastāvējusi fiziska persona, kas izmanto kriptoaktīvus”, un “iepriekšpastāvējusi vienība, kas izmanto kriptoaktīvus”, ir kriptoaktīvu lietotāji, kas nodibinājuši attiecības klientu statusā ar kriptoaktīvu pakalpojumu sniedzēju, kas sniedz ziņojumus, no [xx.xx.xxxx], tāpēc ir apakškopa, kas ietilpst attiecīgi kopās “fiziskas personas, kas izmanto kriptoaktīvus” un “vienības, kas izmanto kriptoaktīvus”.</w:t>
      </w:r>
    </w:p>
    <w:p w14:paraId="14CF0A01"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29" w:name="Subparagraph_D(7)_–_Reportable_Person"/>
      <w:bookmarkEnd w:id="129"/>
      <w:r>
        <w:rPr>
          <w:rFonts w:ascii="Times New Roman" w:hAnsi="Times New Roman"/>
          <w:i/>
          <w:color w:val="616161"/>
          <w:sz w:val="26"/>
        </w:rPr>
        <w:t>D punkta 7. apakšpunkts. Persona, par kuru jāsniedz ziņojums</w:t>
      </w:r>
    </w:p>
    <w:p w14:paraId="65BF8B9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43. D punkta 7. apakšpunktā noteikts, ka “persona, par kuru jāsniedz ziņojums” ir persona jurisdikcijā, par kuru jāsniedz ziņojums, un nav izslēgtā persona.</w:t>
      </w:r>
    </w:p>
    <w:p w14:paraId="005A5DA0"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30" w:name="Subparagraph_D(8)_–_Reportable_Jurisdict"/>
      <w:bookmarkEnd w:id="130"/>
      <w:r>
        <w:rPr>
          <w:rFonts w:ascii="Times New Roman" w:hAnsi="Times New Roman"/>
          <w:i/>
          <w:color w:val="616161"/>
          <w:sz w:val="26"/>
        </w:rPr>
        <w:t>D punkta 8. apakšpunkts. Persona jurisdikcijā, par kuru jāsniedz ziņojums</w:t>
      </w:r>
    </w:p>
    <w:p w14:paraId="25C660B9" w14:textId="77777777" w:rsidR="00491410" w:rsidRPr="00897B57"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44. Parasti fiziska persona vai vienība ir “persona jurisdikcijā, par kuru jāsniedz ziņojums”, ja tā ir rezidents jurisdikcijā, par kuru jāsniedz ziņojums, saskaņā ar šīs jurisdikcijas nodokļu tiesību aktiem.</w:t>
      </w:r>
    </w:p>
    <w:p w14:paraId="4679696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45. Dažādu valstu tiesību aktos personālsabiedrības (tostarp personālsabiedrības ar ierobežotu atbildību) ir reglamentētas atšķirīgi. Dažās jurisdikcijās tiek uzskatīts, ka personālsabiedrības ir ar nodokli apliekamas vienības (dažkārt pat kā uzņēmumi), savukārt citās jurisdikcijās tiek piemērota fiskālās caurskatāmības pieeja, saskaņā ar kuru personālsabiedrības netiek ņemtas vērā nodokļu aprēķināšanas vajadzībām. Ja tiek uzskatīts, ka personālsabiedrība ir uzņēmums, vai ja tā tiek aplikta ar nodokļiem tāpat kā uzņēmums, tā parasti tiks uzskatīta par rezidentu jurisdikcijā, par kuru jāsniedz ziņojums un kurā šī personālsabiedrība tiek aplikta ar nodokļiem. Ja savukārt jurisdikcijā, par kuru jāsniedz ziņojums, tiek uzskatīts, ka personālsabiedrība ir fiskāli caurskatāma, tad personālsabiedrība nav “apliekama ar nodokļiem” šajā jurisdikcijā un līdz ar to nevar būt tās rezidents.</w:t>
      </w:r>
    </w:p>
    <w:p w14:paraId="3ACCA41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46. Vienību, piemēram, personālsabiedrību, personālsabiedrību ar ierobežotu atbildību vai līdzīgu juridisku veidojumu, kam nav rezidenta statusa nodokļu aprēķina vajadzībām, uzskata par tās jurisdikcijas rezidentu, kurā atrodas tās faktiskā vadība. Šajā saistībā juridiska persona vai juridisks veidojums tiek uzskatīts par “līdzīgu” personālsabiedrībai un personālsabiedrībai ar ierobežotu atbildību, ja saskaņā ar šīs jurisdikcijas tiesību aktiem tas netiek uzskatīts par vienību, kas apliekama ar nodokļiem jurisdikcijā, par kuru jāsniedz ziņojums.</w:t>
      </w:r>
    </w:p>
    <w:p w14:paraId="57C0489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47. “Faktiskās vadības atrašanās vieta” ir vieta, no kuras tiek īstenota galvenā vadība un tiek pieņemti komerciāli lēmumi, kas pēc būtības ir nepieciešami vienības darījumdarbībai kopumā. Lai noteiktu faktiskās vadības atrašanās vietu, ir jāizskata visi būtiskie fakti un apstākļi.</w:t>
      </w:r>
    </w:p>
    <w:p w14:paraId="06ACDBB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48. Termins “persona jurisdikcijā, par kuru jāsniedz ziņojums” ietver arī mantojumu, ko atstājusi mirusi persona, kura bija rezidents jurisdikcijā, par kuru jāsniedz ziņojums. Nosakot termina “mantojums” nozīmi, jāņem vērā katras jurisdikcijas noteikumi par tiesību un saistību nodošanu vai mantošanu nāves gadījumā (piemēram, noteikumi par vispārējo tiesību pēctecību).</w:t>
      </w:r>
    </w:p>
    <w:p w14:paraId="3074AFD4"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31" w:name="Subparagraph_D(9)_–_Reportable_Jurisdict"/>
      <w:bookmarkEnd w:id="131"/>
      <w:r>
        <w:rPr>
          <w:rFonts w:ascii="Times New Roman" w:hAnsi="Times New Roman"/>
          <w:i/>
          <w:color w:val="616161"/>
          <w:sz w:val="26"/>
        </w:rPr>
        <w:t>D punkta 9. apakšpunkts. Jurisdikcija, par kuru jāsniedz ziņojums</w:t>
      </w:r>
    </w:p>
    <w:p w14:paraId="078A1709" w14:textId="77777777" w:rsidR="00491410" w:rsidRPr="00897B57"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49. Saskaņā ar D punkta 9. apakšpunkta definīciju “jurisdikcija, par kuru jāsniedz ziņojums” ir jebkura jurisdikcija, a) ar kuru ir noslēgta vienošanās vai nolīgums, kas paredz, ka [jurisdikcijai] ir pienākums sniegt II pantā norādīto informāciju attiecībā uz personām, par kurām jāsniedz ziņojums un kuras ir rezidentes šajā jurisdikcijā, un b) kura ir šādi norādīta sarakstā, ko publicējusi [jurisdikcija]. Tāpēc D punkta 9. apakšpunktā ir prasīts, ka publicētajā sarakstā jurisdikcija ir jānorāda kā jurisdikcija, par kuru jāsniedz ziņojums. Katrai jurisdikcijai šāds saraksts jādara publiski pieejams un, ja nepieciešams, jāatjaunina (piemēram, katru reizi, kad jurisdikcija paraksta nolīgumu par informācijas apmaiņu saskaņā ar šiem noteikumiem vai kad šāds nolīgums stājas spēkā).</w:t>
      </w:r>
    </w:p>
    <w:p w14:paraId="57A25E87" w14:textId="77777777" w:rsidR="00491410" w:rsidRPr="00E62BFD" w:rsidRDefault="00491410" w:rsidP="00B14EC9">
      <w:pPr>
        <w:keepNext/>
        <w:keepLines/>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32" w:name="Subparagraph_D(10)_–_Controlling_Persons"/>
      <w:bookmarkEnd w:id="132"/>
      <w:r>
        <w:rPr>
          <w:rFonts w:ascii="Times New Roman" w:hAnsi="Times New Roman"/>
          <w:i/>
          <w:color w:val="616161"/>
          <w:sz w:val="26"/>
        </w:rPr>
        <w:lastRenderedPageBreak/>
        <w:t>D punkta 10. apakšpunkts. Kontrolējošās personas</w:t>
      </w:r>
    </w:p>
    <w:p w14:paraId="0B114BF8" w14:textId="77777777" w:rsidR="00491410" w:rsidRPr="003A1063" w:rsidRDefault="00491410" w:rsidP="00B14EC9">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50. D punkta 10. apakšpunktā ir sniegta termina “kontrolējošās personas” definīcija. Šis termins atbilst terminam “patiesā labuma guvējs”, kurš noteikts </w:t>
      </w:r>
      <w:r>
        <w:rPr>
          <w:rFonts w:ascii="Times New Roman" w:hAnsi="Times New Roman"/>
          <w:i/>
          <w:iCs/>
          <w:sz w:val="24"/>
        </w:rPr>
        <w:t>FATF</w:t>
      </w:r>
      <w:r>
        <w:rPr>
          <w:rFonts w:ascii="Times New Roman" w:hAnsi="Times New Roman"/>
          <w:sz w:val="24"/>
        </w:rPr>
        <w:t xml:space="preserve"> 10. ieteikumā un 10. ieteikuma skaidrojošajās piezīmēs (pieņemtas 2012. gada februārī), un tas jāinterpretē tādā veidā, kas nav pretrunā šiem ieteikumiem, lai aizsargātu starptautisko finanšu sistēmu pret ļaunprātīgu izmantošanu, tostarp pret noziegumiem nodokļu jomā.</w:t>
      </w:r>
    </w:p>
    <w:p w14:paraId="319C244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51. Ja vienība ir juridiska persona, termins “kontrolējošās personas” nozīmē fizisku(-as) personu(-as), kas kontrolē šo vienību. “Kontroli” pār vienību parasti īsteno fiziska(-as) persona(-as), kurai(-ām) ir kontrolējošā līdzdalības daļa šajā vienībā. “Kontrolējošā līdzdalības daļa” ir atkarīga no juridiskās personas īpašumtiesību struktūras, un parasti to nosaka, pamatojoties uz robežvērtību, ko piemēro riska izvērtējumā balstītai pieejai (piemēram, persona(-as), kurai(-ām) juridiskās personas daļa pārsniedz noteiktu procentuālo daļu, piemēram, 25 %). Ja neviena fiziska persona neīsteno kontroli, izmantojot līdzdalības daļu, vienību kontrolējošā(-ās) persona(-as) būs fiziskā(-ās) persona(-as), kas vienību kontrolē ar citiem līdzekļiem. Ja netiek identificētas fiziskas personas, kas kontrolē vienību, vienību kontrolējošā(-ās) persona(-as) būs fiziskā(-ās) persona(-as), kas ieņem vecākās amatpersonas vietu.</w:t>
      </w:r>
    </w:p>
    <w:p w14:paraId="4E28F164"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52. Trasta gadījumā termins “kontrolējošās personas” nozīmē dibinātāju(-us), pilnvaroto(-ās) personu(-as), pārraudzītāju(-us) (ja tādi ir), labuma guvēju(-us) vai labuma guvēju klases un citas fiziskas personas, kas īsteno galīgo faktisko kontroli pār trastu. Dibinātājs(-i), pilnvarotā(-ās) persona(-as), pārraudzītājs(-i) (ja tādi ir) un labuma guvējs(-i) vai labuma guvēju klase(-es) vienmēr jāuzskata par trastu kontrolējošajām personām neatkarīgi no tā, vai kāda no tām īsteno kontroli pār trastu. Šā iemesla dēļ D punkta 10. apakšpunkta pirmais teikums ir papildināts ar otro teikumu. Turklāt arī fiziska persona, kas īsteno galīgo faktisko kontroli pār trastu (tostarp ar kontroles vai īpašumtiesību ķēdes starpniecību), ir jāuzskata par trastu kontrolējošo personu. Ja trasta dibinātājs(-i) ir vienība, lai noskaidrotu trasta kontā(-os) esošo finanšu līdzekļu avotu, kriptoaktīvu pakalpojumu sniedzējam, kas sniedz ziņojumus, ir jāidentificē arī persona(-as), kas kontrolē šādu dibinātāju(-us), un jāpaziņo tā(-s) kā trastu kontrolējošā(-ās) persona(-as). Attiecībā uz trasta labuma guvēju(-iem), kam šāds statuss piešķirts, pamatojoties uz īpašībām vai klasi, kriptoaktīvu pakalpojuma sniedzējam, kas sniedz ziņojumus, jāiegūst pietiekama informācija, kura nepieciešama šim kriptoaktīvu pakalpojuma sniedzējam, lai tas spētu noteikt labuma guvēja(-u) identitāti laikā, kad tiek veikta izmaksa vai kad labuma guvējs(-i) vēlas izmantot iegūtās tiesības. Tāpēc šāda situācija būs apstākļu maiņa un attiecīgo procedūru ierosināšanas pamats.</w:t>
      </w:r>
    </w:p>
    <w:p w14:paraId="13C1603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53. Ja juridiskais veidojums nav trasts, “kontrolējošās personas” ir personas, kas ieņem līdzvērtīgus vai līdzīgus amatus kā trastu kontrolējošās personas. Līdz ar to, ņemot vērā dažādās juridisko veidojumu formas un struktūras, kriptoaktīvu pakalpojuma sniedzējiem, kas sniedz ziņojumus, ir jāidentificē tās personas (un jāziņo par tām), kas ieņem amatus, kuri ir līdzvērtīgi vai līdzīgi tiem, kas jānorāda un jāpaziņo trastu gadījumā.</w:t>
      </w:r>
    </w:p>
    <w:p w14:paraId="7C961F5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54. Attiecībā uz juridiskām personām, kas funkcionāli ir līdzīgas trastiem (piemēram, attiecībā uz nodibinājumiem), kriptoaktīvu pakalpojuma sniedzējiem, kas sniedz ziņojumus, kontrolējošās personas ir jāidentificē, piemērojot klientu pienācīgas pārbaudes procedūras, kuras līdzinās tām, kas jāpiemēro attiecībā uz trastiem, lai nodrošinātu atbilstīgus ziņošanas līmeņus.</w:t>
      </w:r>
    </w:p>
    <w:p w14:paraId="263D06E7"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33" w:name="Subparagraph_D(11)_–_Active_Entity"/>
      <w:bookmarkEnd w:id="133"/>
      <w:r>
        <w:rPr>
          <w:rFonts w:ascii="Times New Roman" w:hAnsi="Times New Roman"/>
          <w:i/>
          <w:color w:val="616161"/>
          <w:sz w:val="26"/>
        </w:rPr>
        <w:t>D punkta 11. apakšpunkts. Aktīva vienība</w:t>
      </w:r>
    </w:p>
    <w:p w14:paraId="0E3E8BA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55. Vienība ir aktīva vienība, ja tā atbilst kādam no D punkta 11. apakšpunktā minētajiem kritērijiem.</w:t>
      </w:r>
    </w:p>
    <w:p w14:paraId="10818228" w14:textId="77777777" w:rsidR="00491410" w:rsidRPr="003A1063" w:rsidRDefault="00491410" w:rsidP="00B14EC9">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56. D punkta 11. apakšpunkta a) daļā ir aprakstīts šāds kritērijs, kas nosaka, vai vienība kvalificējas aktīvas vienības statusam ienākumu un aktīvu dēļ – mazāk nekā 50 % no vienības bruto ienākumiem iepriekšējā kalendārajā gadā vai citā atbilstīgā pārskata periodā ir pasīvi ienākumi, un mazāk nekā 50 % no vienības turētiem aktīviem iepriekšējā kalendārajā gadā vai citā atbilstīgā pārskata periodā ir aktīvi, kuri tiek turēti pasīvu ienākumu veidošanai.</w:t>
      </w:r>
    </w:p>
    <w:p w14:paraId="536AFA3E" w14:textId="77777777" w:rsidR="00491410" w:rsidRPr="003A1063" w:rsidRDefault="00491410" w:rsidP="00B14EC9">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57. Tas, kas tiek apzīmēts ar terminu “pasīvi ienākumi”, tiek noteikts, pamatojoties uz katras jurisdikcijas noteikumiem. Parasti par pasīviem ienākumiem tiek uzskatīta to bruto ienākumu daļa, ko veido:</w:t>
      </w:r>
    </w:p>
    <w:p w14:paraId="4A0F01D4"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a) dividendes;</w:t>
      </w:r>
    </w:p>
    <w:p w14:paraId="3CC5EBAC"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b) procenti;</w:t>
      </w:r>
    </w:p>
    <w:p w14:paraId="0FEEEE2B" w14:textId="77777777" w:rsidR="00491410" w:rsidRPr="003A1063" w:rsidRDefault="00491410" w:rsidP="00491410">
      <w:pPr>
        <w:widowControl w:val="0"/>
        <w:tabs>
          <w:tab w:val="left" w:pos="1236"/>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c) ienākums, kas līdzvērtīgs procentiem vai dividendēm;</w:t>
      </w:r>
    </w:p>
    <w:p w14:paraId="5C33A270"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d) nomas maksa un honorāri, izņemot nomas maksu un honorārus, kuri iegūti aktīvā darījumdarbībā, ko vismaz daļēji veic vienības darbinieki;</w:t>
      </w:r>
    </w:p>
    <w:p w14:paraId="43EB9314"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e) anuitātes;</w:t>
      </w:r>
    </w:p>
    <w:p w14:paraId="3F7651CA"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f) ienākumi no attiecīgajiem kriptoaktīviem;</w:t>
      </w:r>
    </w:p>
    <w:p w14:paraId="392C7EF6"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g) ieņēmumu pārsvars pār zaudējumiem no attiecīgo kriptoaktīvu vai finanšu aktīvu pārdošanas vai apmaiņas;</w:t>
      </w:r>
    </w:p>
    <w:p w14:paraId="7B0F6F44"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h) darījumos ar attiecīgajiem kriptoaktīviem vai finanšu aktīviem (tostarp standartizētajos un nestandartizētajos nākotnes darījumos, iespējas darījumos un līdzīgos darījumos) gūto ieņēmumu pārsvars pār zaudējumiem;</w:t>
      </w:r>
    </w:p>
    <w:p w14:paraId="1A2C83FC"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i) ārvalstu valūtas ieņēmumu pārsvars pār ārvalstu valūtas zaudējumiem;</w:t>
      </w:r>
    </w:p>
    <w:p w14:paraId="38D00CD3"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 tīrie ienākumi no mijmaiņas darījumiem vai</w:t>
      </w:r>
    </w:p>
    <w:p w14:paraId="2088CFEC" w14:textId="77777777" w:rsidR="00491410" w:rsidRPr="003A1063" w:rsidRDefault="00491410" w:rsidP="00491410">
      <w:pPr>
        <w:widowControl w:val="0"/>
        <w:tabs>
          <w:tab w:val="left" w:pos="1236"/>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k) summas, kas saņemtas, pamatojoties uz apdrošināšanas līgumu ar naudas vērtību.</w:t>
      </w:r>
    </w:p>
    <w:p w14:paraId="3B9D5F56"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Atkāpjoties no iepriekš minētā, tad, kad vienība regulāri darbojas kā attiecīgo kriptoaktīvu dīleris, pasīvos ienākumos netiek ietverti ienākumi no darījumiem, kas veikti šāda dīlera statusā tā parastajā darījumdarbībā. Turklāt ienākumu, kas gūts no aktīviem, lai to ieguldītu apdrošināšanas uzņēmējdarbības kapitālā, var uzskatīt par aktīvo ienākumu.</w:t>
      </w:r>
    </w:p>
    <w:p w14:paraId="1F5F2E7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58. D punkta 11. apakšpunkta b) daļā aprakstīts kritērijs, lai kvalificētu vienību aktīvas vienības statusam attiecībā uz tādu vienību turēšanu, kas ir nefinanšu grupas dalībnieki” – būtībā visa vienības darbība ir turēt (pilnīgi vai daļēji) akcijas, ko emitējis viens vai vairāki meitasuzņēmumi, kuri veic tirdzniecību vai darījumdarbību, kas nav finanšu iestādes darījumdarbība, un sniegt finansējumu un pakalpojumus šādiem meitasuzņēmumiem, bet vienība neatbilst šāda statusa kritērijiem, ja tā darbojas (vai uzskata, ka tā darbojas) kā ieguldījumu fonds, piemēram, privāts kapitāla fonds, riska kapitāla fonds, fonds, kas veic pirkšanas darījumus, izmantojot aizņemtus līdzekļus, vai ieguldījumu sabiedrība, kuras nolūks ir iegādāties vai finansēt sabiedrības un tad būt līdzdalības daļu turētājai šādās sabiedrībās, turot kapitāla aktīvus ieguldīšanas nolūkā.</w:t>
      </w:r>
    </w:p>
    <w:p w14:paraId="2186B5B2" w14:textId="77777777" w:rsidR="00491410" w:rsidRPr="00897B57"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59. Saistībā ar D punkta 11. apakšpunkta b) daļā minētajām darbībām “būtībā visa darbība” nozīmē vismaz 80 % no visas darbības. Ja tomēr vienības turēšanas vai grupas finansēšanas darbības nepārsniedz 80 % no visas darbības, taču vienība saņem arī aktīvus ienākumus (t. i., ienākumus, kas nav pasīvi ienākumi), tā kvalificējama kā aktīva vienība, ja darbību kopējā summa atbilst kritērijam “būtībā visa darbība”. Lai noteiktu, vai vienību var kvalificēt kā aktīvu vienību, pamatojoties uz citām darbībām, kas nav vienības turēšanas un grupas finansēšanas darbības, attiecībā uz šīm citām darbībām var piemērot D punkta 11. apakšpunkta a) daļā minēto pārbaudes kritēriju. Piemēram, ja kontrolakciju sabiedrības turēšanas vai finansēšanas </w:t>
      </w:r>
      <w:r>
        <w:rPr>
          <w:rFonts w:ascii="Times New Roman" w:hAnsi="Times New Roman"/>
          <w:sz w:val="24"/>
        </w:rPr>
        <w:lastRenderedPageBreak/>
        <w:t>un pakalpojumu darbības attiecībā uz vienu vai vairākiem meitasuzņēmumiem veido 60 %, bet atlikušos 40 % šai sabiedrībai veido grupas (kurā tā ietilpst) saražoto preču sadales centra funkcijas un ienākumi no sadales centra darbībām ir aktīvs atbilstīgi D punkta 11. apakšpunkta a) daļai, tad tā ir aktīvā vienība neatkarīgi no tā, ka viena vai vairāku meitasuzņēmumu apgrozībā esošo akciju turēšana un finansējuma un pakalpojumu sniegšana šiem meitasuzņēmumiem veido mazāk par 80 % no tās darbībām. Frāze “būtībā visa darbība” ietver arī viena vai vairāku meitasuzņēmumu akciju turēšanas, kā arī finansējuma un pakalpojumu sniegšanas apvienojumu. “Meitasuzņēmums” ir jebkura vienība, kuras apgrozībā esošās akcijas tieši vai netieši (pilnīgi vai daļēji) tur vienība.</w:t>
      </w:r>
    </w:p>
    <w:p w14:paraId="47F52A0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60. Viena no D punkta 11. apakšpunkta f) daļā minētajām prasībām, kas jāizpilda, lai “bezpeļņas vienībām” varētu piešķirt aktīvas vienības statusu, ir tā, ka saskaņā ar vienības rezidences jurisdikcijas piemērojamiem tiesību aktiem vai vienības dibināšanas dokumentiem vienības ienākumus vai aktīvus nedrīkst sadalīt vai izmantot par labu privātpersonai vai vienībai, kas nav labdarības organizācija, ja šāda sadalīšana vai izmantošana nav saistīta ar vienības veiktajām labdarības darbībām, vai izmantot, lai veiktu pamatotas kompensācijas maksājumu par saņemtajiem pakalpojumiem vai maksājumu, kas atbilst vienības iegādāta īpašuma patiesai tirgus vērtībai. Turklāt vienības ienākumus vai aktīvus var izsniegt privātpersonai vai ar labdarību nesaistītai vienībai kā samērīgu atlīdzību par īpašuma izmantošanu vai izmantot tos šādas personas vai vienības labā.</w:t>
      </w:r>
    </w:p>
    <w:p w14:paraId="235B445D" w14:textId="77777777" w:rsidR="00491410" w:rsidRPr="00E62BFD"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34" w:name="Paragraph_IV_(E)_–_Excluded_Person"/>
      <w:bookmarkEnd w:id="134"/>
      <w:r>
        <w:rPr>
          <w:rFonts w:ascii="Times New Roman" w:hAnsi="Times New Roman"/>
          <w:b/>
          <w:i/>
          <w:sz w:val="26"/>
        </w:rPr>
        <w:t>IV panta E punkts. Izslēgtā persona</w:t>
      </w:r>
    </w:p>
    <w:p w14:paraId="7F5A5F20"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35" w:name="Subparagraph_E(1)_–_Excluded_Person"/>
      <w:bookmarkEnd w:id="135"/>
      <w:r>
        <w:rPr>
          <w:rFonts w:ascii="Times New Roman" w:hAnsi="Times New Roman"/>
          <w:i/>
          <w:color w:val="616161"/>
          <w:sz w:val="26"/>
        </w:rPr>
        <w:t>E punkta 1. apakšpunkts. Izslēgtā persona</w:t>
      </w:r>
    </w:p>
    <w:p w14:paraId="4900496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61. Saskaņā ar E punkta 1. apakšpunkta definīciju “izslēgtā persona” ir a) vienība, kuras akcijas regulāri tirgo vienā vai vairākos vispāratzītos vērtspapīru tirgos; b) jebkura vienība, kas ir a) punktā aprakstītās vienības saistītā vienība; c) valdības vienība; d) starptautiska organizācija; e) centrālā banka vai f) finanšu iestāde, kas nav IV panta E punkta 5. apakšpunkta b) daļā aprakstītā ieguldījumu vienība. Par vienībām, kurām piemērojams termins “izslēgtā persona”, nav jāziņo saskaņā ar kriptoaktīvu ziņošanas sistēmu, ņemot vērā, ka šīs vienības rada ierobežotus nodokļu saistību neizpildes riskus un/vai dažām šīm vienībām piemērojami citi kopējā ziņošanas standartā noteikti nodokļu ziņošanas pienākumi. Tādējādi izslēgto personu loks attiecīgi piemērojamos gadījumos saskan ar to izslēgto personu loku, par kurām nav jāziņo saskaņā ar kopējo ziņošanas standartu.</w:t>
      </w:r>
    </w:p>
    <w:p w14:paraId="2B0DF613"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36" w:name="Subparagraphs_E(2)-(4)_–_Financial_Insti"/>
      <w:bookmarkEnd w:id="136"/>
      <w:r>
        <w:rPr>
          <w:rFonts w:ascii="Times New Roman" w:hAnsi="Times New Roman"/>
          <w:i/>
          <w:color w:val="616161"/>
          <w:sz w:val="26"/>
        </w:rPr>
        <w:t>E punkta 2.–4. apakšpunkts. Finanšu iestāde, turētājiestāde un noguldījumu iestāde</w:t>
      </w:r>
    </w:p>
    <w:p w14:paraId="51A60D1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62. E punkta attiecīgi 2., 3. un 4. apakšpunktā norādītie termini “finanšu iestāde”, “turētājiestāde” un “noguldījumu iestāde” jāinterpretē saskaņā ar grozītā kopējā ziņošanas standarta komentāriem.</w:t>
      </w:r>
    </w:p>
    <w:p w14:paraId="6A504108" w14:textId="77777777" w:rsidR="00491410" w:rsidRPr="00E62BFD"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37" w:name="Subparagraph_E(5)_–_Investment_Entity"/>
      <w:bookmarkEnd w:id="137"/>
      <w:r>
        <w:rPr>
          <w:rFonts w:ascii="Times New Roman" w:hAnsi="Times New Roman"/>
          <w:i/>
          <w:color w:val="616161"/>
          <w:sz w:val="26"/>
        </w:rPr>
        <w:t>E punkta 5. apakšpunkts. Ieguldījumu vienība</w:t>
      </w:r>
    </w:p>
    <w:p w14:paraId="23DBB36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63. Termins “ieguldījumu vienība” ietver divu veidu vienības: vienības, kas savā darījumdarbībā galvenokārt nodarbojas ar ieguldījumu darbībām vai operācijām citu personu vārdā, un vienības, kas vada šādas vienības vai citas finanšu iestādes.</w:t>
      </w:r>
    </w:p>
    <w:p w14:paraId="3E7EA56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64. E punkta 5. apakšpunkta a) daļā ir definēta pirmā veida “ieguldījumu vienība” kā vienība,</w:t>
      </w:r>
    </w:p>
    <w:p w14:paraId="1B9B32BD"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kura kā darījumdarbību veic vienu vai vairākas šādas darbības vai operācijas klienta uzdevumā vai vārdā:</w:t>
      </w:r>
    </w:p>
    <w:p w14:paraId="2BF62E7D"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a) tirgojas ar naudas tirgus instrumentiem (čekiem, parādzīmēm, depozītu sertifikātiem, atvasinātiem instrumentiem u. c.), ārvalstu valūtu, valūtas, procentu likmes un indeksu instrumentiem, pārvedamiem vērtspapīriem vai standartizētiem preču nākotnes darījumiem;</w:t>
      </w:r>
    </w:p>
    <w:p w14:paraId="1E62433C"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lastRenderedPageBreak/>
        <w:t>b) veic individuālo un kolektīvo portfeļu pārvaldību vai</w:t>
      </w:r>
    </w:p>
    <w:p w14:paraId="3ABA15C3" w14:textId="77777777" w:rsidR="00491410" w:rsidRPr="003A1063" w:rsidRDefault="00491410" w:rsidP="00491410">
      <w:pPr>
        <w:widowControl w:val="0"/>
        <w:tabs>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c) citādi iegulda, administrē vai pārvalda finanšu aktīvus, naudu (tostarp centrālās bankas digitālās valūtas) vai attiecīgos kriptoaktīvus citu personu vārdā.</w:t>
      </w:r>
    </w:p>
    <w:p w14:paraId="0FE19FD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65. Par šādām darbībām vai operācijām nav uzskatāma nesaistošu ieguldījumu konsultāciju sniegšana klientam. Attiecībā uz E punkta 5. apakšpunkta a) daļu termins “klients” ietver kolektīvo ieguldījumu uzņēmuma līdzdalības daļas turētāju, ja uzskatāms, ka kolektīvo ieguldījumu uzņēmums veic darbības vai operācijas kā darījumdarbību. Attiecībā uz E punkta 5. apakšpunkta a) daļas iii) punktu termins “ieguldīšana, administrēšana vai tirdzniecība” neietver maiņas darījumu izpildes pakalpojumu klientiem vai to vārdā.</w:t>
      </w:r>
    </w:p>
    <w:p w14:paraId="5DBD2E27"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66. E punkta 5. apakšpunkta b) daļā otrā veida “ieguldījumu vienība” ir definēta kā vienība, kuras bruto ienākumi galvenokārt ir saistīti ar finanšu aktīvu vai attiecīgo kriptoaktīvu ieguldīšanu, atkārtotu ieguldīšanu vai tirdzniecību, ja vienību pārvalda cita vienība, kas ir noguldījumu iestāde, turētājiestāde, specializētā apdrošināšanas sabiedrība vai ieguldījumu vienība, kas aprakstīta E punkta 5. apakšpunkta a) daļā. Vienību “pārvalda” cita vienība, ja pārvaldošā vienība tieši vai ar cita pakalpojuma sniedzēja starpniecību veic kādas E punkta 5. apakšpunkta a) daļā noteiktās darbības vai operācijas pārvaldītās vienības vārdā. Tomēr vienība nepārvalda citu vienību, ja tā nevar (pilnībā vai daļēji) pārvaldīt vienības aktīvus pēc saviem ieskatiem. Ja vienību pārvalda finanšu iestādes apvienojumā ar fiziskām personām vai vienībām, kas nav finanšu iestādes, var uzskatīt, ka šo vienību pārvalda cita vienība, kas ir noguldījumu iestāde, turētājiestāde, specializētā apdrošināšanas sabiedrība vai ieguldījumu vienība, kura minēta E punkta 5. apakšpunkta a) daļā, ja kāda no pārvaldošajām vienībām ir šāda cita vienība. Piemēram, privāts trasta uzņēmums, kas rīkojas kā reģistrēts trasta birojs vai reģistrēts trasta aģents vai veic administratīvus pakalpojumus, kas nav saistīti ar trasta finanšu aktīviem, attiecīgiem kriptoaktīviem vai naudu, neveic E punkta 5. apakšpunkta a) daļā aprakstītās darbības un operācijas trasta vārdā, tādējādi trastu “nepārvalda” privātais trasta uzņēmums E punkta 5. apakšpunkta b) daļas izpratnē. Ja vienība visus savus aktīvus vai to daļu iegulda kopieguldījumu fondā, biržā tirgotā fondā vai līdzīgā uzņēmumā, uzskatāms arī, ka to “nepārvalda” kopieguldījumu fonds, biržā tirgots fonds vai līdzīgs uzņēmums. Abos šajos piemēros ir jāprecizē, vai vienību pārvalda cita vienība, lai noskaidrotu, vai pirmā minētā vienība ietilpst E punkta 5. apakšpunkta b) daļā sniegtajā ieguldījumu vienības definīcijā.</w:t>
      </w:r>
    </w:p>
    <w:p w14:paraId="3DA07977"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67. Uzskata, ka vienības darījumdarbība galvenokārt ir viena vai vairākas E punkta 5. apakšpunkta a) daļā aprakstītās darbības vai ka vienības bruto ienākumi galvenokārt ir saistīti ar finanšu aktīvu vai attiecīgo kriptoaktīvu ieguldīšanu, atkārtotu ieguldīšanu vai tirdzniecību E punkta 5. apakšpunkta b) daļas vajadzībām, ja vienības bruto ienākumi, kas saistīti ar attiecīgajām darbībām, ir vismaz 50 % no vienības bruto ienākumiem vai nu:</w:t>
      </w:r>
    </w:p>
    <w:p w14:paraId="5060A844" w14:textId="77777777" w:rsidR="00491410" w:rsidRPr="003A1063" w:rsidRDefault="00491410" w:rsidP="00491410">
      <w:pPr>
        <w:widowControl w:val="0"/>
        <w:numPr>
          <w:ilvl w:val="1"/>
          <w:numId w:val="3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trīs gadu laika posmā, kurš beidzas tāda gada 31. decembrī, kas seko gadam, kad ir veikta noteikšana, vai</w:t>
      </w:r>
    </w:p>
    <w:p w14:paraId="272410F8" w14:textId="77777777" w:rsidR="00491410" w:rsidRPr="003A1063" w:rsidRDefault="00491410" w:rsidP="00491410">
      <w:pPr>
        <w:widowControl w:val="0"/>
        <w:numPr>
          <w:ilvl w:val="1"/>
          <w:numId w:val="39"/>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vienības pastāvēšanas laika posmā.</w:t>
      </w:r>
    </w:p>
    <w:p w14:paraId="2DABD2E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68. Attiecībā uz bruto ienākumu kritēriju jāņem vērā visa atlīdzība par vienības attiecīgajām darbībām neatkarīgi no tā, vai šī atlīdzība ir samaksāta tieši vienībai, kurai piemēro šo kritēriju, vai kādai citai vienībai.</w:t>
      </w:r>
    </w:p>
    <w:p w14:paraId="33C60B4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69. E punkta 5. apakšpunktā definētais termins “ieguldījumu vienība” neietver vienību, kas ir aktīva vienība, jo minētā vienība atbilst visiem D punkta 11. apakšpunkta b)–e) daļas kritērijiem.</w:t>
      </w:r>
    </w:p>
    <w:p w14:paraId="4FAC9C0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70. Parasti vienība tiek uzskatīta par ieguldījumu vienību, ja tā darbojas vai pasniedz sevi kā kolektīvu ieguldījumu uzņēmumu, kopieguldījumu fondu, biržā tirgotu fondu, privāta kapitāla fondu, riska ieguldījumu fondu, riska kapitāla fondu, fondu uzņēmumu iegādei, izmantojot aizdevumu, vai līdzīgu ieguldījumu instrumentu, kas izveidots, pamatojoties uz stratēģiju veikt </w:t>
      </w:r>
      <w:r>
        <w:rPr>
          <w:rFonts w:ascii="Times New Roman" w:hAnsi="Times New Roman"/>
          <w:sz w:val="24"/>
        </w:rPr>
        <w:lastRenderedPageBreak/>
        <w:t>ieguldījumus vai atkārtotus ieguldījumus finanšu aktīvos vai attiecīgajos kriptoaktīvos vai tirgoties ar tiem. Par ieguldījumu vienību nav uzskatāma tāda vienība, kas galvenokārt nodarbojas ar tiešu un parādfinansējumu nesaistītu līdzdalības daļu ieguldīšanu nekustamā īpašumā, to administrēšanu un pārvaldīšanu citu personu vārdā, piemēram, nekustamā īpašuma ieguldījumu pārvaldījuma fondu.</w:t>
      </w:r>
    </w:p>
    <w:p w14:paraId="2BEBB46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71. E punkta 5. apakšpunktā arī noteikts, ka termina “ieguldījumu vienība” definīciju interpretē atbilstīgi tam, kā ir formulēta termina “finanšu iestāde” definīcija Finanšu darījumu darba grupas ieteikumos.</w:t>
      </w:r>
    </w:p>
    <w:p w14:paraId="0C75B6A8" w14:textId="77777777" w:rsidR="00491410" w:rsidRPr="00991938" w:rsidRDefault="00491410" w:rsidP="00491410">
      <w:pPr>
        <w:widowControl w:val="0"/>
        <w:autoSpaceDE w:val="0"/>
        <w:autoSpaceDN w:val="0"/>
        <w:spacing w:before="120" w:after="120" w:line="240" w:lineRule="auto"/>
        <w:ind w:left="284"/>
        <w:outlineLvl w:val="4"/>
        <w:rPr>
          <w:rFonts w:ascii="Times New Roman" w:eastAsia="Arial" w:hAnsi="Times New Roman" w:cs="Arial"/>
          <w:i/>
          <w:iCs/>
          <w:kern w:val="0"/>
          <w:sz w:val="26"/>
          <w:szCs w:val="26"/>
          <w14:ligatures w14:val="none"/>
        </w:rPr>
      </w:pPr>
      <w:bookmarkStart w:id="138" w:name="Subparagraphs_E(6)-(15)_–_“Specified_Ins"/>
      <w:bookmarkEnd w:id="138"/>
      <w:r>
        <w:rPr>
          <w:rFonts w:ascii="Times New Roman" w:hAnsi="Times New Roman"/>
          <w:i/>
          <w:color w:val="616161"/>
          <w:sz w:val="26"/>
        </w:rPr>
        <w:t>E punkta 6.–15. apakšpunkts. Specializētā apdrošināšanas sabiedrība, valdības vienība, starptautiska organizācija, centrālā banka, finanšu aktīvs, līdzdalības daļa kapitālā, apdrošināšanas līgums, anuitātes līgums, apdrošināšanas līgums ar naudas vērību un naudas vērtība</w:t>
      </w:r>
    </w:p>
    <w:p w14:paraId="1AED0494"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72. E punkta 6.–15. apakšpunktā norādītie termini “specializētā apdrošināšanas sabiedrība”, “valdības vienība”, “starptautiska organizācija”, “centrālā banka”, “finanšu aktīvs”, “līdzdalības daļa kapitālā”, “apdrošināšanas līgums”, “anuitātes līgums”, “apdrošināšanas līgums ar naudas vērību” un “naudas vērtība” jāinterpretē atbilstoši grozītā kopējā ziņošanas standarta komentāriem.</w:t>
      </w:r>
    </w:p>
    <w:p w14:paraId="11D5686D" w14:textId="77777777" w:rsidR="00491410" w:rsidRPr="00991938"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39" w:name="Paragraph_IV_(F)_–_Miscellaneous"/>
      <w:bookmarkEnd w:id="139"/>
      <w:r>
        <w:rPr>
          <w:rFonts w:ascii="Times New Roman" w:hAnsi="Times New Roman"/>
          <w:b/>
          <w:i/>
          <w:sz w:val="26"/>
        </w:rPr>
        <w:t>IV panta F punkts. Dažādi jautājumi</w:t>
      </w:r>
    </w:p>
    <w:p w14:paraId="4313DC17" w14:textId="77777777" w:rsidR="00491410" w:rsidRPr="00991938"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40" w:name="Subparagraph_F(1)_–_Partner_Jurisdiction"/>
      <w:bookmarkEnd w:id="140"/>
      <w:r>
        <w:rPr>
          <w:rFonts w:ascii="Times New Roman" w:hAnsi="Times New Roman"/>
          <w:i/>
          <w:color w:val="616161"/>
          <w:sz w:val="26"/>
        </w:rPr>
        <w:t>F punkta 1. apakšpunkts. Partnerības jurisdikcija</w:t>
      </w:r>
    </w:p>
    <w:p w14:paraId="6BEF249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73. “Partnerības jurisdikcija” ir jurisdikcija, kas ieviesusi līdzvērtīgas tiesiskās prasības un ir iekļauta [jurisdikcijas] publicētajā sarakstā.</w:t>
      </w:r>
    </w:p>
    <w:p w14:paraId="505A89B8" w14:textId="77777777" w:rsidR="00491410" w:rsidRPr="00991938"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41" w:name="Subparagraph_F(2)_–_AML/KYC_Procedures"/>
      <w:bookmarkEnd w:id="141"/>
      <w:r>
        <w:rPr>
          <w:rFonts w:ascii="Times New Roman" w:hAnsi="Times New Roman"/>
          <w:i/>
          <w:color w:val="616161"/>
          <w:sz w:val="26"/>
        </w:rPr>
        <w:t>F punkta 2. apakšpunkts. AML/KYC procedūras</w:t>
      </w:r>
    </w:p>
    <w:p w14:paraId="3C6236C7"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74. Atbilstoši F punkta 2. apakšpunkta definīcijai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procedūras” ir klientu pienācīgas pārbaudes procedūras, kuras kriptoaktīvu pakalpojumu sniedzējs, kas sniedz ziņojumus, veic saskaņā ar prasībām par noziedzīgi iegūtu līdzekļu legalizācijas novēršanu vai līdzīgām prasībām, kuras jāievēro šim kriptoaktīvu pakalpojumu sniedzējam (piemēram, “pazīsti savu klientu” noteikumi). Šajās procedūrās ietilpst klienta (tostarp klienta faktisko īpašnieku) identificēšana un identitātes pārbaude, darījumu veida un mērķa noskaidrošana un pastāvīga uzraudzība.</w:t>
      </w:r>
    </w:p>
    <w:p w14:paraId="1EDC4F74" w14:textId="77777777" w:rsidR="00491410" w:rsidRPr="00991938"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42" w:name="Subparagraph_F(3)_and_(4)_–_Entity_and_R"/>
      <w:bookmarkEnd w:id="142"/>
      <w:r>
        <w:rPr>
          <w:rFonts w:ascii="Times New Roman" w:hAnsi="Times New Roman"/>
          <w:i/>
          <w:color w:val="616161"/>
          <w:sz w:val="26"/>
        </w:rPr>
        <w:t>F punkta 3. un 4. apakšpunkts. Vienība un saistītā vienība</w:t>
      </w:r>
    </w:p>
    <w:p w14:paraId="04E0E2D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75. F punkta 3. apakšpunktā ir definēts, ka “vienība” ir juridiska persona vai juridisks veidojums. Papildus jebkuram juridiskam veidojumam šis termins ietver jebkuru personu, kas nav privātpersona (t. i. fiziska persona). Tādējādi termins “vienība” attiecas, piemēram, uz korporāciju, personālsabiedrību, trastu, </w:t>
      </w:r>
      <w:r>
        <w:rPr>
          <w:rFonts w:ascii="Times New Roman" w:hAnsi="Times New Roman"/>
          <w:i/>
          <w:sz w:val="24"/>
        </w:rPr>
        <w:t>fideicomiso</w:t>
      </w:r>
      <w:r>
        <w:rPr>
          <w:rFonts w:ascii="Times New Roman" w:hAnsi="Times New Roman"/>
          <w:sz w:val="24"/>
        </w:rPr>
        <w:t>, fondu (</w:t>
      </w:r>
      <w:r>
        <w:rPr>
          <w:rFonts w:ascii="Times New Roman" w:hAnsi="Times New Roman"/>
          <w:i/>
          <w:sz w:val="24"/>
        </w:rPr>
        <w:t>fondation</w:t>
      </w:r>
      <w:r>
        <w:rPr>
          <w:rFonts w:ascii="Times New Roman" w:hAnsi="Times New Roman"/>
          <w:sz w:val="24"/>
        </w:rPr>
        <w:t xml:space="preserve">, </w:t>
      </w:r>
      <w:r>
        <w:rPr>
          <w:rFonts w:ascii="Times New Roman" w:hAnsi="Times New Roman"/>
          <w:i/>
          <w:sz w:val="24"/>
        </w:rPr>
        <w:t>Stiftung</w:t>
      </w:r>
      <w:r>
        <w:rPr>
          <w:rFonts w:ascii="Times New Roman" w:hAnsi="Times New Roman"/>
          <w:sz w:val="24"/>
        </w:rPr>
        <w:t xml:space="preserve">), sabiedrību, kooperatīvu, apvienību vai </w:t>
      </w:r>
      <w:r>
        <w:rPr>
          <w:rFonts w:ascii="Times New Roman" w:hAnsi="Times New Roman"/>
          <w:i/>
          <w:sz w:val="24"/>
        </w:rPr>
        <w:t>asociación en participación</w:t>
      </w:r>
      <w:r>
        <w:rPr>
          <w:rFonts w:ascii="Times New Roman" w:hAnsi="Times New Roman"/>
          <w:sz w:val="24"/>
        </w:rPr>
        <w:t>.</w:t>
      </w:r>
    </w:p>
    <w:p w14:paraId="426B39C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76. Saskaņā ar F punkta 4. apakšpunkta definīciju vienība ir citas vienības “saistītā vienība”, ja viena vienība kontrolē otru vienību vai ja abas vienības tiek kontrolētas kopīgi. Šajā nolūkā kontrole nozīmē tiešas vai netiešas īpašumtiesības uz vairāk nekā 50 % no vienības balsstiesībām vai vērtības. Šajā saistībā vienības tiek uzskatītas par saistītajām vienībām, ja tās ar vienu vai vairākām īpašumtiesību ķēdēm saista kopīga mātesvienība un ja šai kopīgajai mātesvienībai tieši pieder vairāk par 50 % akciju vai citas līdzdalības pašu kapitālā vismaz vienā no šīm citām vienībām. Ar īpašumtiesību ķēdi saprot vienas vai vairāku vienību īpašumtiesības uz vismaz 50 % vienības akciju kopējām balsstiesībām un vismaz 50 % vienības akciju kopvērtību, kā parādīts turpmāk sniegtajā piemērā.</w:t>
      </w:r>
    </w:p>
    <w:p w14:paraId="4F361CD6" w14:textId="5FC29F40"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 xml:space="preserve">Vienībai A pieder 51 % no vienības B kopējām balsstiesībām un 51 % akciju kopvērtības. Vienībai B savukārt pieder 51 % no vienības C kopējām balsstiesībām un 51 % akciju </w:t>
      </w:r>
      <w:r>
        <w:rPr>
          <w:rFonts w:ascii="Times New Roman" w:hAnsi="Times New Roman"/>
          <w:sz w:val="24"/>
        </w:rPr>
        <w:lastRenderedPageBreak/>
        <w:t>kopvērtības. Uzskatāms, ka vienība A un vienība C ir “saistītās vienības” saskaņā ar IV panta F punkta 4. apakšpunktu, jo vienībai A tieši pieder vairāk par 50 % no vienības B kopējām balsstiesībām un vairāk par 50 % akciju kopvērtības, savukārt vienībai B tieši pieder vairāk par 50 % no vienības C kopējām balsstiesībām un vairāk par 50 % akciju kopvērtības. Tādējādi vienība A un vienība C</w:t>
      </w:r>
      <w:r w:rsidR="001D7ED7">
        <w:rPr>
          <w:rFonts w:ascii="Times New Roman" w:eastAsia="Arial" w:hAnsi="Times New Roman" w:cs="Arial"/>
          <w:kern w:val="0"/>
          <w:sz w:val="24"/>
          <w:szCs w:val="20"/>
          <w14:ligatures w14:val="none"/>
        </w:rPr>
        <w:t xml:space="preserve"> </w:t>
      </w:r>
      <w:r>
        <w:rPr>
          <w:rFonts w:ascii="Times New Roman" w:hAnsi="Times New Roman"/>
          <w:sz w:val="24"/>
        </w:rPr>
        <w:t>ir saistītas ar īpašumtiesību ķēdēm. Neatkarīgi no tā, ka vienībai A proporcionāli pieder tikai 26 % no vienības C akciju kopvērtības un balsstiesībām, vienība A un vienība C ir saistītās vienības.</w:t>
      </w:r>
    </w:p>
    <w:p w14:paraId="69FD3088" w14:textId="77777777" w:rsidR="00491410" w:rsidRPr="00A04239"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43" w:name="Subparagraph_F(5)_–_Taxpayer_Identificat"/>
      <w:bookmarkEnd w:id="143"/>
      <w:r>
        <w:rPr>
          <w:rFonts w:ascii="Times New Roman" w:hAnsi="Times New Roman"/>
          <w:i/>
          <w:color w:val="616161"/>
          <w:sz w:val="26"/>
        </w:rPr>
        <w:t>F punkta 5. apakšpunkts. Nodokļu maksātāja identifikācijas numurs</w:t>
      </w:r>
    </w:p>
    <w:p w14:paraId="313BB5BD"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77. Saskaņā ar F punkta 5. apakšpunktu “</w:t>
      </w:r>
      <w:r>
        <w:rPr>
          <w:rFonts w:ascii="Times New Roman" w:hAnsi="Times New Roman"/>
          <w:i/>
          <w:iCs/>
          <w:sz w:val="24"/>
        </w:rPr>
        <w:t>TIN</w:t>
      </w:r>
      <w:r>
        <w:rPr>
          <w:rFonts w:ascii="Times New Roman" w:hAnsi="Times New Roman"/>
          <w:sz w:val="24"/>
        </w:rPr>
        <w:t>” ir nodokļu maksātāja identifikācijas numurs (vai tā funkcionāls ekvivalents tad, ja nav nodokļa maksātāja identifikācijas numura). Nodokļu maksātāja identifikācijas numurs ir unikāla burtu un ciparu kombinācija, ko jurisdikcija piešķir privātpersonai vai vienībai un izmanto, lai identificētu privātpersonu vai vienību ar šīs jurisdikcijas nodokļu tiesību aktu administrēšanu saistītām vajadzībām.</w:t>
      </w:r>
    </w:p>
    <w:p w14:paraId="5AB7CF74"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78. </w:t>
      </w:r>
      <w:r>
        <w:rPr>
          <w:rFonts w:ascii="Times New Roman" w:hAnsi="Times New Roman"/>
          <w:i/>
          <w:iCs/>
          <w:sz w:val="24"/>
        </w:rPr>
        <w:t>TIN</w:t>
      </w:r>
      <w:r>
        <w:rPr>
          <w:rFonts w:ascii="Times New Roman" w:hAnsi="Times New Roman"/>
          <w:sz w:val="24"/>
        </w:rPr>
        <w:t xml:space="preserve"> var arī izmantot tādu nodokļu maksātāju identificēšanai, kas veic ieguldījumus citās jurisdikcijās. </w:t>
      </w:r>
      <w:r>
        <w:rPr>
          <w:rFonts w:ascii="Times New Roman" w:hAnsi="Times New Roman"/>
          <w:i/>
          <w:iCs/>
          <w:sz w:val="24"/>
        </w:rPr>
        <w:t>TIN</w:t>
      </w:r>
      <w:r>
        <w:rPr>
          <w:rFonts w:ascii="Times New Roman" w:hAnsi="Times New Roman"/>
          <w:sz w:val="24"/>
        </w:rPr>
        <w:t xml:space="preserve"> specifikācijas (t. i., struktūru, sintaksi u. c.) nosaka katras jurisdikcijas nodokļu administrācija. Dažās jurisdikcijās pat tiek izmantota atšķirīga </w:t>
      </w:r>
      <w:r>
        <w:rPr>
          <w:rFonts w:ascii="Times New Roman" w:hAnsi="Times New Roman"/>
          <w:i/>
          <w:iCs/>
          <w:sz w:val="24"/>
        </w:rPr>
        <w:t>TIN</w:t>
      </w:r>
      <w:r>
        <w:rPr>
          <w:rFonts w:ascii="Times New Roman" w:hAnsi="Times New Roman"/>
          <w:sz w:val="24"/>
        </w:rPr>
        <w:t xml:space="preserve"> struktūra attiecībā uz dažādiem nodokļiem vai dažādām nodokļu maksātāju kategorijām (piemēram, attiecībā uz rezidentiem un nerezidentiem).</w:t>
      </w:r>
    </w:p>
    <w:p w14:paraId="589E6D0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79. Lai arī daudzas jurisdikcijas izmanto </w:t>
      </w:r>
      <w:r>
        <w:rPr>
          <w:rFonts w:ascii="Times New Roman" w:hAnsi="Times New Roman"/>
          <w:i/>
          <w:iCs/>
          <w:sz w:val="24"/>
        </w:rPr>
        <w:t>TIN</w:t>
      </w:r>
      <w:r>
        <w:rPr>
          <w:rFonts w:ascii="Times New Roman" w:hAnsi="Times New Roman"/>
          <w:sz w:val="24"/>
        </w:rPr>
        <w:t xml:space="preserve"> vajadzībām, kas saistītas ar personu vai uzņēmumu aplikšanu ar nodokļiem, dažas jurisdikcijas neizdod </w:t>
      </w:r>
      <w:r>
        <w:rPr>
          <w:rFonts w:ascii="Times New Roman" w:hAnsi="Times New Roman"/>
          <w:i/>
          <w:iCs/>
          <w:sz w:val="24"/>
        </w:rPr>
        <w:t>TIN</w:t>
      </w:r>
      <w:r>
        <w:rPr>
          <w:rFonts w:ascii="Times New Roman" w:hAnsi="Times New Roman"/>
          <w:sz w:val="24"/>
        </w:rPr>
        <w:t>. Tomēr šīs jurisdikcijas bieži izmanto kādu citu augstas integritātes numuru, kas nodrošina līdzvērtīgu identifikācijas līmeni (“funkcionālais ekvivalents”). Šādi numuri privātpersonām ir, piemēram, sociālā nodrošinājuma/apdrošināšanas numurs, iedzīvotāja/personas identifikācijas/pakalpojuma kods/numurs un rezidenta reģistrācijas numurs; vienībām – uzņēmuma/sabiedrības reģistrācijas kods/numurs.</w:t>
      </w:r>
    </w:p>
    <w:p w14:paraId="50C9A83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80. Turklāt dažas jurisdikcijas var arī piedāvāt valdības sniegtus verifikācijas pakalpojumus, ko izmanto, lai noskaidrotu savu nodokļu maksātāju identitāti un nodokļu rezidenci. Šādi valdības verifikācijas pakalpojumi ir elektroniski procesi, ko jurisdikcija ir darījusi pieejamus vienībām vai fiziskām personām, kurām ir ziņošanas pienākumi trešo personu statusā (piemēram, kriptoaktīvu pakalpojumu sniedzējiem, kas sniedz ziņojumus), lai noskaidrotu identitāti un nodokļu rezidenci personām, par kurām jāsniedz ziņojumi (piemēram, kriptoaktīvu lietotājiem vai tos kontrolējošām personām). Ja nodokļu administrācija izvēlas identificēt kriptoaktīvu lietotājus vai kontrolējošās personas, pamatojoties uz lietojumprogrammas saskarnes (</w:t>
      </w:r>
      <w:r>
        <w:rPr>
          <w:rFonts w:ascii="Times New Roman" w:hAnsi="Times New Roman"/>
          <w:i/>
          <w:iCs/>
          <w:sz w:val="24"/>
        </w:rPr>
        <w:t>API</w:t>
      </w:r>
      <w:r>
        <w:rPr>
          <w:rFonts w:ascii="Times New Roman" w:hAnsi="Times New Roman"/>
          <w:sz w:val="24"/>
        </w:rPr>
        <w:t xml:space="preserve">) risinājumu, parasti tā nodrošina kriptoaktīvu pakalpojumu sniedzējiem, kas sniedz ziņojumus, piekļuvi </w:t>
      </w:r>
      <w:r>
        <w:rPr>
          <w:rFonts w:ascii="Times New Roman" w:hAnsi="Times New Roman"/>
          <w:i/>
          <w:iCs/>
          <w:sz w:val="24"/>
        </w:rPr>
        <w:t>API</w:t>
      </w:r>
      <w:r>
        <w:rPr>
          <w:rFonts w:ascii="Times New Roman" w:hAnsi="Times New Roman"/>
          <w:sz w:val="24"/>
        </w:rPr>
        <w:t xml:space="preserve"> portālam. Pēc tam, ja kriptoaktīvu lietotāja vai kontrolējošās personas pašapliecinājumā ir norādīta rezidence tajā jurisdikcijā, kriptoaktīvu pakalpojumu sniedzējs, kas sniedz ziņojumus, var virzīt kriptoaktīvu lietotāju vai kontrolējošo personu uz </w:t>
      </w:r>
      <w:r>
        <w:rPr>
          <w:rFonts w:ascii="Times New Roman" w:hAnsi="Times New Roman"/>
          <w:i/>
          <w:iCs/>
          <w:sz w:val="24"/>
        </w:rPr>
        <w:t>API</w:t>
      </w:r>
      <w:r>
        <w:rPr>
          <w:rFonts w:ascii="Times New Roman" w:hAnsi="Times New Roman"/>
          <w:sz w:val="24"/>
        </w:rPr>
        <w:t xml:space="preserve"> portālu, kas varētu ļaut jurisdikcijai identificēt šo kriptoaktīvu lietotāju vai kontrolējošo personu, pamatojoties uz valsts iekšējām nodokļu maksātāju identifikācijas prasībām (piemēram, valdības izdotu ID vai lietotājvārdu). Tiklīdz kriptoaktīvu lietotājs vai kontrolējošā persona ir sekmīgi identificēta kā šīs jurisdikcijas nodokļu maksātājs, jurisdikcija, izmantojot </w:t>
      </w:r>
      <w:r>
        <w:rPr>
          <w:rFonts w:ascii="Times New Roman" w:hAnsi="Times New Roman"/>
          <w:i/>
          <w:iCs/>
          <w:sz w:val="24"/>
        </w:rPr>
        <w:t>API</w:t>
      </w:r>
      <w:r>
        <w:rPr>
          <w:rFonts w:ascii="Times New Roman" w:hAnsi="Times New Roman"/>
          <w:sz w:val="24"/>
        </w:rPr>
        <w:t xml:space="preserve"> portālu, sniedz kriptoaktīvu pakalpojumu sniedzējam, kas sniedz ziņojumus, unikālu atsauces numuru vai kodu, kas ļauj jurisdikcijai noteikt kriptoaktīvu lietotāja vai kontrolējošās personas atbilsmi nodokļu maksātājam savā datubāzē. Ja kriptoaktīvu pakalpojumu sniedzējs, kas sniedz ziņojumus, pēc tam sniedz ziņas par šo kriptoaktīvu lietotāju vai kontrolējošo personu, tas iekļauj unikālo atsauces numuru vai kodu, kas ļautu jurisdikcijai, kura saņem šo informāciju, noteikt šā kriptoaktīvu lietotāja vai kontrolējošās personas atbilsmi. Šajā saistībā unikālais atsauces numurs, kods vai cits apstiprinājums, ko saņēmis kriptoaktīvu pakalpojumu sniedzējs, kas sniedz ziņojumus, attiecībā uz kriptoaktīvu lietotāju vai kontrolējošo personu, izmantojot valdības sniegtu verifikācijas pakalpojumu, ir arī </w:t>
      </w:r>
      <w:r>
        <w:rPr>
          <w:rFonts w:ascii="Times New Roman" w:hAnsi="Times New Roman"/>
          <w:i/>
          <w:iCs/>
          <w:sz w:val="24"/>
        </w:rPr>
        <w:t>TIN</w:t>
      </w:r>
      <w:r>
        <w:rPr>
          <w:rFonts w:ascii="Times New Roman" w:hAnsi="Times New Roman"/>
          <w:sz w:val="24"/>
        </w:rPr>
        <w:t xml:space="preserve"> funkcionāls ekvivalents.</w:t>
      </w:r>
    </w:p>
    <w:p w14:paraId="63473DC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 xml:space="preserve">81. Tiek sagaidīts, ka jurisdikcijas sniedz kriptoaktīvu pakalpojumu sniedzējiem, kas sniedz ziņojumus, informāciju par nodokļu maksātāju identifikācijas numuru izdošanu, apkopošanu un, ciktāl tas praktiski iespējams, par to struktūru, citām specifikācijām un to funkcionālajiem ekvivalentiem. </w:t>
      </w:r>
      <w:r>
        <w:rPr>
          <w:rFonts w:ascii="Times New Roman" w:hAnsi="Times New Roman"/>
          <w:i/>
          <w:iCs/>
          <w:sz w:val="24"/>
        </w:rPr>
        <w:t>OECD</w:t>
      </w:r>
      <w:r>
        <w:rPr>
          <w:rFonts w:ascii="Times New Roman" w:hAnsi="Times New Roman"/>
          <w:sz w:val="24"/>
        </w:rPr>
        <w:t xml:space="preserve"> centīsies veicināt šādas informācijas izplatīšanu. Šāda informācija palīdzēs kriptoaktīvu pakalpojumu sniedzējiem, kas sniedz ziņojumus, vākt pareizus </w:t>
      </w:r>
      <w:r>
        <w:rPr>
          <w:rFonts w:ascii="Times New Roman" w:hAnsi="Times New Roman"/>
          <w:i/>
          <w:iCs/>
          <w:sz w:val="24"/>
        </w:rPr>
        <w:t>TIN</w:t>
      </w:r>
      <w:r>
        <w:rPr>
          <w:rFonts w:ascii="Times New Roman" w:hAnsi="Times New Roman"/>
          <w:sz w:val="24"/>
        </w:rPr>
        <w:t>.</w:t>
      </w:r>
    </w:p>
    <w:p w14:paraId="3F1A593B" w14:textId="77777777" w:rsidR="00491410" w:rsidRPr="003C2059" w:rsidRDefault="00491410" w:rsidP="00491410">
      <w:pPr>
        <w:widowControl w:val="0"/>
        <w:autoSpaceDE w:val="0"/>
        <w:autoSpaceDN w:val="0"/>
        <w:spacing w:before="120" w:after="120" w:line="240" w:lineRule="auto"/>
        <w:ind w:left="142"/>
        <w:jc w:val="both"/>
        <w:outlineLvl w:val="4"/>
        <w:rPr>
          <w:rFonts w:ascii="Times New Roman" w:eastAsia="Arial" w:hAnsi="Times New Roman" w:cs="Arial"/>
          <w:i/>
          <w:iCs/>
          <w:kern w:val="0"/>
          <w:sz w:val="26"/>
          <w:szCs w:val="26"/>
          <w14:ligatures w14:val="none"/>
        </w:rPr>
      </w:pPr>
      <w:bookmarkStart w:id="144" w:name="Subparagraph_F(6)_–_Branch"/>
      <w:bookmarkEnd w:id="144"/>
      <w:r>
        <w:rPr>
          <w:rFonts w:ascii="Times New Roman" w:hAnsi="Times New Roman"/>
          <w:i/>
          <w:color w:val="616161"/>
          <w:sz w:val="26"/>
        </w:rPr>
        <w:t>F punkta 6. apakšpunkts. Filiāle</w:t>
      </w:r>
    </w:p>
    <w:p w14:paraId="70DE070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82. “Filiāle” ir kriptoaktīvu pakalpojumu sniedzēja, kas sniedz ziņojumus, struktūrvienība, uzņēmums vai birojs, kas saskaņā ar jurisdikcijas regulatīvo režīmu tiek uzskatīts par filiāli vai ko saskaņā ar jurisdikcijas tiesību aktiem citādi regulē kā atsevišķu no citiem kriptoaktīvu pakalpojumu sniedzēja, kas sniedz ziņojumus, birojiem, struktūrvienībām vai filiālēm. Visas vienā jurisdikcijā esošas struktūrvienības, uzņēmumus un birojus, kas attiecināmi uz kriptoaktīvu pakalpojumu sniedzēju, kas sniedz ziņojumus, uzskata par vienu filiāli.</w:t>
      </w:r>
    </w:p>
    <w:p w14:paraId="10C03BD0" w14:textId="77777777" w:rsidR="00491410" w:rsidRPr="003A1063" w:rsidRDefault="00491410" w:rsidP="00491410">
      <w:pPr>
        <w:pStyle w:val="Heading1"/>
        <w:spacing w:before="240" w:after="120" w:line="240" w:lineRule="auto"/>
        <w:jc w:val="both"/>
        <w:rPr>
          <w:rFonts w:ascii="Times New Roman" w:eastAsia="Arial" w:hAnsi="Times New Roman" w:cs="Arial"/>
          <w:b/>
          <w:bCs/>
          <w:kern w:val="0"/>
          <w:sz w:val="24"/>
          <w:szCs w:val="24"/>
          <w14:ligatures w14:val="none"/>
        </w:rPr>
      </w:pPr>
      <w:bookmarkStart w:id="145" w:name="Commentary_on_Section_V:_Effective_imple"/>
      <w:bookmarkStart w:id="146" w:name="_bookmark22"/>
      <w:bookmarkStart w:id="147" w:name="_Toc241753069"/>
      <w:bookmarkEnd w:id="145"/>
      <w:bookmarkEnd w:id="146"/>
      <w:r>
        <w:rPr>
          <w:rFonts w:ascii="Times New Roman" w:hAnsi="Times New Roman"/>
          <w:b/>
          <w:color w:val="0B769F" w:themeColor="accent4" w:themeShade="BF"/>
          <w:sz w:val="26"/>
        </w:rPr>
        <w:t>Komentāri par V pantu. Efektīva īstenošana</w:t>
      </w:r>
      <w:bookmarkEnd w:id="147"/>
    </w:p>
    <w:p w14:paraId="39C34AB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w:t>
      </w:r>
      <w:r>
        <w:rPr>
          <w:rFonts w:ascii="Times New Roman" w:hAnsi="Times New Roman"/>
          <w:i/>
          <w:iCs/>
          <w:sz w:val="24"/>
        </w:rPr>
        <w:t>CARF</w:t>
      </w:r>
      <w:r>
        <w:rPr>
          <w:rFonts w:ascii="Times New Roman" w:hAnsi="Times New Roman"/>
          <w:sz w:val="24"/>
        </w:rPr>
        <w:t xml:space="preserve"> ir veidota, ņemot vērā šādus galvenos struktūras moduļus, kuri izstrādāti, lai nodrošinātu informācijas vākšanu un tās automātisku apmaiņu par darījumiem ar attiecīgajiem kriptoaktīviem: i) iekļaujamo kriptoaktīvu tvērums; ii) vienības un fiziskās personas, kurām piemērojamas datu vākšanas un ziņošanas prasības; iii) darījumi, par kuriem jāziņo, kā arī informācija, kas sniedzama saistībā ar šiem darījumiem, un iv) pienācīgas pārbaudes procedūras, kas veicamas, lai noteiktu kriptoaktīvu lietotājus un attiecīgās nodokļu jurisdikcijas ziņošanas un informācijas apmaiņas mērķiem.</w:t>
      </w:r>
    </w:p>
    <w:p w14:paraId="14172CF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Lai tiktu sasniegti </w:t>
      </w:r>
      <w:r>
        <w:rPr>
          <w:rFonts w:ascii="Times New Roman" w:hAnsi="Times New Roman"/>
          <w:i/>
          <w:iCs/>
          <w:sz w:val="24"/>
        </w:rPr>
        <w:t>CARF</w:t>
      </w:r>
      <w:r>
        <w:rPr>
          <w:rFonts w:ascii="Times New Roman" w:hAnsi="Times New Roman"/>
          <w:sz w:val="24"/>
        </w:rPr>
        <w:t xml:space="preserve"> mērķi, jurisdikciju pienākums ir nodrošināt visu šo struktūras moduļu pareizu īstenošanu tā, lai tie tiktu izpildīti un tos nevarētu apiet. Komentāri par V pantu ir sagatavoti, lai aprakstītu šīs īstenošanas prasības.</w:t>
      </w:r>
    </w:p>
    <w:p w14:paraId="5826018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Jurisdikcijai jāievieš samērīga un uz riskiem balstīta visaptveroša atbilstības stratēģija, lai nodrošinātu pienācīgas pārbaudes un ziņošanas pienākumu efektīvu īstenošanu šajā jurisdikcijā, ņemot vērā jurisdikcijas konkrēto valsts iekšējo kontekstu. Šai atbilstības stratēģijai jārisina turpmāk minētās galvenās jomas, kurām jāpievērš uzmanība. Pirmkārt, jurisdikcijai, kas īsteno </w:t>
      </w:r>
      <w:r>
        <w:rPr>
          <w:rFonts w:ascii="Times New Roman" w:hAnsi="Times New Roman"/>
          <w:i/>
          <w:iCs/>
          <w:sz w:val="24"/>
        </w:rPr>
        <w:t>CARF</w:t>
      </w:r>
      <w:r>
        <w:rPr>
          <w:rFonts w:ascii="Times New Roman" w:hAnsi="Times New Roman"/>
          <w:sz w:val="24"/>
        </w:rPr>
        <w:t xml:space="preserve">, jānodrošina, ka tiek identificētas visas vienības un fiziskās personas, kuras, ņemot vērā to veiktās darbības, ir kriptoaktīvu pakalpojumu sniedzēji, kas sniedz ziņojumus, un tiem ir saikne ar šo jurisdikciju. Otrkārt, jurisdikcijai jānodrošina, ka kriptoaktīvu pakalpojumu sniedzēji, kas sniedz ziņojumus, precīzi izpilda </w:t>
      </w:r>
      <w:r>
        <w:rPr>
          <w:rFonts w:ascii="Times New Roman" w:hAnsi="Times New Roman"/>
          <w:i/>
          <w:iCs/>
          <w:sz w:val="24"/>
        </w:rPr>
        <w:t>CARF</w:t>
      </w:r>
      <w:r>
        <w:rPr>
          <w:rFonts w:ascii="Times New Roman" w:hAnsi="Times New Roman"/>
          <w:sz w:val="24"/>
        </w:rPr>
        <w:t xml:space="preserve"> ziņošanas un pienācīgas pārbaudes procedūras. Visbeidzot, jurisdikcijai jāvairo izpratne par </w:t>
      </w:r>
      <w:r>
        <w:rPr>
          <w:rFonts w:ascii="Times New Roman" w:hAnsi="Times New Roman"/>
          <w:i/>
          <w:iCs/>
          <w:sz w:val="24"/>
        </w:rPr>
        <w:t>CARF</w:t>
      </w:r>
      <w:r>
        <w:rPr>
          <w:rFonts w:ascii="Times New Roman" w:hAnsi="Times New Roman"/>
          <w:sz w:val="24"/>
        </w:rPr>
        <w:t xml:space="preserve">, jāveicina tās ievērošana un jāpanāk tās izpilde. Tas nozīmē, ka jābūt sodu sistēmai, ko izmanto, lai risinātu neatbilstības gadījumus, jācenšas proaktīvi veicināt un stimulēt atbilstību, kā arī īstenot atbilstības verificēšanas stratēģiju, lai identificētu jaunas prakses, kas iespējami varētu būtiski apdraudēt </w:t>
      </w:r>
      <w:r>
        <w:rPr>
          <w:rFonts w:ascii="Times New Roman" w:hAnsi="Times New Roman"/>
          <w:i/>
          <w:iCs/>
          <w:sz w:val="24"/>
        </w:rPr>
        <w:t>CARF</w:t>
      </w:r>
      <w:r>
        <w:rPr>
          <w:rFonts w:ascii="Times New Roman" w:hAnsi="Times New Roman"/>
          <w:sz w:val="24"/>
        </w:rPr>
        <w:t xml:space="preserve"> darbību.</w:t>
      </w:r>
    </w:p>
    <w:p w14:paraId="4515C8E0" w14:textId="77777777" w:rsidR="00491410" w:rsidRPr="00A837D9" w:rsidRDefault="00491410" w:rsidP="00491410">
      <w:pPr>
        <w:widowControl w:val="0"/>
        <w:autoSpaceDE w:val="0"/>
        <w:autoSpaceDN w:val="0"/>
        <w:spacing w:before="240" w:after="120" w:line="240" w:lineRule="auto"/>
        <w:jc w:val="both"/>
        <w:outlineLvl w:val="3"/>
        <w:rPr>
          <w:rFonts w:ascii="Times New Roman" w:eastAsia="Arial" w:hAnsi="Times New Roman" w:cs="Arial"/>
          <w:b/>
          <w:bCs/>
          <w:i/>
          <w:iCs/>
          <w:kern w:val="0"/>
          <w:sz w:val="26"/>
          <w:szCs w:val="26"/>
          <w14:ligatures w14:val="none"/>
        </w:rPr>
      </w:pPr>
      <w:bookmarkStart w:id="148" w:name="Ensuring_the_identification_of_all_Repor"/>
      <w:bookmarkEnd w:id="148"/>
      <w:r>
        <w:rPr>
          <w:rFonts w:ascii="Times New Roman" w:hAnsi="Times New Roman"/>
          <w:b/>
          <w:i/>
          <w:sz w:val="26"/>
        </w:rPr>
        <w:t>Kā nodrošināt, ka tiek identificēti visi kriptoaktīvu pakalpojumu sniedzēji, kas sniedz ziņojumus</w:t>
      </w:r>
    </w:p>
    <w:p w14:paraId="6FC806A0" w14:textId="77777777" w:rsidR="00491410" w:rsidRPr="00A837D9" w:rsidRDefault="00491410" w:rsidP="00491410">
      <w:pPr>
        <w:widowControl w:val="0"/>
        <w:autoSpaceDE w:val="0"/>
        <w:autoSpaceDN w:val="0"/>
        <w:spacing w:before="240" w:after="120" w:line="240" w:lineRule="auto"/>
        <w:ind w:left="142"/>
        <w:jc w:val="both"/>
        <w:outlineLvl w:val="4"/>
        <w:rPr>
          <w:rFonts w:ascii="Times New Roman" w:eastAsia="Arial" w:hAnsi="Times New Roman" w:cs="Arial"/>
          <w:i/>
          <w:iCs/>
          <w:kern w:val="0"/>
          <w:sz w:val="26"/>
          <w:szCs w:val="26"/>
          <w14:ligatures w14:val="none"/>
        </w:rPr>
      </w:pPr>
      <w:bookmarkStart w:id="149" w:name="Potential_challenges_in_identifying_Repo"/>
      <w:bookmarkEnd w:id="149"/>
      <w:r>
        <w:rPr>
          <w:rFonts w:ascii="Times New Roman" w:hAnsi="Times New Roman"/>
          <w:i/>
          <w:color w:val="616161"/>
          <w:sz w:val="26"/>
        </w:rPr>
        <w:t>Iespējamie izaicinājumi, kas jāpārvar, lai identificētu kriptoaktīvu pakalpojumu sniedzējus, kas sniedz ziņojumus</w:t>
      </w:r>
    </w:p>
    <w:p w14:paraId="67B30C6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I pantā noteiktais saiknes kritērijs, visticamāk, radīs situāciju, ka konkrētā jurisdikcijā par kriptoaktīvu pakalpojumu sniedzējiem, kas sniedz ziņojumus, tiks uzskatīts plašs vienību un fizisko personu loks. No tiem daži kriptoaktīvu pakalpojumu sniedzēji, kas sniedz ziņojumus (piemēram, finanšu iestādes), visticamāk, ir labi iedibināti ierastā finanšu sektora dalībnieki, tāpēc labi pārzina attiecīgās regulatīvās un ziņošanas prasības. Tomēr daudzi citi kriptoaktīvu pakalpojumu sniedzēji, kas sniedz ziņojumus, var būt jaunienācēji, kas mazāk pārzina šīs </w:t>
      </w:r>
      <w:r>
        <w:rPr>
          <w:rFonts w:ascii="Times New Roman" w:hAnsi="Times New Roman"/>
          <w:sz w:val="24"/>
        </w:rPr>
        <w:lastRenderedPageBreak/>
        <w:t>prasības. Atkarībā no jurisdikcijas daži no šiem jaunienācējiem šobrīd var būt pakļauti tikai vieglam regulējumam vai tiem vispār nepiemēro regulējumu, tāpēc regulatīvās iestādes tos var neidentificēt. Turklāt kriptoaktīvu pakalpojumu sniedzēji, kas sniedz ziņojumus un kam piemērojami pienācīgas pārbaudes un ziņošanas pienākumi, pamatojoties uz to, ka to darījumdarbības vieta ir attiecīgajā jurisdikcijā vai tie tiek pārvaldīti no šīs jurisdikcijas, var arī regulāri neiesaistīties darbībās, kas tos ļauj viegli identificēt jurisdikcijā.</w:t>
      </w:r>
    </w:p>
    <w:p w14:paraId="5AEEC09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 Tādējādi jurisdikcijas atbilstības sistēmā jāizvērtē varbūtība, ka šī jurisdikcija uzreiz nevar identificēt dažus kriptoaktīvu pakalpojumu sniedzējus, kas sniedz ziņojumus un kam ir saikne ar šo jurisdikciju, un tie var nezināt par to, ka tiem ir pienācīgas pārbaudes un ziņošanas pienākumi.</w:t>
      </w:r>
      <w:bookmarkStart w:id="150" w:name="Potential_approaches_to_ensure_identific"/>
      <w:bookmarkEnd w:id="150"/>
    </w:p>
    <w:p w14:paraId="145EB15B" w14:textId="77777777" w:rsidR="00491410" w:rsidRPr="00A837D9" w:rsidRDefault="00491410" w:rsidP="00491410">
      <w:pPr>
        <w:widowControl w:val="0"/>
        <w:autoSpaceDE w:val="0"/>
        <w:autoSpaceDN w:val="0"/>
        <w:spacing w:before="120" w:after="120" w:line="240" w:lineRule="auto"/>
        <w:ind w:left="142"/>
        <w:jc w:val="both"/>
        <w:outlineLvl w:val="4"/>
        <w:rPr>
          <w:rFonts w:ascii="Times New Roman" w:eastAsia="Arial" w:hAnsi="Times New Roman" w:cs="Arial"/>
          <w:i/>
          <w:iCs/>
          <w:kern w:val="0"/>
          <w:sz w:val="26"/>
          <w:szCs w:val="26"/>
          <w14:ligatures w14:val="none"/>
        </w:rPr>
      </w:pPr>
      <w:r>
        <w:rPr>
          <w:rFonts w:ascii="Times New Roman" w:hAnsi="Times New Roman"/>
          <w:i/>
          <w:color w:val="616161"/>
          <w:sz w:val="26"/>
        </w:rPr>
        <w:t>Iespējamās pieejas, kā nodrošināt, ka tiek identificēti kriptoaktīvu pakalpojumu sniedzēji, kas sniedz ziņojumus</w:t>
      </w:r>
    </w:p>
    <w:p w14:paraId="0FC69D6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 Lai nodrošinātu, ka saskaņā ar I panta prasībām tiek identificēti kriptoaktīvu pakalpojumu sniedzēji, kas sniedz ziņojumus, jurisdikcijām jāievieš mehānismi, kuri ļauj identificēt kriptoaktīvu pakalpojumu sniedzējus, kas sniedz ziņojumus un kam ir saikne ar attiecīgo jurisdikciju. Kā norādīts turpmāk, šos mehānismus var iekļaut esošajā valsts iekšējā tiesiskajā regulējumā vai arī jurisdikcijai var būt nepieciešamība šim nolūkam izstrādāt jaunu sistēmu.</w:t>
      </w:r>
    </w:p>
    <w:p w14:paraId="5190DB0C"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7. Noteiktos apstākļos jurisdikcija var paļauties uz mehānismiem, kas jau ir ieviesti, lai identificētu kriptoaktīvu pakalpojumu sniedzējus, kas sniedz ziņojumus un jau darbojas šajā jurisdikcijā. Piemēram, dažas jurisdikcijas var paļauties uz valsts iekšējo tiesisko regulējumu, kas jau ir ieviests citiem mērķiem (piemēram, </w:t>
      </w:r>
      <w:r>
        <w:rPr>
          <w:rFonts w:ascii="Times New Roman" w:hAnsi="Times New Roman"/>
          <w:i/>
          <w:iCs/>
          <w:sz w:val="24"/>
        </w:rPr>
        <w:t>AML</w:t>
      </w:r>
      <w:r>
        <w:rPr>
          <w:rFonts w:ascii="Times New Roman" w:hAnsi="Times New Roman"/>
          <w:sz w:val="24"/>
        </w:rPr>
        <w:t xml:space="preserve"> vai finanšu tirgu reģistrācijas prasībām), lai identificētu kriptoaktīvu pakalpojumu sniedzējus, kas sniedz ziņojumus. Ja jurisdikcija paļaujas uz esošo tiesisko regulējumu, tai vispirms jānosaka, ka šis regulējums kopumā atbilst </w:t>
      </w:r>
      <w:r>
        <w:rPr>
          <w:rFonts w:ascii="Times New Roman" w:hAnsi="Times New Roman"/>
          <w:i/>
          <w:iCs/>
          <w:sz w:val="24"/>
        </w:rPr>
        <w:t>CARF</w:t>
      </w:r>
      <w:r>
        <w:rPr>
          <w:rFonts w:ascii="Times New Roman" w:hAnsi="Times New Roman"/>
          <w:sz w:val="24"/>
        </w:rPr>
        <w:t xml:space="preserve"> piemērošanas jomai attiecībā uz dažādiem definīcijas aspektiem un saiknes noteikumiem attiecībā uz kriptoaktīvu pakalpojumu sniedzējiem, kas sniedz ziņojumus, piemēram, ka valsts iekšējais tiesiskais regulējums nodrošina, ka tiek identificētas visas fiziskas personas un vienības, kuras definējamas kā kriptoaktīvu pakalpojumu sniedzēji, kas sniedz ziņojumus.</w:t>
      </w:r>
    </w:p>
    <w:p w14:paraId="3D302D6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8. Ja jurisdikcija noskaidro, ka valsts iekšējais tiesiskais regulējums varētu nenodrošināt, ka tiek identificēti noteikti vai visi kriptoaktīvu pakalpojumu sniedzēji, kas sniedz ziņojumus un kam ir saikne ar šo jurisdikciju, tai jāizstrādā papildu mehānismi, lai nodrošinātu, ka tiek identificēti kriptoaktīvu pakalpojumu sniedzēji, kas sniedz ziņojumus un kam ir saikne ar jurisdikciju. Attiecībā uz kriptoaktīvu pakalpojumu sniedzējiem, kuri sniedz ziņojumus un kuru vienīgā saikne ar jurisdikciju ir to pārvaldības vai darījumdarbības vieta, jurisdikcijām jāveic pamatoti pasākumi, lai nodrošinātu to identificēšanu.</w:t>
      </w:r>
    </w:p>
    <w:p w14:paraId="7C4AC4A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9. Ir vairāki papildu mehānismu piemēri, piemēram, šajā punktā aprakstītie, ko jurisdikcijas varētu pieņemt, lai identificētu kriptoaktīvu pakalpojumu sniedzējus, kas sniedz ziņojumus. Piemēram, papildu mehānismi, ko izmanto, lai identificētu visus kriptoaktīvu pakalpojumu sniedzējus, kas sniedz ziņojumus, jo īpaši tos, kuriem vēl nepiemēro reģistrāciju vai regulējumu, varētu būt prasība kriptoaktīvu pakalpojumu sniedzējiem, kas sniedz ziņojumus, proaktīvi reģistrēties valsts centralizētajā reģistrā. Jurisdikcijas varētu arī apsvērt iespēju piemērot prasību sniegt nulles ziņojumu kriptoaktīvu pakalpojumu sniedzējiem, kas sniedz ziņojumus. Varētu arī izskatīt iespēju izveidot mehānismu (piemēram, anonīmu tālruņa līniju vai iesūtni), ko izmantot, lai iestādēm varētu sniegt ziņas par neatbilstīgiem kriptoaktīvu pakalpojumu sniedzējiem, kas sniedz ziņojumus. Turklāt jurisdikcijas varētu izvērtēt iespēju ieviest prasību, kas paredz, ka tad, ja pašmāju kriptoaktīvu lietotāji ir izmantojuši kriptoaktīvu pakalpojumu sniedzējus, kas sniedz ziņojumus, tiem ir jānorāda, piemēram, savās nodokļu deklarācijās šo pakalpojumu sniedzēju nosaukums un adrese. Tas ļautu nodokļu iestādēm identificēt kriptoaktīvu pakalpojumu sniedzējus, kas sniedz ziņojumus, savā jurisdikcijā vai partnerības jurisdikcijā. Partnerības jurisdikcijām dažkārt jāturpina koordinācija, lai </w:t>
      </w:r>
      <w:r>
        <w:rPr>
          <w:rFonts w:ascii="Times New Roman" w:hAnsi="Times New Roman"/>
          <w:sz w:val="24"/>
        </w:rPr>
        <w:lastRenderedPageBreak/>
        <w:t xml:space="preserve">nodrošinātu, ka tiek identificēti kriptoaktīvu pakalpojumu sniedzēji, kas sniedz ziņojumus un darbojas pārrobežu kontekstā. Tālab, ja jurisdikcijai ir pamats uzskatīt, ka kriptoaktīvu pakalpojumu sniedzējs, kas sniedz ziņojumus un kam ir saikne ar citu jurisdikciju, nav šādi identificēts, tā varētu paļauties uz mehānismiem, kas paredzēti kompetento iestāžu nolīgumos par informācijas apmaiņu saskaņā ar </w:t>
      </w:r>
      <w:r>
        <w:rPr>
          <w:rFonts w:ascii="Times New Roman" w:hAnsi="Times New Roman"/>
          <w:i/>
          <w:iCs/>
          <w:sz w:val="24"/>
        </w:rPr>
        <w:t>CARF</w:t>
      </w:r>
      <w:r>
        <w:rPr>
          <w:rFonts w:ascii="Times New Roman" w:hAnsi="Times New Roman"/>
          <w:sz w:val="24"/>
        </w:rPr>
        <w:t>. Visbeidzot, jurisdikcijas varētu izskatīt iespēju paļauties uz publiski pieejamiem resursiem, piemēram, tirgus izpētes portāliem, lai noteiktu kriptoaktīvu pakalpojumu sniedzējus, kas sniedz ziņojumus un kam ir saikne ar to jurisdikciju. Papildu mehānismu pietiekamība apvienojumā ar valsts iekšējo tiesisko regulējumu ir jānovērtē kopumā. Ja jurisdikcijām ir nepieciešami papildu mehānismi, tām jānodrošina, ka izvēlētie mehānismi ir pietiekami stingri, lai sasniegtu mērķi identificēt kriptoaktīvu pakalpojumu sniedzējus, kas sniedz ziņojumus un kam ir saikne ar šo jurisdikciju.</w:t>
      </w:r>
    </w:p>
    <w:p w14:paraId="5B66F449" w14:textId="77777777" w:rsidR="00491410" w:rsidRPr="00A837D9"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51" w:name="Ensuring_compliance_of_Reporting_Crypto-"/>
      <w:bookmarkEnd w:id="151"/>
      <w:r>
        <w:rPr>
          <w:rFonts w:ascii="Times New Roman" w:hAnsi="Times New Roman"/>
          <w:b/>
          <w:i/>
          <w:sz w:val="26"/>
        </w:rPr>
        <w:t>Kā nodrošināt, ka kriptoaktīvu pakalpojumu sniedzēji, kas sniedz ziņojumus, izpilda pienācīgas pārbaudes un ziņošanas prasības</w:t>
      </w:r>
    </w:p>
    <w:p w14:paraId="17B6889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10. Tiklīdz jurisdikcija ir identificējusi kriptoaktīvu pakalpojumu sniedzējus, kas sniedz ziņojumus un kam ir pienācīgas pārbaudes un ziņošanas pienākumi šajā jurisdikcijā, šai jurisdikcijai jānodrošina, ka šāds kriptoaktīvu pakalpojumu sniedzējs izpilda II un III pantā noteiktās ziņošanas un pienācīgas pārbaudes procedūras, kamēr vien šie pienākumi pastāv. Tālab jurisdikcijai jāieceļ viena vai vairākas administratīvas struktūras, kurām jānodrošina, pamatojoties uz samērīgu un uz riskiem balstītu atbilstības stratēģiju, ka kriptoaktīvu pakalpojumu sniedzēji, kas sniedz ziņojumus, izpilda II un III pantā noteiktos ziņošanas un pienācīgas pārbaudes pienākumus.</w:t>
      </w:r>
    </w:p>
    <w:p w14:paraId="50A2A3D4" w14:textId="77777777" w:rsidR="00491410" w:rsidRPr="00A837D9" w:rsidRDefault="00491410" w:rsidP="00491410">
      <w:pPr>
        <w:widowControl w:val="0"/>
        <w:autoSpaceDE w:val="0"/>
        <w:autoSpaceDN w:val="0"/>
        <w:spacing w:before="120" w:after="120" w:line="240" w:lineRule="auto"/>
        <w:ind w:left="142"/>
        <w:jc w:val="both"/>
        <w:outlineLvl w:val="4"/>
        <w:rPr>
          <w:rFonts w:ascii="Times New Roman" w:eastAsia="Arial" w:hAnsi="Times New Roman" w:cs="Arial"/>
          <w:i/>
          <w:iCs/>
          <w:kern w:val="0"/>
          <w:sz w:val="26"/>
          <w:szCs w:val="26"/>
          <w14:ligatures w14:val="none"/>
        </w:rPr>
      </w:pPr>
      <w:bookmarkStart w:id="152" w:name="Designated_administrative_bodies_with_po"/>
      <w:bookmarkEnd w:id="152"/>
      <w:r>
        <w:rPr>
          <w:rFonts w:ascii="Times New Roman" w:hAnsi="Times New Roman"/>
          <w:i/>
          <w:color w:val="616161"/>
          <w:sz w:val="26"/>
        </w:rPr>
        <w:t>Ieceltās administratīvās struktūras, kas pilnvarotas pārbaudīt, vai kriptoaktīvu pakalpojumu sniedzēji, kas sniedz ziņojumus, ir atbilstīgi</w:t>
      </w:r>
    </w:p>
    <w:p w14:paraId="0A73E4D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11. Vispirms jurisdikcijām ir jāieceļ viena vai vairākas administratīvas struktūras (piemēram, nodokļu iestāde vai finanšu uzraugs), kas pilnvarotas pārbaudīt, vai kriptoaktīvu pakalpojumu sniedzēji, kas sniedz ziņojumus, izpilda pienācīgas pārbaudes un ziņošanas pienākumus šajā jurisdikcijā. Jurisdikcijām arī jānodrošina, ka šīm ieceltajām struktūrām ir pietiekami resursi pienācīgi pārbaudīt, vai kriptoaktīvu pakalpojumu sniedzēji, kas sniedz ziņojumus, izpilda pienācīgas pārbaudes un ziņošanas pienākumus. Jurisdikcija varētu arī izskatīt iespēju izmantot alternatīvus mehānismus, kas mazina slogu valsts iestāžu resursiem, ciktāl ar šādiem mehānismiem var uzticami pārbaudīt, vai kriptoaktīvu pakalpojumu sniedzēji, kas sniedz ziņojumus, ir atbilstīgi (piemēram, var paļauties uz citiem valdības departamentiem vai aģentūrām, vai pakalpojuma sniedzējiem, kas ir trešās personas, lai pārbaudītu, vai kriptoaktīvu pakalpojumu sniedzēji, kas sniedz ziņojumus, izpilda pienācīgas pārbaudes un ziņošanas prasības), ar nosacījumu, ka valsts iestādes saglabā pārskatatbildību.</w:t>
      </w:r>
    </w:p>
    <w:p w14:paraId="1B1EEA5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12. Lai nodrošinātu, ka valsts iestādes var pārbaudīt šo kriptoaktīvu pakalpojumu sniedzēju atbilstību, jurisdikcijai ir jābūt izstrādātiem noteikumiem, saskaņā ar kuriem kriptoaktīvu pakalpojumu sniedzējiem, kas sniedz ziņojumus un kam ir pienācīgas pārbaudes un ziņošanas pienākumi šajās jurisdikcijās, ir prasīts turēt pierakstus par veiktajiem pasākumiem un pierādījumus, pamatojoties uz kuriem ir izpildītas III pantā noteiktās pienācīgas pārbaudes procedūras, kā arī tādēļ, lai klasificētu attiecīgos darījumus, kriptoaktīvus un attiecīgos kriptoaktīvus, kas noteikti IV pantā.</w:t>
      </w:r>
    </w:p>
    <w:p w14:paraId="0C11DEF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13. Jurisdikcijām ir jābūt izstrādātiem noteikumiem, kuros nodokļu maksātājam vai trešajai personai noteikts pienākums sniegt dokumentus, kas ir nepieciešami attiecīgās jurisdikcijas nodokļu tiesību aktu piemērošanai. Šie noteikumi jāpiemēro arī nolūkā iegūt informāciju, kas nepieciešama, lai atbildētu uz informācijas pieprasījumu, ko iesniedzis informācijas apmaiņas partneris saskaņā ar informācijas apmaiņas instrumentu. Jurisdikcijai ir jābūt ieviestiem atbilstošiem pasākumiem, lai nodrošinātu, ka valsts iestādēm pēc pieprasījuma ir pieejami pieraksti, ko veikuši kriptoaktīvu pakalpojumu sniedzēji, kas sniedz ziņojumus, attiecībā uz </w:t>
      </w:r>
      <w:r>
        <w:rPr>
          <w:rFonts w:ascii="Times New Roman" w:hAnsi="Times New Roman"/>
          <w:sz w:val="24"/>
        </w:rPr>
        <w:lastRenderedPageBreak/>
        <w:t>pienācīgas pārbaudes un ziņošanas pienākumiem šajā jurisdikcijā, lai šīs iestādes varētu pārskatīt šo pakalpojuma sniedzēju atbilstību.</w:t>
      </w:r>
    </w:p>
    <w:p w14:paraId="24A3296F" w14:textId="77777777" w:rsidR="00491410" w:rsidRPr="00A837D9" w:rsidRDefault="00491410" w:rsidP="00491410">
      <w:pPr>
        <w:widowControl w:val="0"/>
        <w:autoSpaceDE w:val="0"/>
        <w:autoSpaceDN w:val="0"/>
        <w:spacing w:before="120" w:after="120" w:line="240" w:lineRule="auto"/>
        <w:ind w:left="142"/>
        <w:jc w:val="both"/>
        <w:outlineLvl w:val="4"/>
        <w:rPr>
          <w:rFonts w:ascii="Times New Roman" w:eastAsia="Arial" w:hAnsi="Times New Roman" w:cs="Arial"/>
          <w:i/>
          <w:iCs/>
          <w:kern w:val="0"/>
          <w:sz w:val="26"/>
          <w:szCs w:val="26"/>
          <w14:ligatures w14:val="none"/>
        </w:rPr>
      </w:pPr>
      <w:bookmarkStart w:id="153" w:name="Verification_issues_related_to_reporting"/>
      <w:bookmarkEnd w:id="153"/>
      <w:r>
        <w:rPr>
          <w:rFonts w:ascii="Times New Roman" w:hAnsi="Times New Roman"/>
          <w:i/>
          <w:color w:val="616161"/>
          <w:sz w:val="26"/>
        </w:rPr>
        <w:t>Pārbaužu jautājumi saistībā ar CARF noteiktajām ziņošanas prasībām</w:t>
      </w:r>
    </w:p>
    <w:p w14:paraId="2279454B"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14. Jurisdikcijai jāpārbauda, vai kriptoaktīvu pakalpojumu sniedzēji, kas sniedz ziņojumus un kam ir pienācīgas pārbaudes un ziņošanas pienākumi šajā jurisdikcija, ir izpildījuši II pantā noteiktās prasības. Tostarp jānodrošina, ka kriptoaktīvu pakalpojumu sniedzējs, kas sniedz ziņojumus, ir pareizi un savlaicīgi paziņojis informāciju jurisdikcijas nodokļu iestādei (vai citai atbilstošai iestādei).</w:t>
      </w:r>
    </w:p>
    <w:p w14:paraId="21640A0B" w14:textId="77777777" w:rsidR="00491410" w:rsidRPr="00A837D9"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15. Kopumā II pantā sniegtās ziņošanas prasības tiek noteiktas atkarībā no kriptoaktīvu klasifikācijas, ko veicis kriptoaktīvu pakalpojumu sniedzējs, kas sniedz ziņojumus. Proti, </w:t>
      </w:r>
      <w:r>
        <w:rPr>
          <w:rFonts w:ascii="Times New Roman" w:hAnsi="Times New Roman"/>
          <w:i/>
          <w:iCs/>
          <w:sz w:val="24"/>
        </w:rPr>
        <w:t>CARF</w:t>
      </w:r>
      <w:r>
        <w:rPr>
          <w:rFonts w:ascii="Times New Roman" w:hAnsi="Times New Roman"/>
          <w:sz w:val="24"/>
        </w:rPr>
        <w:t xml:space="preserve"> ir noteikti vairāki izņēmumi, kad kriptoaktīvu pakalpojumu sniedzējiem, kas sniedz ziņojumus, netiek piemērots ziņošanas pienākums attiecībā uz kriptoaktīviem, kurus nevar izmantot maksājumu vai ieguldījumu nolūkos, noteiktiem elektroniskās naudas produktiem un kriptoaktīviem, kas ir centrālās bankas digitālās valūtas. Tāpēc jurisdikcijām jāpārbauda, ka kriptoaktīvu pakalpojumu sniedzēji, kas sniedz ziņojumus, pareizi piemēro IV pantā sniegtās definīcijas attiecībā uz attiecīgajiem kriptoaktīviem.</w:t>
      </w:r>
    </w:p>
    <w:p w14:paraId="15E1F987"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16. Noteikti pārvedumi, kurus veikuši kriptoaktīvu pakalpojumu sniedzēji, kas sniedz ziņojumus, dažkārt arī ir rūpīgi sīkāk jāpārbauda. Piemēram, jurisdikcija var konstatēt, ka kriptoaktīvu pakalpojumu sniedzēji, kas sniedz ziņojumus, fiziskās personas, vienības vai tirgotāji cenšas sadrumstalot darījuma summas, piemēram, mazumtirdzniecības summas, lai izvairītos no ziņošanas pienākumiem attiecībā uz darījumiem, kas citādi atbilst termina “maksājumu darījums, par kuru jāsniedz ziņojums” definīcijai. Šādā gadījumā jurisdikcijai jānodrošina, ka šādus darījumus uzskata par mazumtirdzniecības maksājumu darījumiem, par kuriem jāsniedz ziņojums, un attiecīgi par tiem ziņo.</w:t>
      </w:r>
    </w:p>
    <w:p w14:paraId="192E65FE" w14:textId="77777777" w:rsidR="00491410" w:rsidRPr="00A837D9" w:rsidRDefault="00491410" w:rsidP="00491410">
      <w:pPr>
        <w:widowControl w:val="0"/>
        <w:autoSpaceDE w:val="0"/>
        <w:autoSpaceDN w:val="0"/>
        <w:spacing w:before="120" w:after="120" w:line="240" w:lineRule="auto"/>
        <w:ind w:left="142"/>
        <w:jc w:val="both"/>
        <w:outlineLvl w:val="4"/>
        <w:rPr>
          <w:rFonts w:ascii="Times New Roman" w:eastAsia="Arial" w:hAnsi="Times New Roman" w:cs="Arial"/>
          <w:i/>
          <w:iCs/>
          <w:kern w:val="0"/>
          <w:sz w:val="26"/>
          <w:szCs w:val="26"/>
          <w14:ligatures w14:val="none"/>
        </w:rPr>
      </w:pPr>
      <w:bookmarkStart w:id="154" w:name="Verification_issues_related_to_due_dilig"/>
      <w:bookmarkEnd w:id="154"/>
      <w:r>
        <w:rPr>
          <w:rFonts w:ascii="Times New Roman" w:hAnsi="Times New Roman"/>
          <w:i/>
          <w:color w:val="616161"/>
          <w:sz w:val="26"/>
        </w:rPr>
        <w:t>Pārbaužu jautājumi saistībā ar CARF noteiktajām pienācīgas pārbaudes prasībām</w:t>
      </w:r>
    </w:p>
    <w:p w14:paraId="240B92B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17. Papildus tam, ka jāpārbauda ziņošanas prasību izpilde, jurisdikcijai arī jāpārbauda, vai kriptoaktīvu pakalpojumu sniedzēji, kas sniedz ziņojumus un kam ir pienācīgas pārbaudes un ziņošanas pienākumi šajā jurisdikcijā, ir izpildījuši III pantā noteiktās pienācīgas pārbaudes prasības. Šāda pārbaude jo īpaši jāveic, lai nodrošinātu, ka kriptoaktīvu pakalpojumu sniedzēji, kas sniedz ziņojumus, precīzi un savlaicīgi ievāc pašapliecinājumus par kriptoaktīvu lietotājiem un kontrolējošām personām un pārbauda to derīgumu. Tiek atzīts, ka atkarībā no tā, kādu statusu saistībā ar </w:t>
      </w:r>
      <w:r>
        <w:rPr>
          <w:rFonts w:ascii="Times New Roman" w:hAnsi="Times New Roman"/>
          <w:i/>
          <w:iCs/>
          <w:sz w:val="24"/>
        </w:rPr>
        <w:t>FATF</w:t>
      </w:r>
      <w:r>
        <w:rPr>
          <w:rFonts w:ascii="Times New Roman" w:hAnsi="Times New Roman"/>
          <w:sz w:val="24"/>
        </w:rPr>
        <w:t xml:space="preserve"> ieteikumu īstenošanu jurisdikcijas valstī piemēro virtuālā aktīva pakalpojumu sniedzējiem, var gadīties, ka kriptoaktīvu pakalpojumu sniedzējs, kas sniedz ziņojumus, netiek uzskatīts par personu, kam piemērojamas </w:t>
      </w:r>
      <w:r>
        <w:rPr>
          <w:rFonts w:ascii="Times New Roman" w:hAnsi="Times New Roman"/>
          <w:i/>
          <w:iCs/>
          <w:sz w:val="24"/>
        </w:rPr>
        <w:t>AML</w:t>
      </w:r>
      <w:r>
        <w:rPr>
          <w:rFonts w:ascii="Times New Roman" w:hAnsi="Times New Roman"/>
          <w:sz w:val="24"/>
        </w:rPr>
        <w:t xml:space="preserve"> saistības jurisdikcijā, kurā tai piemērojamas II un III pantā norādītās ziņošanas un pienācīgas pārbaudes saistības. III panta B punkta 2. apakšpunkta a) daļā ir precizēts, ka tad, ja kriptoaktīvu pakalpojumu sniedzējam, kas sniedz ziņojumus, nav juridiski noteikts pienākums piemērot </w:t>
      </w:r>
      <w:r>
        <w:rPr>
          <w:rFonts w:ascii="Times New Roman" w:hAnsi="Times New Roman"/>
          <w:i/>
          <w:iCs/>
          <w:sz w:val="24"/>
        </w:rPr>
        <w:t>AML/KYC</w:t>
      </w:r>
      <w:r>
        <w:rPr>
          <w:rFonts w:ascii="Times New Roman" w:hAnsi="Times New Roman"/>
          <w:sz w:val="24"/>
        </w:rPr>
        <w:t xml:space="preserve"> procedūras, kas saskan ar </w:t>
      </w:r>
      <w:r>
        <w:rPr>
          <w:rFonts w:ascii="Times New Roman" w:hAnsi="Times New Roman"/>
          <w:i/>
          <w:iCs/>
          <w:sz w:val="24"/>
        </w:rPr>
        <w:t>FATF</w:t>
      </w:r>
      <w:r>
        <w:rPr>
          <w:rFonts w:ascii="Times New Roman" w:hAnsi="Times New Roman"/>
          <w:sz w:val="24"/>
        </w:rPr>
        <w:t xml:space="preserve"> 2012. gada ieteikumiem (kas atjaunināti 2019. gadā attiecībā uz virtuālo aktīvu pakalpojumu sniedzējiem), tam kontrolējošo personu noteikšanai jāpiemēro pēc būtības līdzīgas procedūras. Ja kriptoaktīvu pakalpojumu sniedzējam, kas sniedz ziņojumus, ir pienākums piemērot šādas būtībā līdzīgas procedūras, jurisdikcijai ir pienākums pārbaudīt un nodrošināt, ka šīs procedūras atbilst prasībām par kontrolējošo personu identificēšanu.</w:t>
      </w:r>
    </w:p>
    <w:p w14:paraId="6B0887B0" w14:textId="77777777" w:rsidR="00491410" w:rsidRPr="00A837D9"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55" w:name="Raising_awareness_of,_and_promoting_and_"/>
      <w:bookmarkEnd w:id="155"/>
      <w:r>
        <w:rPr>
          <w:rFonts w:ascii="Times New Roman" w:hAnsi="Times New Roman"/>
          <w:b/>
          <w:i/>
          <w:sz w:val="26"/>
        </w:rPr>
        <w:t xml:space="preserve">Izpratnes vairošana par </w:t>
      </w:r>
      <w:r>
        <w:rPr>
          <w:rFonts w:ascii="Times New Roman" w:hAnsi="Times New Roman"/>
          <w:b/>
          <w:i/>
          <w:iCs/>
          <w:sz w:val="26"/>
        </w:rPr>
        <w:t>CARF</w:t>
      </w:r>
      <w:r>
        <w:rPr>
          <w:rFonts w:ascii="Times New Roman" w:hAnsi="Times New Roman"/>
          <w:b/>
          <w:i/>
          <w:sz w:val="26"/>
        </w:rPr>
        <w:t>, tās ievērošana un izpildes panākšana</w:t>
      </w:r>
    </w:p>
    <w:p w14:paraId="414A6BE4" w14:textId="77777777" w:rsidR="00491410" w:rsidRPr="003A1063" w:rsidRDefault="00491410" w:rsidP="00D90D91">
      <w:pPr>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18. Jurisdikcijām jāievieš efektīvi pasākumi, lai vairotu izpratni par pienācīgas pārbaudes un ziņošanas pienākumiem šajās jurisdikcijās un veicinātu to izpildi. Attiecīgi jurisdikcijām jāīsteno atbilstoši pasākumi, kuru mērķis ir nodrošināt, ka to jurisdikcijā esošie kriptoaktīvu pakalpojumu sniedzēji, kas sniedz ziņojumus, ir informēti par saiknes, pienācīgas pārbaudes un ziņošanas prasībām jurisdikcijas tiesībās. Jurisdikcijām arī jānodrošina, ka kriptoaktīvu </w:t>
      </w:r>
      <w:r>
        <w:rPr>
          <w:rFonts w:ascii="Times New Roman" w:hAnsi="Times New Roman"/>
          <w:sz w:val="24"/>
        </w:rPr>
        <w:lastRenderedPageBreak/>
        <w:t>pakalpojumu sniedzējiem, kas sniedz ziņojumus un ir to jurisdikcijā, ir pieejama nepieciešamā informācija.</w:t>
      </w:r>
    </w:p>
    <w:p w14:paraId="5F19D48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19. Jurisdikcijām jābūt ieviestiem arī izpildes pasākumiem, lai risinātu neatbilstības gadījumus, un jābūt iespējai piemērot atbilstīgus administratīvus un/vai krimināltiesiskus sodus kriptoaktīvu pakalpojumu sniedzējiem, kas sniedz ziņojumus, ja netiek izpildītas II un III pantā norādītās ziņošanas un pienācīgas pārbaudes procedūras, kā arī tad, ja netiek sniegtas atbildes uz iestāžu pieprasījumiem.</w:t>
      </w:r>
    </w:p>
    <w:p w14:paraId="7CFB42EA" w14:textId="77777777" w:rsidR="00491410" w:rsidRPr="00A837D9"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20. Jurisdikcijām jābūt ieviestiem stingriem pasākumiem, lai nodrošinātu, ka tiek vienmēr ievākti derīgi pašapliecinājumi par kriptoaktīvu pakalpojumu sniedzējiem, kas sniedz ziņojumus, un kontrolējošām personām. Šajā kontekstā katrā jurisdikcijā var būt sava izpratne par to, kas ir “stingrs pasākums”, un tas jānovērtē, ņemot vērā pasākuma faktiskos rezultātus. Lai noteiktu, kādus pasākumus var kvalificēt kā “stingrus pasākumus”, izšķirīgs kritērijs ir tas, vai pasākumi pietiekami spēcīgi ietekmē kriptoaktīvu lietotājus, kontrolējošās personas un/vai kriptoaktīvu pakalpojumu sniedzējus, kas sniedz ziņojumus, lai faktiski nodrošinātu, ka tiek iegūti pašapliecinājumi un ka tiek pārbaudīts to derīgums saskaņā ar </w:t>
      </w:r>
      <w:r>
        <w:rPr>
          <w:rFonts w:ascii="Times New Roman" w:hAnsi="Times New Roman"/>
          <w:i/>
          <w:iCs/>
          <w:sz w:val="24"/>
        </w:rPr>
        <w:t>CARF</w:t>
      </w:r>
      <w:r>
        <w:rPr>
          <w:rFonts w:ascii="Times New Roman" w:hAnsi="Times New Roman"/>
          <w:sz w:val="24"/>
        </w:rPr>
        <w:t xml:space="preserve"> noteikumiem. Efektīvs paņēmiens, kā sasniegt šo mērķi, ir tiesību aktos noteikt, ka tamdēļ, lai veiktu darījumus, ir jāsaņem derīgs pašapliecinājums. Citas jurisdikcijas var izvēlēties citas metodes, ņemot vērā savus valsts tiesību aktus. Piemēram, var piemērot būtiskus sodus kriptoaktīvu lietotājiem un kontrolējošām personām, ja tie neiesniedz pašapliecinājumu, vai kriptoaktīvu pakalpojumu sniedzējiem, kas sniedz ziņojumus, ja tie neveic atbilstošus pasākumus, lai iegūtu pašapliecinājumus. Papildus administratīviem pasākumiem un sodiem stingri pasākumi varētu būt arī prasība ieturēt nodokli par veiktajiem darījumiem, ja nav iesniegts derīgs pašapliecinājums. Turklāt, lai uzlabotu pašapliecinājumu uzticamību, jurisdikcijām savos tiesību aktos ir jāiekļauj īpaši noteikumi, kas paredz sankcijas par nepatiesa vai būtiski nepareiza pašapliecinājuma parakstīšanu (vai citādu apstiprināšanu).</w:t>
      </w:r>
    </w:p>
    <w:p w14:paraId="4E42FF3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21. Papildus izpildes pasākumiem, kas veicami, lai risinātu neatbilstības gadījumus, jurisdikcijām jācenšas identificēt praksi, kas, pamatojoties uz iekšzemes kontekstu, potenciāli var apdraudēt pienācīgas pārbaudes un ziņošanas pienākumu efektivitāti šajā jurisdikcijā, un, reaģējot uz to, jāveic atbilstoši atbilstības pasākumi. Jo īpaši jurisdikcijai jābūt izstrādātiem noteikumiem, kas nepieļauj, ka kriptoaktīvu pakalpojumu sniedzēji, kas sniedz ziņojumus, personas vai starpnieki ievieš praksi nolūkā apiet pienācīgas pārbaudes un ziņošanas pienākumus šajā jurisdikcijā. Jurisdikcija varētu pieņemt citus pasākumus, piemēram, izvērtēt, vai riski, ko rada kriptoaktīvu tirgus lielā mobilitāte, attaisno papildu pasākumu ieviešanu, ja tā konstatē, ka kriptoaktīvu pakalpojumu sniedzējs, kas sniedz ziņojumus tās jurisdikcijā, veic pārrobežu darījumus ar kriptoaktīviem jurisdikcijās, kas nav partnerības jurisdikcijas, nolūkā izvairīties no ziņošanas prasībām, kas noteiktas tās tiesību aktos. Līdzīgi jurisdikcija varētu izvērtēt, vai tās kriptoaktīvu tirgus daļas, kas ir decentralizētas (piemēram, decentralizētās finanšu platformas), rada īpašu risku iekšzemes kontekstā, ja tā konstatē, ka vienības vai fiziskas personas maldinoši apgalvo, ka nav kriptoaktīvu pakalpojumu sniedzēji, kas sniedz ziņojumus, lai arī faktiski tās kontrolē vai pietiekami ietekmē tirdzniecības platformu, kas veic maiņas darījumus.</w:t>
      </w:r>
    </w:p>
    <w:p w14:paraId="7B45FD0E" w14:textId="77777777" w:rsidR="00491410" w:rsidRDefault="00491410" w:rsidP="00491410">
      <w:pPr>
        <w:rPr>
          <w:rFonts w:ascii="Times New Roman" w:eastAsia="Arial" w:hAnsi="Times New Roman" w:cs="Arial"/>
          <w:kern w:val="0"/>
          <w:sz w:val="24"/>
          <w:szCs w:val="20"/>
          <w14:ligatures w14:val="none"/>
        </w:rPr>
      </w:pPr>
      <w:r>
        <w:br w:type="page"/>
      </w:r>
    </w:p>
    <w:p w14:paraId="4709E9A3" w14:textId="77777777" w:rsidR="00491410" w:rsidRPr="00E17908" w:rsidRDefault="00491410" w:rsidP="00491410">
      <w:pPr>
        <w:pStyle w:val="Heading1"/>
        <w:spacing w:before="120" w:after="120" w:line="240" w:lineRule="auto"/>
        <w:rPr>
          <w:rFonts w:ascii="Times New Roman" w:eastAsia="Arial" w:hAnsi="Times New Roman" w:cs="Times New Roman"/>
          <w:b/>
          <w:bCs/>
          <w:noProof/>
          <w:color w:val="0B769F" w:themeColor="accent4" w:themeShade="BF"/>
          <w:sz w:val="72"/>
          <w:szCs w:val="72"/>
          <w:u w:val="single"/>
        </w:rPr>
      </w:pPr>
      <w:bookmarkStart w:id="156" w:name="_Toc241753070"/>
      <w:r>
        <w:rPr>
          <w:rFonts w:ascii="Times New Roman" w:hAnsi="Times New Roman"/>
          <w:b/>
          <w:color w:val="0B769F" w:themeColor="accent4" w:themeShade="BF"/>
          <w:sz w:val="72"/>
          <w:u w:val="single"/>
        </w:rPr>
        <w:lastRenderedPageBreak/>
        <w:t>4.</w:t>
      </w:r>
      <w:r>
        <w:rPr>
          <w:rFonts w:ascii="Times New Roman" w:hAnsi="Times New Roman"/>
          <w:b/>
          <w:color w:val="0B769F" w:themeColor="accent4" w:themeShade="BF"/>
          <w:sz w:val="72"/>
        </w:rPr>
        <w:t xml:space="preserve"> </w:t>
      </w:r>
      <w:r>
        <w:rPr>
          <w:rFonts w:ascii="Times New Roman" w:hAnsi="Times New Roman"/>
          <w:b/>
          <w:color w:val="0B769F" w:themeColor="accent4" w:themeShade="BF"/>
          <w:sz w:val="48"/>
        </w:rPr>
        <w:t>Kompetento iestāžu daudzpusējais nolīgums</w:t>
      </w:r>
      <w:bookmarkEnd w:id="156"/>
    </w:p>
    <w:p w14:paraId="6254ED40"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6F1EA4B0" w14:textId="77777777" w:rsidR="00491410" w:rsidRPr="00E17908"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57" w:name="_Toc241753071"/>
      <w:r>
        <w:rPr>
          <w:rFonts w:ascii="Times New Roman" w:hAnsi="Times New Roman"/>
          <w:b/>
          <w:color w:val="0B769F" w:themeColor="accent4" w:themeShade="BF"/>
          <w:sz w:val="26"/>
        </w:rPr>
        <w:t>Kompetento iestāžu daudzpusējais nolīgums par informācijas automātisku apmaiņu saskaņā ar kriptoaktīvu ziņošanas sistēmu</w:t>
      </w:r>
      <w:bookmarkEnd w:id="157"/>
    </w:p>
    <w:p w14:paraId="05A0D81F" w14:textId="77777777" w:rsidR="00491410" w:rsidRPr="00E17908"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p>
    <w:p w14:paraId="068FCB32" w14:textId="77777777" w:rsidR="00491410" w:rsidRPr="00E17908"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58" w:name="_Toc241753072"/>
      <w:r>
        <w:rPr>
          <w:rFonts w:ascii="Times New Roman" w:hAnsi="Times New Roman"/>
          <w:b/>
          <w:color w:val="0B769F" w:themeColor="accent4" w:themeShade="BF"/>
          <w:sz w:val="26"/>
        </w:rPr>
        <w:t>DEKLARĀCIJA</w:t>
      </w:r>
      <w:bookmarkEnd w:id="158"/>
    </w:p>
    <w:p w14:paraId="5572FDE7"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kern w:val="0"/>
          <w:sz w:val="24"/>
          <w:szCs w:val="20"/>
          <w14:ligatures w14:val="none"/>
        </w:rPr>
      </w:pPr>
    </w:p>
    <w:p w14:paraId="37835E5C"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kern w:val="0"/>
          <w:sz w:val="24"/>
          <w:szCs w:val="20"/>
          <w14:ligatures w14:val="none"/>
        </w:rPr>
      </w:pPr>
    </w:p>
    <w:p w14:paraId="45C7C849"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kern w:val="0"/>
          <w:sz w:val="24"/>
          <w:szCs w:val="20"/>
          <w14:ligatures w14:val="none"/>
        </w:rPr>
      </w:pPr>
    </w:p>
    <w:p w14:paraId="1C5B82B2"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Es, [VĀRDS, UZVĀRDS un AMATS], [JURISDIKCIJAS] kompetentās iestādes vārdā apliecinu, ka piekrītu izpildīt noteikumus, kas izklāstīti šai deklarācijai pievienotajā</w:t>
      </w:r>
    </w:p>
    <w:p w14:paraId="7DB1A8E6"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23A96F46" w14:textId="77777777" w:rsidR="00491410" w:rsidRPr="003A1063" w:rsidRDefault="00491410" w:rsidP="00491410">
      <w:pPr>
        <w:widowControl w:val="0"/>
        <w:autoSpaceDE w:val="0"/>
        <w:autoSpaceDN w:val="0"/>
        <w:spacing w:before="120" w:after="120" w:line="240" w:lineRule="auto"/>
        <w:jc w:val="center"/>
        <w:rPr>
          <w:rFonts w:ascii="Times New Roman" w:eastAsia="Arial" w:hAnsi="Times New Roman" w:cs="Arial"/>
          <w:i/>
          <w:kern w:val="0"/>
          <w:sz w:val="24"/>
          <w14:ligatures w14:val="none"/>
        </w:rPr>
      </w:pPr>
      <w:r>
        <w:rPr>
          <w:rFonts w:ascii="Times New Roman" w:hAnsi="Times New Roman"/>
          <w:i/>
          <w:sz w:val="24"/>
        </w:rPr>
        <w:t>Kompetento iestāžu daudzpusējā nolīgumā par informācijas automātisku apmaiņu saskaņā ar kriptoaktīvu ziņošanas sistēmu,</w:t>
      </w:r>
    </w:p>
    <w:p w14:paraId="361EA3AD"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i/>
          <w:kern w:val="0"/>
          <w:sz w:val="24"/>
          <w:szCs w:val="20"/>
          <w14:ligatures w14:val="none"/>
        </w:rPr>
      </w:pPr>
    </w:p>
    <w:p w14:paraId="5079F61E"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turpmāk tekstā – “nolīgums”.</w:t>
      </w:r>
    </w:p>
    <w:p w14:paraId="71E3C7AB"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4A6FE51B"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[JURISDIKCIJAS] kompetentā iestāde ar šo deklarāciju ir uzskatāma par nolīguma parakstītāju no [DATUMS]. Nolīgums stāsies spēkā attiecībā uz [JURISDIKCIJAS] kompetento iestādi saskaņā ar tā 7. pantu.</w:t>
      </w:r>
    </w:p>
    <w:p w14:paraId="41B50B8F"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5989431E" w14:textId="77777777" w:rsidR="00491410"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Parakstīts [VIETA, DATUMS].</w:t>
      </w:r>
    </w:p>
    <w:p w14:paraId="01E0AB65" w14:textId="77777777" w:rsidR="00491410" w:rsidRDefault="00491410" w:rsidP="00491410">
      <w:pPr>
        <w:rPr>
          <w:rFonts w:ascii="Times New Roman" w:eastAsia="Arial" w:hAnsi="Times New Roman" w:cs="Arial"/>
          <w:kern w:val="0"/>
          <w:sz w:val="24"/>
          <w:szCs w:val="20"/>
          <w14:ligatures w14:val="none"/>
        </w:rPr>
      </w:pPr>
      <w:r>
        <w:br w:type="page"/>
      </w:r>
    </w:p>
    <w:p w14:paraId="231BFED6" w14:textId="77777777" w:rsidR="00491410" w:rsidRPr="00EA6A3F"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59" w:name="_Toc241753073"/>
      <w:r>
        <w:rPr>
          <w:rFonts w:ascii="Times New Roman" w:hAnsi="Times New Roman"/>
          <w:b/>
          <w:color w:val="0B769F" w:themeColor="accent4" w:themeShade="BF"/>
          <w:sz w:val="26"/>
        </w:rPr>
        <w:lastRenderedPageBreak/>
        <w:t>KOMPETENTO IESTĀŽU DAUDZPUSĒJAIS NOLĪGUMS PAR INFORMĀCIJAS AUTOMĀTISKU APMAIŅU SASKAŅĀ AR KRIPTOAKTĪVU ZIŅOŠANAS SISTĒMU</w:t>
      </w:r>
      <w:bookmarkEnd w:id="159"/>
    </w:p>
    <w:p w14:paraId="040C139E"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kern w:val="0"/>
          <w:sz w:val="24"/>
          <w:szCs w:val="20"/>
          <w14:ligatures w14:val="none"/>
        </w:rPr>
      </w:pPr>
    </w:p>
    <w:p w14:paraId="5E593D88"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Tā kā jurisdikcijas, kas parakstījušas šo Kompetento iestāžu daudzpusējo nolīgumu par informācijas automātisku apmaiņu saskaņā ar kriptoaktīvu ziņošanas sistēmu (turpmāk tekstā – “nolīgums”), ir dalībvalstis vai teritorijas, kurām piemērojama Konvencija par savstarpējo administratīvo palīdzību nodokļu jautājumos vai Konvencija par savstarpējo administratīvo palīdzību nodokļu jautājumos, kas grozīta ar protokolu, kurā izdarīti minētās Konvencijas grozījumi (turpmāk tekstā – “Konvencija”; kopā saukta – “Konvencija”, atsevišķi attiecīgi – “sākotnējā Konvencija” vai “grozītā Konvencija”);</w:t>
      </w:r>
    </w:p>
    <w:p w14:paraId="209A7FE5"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tā kā jurisdikcijas paredz uzlabot nodokļu saistību izpildi starptautiskā līmenī, turpinot pilnveidot savas attiecības saistībā ar savstarpējo palīdzību nodokļu jautājumos;</w:t>
      </w:r>
    </w:p>
    <w:p w14:paraId="622946D6"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 xml:space="preserve">tā kā </w:t>
      </w:r>
      <w:r>
        <w:rPr>
          <w:rFonts w:ascii="Times New Roman" w:hAnsi="Times New Roman"/>
          <w:i/>
          <w:iCs/>
          <w:sz w:val="24"/>
        </w:rPr>
        <w:t>OECD</w:t>
      </w:r>
      <w:r>
        <w:rPr>
          <w:rFonts w:ascii="Times New Roman" w:hAnsi="Times New Roman"/>
          <w:sz w:val="24"/>
        </w:rPr>
        <w:t xml:space="preserve"> kopā ar G20 valstīm izstrādāja kriptoaktīvu ziņošanas sistēmu, lai apkarotu nodokļu nemaksāšanu, izvairīšanos no nodokļu maksāšanas un uzlabotu nodokļu saistību izpildi;</w:t>
      </w:r>
    </w:p>
    <w:p w14:paraId="648F66FE"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tā kā attiecīgo jurisdikciju tiesību aktos ir noteikts vai paredzams, ka tiks noteikts pienākums kriptoaktīvu pakalpojumu sniedzējiem, kas sniedz ziņojumus, sniegt informāciju par noteiktiem kriptoaktīviem un ievērot saistītās pienācīgas pārbaudes procedūras atbilstīgi šā nolīguma 2. pantā paredzētajam informācijas apmaiņas tvērumam un kriptoaktīvu ziņošanas sistēmā noteiktajām ziņošanas un pienācīgas pārbaudes procedūrām;</w:t>
      </w:r>
    </w:p>
    <w:p w14:paraId="6C6F03A6"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tā kā ir paredzēts, ka jurisdikciju tiesību akti laiku pa laikam tiks grozīti, lai atspoguļotu kriptoaktīvu ziņošanas sistēmas atjauninājumus, un ka pēc tam, kad jurisdikcijas būs ieviesušas šos grozījumus, tiks uzskatīts, ka termina “kriptoaktīvu ziņošanas sistēma” definīcija attiecīgajā jurisdikcijā attiecas uz šādu atjaunināto redakciju;</w:t>
      </w:r>
    </w:p>
    <w:p w14:paraId="79EBEE4A"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tā kā Konvencijas III nodaļā ir atļauts apmainīties ar informāciju ar nodokļiem saistītām vajadzībām, tostarp īstenot informācijas automātisku apmaiņu, un jurisdikciju kompetentajām iestādēm ļauts vienoties par šādas automātiskas apmaiņas procedūrām;</w:t>
      </w:r>
    </w:p>
    <w:p w14:paraId="6B2177CE"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tā kā Konvencijas 6. pantā ir noteikts, ka divas vai vairākas dalībvalstis [Puses] var savstarpēji vienoties par noteiktas informācijas automātisku apmaiņu, tomēr faktiskā informācijas apmaiņa notiks divpusējā līmenī;</w:t>
      </w:r>
    </w:p>
    <w:p w14:paraId="7DFDFB77"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tā kā jurisdikcijās ir ieviesti i) atbilstīgi aizsardzības pasākumi, ar ko tiek nodrošināts, ka informācija, kas saņemta saskaņā ar šo nolīgumu, saglabā konfidencialitāti un tiek izmantota vienīgi Konvencijā noteiktajām vajadzībām, un ii) infrastruktūra efektīvai informācijas apmaiņai (tostarp procesi informācijas precīzai un konfidenciālai apmaiņai noteiktajā termiņā, efektīvi un uzticami sakari un spēja ātri atrisināt jautājumus un bažas, kas saistītas ar informācijas apmaiņu vai informācijas apmaiņas pieprasījumiem, un spēja administrēt šā nolīguma 4. panta noteikumu piemērošanu);</w:t>
      </w:r>
    </w:p>
    <w:p w14:paraId="13A4F826"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tā kā jurisdikciju kompetentās iestādes vēlas noslēgt nolīgumu, lai saistībā ar kriptoaktīviem uzlabotu nodokļu saistību izpildi starptautiskā līmenī, pamatojoties uz informācijas automātisku apmaiņu saskaņā ar Konvenciju, neskarot valsts tiesību aktos noteiktās procedūras (ja tādas ir) un ievērojot Konvencijā paredzēto konfidencialitāti, datu aizsardzības pasākumus un citu aizsardzību, tostarp noteikumus, kas ierobežo tādas informācijas izmantošanu, kura iegūta informācijas apmaiņā saskaņā ar Konvenciju;</w:t>
      </w:r>
    </w:p>
    <w:p w14:paraId="3AD07D48" w14:textId="77777777" w:rsidR="00491410" w:rsidRPr="003A1063" w:rsidRDefault="00491410" w:rsidP="00491410">
      <w:pPr>
        <w:widowControl w:val="0"/>
        <w:autoSpaceDE w:val="0"/>
        <w:autoSpaceDN w:val="0"/>
        <w:spacing w:before="120" w:after="120" w:line="240" w:lineRule="auto"/>
        <w:ind w:firstLine="284"/>
        <w:jc w:val="both"/>
        <w:rPr>
          <w:rFonts w:ascii="Times New Roman" w:eastAsia="Arial" w:hAnsi="Times New Roman" w:cs="Arial"/>
          <w:kern w:val="0"/>
          <w:sz w:val="24"/>
          <w:szCs w:val="20"/>
          <w14:ligatures w14:val="none"/>
        </w:rPr>
      </w:pPr>
      <w:r>
        <w:rPr>
          <w:rFonts w:ascii="Times New Roman" w:hAnsi="Times New Roman"/>
          <w:sz w:val="24"/>
        </w:rPr>
        <w:t>ņemot vērā iepriekš minēto, kompetentās iestādes ir vienojušās par turpmāko.</w:t>
      </w:r>
    </w:p>
    <w:p w14:paraId="6B6304D3" w14:textId="77777777" w:rsidR="00491410"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p>
    <w:p w14:paraId="50BD1268" w14:textId="77777777" w:rsidR="00491410" w:rsidRPr="00EA6A3F"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60" w:name="_Toc241753074"/>
      <w:r>
        <w:rPr>
          <w:rFonts w:ascii="Times New Roman" w:hAnsi="Times New Roman"/>
          <w:b/>
          <w:color w:val="0B769F" w:themeColor="accent4" w:themeShade="BF"/>
          <w:sz w:val="26"/>
        </w:rPr>
        <w:lastRenderedPageBreak/>
        <w:t>1. PANTS</w:t>
      </w:r>
      <w:bookmarkEnd w:id="160"/>
    </w:p>
    <w:p w14:paraId="0077EE16" w14:textId="77777777" w:rsidR="00491410" w:rsidRPr="003A1063" w:rsidRDefault="00491410" w:rsidP="00491410">
      <w:pPr>
        <w:widowControl w:val="0"/>
        <w:autoSpaceDE w:val="0"/>
        <w:autoSpaceDN w:val="0"/>
        <w:spacing w:before="120" w:after="120" w:line="240" w:lineRule="auto"/>
        <w:jc w:val="center"/>
        <w:outlineLvl w:val="7"/>
        <w:rPr>
          <w:rFonts w:ascii="Times New Roman" w:eastAsia="Arial" w:hAnsi="Times New Roman" w:cs="Arial"/>
          <w:b/>
          <w:bCs/>
          <w:i/>
          <w:iCs/>
          <w:kern w:val="0"/>
          <w:sz w:val="24"/>
          <w:szCs w:val="20"/>
          <w14:ligatures w14:val="none"/>
        </w:rPr>
      </w:pPr>
      <w:r>
        <w:rPr>
          <w:rFonts w:ascii="Times New Roman" w:hAnsi="Times New Roman"/>
          <w:b/>
          <w:i/>
          <w:sz w:val="24"/>
        </w:rPr>
        <w:t>Definīcijas</w:t>
      </w:r>
    </w:p>
    <w:p w14:paraId="13F56E5A"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i/>
          <w:kern w:val="0"/>
          <w:sz w:val="24"/>
          <w:szCs w:val="20"/>
          <w14:ligatures w14:val="none"/>
        </w:rPr>
      </w:pPr>
    </w:p>
    <w:p w14:paraId="49973A8D"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Saistībā ar šo nolīgumu turpmāk minētie termini tiek lietoti turpmāk izklāstītajā nozīmē:</w:t>
      </w:r>
    </w:p>
    <w:p w14:paraId="49AE1FFB"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a) </w:t>
      </w:r>
      <w:r>
        <w:rPr>
          <w:rFonts w:ascii="Times New Roman" w:hAnsi="Times New Roman"/>
          <w:b/>
          <w:bCs/>
          <w:sz w:val="24"/>
        </w:rPr>
        <w:t>“jurisdikcija”</w:t>
      </w:r>
      <w:r>
        <w:rPr>
          <w:rFonts w:ascii="Times New Roman" w:hAnsi="Times New Roman"/>
          <w:sz w:val="24"/>
        </w:rPr>
        <w:t xml:space="preserve"> ir valsts vai teritorija, attiecībā uz kuru Konvencija ir spēkā vai darbojas saskaņā ar attiecīgi sākotnējo vai grozīto Konvenciju, parakstot un ratificējot to saskaņā ar 28. pantu vai paplašinot teritoriālo attiecinājumu saskaņā ar 29. pantu, un kura ir šā nolīguma parakstītāja;</w:t>
      </w:r>
    </w:p>
    <w:p w14:paraId="380DBFCB" w14:textId="77777777" w:rsidR="00491410" w:rsidRPr="00EA6A3F"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b) </w:t>
      </w:r>
      <w:r>
        <w:rPr>
          <w:rFonts w:ascii="Times New Roman" w:hAnsi="Times New Roman"/>
          <w:b/>
          <w:bCs/>
          <w:sz w:val="24"/>
        </w:rPr>
        <w:t>“kompetentā iestāde”</w:t>
      </w:r>
      <w:r>
        <w:rPr>
          <w:rFonts w:ascii="Times New Roman" w:hAnsi="Times New Roman"/>
          <w:sz w:val="24"/>
        </w:rPr>
        <w:t xml:space="preserve"> katrā attiecīgajā jurisdikcijā ir personas un iestādes, kas minētas Konvencijas B pielikumā;</w:t>
      </w:r>
    </w:p>
    <w:p w14:paraId="02839FE6" w14:textId="77777777" w:rsidR="00491410" w:rsidRPr="003A1063" w:rsidRDefault="00491410" w:rsidP="00491410">
      <w:pPr>
        <w:widowControl w:val="0"/>
        <w:tabs>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c) </w:t>
      </w:r>
      <w:r>
        <w:rPr>
          <w:rFonts w:ascii="Times New Roman" w:hAnsi="Times New Roman"/>
          <w:b/>
          <w:bCs/>
          <w:sz w:val="24"/>
        </w:rPr>
        <w:t>“kriptoaktīvu ziņošanas sistēma”</w:t>
      </w:r>
      <w:r>
        <w:rPr>
          <w:rFonts w:ascii="Times New Roman" w:hAnsi="Times New Roman"/>
          <w:sz w:val="24"/>
        </w:rPr>
        <w:t xml:space="preserve"> ir starptautiska sistēma ar kriptoaktīviem saistītas informācijas automātiskai apmaiņai (kas ietver komentārus), ko izstrādājusi </w:t>
      </w:r>
      <w:r>
        <w:rPr>
          <w:rFonts w:ascii="Times New Roman" w:hAnsi="Times New Roman"/>
          <w:i/>
          <w:iCs/>
          <w:sz w:val="24"/>
        </w:rPr>
        <w:t>OECD</w:t>
      </w:r>
      <w:r>
        <w:rPr>
          <w:rFonts w:ascii="Times New Roman" w:hAnsi="Times New Roman"/>
          <w:sz w:val="24"/>
        </w:rPr>
        <w:t xml:space="preserve"> kopā ar G20 valstīm;</w:t>
      </w:r>
    </w:p>
    <w:p w14:paraId="0E99E32B"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d) </w:t>
      </w:r>
      <w:r>
        <w:rPr>
          <w:rFonts w:ascii="Times New Roman" w:hAnsi="Times New Roman"/>
          <w:b/>
          <w:bCs/>
          <w:sz w:val="24"/>
        </w:rPr>
        <w:t>“koordinējošās institūcijas sekretariāts”</w:t>
      </w:r>
      <w:r>
        <w:rPr>
          <w:rFonts w:ascii="Times New Roman" w:hAnsi="Times New Roman"/>
          <w:sz w:val="24"/>
        </w:rPr>
        <w:t xml:space="preserve"> ir </w:t>
      </w:r>
      <w:r>
        <w:rPr>
          <w:rFonts w:ascii="Times New Roman" w:hAnsi="Times New Roman"/>
          <w:i/>
          <w:iCs/>
          <w:sz w:val="24"/>
        </w:rPr>
        <w:t>OECD</w:t>
      </w:r>
      <w:r>
        <w:rPr>
          <w:rFonts w:ascii="Times New Roman" w:hAnsi="Times New Roman"/>
          <w:sz w:val="24"/>
        </w:rPr>
        <w:t xml:space="preserve"> sekretariāts, kas saskaņā ar Konvencijas 24. panta 3. punktu sniedz atbalstu koordinējošajai institūcijai, kura veidota no Konvencijas dalībvalstu kompetento iestāžu pārstāvjiem;</w:t>
      </w:r>
    </w:p>
    <w:p w14:paraId="40ACAD55"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e) </w:t>
      </w:r>
      <w:r>
        <w:rPr>
          <w:rFonts w:ascii="Times New Roman" w:hAnsi="Times New Roman"/>
          <w:b/>
          <w:bCs/>
          <w:sz w:val="24"/>
        </w:rPr>
        <w:t>“spēkā esošs nolīgums”</w:t>
      </w:r>
      <w:r>
        <w:rPr>
          <w:rFonts w:ascii="Times New Roman" w:hAnsi="Times New Roman"/>
          <w:sz w:val="24"/>
        </w:rPr>
        <w:t xml:space="preserve"> attiecībā uz jebkurām divām kompetentajām iestādēm nozīmē, ka abas kompetentās iestādes ir iesniegušas paziņojumu koordinējošās institūcijas sekretariātam saskaņā ar 7. panta 1. punktu, tostarp otras kompetentās iestādes jurisdikciju sarakstu saskaņā ar 7. panta 1. punkta g) apakšpunktu. To kompetento iestāžu saraksts, starp kurām šis nolīgums darbojas, tiks publicēts </w:t>
      </w:r>
      <w:r>
        <w:rPr>
          <w:rFonts w:ascii="Times New Roman" w:hAnsi="Times New Roman"/>
          <w:i/>
          <w:iCs/>
          <w:sz w:val="24"/>
        </w:rPr>
        <w:t>OECD</w:t>
      </w:r>
      <w:r>
        <w:rPr>
          <w:rFonts w:ascii="Times New Roman" w:hAnsi="Times New Roman"/>
          <w:sz w:val="24"/>
        </w:rPr>
        <w:t xml:space="preserve"> tīmekļa vietnē.</w:t>
      </w:r>
    </w:p>
    <w:p w14:paraId="3B82760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Jebkurš ar lielajiem burtiem rakstītais termins, kam šajā nolīgumā nav piešķirta cita nozīme, tiks lietots tādā nozīmē, kāda tam piedēvēta tajā laikā nolīgumu piemērojošās jurisdikcijas tiesību aktos, ar nosacījumu, ka šāda nozīme nav pretrunā ar kriptoaktīvu ziņošanas sistēmā noteikto nozīmi. Jebkurš termins, kas nav noteikts citādi šajā nolīgumā vai kriptoaktīvu ziņošanas sistēmā, tiks piemērots tādā nozīmē, kāda tam piedēvēta tajā laikā tās jurisdikcijas tiesību aktos, kura piemēro šo nolīgumu, jurisdikcijas nodokļu tiesību aktos noteiktajai nozīmei prevalējot pār nozīmi, kas terminam noteikta citos šīs jurisdikcijas tiesību aktos, ja vien konkrētajā kontekstā nav jāpiemēro cita nozīme vai ja kompetentās iestādes nevienojas par vienotu nozīmi (atbilstīgi tam, kā atļauts valsts tiesību aktos).</w:t>
      </w:r>
    </w:p>
    <w:p w14:paraId="16F62CA8"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7D1BDB28" w14:textId="77777777" w:rsidR="00491410" w:rsidRPr="00EA6A3F"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61" w:name="_Toc241753075"/>
      <w:r>
        <w:rPr>
          <w:rFonts w:ascii="Times New Roman" w:hAnsi="Times New Roman"/>
          <w:b/>
          <w:color w:val="0B769F" w:themeColor="accent4" w:themeShade="BF"/>
          <w:sz w:val="26"/>
        </w:rPr>
        <w:t>2. PANTS</w:t>
      </w:r>
      <w:bookmarkEnd w:id="161"/>
    </w:p>
    <w:p w14:paraId="30B37B3A" w14:textId="77777777" w:rsidR="00491410" w:rsidRPr="003A1063" w:rsidRDefault="00491410" w:rsidP="00491410">
      <w:pPr>
        <w:widowControl w:val="0"/>
        <w:autoSpaceDE w:val="0"/>
        <w:autoSpaceDN w:val="0"/>
        <w:spacing w:before="120" w:after="120" w:line="240" w:lineRule="auto"/>
        <w:jc w:val="center"/>
        <w:outlineLvl w:val="7"/>
        <w:rPr>
          <w:rFonts w:ascii="Times New Roman" w:eastAsia="Arial" w:hAnsi="Times New Roman" w:cs="Arial"/>
          <w:b/>
          <w:bCs/>
          <w:i/>
          <w:iCs/>
          <w:kern w:val="0"/>
          <w:sz w:val="24"/>
          <w:szCs w:val="20"/>
          <w14:ligatures w14:val="none"/>
        </w:rPr>
      </w:pPr>
      <w:r>
        <w:rPr>
          <w:rFonts w:ascii="Times New Roman" w:hAnsi="Times New Roman"/>
          <w:b/>
          <w:i/>
          <w:sz w:val="24"/>
        </w:rPr>
        <w:t>Informācijas apmaiņa attiecībā uz personām, par kurām jāsniedz ziņojumi</w:t>
      </w:r>
    </w:p>
    <w:p w14:paraId="708B36E9"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i/>
          <w:kern w:val="0"/>
          <w:sz w:val="24"/>
          <w:szCs w:val="20"/>
          <w14:ligatures w14:val="none"/>
        </w:rPr>
      </w:pPr>
    </w:p>
    <w:p w14:paraId="27C6767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Saskaņā ar attiecīgi grozītās vai sākotnējās Konvencijas 6. un 22. pantu, ievērojot piemērojamos ziņošanas un pienācīgas pārbaudes noteikumus, kas atbilst kriptoaktīvu ziņošanas sistēmai, katra kompetentā iestāde vienu reizi gadā automātiski apmainās ar informāciju, kas iegūta atbilstīgi šādiem noteikumiem un ir noteikta 3. punktā, ar citām kompetentajām iestādēm.</w:t>
      </w:r>
    </w:p>
    <w:p w14:paraId="03BC7E5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Neatkarīgi no 1. punkta to jurisdikciju kompetentās iestādes, kuras ir norādījušas, ka tās jāiekļauj sarakstā kā nereciprokālas jurisdikcijas, pamatojoties uz to paziņojumu, kas sniegts saskaņā ar 7. panta 1. punkta b) apakšpunktu, nosūtīs, taču nesaņems 3. punktā norādīto informāciju. Jurisdikcijas, kas nav uzskaitītas kā savstarpēji neatbilstīgas jurisdikcijas, saņems 3. punktā norādīto informāciju, bet nesūtīs šo informāciju jurisdikcijām, kas iekļautas minētajā savstarpēji neatbilstīgo jurisdikciju sarakstā.</w:t>
      </w:r>
    </w:p>
    <w:p w14:paraId="71479CC7"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3. Attiecībā uz katru citas jurisdikcijas personu, par kuru jāsniedz ziņojums, informācijas apmaiņā jāsniedz šāda informācija:</w:t>
      </w:r>
    </w:p>
    <w:p w14:paraId="635681F1" w14:textId="77777777" w:rsidR="00491410" w:rsidRPr="003A1063" w:rsidRDefault="00491410" w:rsidP="00491410">
      <w:pPr>
        <w:widowControl w:val="0"/>
        <w:tabs>
          <w:tab w:val="left" w:pos="1235"/>
          <w:tab w:val="left" w:pos="1237"/>
        </w:tabs>
        <w:autoSpaceDE w:val="0"/>
        <w:autoSpaceDN w:val="0"/>
        <w:spacing w:before="120" w:after="120" w:line="240" w:lineRule="auto"/>
        <w:ind w:left="284" w:hanging="284"/>
        <w:jc w:val="both"/>
        <w:rPr>
          <w:rFonts w:ascii="Times New Roman" w:eastAsia="Arial" w:hAnsi="Times New Roman" w:cs="Arial"/>
          <w:kern w:val="0"/>
          <w:sz w:val="24"/>
          <w14:ligatures w14:val="none"/>
        </w:rPr>
      </w:pPr>
      <w:r>
        <w:rPr>
          <w:rFonts w:ascii="Times New Roman" w:hAnsi="Times New Roman"/>
          <w:sz w:val="24"/>
        </w:rPr>
        <w:t>a) par katru lietotāju, par kuru jāsniedz ziņojums, – vārds, uzvārds, adrese, rezidences jurisdikcija(-as), nodokļu maksātāja identifikācijas numurs (</w:t>
      </w:r>
      <w:r>
        <w:rPr>
          <w:rFonts w:ascii="Times New Roman" w:hAnsi="Times New Roman"/>
          <w:i/>
          <w:iCs/>
          <w:sz w:val="24"/>
        </w:rPr>
        <w:t>TIN</w:t>
      </w:r>
      <w:r>
        <w:rPr>
          <w:rFonts w:ascii="Times New Roman" w:hAnsi="Times New Roman"/>
          <w:sz w:val="24"/>
        </w:rPr>
        <w:t xml:space="preserve">) un dzimšanas vieta (fiziskas personas gadījumā), bet vienības gadījumā, kurai pēc pienācīgas pārbaudes procedūras piemērošanas ir konstatēts, ka to kontrolē viena vai vairākas personas, par kurām jāsniedz ziņojums, jāsniedz vienības nosaukums, adrese, rezidences jurisdikcija(-as), </w:t>
      </w:r>
      <w:r>
        <w:rPr>
          <w:rFonts w:ascii="Times New Roman" w:hAnsi="Times New Roman"/>
          <w:i/>
          <w:iCs/>
          <w:sz w:val="24"/>
        </w:rPr>
        <w:t>TIN</w:t>
      </w:r>
      <w:r>
        <w:rPr>
          <w:rFonts w:ascii="Times New Roman" w:hAnsi="Times New Roman"/>
          <w:sz w:val="24"/>
        </w:rPr>
        <w:t xml:space="preserve"> un katras šo vienību kontrolējošās personas, par kuru jāsniedz ziņojums, vārds, uzvārds, adrese, rezidences jurisdikcija(-as), </w:t>
      </w:r>
      <w:r>
        <w:rPr>
          <w:rFonts w:ascii="Times New Roman" w:hAnsi="Times New Roman"/>
          <w:i/>
          <w:iCs/>
          <w:sz w:val="24"/>
        </w:rPr>
        <w:t>TIN</w:t>
      </w:r>
      <w:r>
        <w:rPr>
          <w:rFonts w:ascii="Times New Roman" w:hAnsi="Times New Roman"/>
          <w:sz w:val="24"/>
        </w:rPr>
        <w:t xml:space="preserve"> un dzimšanas datums un vieta, kā arī veicamais(-ie) pienākums(-i), uz kā pamata katra šī persona, par kuru jāsniedz ziņojums, ir vienību kontrolējoša persona;</w:t>
      </w:r>
    </w:p>
    <w:p w14:paraId="08C3D9F0" w14:textId="77777777" w:rsidR="00491410" w:rsidRPr="003A1063" w:rsidRDefault="00491410" w:rsidP="00491410">
      <w:pPr>
        <w:widowControl w:val="0"/>
        <w:tabs>
          <w:tab w:val="left" w:pos="1235"/>
          <w:tab w:val="left" w:pos="1237"/>
        </w:tabs>
        <w:autoSpaceDE w:val="0"/>
        <w:autoSpaceDN w:val="0"/>
        <w:spacing w:before="120" w:after="120" w:line="240" w:lineRule="auto"/>
        <w:ind w:left="284" w:hanging="284"/>
        <w:jc w:val="both"/>
        <w:rPr>
          <w:rFonts w:ascii="Times New Roman" w:eastAsia="Arial" w:hAnsi="Times New Roman" w:cs="Arial"/>
          <w:kern w:val="0"/>
          <w:sz w:val="24"/>
          <w14:ligatures w14:val="none"/>
        </w:rPr>
      </w:pPr>
      <w:r>
        <w:rPr>
          <w:rFonts w:ascii="Times New Roman" w:hAnsi="Times New Roman"/>
          <w:sz w:val="24"/>
        </w:rPr>
        <w:t>b) kriptoaktīvu pakalpojumu sniedzēja, kas sniedz ziņojumus, vārds, uzvārds vai nosaukums, adrese un identifikācijas numurs (ja tāds ir);</w:t>
      </w:r>
    </w:p>
    <w:p w14:paraId="5C8C886E" w14:textId="77777777" w:rsidR="00491410" w:rsidRPr="003A1063" w:rsidRDefault="00491410" w:rsidP="00491410">
      <w:pPr>
        <w:widowControl w:val="0"/>
        <w:tabs>
          <w:tab w:val="left" w:pos="1237"/>
        </w:tabs>
        <w:autoSpaceDE w:val="0"/>
        <w:autoSpaceDN w:val="0"/>
        <w:spacing w:before="120" w:after="120" w:line="240" w:lineRule="auto"/>
        <w:ind w:left="284" w:hanging="284"/>
        <w:jc w:val="both"/>
        <w:rPr>
          <w:rFonts w:ascii="Times New Roman" w:eastAsia="Arial" w:hAnsi="Times New Roman" w:cs="Arial"/>
          <w:kern w:val="0"/>
          <w:sz w:val="24"/>
          <w14:ligatures w14:val="none"/>
        </w:rPr>
      </w:pPr>
      <w:r>
        <w:rPr>
          <w:rFonts w:ascii="Times New Roman" w:hAnsi="Times New Roman"/>
          <w:sz w:val="24"/>
        </w:rPr>
        <w:t>c) par katru attiecīgā kriptoaktīva veidu, saistībā ar kuru kriptoaktīvu pakalpojuma sniedzējs, kas sniedz ziņojumus, ir veicis attiecīgos darījumus attiecīgajā kalendārajā gadā vai citā atbilstošā pārskata periodā:</w:t>
      </w:r>
    </w:p>
    <w:p w14:paraId="165ABF4D" w14:textId="77777777" w:rsidR="00491410" w:rsidRPr="003A1063" w:rsidRDefault="00491410" w:rsidP="00491410">
      <w:pPr>
        <w:widowControl w:val="0"/>
        <w:tabs>
          <w:tab w:val="left" w:pos="1942"/>
        </w:tabs>
        <w:autoSpaceDE w:val="0"/>
        <w:autoSpaceDN w:val="0"/>
        <w:spacing w:before="120" w:after="120" w:line="240" w:lineRule="auto"/>
        <w:ind w:left="567" w:hanging="284"/>
        <w:jc w:val="both"/>
        <w:rPr>
          <w:rFonts w:ascii="Times New Roman" w:eastAsia="Arial" w:hAnsi="Times New Roman" w:cs="Arial"/>
          <w:kern w:val="0"/>
          <w:sz w:val="24"/>
          <w14:ligatures w14:val="none"/>
        </w:rPr>
      </w:pPr>
      <w:r>
        <w:rPr>
          <w:rFonts w:ascii="Times New Roman" w:hAnsi="Times New Roman"/>
          <w:sz w:val="24"/>
        </w:rPr>
        <w:t>i) attiecīgā kriptoaktīva veida pilnais nosaukums;</w:t>
      </w:r>
    </w:p>
    <w:p w14:paraId="3269B08F" w14:textId="77777777" w:rsidR="00491410" w:rsidRPr="003A1063" w:rsidRDefault="00491410" w:rsidP="00491410">
      <w:pPr>
        <w:widowControl w:val="0"/>
        <w:tabs>
          <w:tab w:val="left" w:pos="1942"/>
          <w:tab w:val="left" w:pos="1945"/>
        </w:tabs>
        <w:autoSpaceDE w:val="0"/>
        <w:autoSpaceDN w:val="0"/>
        <w:spacing w:before="120" w:after="120" w:line="240" w:lineRule="auto"/>
        <w:ind w:left="567" w:hanging="284"/>
        <w:jc w:val="both"/>
        <w:rPr>
          <w:rFonts w:ascii="Times New Roman" w:eastAsia="Arial" w:hAnsi="Times New Roman" w:cs="Arial"/>
          <w:kern w:val="0"/>
          <w:sz w:val="24"/>
          <w14:ligatures w14:val="none"/>
        </w:rPr>
      </w:pPr>
      <w:r>
        <w:rPr>
          <w:rFonts w:ascii="Times New Roman" w:hAnsi="Times New Roman"/>
          <w:sz w:val="24"/>
        </w:rPr>
        <w:t>ii) samaksātā bruto kopsumma, vienību kopskaits un attiecīgo darījumu skaits saistībā ar iegādēm pret bezseguma valūtu;</w:t>
      </w:r>
    </w:p>
    <w:p w14:paraId="1BA731A6" w14:textId="77777777" w:rsidR="00491410" w:rsidRPr="003A1063" w:rsidRDefault="00491410" w:rsidP="00491410">
      <w:pPr>
        <w:widowControl w:val="0"/>
        <w:tabs>
          <w:tab w:val="left" w:pos="1942"/>
          <w:tab w:val="left" w:pos="1945"/>
        </w:tabs>
        <w:autoSpaceDE w:val="0"/>
        <w:autoSpaceDN w:val="0"/>
        <w:spacing w:before="120" w:after="120" w:line="240" w:lineRule="auto"/>
        <w:ind w:left="567" w:hanging="284"/>
        <w:jc w:val="both"/>
        <w:rPr>
          <w:rFonts w:ascii="Times New Roman" w:eastAsia="Arial" w:hAnsi="Times New Roman" w:cs="Arial"/>
          <w:kern w:val="0"/>
          <w:sz w:val="24"/>
          <w14:ligatures w14:val="none"/>
        </w:rPr>
      </w:pPr>
      <w:r>
        <w:rPr>
          <w:rFonts w:ascii="Times New Roman" w:hAnsi="Times New Roman"/>
          <w:sz w:val="24"/>
        </w:rPr>
        <w:t>iii) saņemtā bruto kopsumma, vienību kopskaits un attiecīgo darījumu skaits saistībā ar realizācijām pret bezseguma valūtu;</w:t>
      </w:r>
    </w:p>
    <w:p w14:paraId="78285CA8" w14:textId="77777777" w:rsidR="00491410" w:rsidRPr="003A1063" w:rsidRDefault="00491410" w:rsidP="00491410">
      <w:pPr>
        <w:widowControl w:val="0"/>
        <w:tabs>
          <w:tab w:val="left" w:pos="1943"/>
          <w:tab w:val="left" w:pos="1945"/>
        </w:tabs>
        <w:autoSpaceDE w:val="0"/>
        <w:autoSpaceDN w:val="0"/>
        <w:spacing w:before="120" w:after="120" w:line="240" w:lineRule="auto"/>
        <w:ind w:left="567" w:hanging="284"/>
        <w:jc w:val="both"/>
        <w:rPr>
          <w:rFonts w:ascii="Times New Roman" w:eastAsia="Arial" w:hAnsi="Times New Roman" w:cs="Arial"/>
          <w:kern w:val="0"/>
          <w:sz w:val="24"/>
          <w14:ligatures w14:val="none"/>
        </w:rPr>
      </w:pPr>
      <w:r>
        <w:rPr>
          <w:rFonts w:ascii="Times New Roman" w:hAnsi="Times New Roman"/>
          <w:sz w:val="24"/>
        </w:rPr>
        <w:t>iv) kopējā patiesā tirgus vērtība, vienību kopskaits un attiecīgo darījumu skaits saistībā ar iegādēm pret citiem attiecīgiem kriptoaktīviem;</w:t>
      </w:r>
    </w:p>
    <w:p w14:paraId="3F779171" w14:textId="77777777" w:rsidR="00491410" w:rsidRPr="003A1063" w:rsidRDefault="00491410" w:rsidP="00491410">
      <w:pPr>
        <w:widowControl w:val="0"/>
        <w:tabs>
          <w:tab w:val="left" w:pos="1943"/>
          <w:tab w:val="left" w:pos="1945"/>
        </w:tabs>
        <w:autoSpaceDE w:val="0"/>
        <w:autoSpaceDN w:val="0"/>
        <w:spacing w:before="120" w:after="120" w:line="240" w:lineRule="auto"/>
        <w:ind w:left="567" w:hanging="284"/>
        <w:jc w:val="both"/>
        <w:rPr>
          <w:rFonts w:ascii="Times New Roman" w:eastAsia="Arial" w:hAnsi="Times New Roman" w:cs="Arial"/>
          <w:kern w:val="0"/>
          <w:sz w:val="24"/>
          <w14:ligatures w14:val="none"/>
        </w:rPr>
      </w:pPr>
      <w:r>
        <w:rPr>
          <w:rFonts w:ascii="Times New Roman" w:hAnsi="Times New Roman"/>
          <w:sz w:val="24"/>
        </w:rPr>
        <w:t>v) kopējā patiesā tirgus vērtība, vienību kopskaits un attiecīgo darījumu skaits saistībā ar realizācijām pret citiem attiecīgiem kriptoaktīviem;</w:t>
      </w:r>
    </w:p>
    <w:p w14:paraId="691371FE" w14:textId="77777777" w:rsidR="00491410" w:rsidRPr="003A1063" w:rsidRDefault="00491410" w:rsidP="00491410">
      <w:pPr>
        <w:widowControl w:val="0"/>
        <w:tabs>
          <w:tab w:val="left" w:pos="1943"/>
          <w:tab w:val="left" w:pos="1945"/>
        </w:tabs>
        <w:autoSpaceDE w:val="0"/>
        <w:autoSpaceDN w:val="0"/>
        <w:spacing w:before="120" w:after="120" w:line="240" w:lineRule="auto"/>
        <w:ind w:left="567" w:hanging="284"/>
        <w:jc w:val="both"/>
        <w:rPr>
          <w:rFonts w:ascii="Times New Roman" w:eastAsia="Arial" w:hAnsi="Times New Roman" w:cs="Arial"/>
          <w:kern w:val="0"/>
          <w:sz w:val="24"/>
          <w14:ligatures w14:val="none"/>
        </w:rPr>
      </w:pPr>
      <w:r>
        <w:rPr>
          <w:rFonts w:ascii="Times New Roman" w:hAnsi="Times New Roman"/>
          <w:sz w:val="24"/>
        </w:rPr>
        <w:t>vi) kopējā patiesā tirgus vērtība, vienību kopskaits un neliela apjoma maksājumu darījumu skaits, par kuriem jāsniedz ziņojums;</w:t>
      </w:r>
    </w:p>
    <w:p w14:paraId="2A09043A" w14:textId="77777777" w:rsidR="00491410" w:rsidRPr="003A1063" w:rsidRDefault="00491410" w:rsidP="00491410">
      <w:pPr>
        <w:widowControl w:val="0"/>
        <w:tabs>
          <w:tab w:val="left" w:pos="1942"/>
          <w:tab w:val="left" w:pos="1945"/>
        </w:tabs>
        <w:autoSpaceDE w:val="0"/>
        <w:autoSpaceDN w:val="0"/>
        <w:spacing w:before="120" w:after="120" w:line="240" w:lineRule="auto"/>
        <w:ind w:left="567" w:hanging="284"/>
        <w:jc w:val="both"/>
        <w:rPr>
          <w:rFonts w:ascii="Times New Roman" w:eastAsia="Arial" w:hAnsi="Times New Roman" w:cs="Arial"/>
          <w:kern w:val="0"/>
          <w:sz w:val="24"/>
          <w14:ligatures w14:val="none"/>
        </w:rPr>
      </w:pPr>
      <w:r>
        <w:rPr>
          <w:rFonts w:ascii="Times New Roman" w:hAnsi="Times New Roman"/>
          <w:sz w:val="24"/>
        </w:rPr>
        <w:t>vii) kopējā patiesā tirgus vērtība, vienību kopskaits un attiecīgo darījumu skaits, kā arī dalījumā pēc pārvedumu veida, ja ziņojošajam kriptoaktīvu pakalpojumu sniedzējam tas zināms, attiecībā uz pārvedumiem lietotājam, par kuru jāsniedz ziņojums un kurš nav iekļauts c) punkta ii) un iv) apakšpunktā;</w:t>
      </w:r>
    </w:p>
    <w:p w14:paraId="36F3EE93" w14:textId="77777777" w:rsidR="00491410" w:rsidRPr="003A1063" w:rsidRDefault="00491410" w:rsidP="00491410">
      <w:pPr>
        <w:widowControl w:val="0"/>
        <w:tabs>
          <w:tab w:val="left" w:pos="1941"/>
          <w:tab w:val="left" w:pos="1945"/>
        </w:tabs>
        <w:autoSpaceDE w:val="0"/>
        <w:autoSpaceDN w:val="0"/>
        <w:spacing w:before="120" w:after="120" w:line="240" w:lineRule="auto"/>
        <w:ind w:left="567" w:hanging="284"/>
        <w:jc w:val="both"/>
        <w:rPr>
          <w:rFonts w:ascii="Times New Roman" w:eastAsia="Arial" w:hAnsi="Times New Roman" w:cs="Arial"/>
          <w:kern w:val="0"/>
          <w:sz w:val="24"/>
          <w14:ligatures w14:val="none"/>
        </w:rPr>
      </w:pPr>
      <w:r>
        <w:rPr>
          <w:rFonts w:ascii="Times New Roman" w:hAnsi="Times New Roman"/>
          <w:sz w:val="24"/>
        </w:rPr>
        <w:t>viii) kopējā patiesā tirgus vērtība, vienību kopskaits un attiecīgo darījumu skaits, kā arī dalījumā pēc pārvedumu veida, ja ziņojošajam kriptoaktīvu pakalpojumu sniedzējam tas zināms, attiecībā uz pārvedumiem, ko veicis lietotājs, par kuru jāsniedz ziņojums un kurš nav iekļauts c) punkta iii), v) un vi) apakšpunktā, un</w:t>
      </w:r>
    </w:p>
    <w:p w14:paraId="47145E82" w14:textId="77777777" w:rsidR="00491410" w:rsidRPr="003A1063" w:rsidRDefault="00491410" w:rsidP="00491410">
      <w:pPr>
        <w:widowControl w:val="0"/>
        <w:tabs>
          <w:tab w:val="left" w:pos="1943"/>
          <w:tab w:val="left" w:pos="1945"/>
        </w:tabs>
        <w:autoSpaceDE w:val="0"/>
        <w:autoSpaceDN w:val="0"/>
        <w:spacing w:before="120" w:after="120" w:line="240" w:lineRule="auto"/>
        <w:ind w:left="567" w:hanging="284"/>
        <w:jc w:val="both"/>
        <w:rPr>
          <w:rFonts w:ascii="Times New Roman" w:eastAsia="Arial" w:hAnsi="Times New Roman" w:cs="Arial"/>
          <w:kern w:val="0"/>
          <w:sz w:val="24"/>
          <w14:ligatures w14:val="none"/>
        </w:rPr>
      </w:pPr>
      <w:r>
        <w:rPr>
          <w:rFonts w:ascii="Times New Roman" w:hAnsi="Times New Roman"/>
          <w:sz w:val="24"/>
        </w:rPr>
        <w:t>ix) kopējā patiesā tirgus vērtība, kā arī vienību kopskaits attiecībā uz pārvedumiem, ko veicis lietotājs, par kuru jāsniedz ziņojums, un ko kriptoaktīvu pakalpojumu sniedzējs, kas sniedz ziņojumus, ir izpildījis uz maka adresēm, par kurām šis kriptoaktīvu pakalpojumu sniedzējs nezina, vai tās ir saistāmas ar virtuālo aktīvu pakalpojumu sniedzēju vai finanšu iestādi.</w:t>
      </w:r>
    </w:p>
    <w:p w14:paraId="3F25F1F3" w14:textId="77777777" w:rsidR="00491410" w:rsidRPr="00F11134" w:rsidRDefault="00491410" w:rsidP="00714B28">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62" w:name="_Toc241753076"/>
      <w:r>
        <w:rPr>
          <w:rFonts w:ascii="Times New Roman" w:hAnsi="Times New Roman"/>
          <w:b/>
          <w:color w:val="0B769F" w:themeColor="accent4" w:themeShade="BF"/>
          <w:sz w:val="26"/>
        </w:rPr>
        <w:lastRenderedPageBreak/>
        <w:t>3. PANTS</w:t>
      </w:r>
      <w:bookmarkEnd w:id="162"/>
    </w:p>
    <w:p w14:paraId="2DBFC3A1" w14:textId="77777777" w:rsidR="00491410" w:rsidRPr="00F11134" w:rsidRDefault="00491410" w:rsidP="00714B28">
      <w:pPr>
        <w:keepNext/>
        <w:keepLines/>
        <w:widowControl w:val="0"/>
        <w:autoSpaceDE w:val="0"/>
        <w:autoSpaceDN w:val="0"/>
        <w:spacing w:before="120" w:after="120" w:line="240" w:lineRule="auto"/>
        <w:jc w:val="center"/>
        <w:outlineLvl w:val="7"/>
        <w:rPr>
          <w:rFonts w:ascii="Times New Roman" w:eastAsia="Arial" w:hAnsi="Times New Roman" w:cs="Arial"/>
          <w:b/>
          <w:bCs/>
          <w:i/>
          <w:iCs/>
          <w:kern w:val="0"/>
          <w:sz w:val="26"/>
          <w:szCs w:val="26"/>
          <w14:ligatures w14:val="none"/>
        </w:rPr>
      </w:pPr>
      <w:r>
        <w:rPr>
          <w:rFonts w:ascii="Times New Roman" w:hAnsi="Times New Roman"/>
          <w:b/>
          <w:i/>
          <w:sz w:val="26"/>
        </w:rPr>
        <w:t>Informācijas apmaiņas laiks un veids</w:t>
      </w:r>
    </w:p>
    <w:p w14:paraId="30C0D4DA" w14:textId="77777777" w:rsidR="00491410" w:rsidRPr="003A1063" w:rsidRDefault="00491410" w:rsidP="00714B28">
      <w:pPr>
        <w:keepNext/>
        <w:keepLines/>
        <w:widowControl w:val="0"/>
        <w:autoSpaceDE w:val="0"/>
        <w:autoSpaceDN w:val="0"/>
        <w:spacing w:before="120" w:after="120" w:line="240" w:lineRule="auto"/>
        <w:jc w:val="both"/>
        <w:rPr>
          <w:rFonts w:ascii="Times New Roman" w:eastAsia="Arial" w:hAnsi="Times New Roman" w:cs="Arial"/>
          <w:b/>
          <w:i/>
          <w:kern w:val="0"/>
          <w:sz w:val="24"/>
          <w:szCs w:val="20"/>
          <w14:ligatures w14:val="none"/>
        </w:rPr>
      </w:pPr>
    </w:p>
    <w:p w14:paraId="70B26F1B" w14:textId="77777777" w:rsidR="00491410" w:rsidRPr="00F11134" w:rsidRDefault="00491410" w:rsidP="00714B28">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Attiecībā uz 2. panta 3. punktu un ņemot vērā 7. pantā noteikto paziņošanas procedūru, tostarp tajā norādītos datumus, informācija jāsniedz, sākot no gada, kas norādīts paziņojumā saskaņā ar 7. panta 1. punkta a) apakšpunktu, deviņu mēnešu laikā pēc tā kalendārā gada beigām, uz kuru šī informācija attiecas. Atkāpjoties no iepriekšējā teikuma, informācija par kalendāro gadu ir jāsniedz vienīgi tad, ja abās jurisdikcijās ir spēkā tiesību akti, ar ko īsteno kriptoaktīvu ziņošanas sistēmu, saskaņā ar kuru ir prasīts ziņot par šādu kalendāro gadu atbilstīgi 2. pantā noteiktajam informācijas apmaiņas tvērumam un kriptoaktīvu ziņošanas sistēmā noteiktajām ziņošanas un pienācīgas pārbaudes procedūrām.</w:t>
      </w:r>
    </w:p>
    <w:p w14:paraId="085D5CB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Kompetentajām iestādēm automātiski jāapmainās ar 2. pantā minēto informāciju, izmantojot vienotu shēmu.</w:t>
      </w:r>
    </w:p>
    <w:p w14:paraId="00B9ABC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Kompetentajām iestādēm jāpārraida informācija, izmantojot </w:t>
      </w:r>
      <w:r>
        <w:rPr>
          <w:rFonts w:ascii="Times New Roman" w:hAnsi="Times New Roman"/>
          <w:i/>
          <w:iCs/>
          <w:sz w:val="24"/>
        </w:rPr>
        <w:t>OECD</w:t>
      </w:r>
      <w:r>
        <w:rPr>
          <w:rFonts w:ascii="Times New Roman" w:hAnsi="Times New Roman"/>
          <w:sz w:val="24"/>
        </w:rPr>
        <w:t xml:space="preserve"> vienoto pārraides sistēmu un saskaņā ar saistītajiem šifrēšanas un datņu sagatavošanas standartiem vai arī izmantojot citu pārraides metodi, kas norādīta paziņojumā saskaņā ar 7. panta 1. punkta d) apakšpunktu.</w:t>
      </w:r>
    </w:p>
    <w:p w14:paraId="6DFF8A9E" w14:textId="77777777" w:rsidR="00491410" w:rsidRPr="00F11134"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p>
    <w:p w14:paraId="7F75B85F" w14:textId="77777777" w:rsidR="00491410" w:rsidRPr="00F11134"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63" w:name="_Toc241753077"/>
      <w:r>
        <w:rPr>
          <w:rFonts w:ascii="Times New Roman" w:hAnsi="Times New Roman"/>
          <w:b/>
          <w:color w:val="0B769F" w:themeColor="accent4" w:themeShade="BF"/>
          <w:sz w:val="26"/>
        </w:rPr>
        <w:t>4. PANTS</w:t>
      </w:r>
      <w:bookmarkEnd w:id="163"/>
    </w:p>
    <w:p w14:paraId="622F0C52" w14:textId="77777777" w:rsidR="00491410" w:rsidRPr="00F11134" w:rsidRDefault="00491410" w:rsidP="00491410">
      <w:pPr>
        <w:widowControl w:val="0"/>
        <w:autoSpaceDE w:val="0"/>
        <w:autoSpaceDN w:val="0"/>
        <w:spacing w:before="120" w:after="120" w:line="240" w:lineRule="auto"/>
        <w:jc w:val="center"/>
        <w:outlineLvl w:val="7"/>
        <w:rPr>
          <w:rFonts w:ascii="Times New Roman" w:eastAsia="Arial" w:hAnsi="Times New Roman" w:cs="Arial"/>
          <w:b/>
          <w:bCs/>
          <w:i/>
          <w:iCs/>
          <w:kern w:val="0"/>
          <w:sz w:val="26"/>
          <w:szCs w:val="26"/>
          <w14:ligatures w14:val="none"/>
        </w:rPr>
      </w:pPr>
      <w:r>
        <w:rPr>
          <w:rFonts w:ascii="Times New Roman" w:hAnsi="Times New Roman"/>
          <w:b/>
          <w:i/>
          <w:sz w:val="26"/>
        </w:rPr>
        <w:t>Sadarbība atbilstības nodrošināšanas un izpildes jomā</w:t>
      </w:r>
    </w:p>
    <w:p w14:paraId="41F890B6"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i/>
          <w:kern w:val="0"/>
          <w:sz w:val="24"/>
          <w:szCs w:val="20"/>
          <w14:ligatures w14:val="none"/>
        </w:rPr>
      </w:pPr>
    </w:p>
    <w:p w14:paraId="77D477AC"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Kompetentajai iestādei jāinformē otra kompetentā iestāde par to, ka tai ir pamats uzskatīt, ka kļūdas dēļ var būt paziņota nepareiza vai nepilnīga informācija vai ka kriptoaktīvu pakalpojumu sniedzējs, kas sniedz ziņojumus, neievēro piemērojamās ziņošanas prasības un pienācīgas pārbaudes procedūras atbilstīgi kriptoaktīvu ziņošanas sistēmai. Kompetentajai iestādei, kas saņēmusi šādu informāciju, jāveic nepieciešamie pasākumi saskaņā ar savas valsts tiesību aktiem, lai novērstu paziņojumā norādītās kļūdas vai neatbilstību.</w:t>
      </w:r>
    </w:p>
    <w:p w14:paraId="2CFFEE5B"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7167F00C" w14:textId="77777777" w:rsidR="00491410" w:rsidRPr="00F11134"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64" w:name="_Toc241753078"/>
      <w:r>
        <w:rPr>
          <w:rFonts w:ascii="Times New Roman" w:hAnsi="Times New Roman"/>
          <w:b/>
          <w:color w:val="0B769F" w:themeColor="accent4" w:themeShade="BF"/>
          <w:sz w:val="26"/>
        </w:rPr>
        <w:t>5. PANTS</w:t>
      </w:r>
      <w:bookmarkEnd w:id="164"/>
    </w:p>
    <w:p w14:paraId="3B70F824" w14:textId="77777777" w:rsidR="00491410" w:rsidRPr="003A1063" w:rsidRDefault="00491410" w:rsidP="00491410">
      <w:pPr>
        <w:widowControl w:val="0"/>
        <w:autoSpaceDE w:val="0"/>
        <w:autoSpaceDN w:val="0"/>
        <w:spacing w:before="120" w:after="120" w:line="240" w:lineRule="auto"/>
        <w:jc w:val="center"/>
        <w:outlineLvl w:val="7"/>
        <w:rPr>
          <w:rFonts w:ascii="Times New Roman" w:eastAsia="Arial" w:hAnsi="Times New Roman" w:cs="Arial"/>
          <w:b/>
          <w:bCs/>
          <w:i/>
          <w:iCs/>
          <w:kern w:val="0"/>
          <w:sz w:val="24"/>
          <w:szCs w:val="20"/>
          <w14:ligatures w14:val="none"/>
        </w:rPr>
      </w:pPr>
      <w:r>
        <w:rPr>
          <w:rFonts w:ascii="Times New Roman" w:hAnsi="Times New Roman"/>
          <w:b/>
          <w:i/>
          <w:sz w:val="24"/>
        </w:rPr>
        <w:t>Konfidencialitāte un datu aizsardzības pasākumi</w:t>
      </w:r>
    </w:p>
    <w:p w14:paraId="77EC599D"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i/>
          <w:kern w:val="0"/>
          <w:sz w:val="24"/>
          <w:szCs w:val="20"/>
          <w14:ligatures w14:val="none"/>
        </w:rPr>
      </w:pPr>
    </w:p>
    <w:p w14:paraId="4136C26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Uz visu saņemto/nosūtīto informāciju attiecas konfidencialitātes noteikumi un citi attiecīgi grozītajā vai sākotnējā Konvencijā paredzēti aizsardzības pasākumi, tostarp noteikumi, kas ierobežo saņemtās/nosūtītās informācijas izmantošanu un, ciktāl tas nepieciešams, lai nodrošinātu nepieciešamo personas datu aizsardzības līmeni, atbilst aizsardzības pasākumiem, kurus var būt noteikusi informāciju sniedzošā kompetentā iestāde, pamatojoties uz saviem valsts tiesību aktiem un kā norādīts paziņojumā saskaņā ar 7. panta 1. punkta e) apakšpunktu.</w:t>
      </w:r>
    </w:p>
    <w:p w14:paraId="6CCC2E9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Kompetentajai iestādei nekavējoties jāinformē koordinējošās institūcijas sekretariāts par konfidencialitātes pārkāpumu vai aizsardzības pasākumu neizpildi un šajā saistībā piemērotajiem sodiem un koriģējošām darbībām. Koordinējošās institūcijas sekretariāts informēs visas kompetentās iestādes, attiecībā uz kurām šis nolīgums darbojas attiecībā pret pirmo minēto kompetento iestādi.</w:t>
      </w:r>
    </w:p>
    <w:p w14:paraId="70248D3A"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454AEEC5" w14:textId="77777777" w:rsidR="00491410" w:rsidRPr="00073EC4"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65" w:name="_Toc241753079"/>
      <w:r>
        <w:rPr>
          <w:rFonts w:ascii="Times New Roman" w:hAnsi="Times New Roman"/>
          <w:b/>
          <w:color w:val="0B769F" w:themeColor="accent4" w:themeShade="BF"/>
          <w:sz w:val="26"/>
        </w:rPr>
        <w:lastRenderedPageBreak/>
        <w:t>6. PANTS</w:t>
      </w:r>
      <w:bookmarkEnd w:id="165"/>
    </w:p>
    <w:p w14:paraId="66B6C96A" w14:textId="77777777" w:rsidR="00491410" w:rsidRPr="00073EC4" w:rsidRDefault="00491410" w:rsidP="00491410">
      <w:pPr>
        <w:widowControl w:val="0"/>
        <w:autoSpaceDE w:val="0"/>
        <w:autoSpaceDN w:val="0"/>
        <w:spacing w:before="120" w:after="120" w:line="240" w:lineRule="auto"/>
        <w:jc w:val="center"/>
        <w:outlineLvl w:val="7"/>
        <w:rPr>
          <w:rFonts w:ascii="Times New Roman" w:eastAsia="Arial" w:hAnsi="Times New Roman" w:cs="Arial"/>
          <w:b/>
          <w:bCs/>
          <w:i/>
          <w:iCs/>
          <w:kern w:val="0"/>
          <w:sz w:val="26"/>
          <w:szCs w:val="26"/>
          <w14:ligatures w14:val="none"/>
        </w:rPr>
      </w:pPr>
      <w:r>
        <w:rPr>
          <w:rFonts w:ascii="Times New Roman" w:hAnsi="Times New Roman"/>
          <w:b/>
          <w:i/>
          <w:sz w:val="26"/>
        </w:rPr>
        <w:t>Konsultācijas un grozījumi</w:t>
      </w:r>
    </w:p>
    <w:p w14:paraId="0D59DD26"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i/>
          <w:kern w:val="0"/>
          <w:sz w:val="24"/>
          <w:szCs w:val="20"/>
          <w14:ligatures w14:val="none"/>
        </w:rPr>
      </w:pPr>
    </w:p>
    <w:p w14:paraId="4B85B50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Ja rodas sarežģījumi saistībā ar šā nolīguma īstenošanu vai interpretāciju, kompetentā iestāde var pieprasīt konsultācijas ar vienu vai vairākām citām kompetentajām iestādēm, lai izstrādātu atbilstošus pasākumus, kas nodrošinātu šā nolīguma izpildi. Kompetentā iestāde, kas pieprasījusi konsultācijas, nodrošina, ka koordinējošās institūcijas sekretariāts tiek informēts par visiem izstrādātajiem atbilstīgajiem pasākumiem, un koordinējošās institūcijas sekretariāts informē visas kompetentās iestādes, arī tās, kas nav piedalījušās konsultācijās, par visiem izstrādātajiem pasākumiem.</w:t>
      </w:r>
    </w:p>
    <w:p w14:paraId="637E863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Šo nolīgumu var grozīt, pamatojoties uz rakstisku vienošanos, kurā savu vienprātību apliecina visas kompetentās iestādes. Ja nav nolemts citādi, šāds grozījums stājas spēkā tā mēneša pirmajā dienā, kas seko vienu mēnesi ilgam laika posmam pēc dienas, kad minētā rakstiskā vienošanās apstiprināta ar pēdējo parakstu.</w:t>
      </w:r>
    </w:p>
    <w:p w14:paraId="07EEC592"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6E1E1541" w14:textId="77777777" w:rsidR="00491410" w:rsidRPr="00073EC4"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66" w:name="_Toc241753080"/>
      <w:r>
        <w:rPr>
          <w:rFonts w:ascii="Times New Roman" w:hAnsi="Times New Roman"/>
          <w:b/>
          <w:color w:val="0B769F" w:themeColor="accent4" w:themeShade="BF"/>
          <w:sz w:val="26"/>
        </w:rPr>
        <w:t>7. PANTS</w:t>
      </w:r>
      <w:bookmarkEnd w:id="166"/>
    </w:p>
    <w:p w14:paraId="132246B1" w14:textId="77777777" w:rsidR="00491410" w:rsidRPr="00073EC4" w:rsidRDefault="00491410" w:rsidP="00491410">
      <w:pPr>
        <w:widowControl w:val="0"/>
        <w:autoSpaceDE w:val="0"/>
        <w:autoSpaceDN w:val="0"/>
        <w:spacing w:before="120" w:after="120" w:line="240" w:lineRule="auto"/>
        <w:jc w:val="center"/>
        <w:outlineLvl w:val="7"/>
        <w:rPr>
          <w:rFonts w:ascii="Times New Roman" w:eastAsia="Arial" w:hAnsi="Times New Roman" w:cs="Arial"/>
          <w:b/>
          <w:bCs/>
          <w:i/>
          <w:iCs/>
          <w:kern w:val="0"/>
          <w:sz w:val="26"/>
          <w:szCs w:val="26"/>
          <w14:ligatures w14:val="none"/>
        </w:rPr>
      </w:pPr>
      <w:r>
        <w:rPr>
          <w:rFonts w:ascii="Times New Roman" w:hAnsi="Times New Roman"/>
          <w:b/>
          <w:i/>
          <w:sz w:val="26"/>
        </w:rPr>
        <w:t>Vispārīgi noteikumi</w:t>
      </w:r>
    </w:p>
    <w:p w14:paraId="24FEB351"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i/>
          <w:kern w:val="0"/>
          <w:sz w:val="24"/>
          <w:szCs w:val="20"/>
          <w14:ligatures w14:val="none"/>
        </w:rPr>
      </w:pPr>
    </w:p>
    <w:p w14:paraId="5A31FB0C"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Kompetentajai iestādei šā nolīguma parakstīšanas laikā vai iespējami drīz pēc tam koordinējošās institūcijas sekretariātam jāiesniedz paziņojumi, ar kuriem tā:</w:t>
      </w:r>
    </w:p>
    <w:p w14:paraId="4A78E648"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a) apstiprina, ka tās jurisdikcijai ir pieņemti visi nepieciešamie tiesību akti, lai īstenotu kriptoaktīvu ziņošanas sistēmu, un norāda attiecīgos spēkā stāšanās datumus vai nolīguma pagaidu piemērošanas periodu, kas ir spēkā, līdz tiek pieņemtas valsts tiesību aktos noteiktās procedūras (ja tādas ir);</w:t>
      </w:r>
    </w:p>
    <w:p w14:paraId="1B2739B7"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b) apstiprina, vai jurisdikciju plānots iekļaut nereciprokālo jurisdikciju sarakstā;</w:t>
      </w:r>
    </w:p>
    <w:p w14:paraId="4ADDE7FD" w14:textId="77777777" w:rsidR="00491410" w:rsidRPr="003A1063" w:rsidRDefault="00491410" w:rsidP="00491410">
      <w:pPr>
        <w:widowControl w:val="0"/>
        <w:tabs>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c) lūdz citu kompetento iestāžu piekrišanu izmantot informāciju, kas saņemta, lai aprēķinātu, ievāktu vai atgūtu nodokļus, veiktu izpildi vai kriminālvajāšanu attiecībā uz nodokļiem vai noteiktu pārsūdzības saistībā ar nodokļiem, attiecībā uz kuriem tās jurisdikcija sniegusi atrunu saskaņā ar Konvencijas 30. panta 1. punkta a) apakšpunktu, un tādā gadījumā norāda šos nodokļus un apstiprina, ka informācija tiks izmantota saskaņā ar Konvencijas noteikumiem;</w:t>
      </w:r>
    </w:p>
    <w:p w14:paraId="3E19ABD4"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d) norāda vienu vai vairākas alternatīvas datu pārraides metodes (ja tādas ir), tostarp šifrēšanu;</w:t>
      </w:r>
    </w:p>
    <w:p w14:paraId="79E1B276"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e) norāda aizsardzības pasākumus (ja tādi ir) personas datu aizsardzībai;</w:t>
      </w:r>
    </w:p>
    <w:p w14:paraId="62885FE3"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f) apstiprina, ka ir ieviesti atbilstīgi pasākumi, lai nodrošinātu, ka tiek izpildīti prasītie konfidencialitātes un datu aizsardzības standarti, un</w:t>
      </w:r>
    </w:p>
    <w:p w14:paraId="24D36D98"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g) uzskaita kompetento iestāžu jurisdikcijas, attiecībā uz kurām šis nolīgums būs spēkā, kad tiks pabeigtas valsts likumdošanas procedūras par nolīguma stāšanos spēkā (ja tādas ir).</w:t>
      </w:r>
    </w:p>
    <w:p w14:paraId="5E2029CC"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Kompetentajai iestādei ir nekavējoties jāpaziņo koordinējošās institūcijas sekretariātam visas turpmākās izmaiņas, kas jāveic iepriekš minētajos paziņojumos.</w:t>
      </w:r>
    </w:p>
    <w:p w14:paraId="12F05F3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Divu kompetento iestāžu nolīgums stāsies spēkā dienā, kad otrā no kompetentajām iestādēm būs iesniegusi koordinējošās institūcijas sekretariātam šā panta 1. punktā norādīto paziņojumu, ieskaitot šā panta 1. punkta g) apakšpunktā norādīto citas kompetentās iestādes jurisdikciju uzskaitījumu.</w:t>
      </w:r>
    </w:p>
    <w:p w14:paraId="2A80736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 xml:space="preserve">3. Koordinējošās institūcijas sekretariāts uzturēs sarakstu, kurš tiks publicēts </w:t>
      </w:r>
      <w:r>
        <w:rPr>
          <w:rFonts w:ascii="Times New Roman" w:hAnsi="Times New Roman"/>
          <w:i/>
          <w:iCs/>
          <w:sz w:val="24"/>
        </w:rPr>
        <w:t>OECD</w:t>
      </w:r>
      <w:r>
        <w:rPr>
          <w:rFonts w:ascii="Times New Roman" w:hAnsi="Times New Roman"/>
          <w:sz w:val="24"/>
        </w:rPr>
        <w:t xml:space="preserve"> tīmekļa vietnē un kurā būs norādītas kompetentās iestādes, kas parakstījušas nolīgumu, un tas, starp kurām kompetentajām iestādēm šīs nolīgums ir spēkā.</w:t>
      </w:r>
    </w:p>
    <w:p w14:paraId="1CD719E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Koordinējošās institūcijas sekretariāts publicēs </w:t>
      </w:r>
      <w:r>
        <w:rPr>
          <w:rFonts w:ascii="Times New Roman" w:hAnsi="Times New Roman"/>
          <w:i/>
          <w:iCs/>
          <w:sz w:val="24"/>
        </w:rPr>
        <w:t>OECD</w:t>
      </w:r>
      <w:r>
        <w:rPr>
          <w:rFonts w:ascii="Times New Roman" w:hAnsi="Times New Roman"/>
          <w:sz w:val="24"/>
        </w:rPr>
        <w:t xml:space="preserve"> tīmekļa vietnē informāciju, ko kompetentās iestādes sniegušas saskaņā ar šā panta 1. punkta a), b) un e) apakšpunktu. Informācija, kas sniegta saskaņā ar šā panta 1. punkta c), d), f) un g) apakšpunktu, tiks darīta pieejama citiem parakstītājiem, pamatojoties uz rakstisku pieprasījumu koordinējošās institūcijas sekretariātam.</w:t>
      </w:r>
    </w:p>
    <w:p w14:paraId="03092EE0" w14:textId="77777777" w:rsidR="00491410" w:rsidRPr="00073EC4"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 Kompetentā iestāde var uz laiku apturēt informācijas apmaiņu, kas tiek veikta saskaņā ar šo nolīgumu, rakstiski paziņojot otrai kompetentajai iestādei, ka tā ir konstatējusi, ka pastāv vai iepriekš pastāvējusi otrās minētās kompetentās iestādes būtiska neatbilstība šim nolīgumam. Šāda apturēšana stājas spēkā nekavējoties. Saistībā ar šo punktu par būtisku neatbilstību jo īpaši tiek uzskatīta neatbilstība šā nolīguma un Konvencijas konfidencialitātes un datu aizsardzības pasākumiem vai situācija, kad kompetentā iestāde laikus nesniedz pietiekamu informāciju, kas prasīta šajā nolīgumā.</w:t>
      </w:r>
    </w:p>
    <w:p w14:paraId="1258023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 Kompetentā iestāde var izbeigt savu līdzdalību šajā nolīgumā vai tā piemērošanu attiecībā uz konkrētu kompetento iestādi, rakstveidā iesniedzot uzteikumu koordinējošās institūcijas sekretariātam. Ja vien kompetentā iestāde nenorāda citādi, šāda izbeigšana stājas spēkā tā mēneša pirmajā dienā, kurš seko 12 mēnešus ilgam laika posmam pēc dienas, kad minētais uzteikums iesniegts. Izbeigšanas gadījumā visa informācija, kas iepriekš saņemta, pamatojoties uz šo nolīgumu, saglabā konfidencialitātes statusu un uz to tiek attiecināti Konvencijas noteikumi.</w:t>
      </w:r>
    </w:p>
    <w:p w14:paraId="55590232"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52B61453" w14:textId="77777777" w:rsidR="00491410" w:rsidRPr="00073EC4" w:rsidRDefault="00491410" w:rsidP="00491410">
      <w:pPr>
        <w:pStyle w:val="Heading1"/>
        <w:spacing w:before="120" w:after="120" w:line="240" w:lineRule="auto"/>
        <w:jc w:val="center"/>
        <w:rPr>
          <w:rFonts w:ascii="Times New Roman" w:eastAsia="Arial" w:hAnsi="Times New Roman" w:cs="Times New Roman"/>
          <w:b/>
          <w:bCs/>
          <w:noProof/>
          <w:color w:val="0B769F" w:themeColor="accent4" w:themeShade="BF"/>
          <w:sz w:val="26"/>
          <w:szCs w:val="26"/>
        </w:rPr>
      </w:pPr>
      <w:bookmarkStart w:id="167" w:name="_Toc241753081"/>
      <w:r>
        <w:rPr>
          <w:rFonts w:ascii="Times New Roman" w:hAnsi="Times New Roman"/>
          <w:b/>
          <w:color w:val="0B769F" w:themeColor="accent4" w:themeShade="BF"/>
          <w:sz w:val="26"/>
        </w:rPr>
        <w:t>8. PANTS</w:t>
      </w:r>
      <w:bookmarkEnd w:id="167"/>
    </w:p>
    <w:p w14:paraId="2E369E07" w14:textId="77777777" w:rsidR="00491410" w:rsidRPr="00073EC4" w:rsidRDefault="00491410" w:rsidP="00491410">
      <w:pPr>
        <w:widowControl w:val="0"/>
        <w:autoSpaceDE w:val="0"/>
        <w:autoSpaceDN w:val="0"/>
        <w:spacing w:before="120" w:after="120" w:line="240" w:lineRule="auto"/>
        <w:jc w:val="center"/>
        <w:outlineLvl w:val="7"/>
        <w:rPr>
          <w:rFonts w:ascii="Times New Roman" w:eastAsia="Arial" w:hAnsi="Times New Roman" w:cs="Arial"/>
          <w:b/>
          <w:bCs/>
          <w:i/>
          <w:iCs/>
          <w:kern w:val="0"/>
          <w:sz w:val="26"/>
          <w:szCs w:val="26"/>
          <w14:ligatures w14:val="none"/>
        </w:rPr>
      </w:pPr>
      <w:r>
        <w:rPr>
          <w:rFonts w:ascii="Times New Roman" w:hAnsi="Times New Roman"/>
          <w:b/>
          <w:i/>
          <w:sz w:val="26"/>
        </w:rPr>
        <w:t>Koordinējošās institūcijas sekretariāts</w:t>
      </w:r>
    </w:p>
    <w:p w14:paraId="00593F46"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i/>
          <w:kern w:val="0"/>
          <w:sz w:val="24"/>
          <w:szCs w:val="20"/>
          <w14:ligatures w14:val="none"/>
        </w:rPr>
      </w:pPr>
    </w:p>
    <w:p w14:paraId="7ADD13E7"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Ja vien nolīgumā nav noteikts citādi, koordinējošās institūcijas sekretariāts informēs visas kompetentās iestādes par visiem paziņojumiem, kas saņemti, pamatojoties uz šo nolīgumu, un sniegs īpašu paziņojumu visiem nolīguma parakstītājiem tad, kad nolīgumu paraksta jauna kompetentā iestāde.</w:t>
      </w:r>
    </w:p>
    <w:p w14:paraId="0E517CF5"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Sagatavots angļu un franču valodā, abām redakcijām esot vienlīdz autentiskām.</w:t>
      </w:r>
    </w:p>
    <w:p w14:paraId="6733846A" w14:textId="77777777" w:rsidR="00491410" w:rsidRDefault="00491410" w:rsidP="00491410">
      <w:pPr>
        <w:rPr>
          <w:rFonts w:ascii="Times New Roman" w:eastAsia="Arial" w:hAnsi="Times New Roman" w:cs="Arial"/>
          <w:kern w:val="0"/>
          <w:sz w:val="24"/>
          <w14:ligatures w14:val="none"/>
        </w:rPr>
      </w:pPr>
      <w:r>
        <w:br w:type="page"/>
      </w:r>
    </w:p>
    <w:p w14:paraId="3E6BC64D" w14:textId="77777777" w:rsidR="00491410" w:rsidRPr="00073EC4" w:rsidRDefault="00491410" w:rsidP="00491410">
      <w:pPr>
        <w:widowControl w:val="0"/>
        <w:autoSpaceDE w:val="0"/>
        <w:autoSpaceDN w:val="0"/>
        <w:spacing w:before="120" w:after="120" w:line="240" w:lineRule="auto"/>
        <w:jc w:val="both"/>
        <w:rPr>
          <w:rFonts w:ascii="Times New Roman" w:eastAsia="Arial" w:hAnsi="Times New Roman" w:cs="Times New Roman"/>
          <w:b/>
          <w:bCs/>
          <w:noProof/>
          <w:color w:val="0B769F" w:themeColor="accent4" w:themeShade="BF"/>
          <w:sz w:val="48"/>
          <w:szCs w:val="48"/>
        </w:rPr>
      </w:pPr>
      <w:r>
        <w:rPr>
          <w:rFonts w:ascii="Times New Roman" w:hAnsi="Times New Roman"/>
          <w:b/>
          <w:color w:val="0B769F" w:themeColor="accent4" w:themeShade="BF"/>
          <w:sz w:val="72"/>
          <w:u w:val="single"/>
        </w:rPr>
        <w:lastRenderedPageBreak/>
        <w:t>5.</w:t>
      </w:r>
      <w:r>
        <w:rPr>
          <w:rFonts w:ascii="Times New Roman" w:hAnsi="Times New Roman"/>
          <w:b/>
          <w:color w:val="0B769F" w:themeColor="accent4" w:themeShade="BF"/>
        </w:rPr>
        <w:t xml:space="preserve"> </w:t>
      </w:r>
      <w:r>
        <w:rPr>
          <w:rFonts w:ascii="Times New Roman" w:hAnsi="Times New Roman"/>
          <w:b/>
          <w:color w:val="0B769F" w:themeColor="accent4" w:themeShade="BF"/>
          <w:sz w:val="48"/>
        </w:rPr>
        <w:t>Komentāri par Kompetento iestāžu daudzpusējo nolīgumu</w:t>
      </w:r>
    </w:p>
    <w:p w14:paraId="47A3521C" w14:textId="77777777" w:rsidR="00491410"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5F91E9B7" w14:textId="77777777" w:rsidR="00491410"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7BC000BF"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0FE9957A" w14:textId="77777777" w:rsidR="00491410" w:rsidRPr="00073EC4" w:rsidRDefault="00491410" w:rsidP="00491410">
      <w:pPr>
        <w:pStyle w:val="Heading1"/>
        <w:spacing w:before="120" w:after="120" w:line="240" w:lineRule="auto"/>
        <w:rPr>
          <w:rFonts w:ascii="Times New Roman" w:eastAsia="Arial" w:hAnsi="Times New Roman" w:cs="Times New Roman"/>
          <w:b/>
          <w:bCs/>
          <w:noProof/>
          <w:color w:val="0B769F" w:themeColor="accent4" w:themeShade="BF"/>
          <w:sz w:val="26"/>
          <w:szCs w:val="26"/>
        </w:rPr>
      </w:pPr>
      <w:bookmarkStart w:id="168" w:name="Introduction"/>
      <w:bookmarkStart w:id="169" w:name="_bookmark25"/>
      <w:bookmarkStart w:id="170" w:name="_Toc241753082"/>
      <w:bookmarkEnd w:id="168"/>
      <w:bookmarkEnd w:id="169"/>
      <w:r>
        <w:rPr>
          <w:rFonts w:ascii="Times New Roman" w:hAnsi="Times New Roman"/>
          <w:b/>
          <w:color w:val="0B769F" w:themeColor="accent4" w:themeShade="BF"/>
          <w:sz w:val="26"/>
        </w:rPr>
        <w:t>Ievads</w:t>
      </w:r>
      <w:bookmarkEnd w:id="170"/>
    </w:p>
    <w:p w14:paraId="0F1826FD"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Lai veiktu informācijas apmaiņu kriptoaktīvu ziņošanas sistēmā (</w:t>
      </w:r>
      <w:r>
        <w:rPr>
          <w:rFonts w:ascii="Times New Roman" w:hAnsi="Times New Roman"/>
          <w:i/>
          <w:iCs/>
          <w:sz w:val="24"/>
        </w:rPr>
        <w:t>CARF</w:t>
      </w:r>
      <w:r>
        <w:rPr>
          <w:rFonts w:ascii="Times New Roman" w:hAnsi="Times New Roman"/>
          <w:sz w:val="24"/>
        </w:rPr>
        <w:t>), jurisdikcijām ir jābūt tiesiskajam regulējumam, kas ļauj informācijas automātisku apmaiņu ar partnerības jurisdikcijām. Šajā tiesiskajā regulējumā jāiekļauj gan informācijas apmaiņas juridiskais pamats, gan arī administratīvie nolīgumi, kas nosaka informācijas apmaiņas tvērumu, laiku un metodi.</w:t>
      </w:r>
    </w:p>
    <w:p w14:paraId="2C9C7E3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Jurisdikcijām var būt juridisks pamats nodokļu informācijas apmaiņai saskaņā ar Konvenciju par savstarpējo administratīvo palīdzību nodokļu jautājumos (turpmāk tekstā – “Konvencija”). Saskaņā ar Konvencijas 6. pantu divas vai vairākas Konvencijas dalībvalstis var savstarpēji vienoties par iepriekš noteiktas, prognozējami svarīgas informācijas automātisku apmaiņu saskaņā ar procedūrām, par kurām dalībvalstis vienojušās savstarpējā nolīgumā. Kopējā ziņošanas standarta kontekstā šī daudzpusējā pieeja ir izrādījusies efektīvs veids, kā īstenot plašus informācijas apmaiņas attiecību tīklus, jo ļauj jurisdikcijām iedarbīgi aktivizēt divpusējas attiecības informācijas apmaiņas jomā.</w:t>
      </w:r>
    </w:p>
    <w:p w14:paraId="0AA2062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Lai iedarbinātu Konvencijas 6. pantu, jurisdikcijām ir jānoslēdz administratīvi nolīgumi, lai jo īpaši noteiktu automātiski iesniedzamo informāciju un informācijas apmaiņas laiku un metodi. Attiecībā uz </w:t>
      </w:r>
      <w:r>
        <w:rPr>
          <w:rFonts w:ascii="Times New Roman" w:hAnsi="Times New Roman"/>
          <w:i/>
          <w:iCs/>
          <w:sz w:val="24"/>
        </w:rPr>
        <w:t>CARF</w:t>
      </w:r>
      <w:r>
        <w:rPr>
          <w:rFonts w:ascii="Times New Roman" w:hAnsi="Times New Roman"/>
          <w:sz w:val="24"/>
        </w:rPr>
        <w:t xml:space="preserve"> šajā kompetento iestāžu daudzpusējā nolīgumā (</w:t>
      </w:r>
      <w:r>
        <w:rPr>
          <w:rFonts w:ascii="Times New Roman" w:hAnsi="Times New Roman"/>
          <w:i/>
          <w:iCs/>
          <w:sz w:val="24"/>
        </w:rPr>
        <w:t>CARF MCAA</w:t>
      </w:r>
      <w:r>
        <w:rPr>
          <w:rFonts w:ascii="Times New Roman" w:hAnsi="Times New Roman"/>
          <w:sz w:val="24"/>
        </w:rPr>
        <w:t>), kas izstrādāts, pamatojoties uz Konvencijas 6. pantu, ir noteikta sīki izklāstīta kārtība par informācijas apmaiņu, kas tiek veikta automātiski katru gadu.</w:t>
      </w:r>
    </w:p>
    <w:p w14:paraId="04D3C72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w:t>
      </w:r>
      <w:r>
        <w:rPr>
          <w:rFonts w:ascii="Times New Roman" w:hAnsi="Times New Roman"/>
          <w:i/>
          <w:iCs/>
          <w:sz w:val="24"/>
        </w:rPr>
        <w:t>CARF MCAA</w:t>
      </w:r>
      <w:r>
        <w:rPr>
          <w:rFonts w:ascii="Times New Roman" w:hAnsi="Times New Roman"/>
          <w:sz w:val="24"/>
        </w:rPr>
        <w:t xml:space="preserve"> veido turpmāk minētais:</w:t>
      </w:r>
    </w:p>
    <w:p w14:paraId="4B8C4F6D" w14:textId="77777777" w:rsidR="00491410" w:rsidRPr="003A1063" w:rsidRDefault="00491410" w:rsidP="00491410">
      <w:pPr>
        <w:widowControl w:val="0"/>
        <w:numPr>
          <w:ilvl w:val="1"/>
          <w:numId w:val="28"/>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deklarācija, ko paraksta jurisdikcijas kompetentā iestāde vai tās ieceltais pārstāvis, lai kļūtu par </w:t>
      </w:r>
      <w:r>
        <w:rPr>
          <w:rFonts w:ascii="Times New Roman" w:hAnsi="Times New Roman"/>
          <w:i/>
          <w:iCs/>
          <w:sz w:val="24"/>
        </w:rPr>
        <w:t>CARF MCAA</w:t>
      </w:r>
      <w:r>
        <w:rPr>
          <w:rFonts w:ascii="Times New Roman" w:hAnsi="Times New Roman"/>
          <w:sz w:val="24"/>
        </w:rPr>
        <w:t xml:space="preserve"> parakstītāju;</w:t>
      </w:r>
    </w:p>
    <w:p w14:paraId="60CFF923" w14:textId="77777777" w:rsidR="00491410" w:rsidRPr="003A1063" w:rsidRDefault="00491410" w:rsidP="00491410">
      <w:pPr>
        <w:widowControl w:val="0"/>
        <w:numPr>
          <w:ilvl w:val="1"/>
          <w:numId w:val="28"/>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preambula, kurā paskaidrots </w:t>
      </w:r>
      <w:r>
        <w:rPr>
          <w:rFonts w:ascii="Times New Roman" w:hAnsi="Times New Roman"/>
          <w:i/>
          <w:iCs/>
          <w:sz w:val="24"/>
        </w:rPr>
        <w:t>CARF MCAA</w:t>
      </w:r>
      <w:r>
        <w:rPr>
          <w:rFonts w:ascii="Times New Roman" w:hAnsi="Times New Roman"/>
          <w:sz w:val="24"/>
        </w:rPr>
        <w:t xml:space="preserve"> mērķis un sniegti apliecinājumi attiecībā uz tiem valsts ziņošanas un pienācīgas pārbaudes noteikumiem, kas ir pamatā </w:t>
      </w:r>
      <w:r>
        <w:rPr>
          <w:rFonts w:ascii="Times New Roman" w:hAnsi="Times New Roman"/>
          <w:i/>
          <w:iCs/>
          <w:sz w:val="24"/>
        </w:rPr>
        <w:t>CARF MCAA</w:t>
      </w:r>
      <w:r>
        <w:rPr>
          <w:rFonts w:ascii="Times New Roman" w:hAnsi="Times New Roman"/>
          <w:sz w:val="24"/>
        </w:rPr>
        <w:t xml:space="preserve"> noteiktajai informācijas apmaiņai. Tajā ir iekļauti arī apliecinājumi attiecībā uz konfidencialitāti, datu aizsardzības pasākumiem un nepieciešamās infrastruktūras esību;</w:t>
      </w:r>
    </w:p>
    <w:p w14:paraId="2595AD2D" w14:textId="77777777" w:rsidR="00491410" w:rsidRPr="003A1063" w:rsidRDefault="00491410" w:rsidP="00491410">
      <w:pPr>
        <w:widowControl w:val="0"/>
        <w:numPr>
          <w:ilvl w:val="1"/>
          <w:numId w:val="28"/>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astoņi panti, kuros iekļauti </w:t>
      </w:r>
      <w:r>
        <w:rPr>
          <w:rFonts w:ascii="Times New Roman" w:hAnsi="Times New Roman"/>
          <w:i/>
          <w:iCs/>
          <w:sz w:val="24"/>
        </w:rPr>
        <w:t>CARF MCAA</w:t>
      </w:r>
      <w:r>
        <w:rPr>
          <w:rFonts w:ascii="Times New Roman" w:hAnsi="Times New Roman"/>
          <w:sz w:val="24"/>
        </w:rPr>
        <w:t xml:space="preserve"> saskaņotie noteikumi: 1. pantā ir sniegtas definīcijas, 2. pantā norādīti nosūtāmās/saņemamās informācijas elementi, 3. pantā norādīts informācijas apmaiņas laiks un veids, 4. pants attiecas uz sadarbību atbilstības nodrošināšanas un izpildes jomā, un 5. pants attiecas uz konfidencialitāti un datu aizsardzības pasākumiem, kas jāievēro. Kompetento iestāžu konsultēšanās, </w:t>
      </w:r>
      <w:r>
        <w:rPr>
          <w:rFonts w:ascii="Times New Roman" w:hAnsi="Times New Roman"/>
          <w:i/>
          <w:iCs/>
          <w:sz w:val="24"/>
        </w:rPr>
        <w:t>CARF MCAA</w:t>
      </w:r>
      <w:r>
        <w:rPr>
          <w:rFonts w:ascii="Times New Roman" w:hAnsi="Times New Roman"/>
          <w:sz w:val="24"/>
        </w:rPr>
        <w:t xml:space="preserve"> grozījumi un </w:t>
      </w:r>
      <w:r>
        <w:rPr>
          <w:rFonts w:ascii="Times New Roman" w:hAnsi="Times New Roman"/>
          <w:i/>
          <w:iCs/>
          <w:sz w:val="24"/>
        </w:rPr>
        <w:t>CARF MCAA</w:t>
      </w:r>
      <w:r>
        <w:rPr>
          <w:rFonts w:ascii="Times New Roman" w:hAnsi="Times New Roman"/>
          <w:sz w:val="24"/>
        </w:rPr>
        <w:t xml:space="preserve"> vispārīgi noteikumi, tostarp informācijas apmaiņas attiecību aktivizēšana, iesniedzot paziņojumus, nolīguma apturēšana, darbības pārtraukšana un izbeigšana, kā arī koordinējošās institūcijas sekretariāta loma ir aplūkota 6., 7. un 8. pantā;</w:t>
      </w:r>
    </w:p>
    <w:p w14:paraId="7A215BAE" w14:textId="77777777" w:rsidR="00491410" w:rsidRPr="003A1063" w:rsidRDefault="00491410" w:rsidP="00491410">
      <w:pPr>
        <w:widowControl w:val="0"/>
        <w:numPr>
          <w:ilvl w:val="1"/>
          <w:numId w:val="28"/>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septiņi paziņojumi, kas jāiesniedz saskaņā ar 7. panta 1. punktu, lai kompetentajai iestādei stātos spēkā </w:t>
      </w:r>
      <w:r>
        <w:rPr>
          <w:rFonts w:ascii="Times New Roman" w:hAnsi="Times New Roman"/>
          <w:i/>
          <w:iCs/>
          <w:sz w:val="24"/>
        </w:rPr>
        <w:t>CARF MCAA</w:t>
      </w:r>
      <w:r>
        <w:rPr>
          <w:rFonts w:ascii="Times New Roman" w:hAnsi="Times New Roman"/>
          <w:sz w:val="24"/>
        </w:rPr>
        <w:t>.</w:t>
      </w:r>
    </w:p>
    <w:p w14:paraId="6CC71539" w14:textId="77777777" w:rsidR="00491410" w:rsidRPr="003A1063" w:rsidRDefault="00491410" w:rsidP="00714B28">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 xml:space="preserve">5. </w:t>
      </w:r>
      <w:r>
        <w:rPr>
          <w:rFonts w:ascii="Times New Roman" w:hAnsi="Times New Roman"/>
          <w:i/>
          <w:iCs/>
          <w:sz w:val="24"/>
        </w:rPr>
        <w:t>CARF MCAA</w:t>
      </w:r>
      <w:r>
        <w:rPr>
          <w:rFonts w:ascii="Times New Roman" w:hAnsi="Times New Roman"/>
          <w:sz w:val="24"/>
        </w:rPr>
        <w:t xml:space="preserve"> ir daudzpusējs nolīgums, kas ir izstrādāts, pamatojoties uz savstarpējas automātiskas apmaiņas principu un to, ka informācijas apmaiņa notiek divpusējā līmenī. Var būt gadījumi, ka kompetentās iestādes vēlas nodibināt nereciprokālas divpusējas apmaiņas attiecības (piemēram, ja vienai jurisdikcijai nav ienākuma nodokļa), kā apstiprināts paziņojumā, kas iesniegts saskaņā ar 7. panta 1. punkta b) apakšpunktu.</w:t>
      </w:r>
    </w:p>
    <w:p w14:paraId="2C862504"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6. Kā alternatīvu </w:t>
      </w:r>
      <w:r>
        <w:rPr>
          <w:rFonts w:ascii="Times New Roman" w:hAnsi="Times New Roman"/>
          <w:i/>
          <w:iCs/>
          <w:sz w:val="24"/>
        </w:rPr>
        <w:t>CARF MCAA</w:t>
      </w:r>
      <w:r>
        <w:rPr>
          <w:rFonts w:ascii="Times New Roman" w:hAnsi="Times New Roman"/>
          <w:sz w:val="24"/>
        </w:rPr>
        <w:t xml:space="preserve"> jurisdikcijas var izveidot automātiskas apmaiņas attiecības, noslēdzot arī divpusējus kompetento iestāžu nolīgumus, pamatojoties uz divpusējiem līgumiem par nodokļu dubultu neaplikšanu vai nodokļu informācijas apmaiņas nolīgumiem, kas ļauj informācijas automātisku apmaiņu, vai pamatojoties uz Konvenciju par savstarpējo administratīvo palīdzību nodokļu jomā. Jurisdikcijas var noslēgt arī autonomu starpvaldību līgumu vai balstīties uz reģionālajiem tiesību aktiem, kas aptver gan ziņošanas pienākumus, gan pienācīgas pārbaudes procedūras apvienojumā ar informācijas apmaiņas metodēm.</w:t>
      </w:r>
    </w:p>
    <w:p w14:paraId="3146E74A" w14:textId="77777777" w:rsidR="00491410" w:rsidRPr="00073EC4"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171" w:name="Commentary_on_the_Declaration"/>
      <w:bookmarkStart w:id="172" w:name="_bookmark26"/>
      <w:bookmarkStart w:id="173" w:name="_Toc241753083"/>
      <w:bookmarkEnd w:id="171"/>
      <w:bookmarkEnd w:id="172"/>
      <w:r>
        <w:rPr>
          <w:rFonts w:ascii="Times New Roman" w:hAnsi="Times New Roman"/>
          <w:b/>
          <w:color w:val="0B769F" w:themeColor="accent4" w:themeShade="BF"/>
          <w:sz w:val="26"/>
        </w:rPr>
        <w:t>Komentāri par deklarāciju</w:t>
      </w:r>
      <w:bookmarkEnd w:id="173"/>
    </w:p>
    <w:p w14:paraId="0823DDC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w:t>
      </w:r>
      <w:r>
        <w:rPr>
          <w:rFonts w:ascii="Times New Roman" w:hAnsi="Times New Roman"/>
          <w:b/>
          <w:sz w:val="24"/>
        </w:rPr>
        <w:t xml:space="preserve"> </w:t>
      </w:r>
      <w:r>
        <w:rPr>
          <w:rFonts w:ascii="Times New Roman" w:hAnsi="Times New Roman"/>
          <w:sz w:val="24"/>
        </w:rPr>
        <w:t xml:space="preserve">Lai kļūtu par </w:t>
      </w:r>
      <w:r>
        <w:rPr>
          <w:rFonts w:ascii="Times New Roman" w:hAnsi="Times New Roman"/>
          <w:i/>
          <w:iCs/>
          <w:sz w:val="24"/>
        </w:rPr>
        <w:t>CARF MCAA</w:t>
      </w:r>
      <w:r>
        <w:rPr>
          <w:rFonts w:ascii="Times New Roman" w:hAnsi="Times New Roman"/>
          <w:sz w:val="24"/>
        </w:rPr>
        <w:t xml:space="preserve"> parakstītāju, jurisdikcijas kompetentajai iestādei vai tās ieceltam pārstāvim jāparaksta deklarācija un kopā ar </w:t>
      </w:r>
      <w:r>
        <w:rPr>
          <w:rFonts w:ascii="Times New Roman" w:hAnsi="Times New Roman"/>
          <w:i/>
          <w:iCs/>
          <w:sz w:val="24"/>
        </w:rPr>
        <w:t>CARF MCAA</w:t>
      </w:r>
      <w:r>
        <w:rPr>
          <w:rFonts w:ascii="Times New Roman" w:hAnsi="Times New Roman"/>
          <w:sz w:val="24"/>
        </w:rPr>
        <w:t xml:space="preserve"> tekstu tā jāiesniedz koordinējošās institūcijas sekretariātam.</w:t>
      </w:r>
    </w:p>
    <w:p w14:paraId="62FEB66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w:t>
      </w:r>
      <w:r>
        <w:rPr>
          <w:rFonts w:ascii="Times New Roman" w:hAnsi="Times New Roman"/>
          <w:i/>
          <w:iCs/>
          <w:sz w:val="24"/>
        </w:rPr>
        <w:t>CARF MCAA</w:t>
      </w:r>
      <w:r>
        <w:rPr>
          <w:rFonts w:ascii="Times New Roman" w:hAnsi="Times New Roman"/>
          <w:sz w:val="24"/>
        </w:rPr>
        <w:t xml:space="preserve"> attiecībā uz otru kompetento iestādi stāsies spēkā tikai tad, kad abas kompetentās iestādes būs parakstījušas deklarāciju, koordinējošās institūcijas sekretariātam būs iesniegušas visus saistītos paziņojumus saskaņā ar 7. panta 1. punktu un viena otru būs iekļāvušas plānoto apmaiņas partneru sarakstā, ko norāda paziņojumā, kas iesniedzams saskaņā ar 7. panta 1. punkta g) apakšpunktu.</w:t>
      </w:r>
    </w:p>
    <w:p w14:paraId="60A7D12D" w14:textId="77777777" w:rsidR="00491410" w:rsidRPr="00073EC4"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174" w:name="Commentary_on_the_Preamble"/>
      <w:bookmarkStart w:id="175" w:name="_bookmark27"/>
      <w:bookmarkStart w:id="176" w:name="_Toc241753084"/>
      <w:bookmarkEnd w:id="174"/>
      <w:bookmarkEnd w:id="175"/>
      <w:r>
        <w:rPr>
          <w:rFonts w:ascii="Times New Roman" w:hAnsi="Times New Roman"/>
          <w:b/>
          <w:color w:val="0B769F" w:themeColor="accent4" w:themeShade="BF"/>
          <w:sz w:val="26"/>
        </w:rPr>
        <w:t>Komentāri par preambulu</w:t>
      </w:r>
      <w:bookmarkEnd w:id="176"/>
    </w:p>
    <w:p w14:paraId="211083B1" w14:textId="77777777" w:rsidR="00491410" w:rsidRPr="00073EC4"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Preambula (“deklaratīvās klauzulas”) nosaka attiecīgo kontekstu, paskaidro </w:t>
      </w:r>
      <w:r>
        <w:rPr>
          <w:rFonts w:ascii="Times New Roman" w:hAnsi="Times New Roman"/>
          <w:i/>
          <w:iCs/>
          <w:sz w:val="24"/>
        </w:rPr>
        <w:t>CARF MCAA</w:t>
      </w:r>
      <w:r>
        <w:rPr>
          <w:rFonts w:ascii="Times New Roman" w:hAnsi="Times New Roman"/>
          <w:sz w:val="24"/>
        </w:rPr>
        <w:t xml:space="preserve"> mērķi un ietver parakstītāju apliecinājumus.</w:t>
      </w:r>
    </w:p>
    <w:p w14:paraId="1198D6B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Pirmā klauzula satur apstiprinājumu, ka </w:t>
      </w:r>
      <w:r>
        <w:rPr>
          <w:rFonts w:ascii="Times New Roman" w:hAnsi="Times New Roman"/>
          <w:i/>
          <w:iCs/>
          <w:sz w:val="24"/>
        </w:rPr>
        <w:t>CARF MCAA</w:t>
      </w:r>
      <w:r>
        <w:rPr>
          <w:rFonts w:ascii="Times New Roman" w:hAnsi="Times New Roman"/>
          <w:sz w:val="24"/>
        </w:rPr>
        <w:t xml:space="preserve"> parakstītāju jurisdikcijas ir Konvencijas dalībvalstis vai teritorijas, kas ir priekšnoteikums tam, lai varētu parakstīt </w:t>
      </w:r>
      <w:r>
        <w:rPr>
          <w:rFonts w:ascii="Times New Roman" w:hAnsi="Times New Roman"/>
          <w:i/>
          <w:iCs/>
          <w:sz w:val="24"/>
        </w:rPr>
        <w:t>CARF MCAA</w:t>
      </w:r>
      <w:r>
        <w:rPr>
          <w:rFonts w:ascii="Times New Roman" w:hAnsi="Times New Roman"/>
          <w:sz w:val="24"/>
        </w:rPr>
        <w:t>.</w:t>
      </w:r>
    </w:p>
    <w:p w14:paraId="2F7149C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Otrā un trešā klauzula ir kā ievads, un tajās ir precizēts, ka </w:t>
      </w:r>
      <w:r>
        <w:rPr>
          <w:rFonts w:ascii="Times New Roman" w:hAnsi="Times New Roman"/>
          <w:i/>
          <w:iCs/>
          <w:sz w:val="24"/>
        </w:rPr>
        <w:t>CARF MCAA</w:t>
      </w:r>
      <w:r>
        <w:rPr>
          <w:rFonts w:ascii="Times New Roman" w:hAnsi="Times New Roman"/>
          <w:sz w:val="24"/>
        </w:rPr>
        <w:t xml:space="preserve"> mērķis ir apkarot nodokļu nemaksāšanu un izvairīšanos no nodokļa maksāšanas un uzlabot nodokļu saistību izpildi.</w:t>
      </w:r>
    </w:p>
    <w:p w14:paraId="2827117C"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Ceturtajā klauzulā ir izklāstīti kompetento iestāžu apliecinājumi tam, ka attiecīgo jurisdikciju tiesību aktos ir noteikts pienākums (vai paredzēts, ka tiks noteikts pienākums) kriptoaktīvu pakalpojumu sniedzējiem, kas sniedz ziņojumus, sniegt informāciju par attiecīgiem kriptoaktīviem, ievērojot šā nolīguma 2. pantā noteikto apmaiņas tvērumu. Ceturtajā klauzulā izmantotais formulējums paredz, ka kompetentās iestādes, ja vēlas, var parakstīt </w:t>
      </w:r>
      <w:r>
        <w:rPr>
          <w:rFonts w:ascii="Times New Roman" w:hAnsi="Times New Roman"/>
          <w:i/>
          <w:iCs/>
          <w:sz w:val="24"/>
        </w:rPr>
        <w:t>CARF MCAA</w:t>
      </w:r>
      <w:r>
        <w:rPr>
          <w:rFonts w:ascii="Times New Roman" w:hAnsi="Times New Roman"/>
          <w:sz w:val="24"/>
        </w:rPr>
        <w:t>, kamēr to jurisdikcija vēl nav pieņēmusi attiecīgos noteikumus par pienācīgu pārbaudi un ziņošanu.</w:t>
      </w:r>
    </w:p>
    <w:p w14:paraId="7DD6878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 Piektā klauzula paredz, ka turpmākie kriptoaktīvu ziņošanas sistēmas grozījumi būtu jāataino jurisdikciju valsts tiesību aktos, un tiklīdz jurisdikcija tos ir pieņēmusi, atsauce uz terminu “kriptoaktīvu ziņošanas sistēma” ir uzskatāma par atsauci uz tās grozīto redakciju attiecībā uz šo jurisdikciju.</w:t>
      </w:r>
    </w:p>
    <w:p w14:paraId="2A19485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 Sestajā klauzulā ir izklāstīts tiesiskais pamats, kas ļauj veikt informācijas automātisku apmaiņu un kompetentajām iestādēm vienoties par šādas automātiskas apmaiņas procedūrām. Tvērums, par kuru panākta vienošanās, atbilst šā nolīguma 2. pantā paredzētās apmaiņas tvērumam.</w:t>
      </w:r>
    </w:p>
    <w:p w14:paraId="26F806FF" w14:textId="77777777" w:rsidR="00491410" w:rsidRPr="003A1063" w:rsidRDefault="00491410" w:rsidP="00156A8D">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7. Septītajā klauzulā norādīts, ka Konvencija ļauj divām vai vairākām dalībvalstīm savstarpēji vienoties par noteiktas informācijas automātisku apmaiņu, tomēr faktiskā informācijas apmaiņa notiek divpusējā līmenī (t. i., no nosūtošās kompetentās iestādes uz saņemošo kompetento iestādi).</w:t>
      </w:r>
    </w:p>
    <w:p w14:paraId="143127A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8. Astotajā klauzulā ir izklāstīti kompetento iestāžu apliecinājumi tam, ka to jurisdikcijām ir i) ieviesti atbilstīgi aizsardzības pasākumi, lai nodrošinātu saņemtās informācijas konfidencialitāti, un ii) izveidota infrastruktūra, kas nodrošina efektīvu apmaiņu.</w:t>
      </w:r>
    </w:p>
    <w:p w14:paraId="3CC9E77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9. Devītajā klauzulā ir atkārtoti norādīts </w:t>
      </w:r>
      <w:r>
        <w:rPr>
          <w:rFonts w:ascii="Times New Roman" w:hAnsi="Times New Roman"/>
          <w:i/>
          <w:iCs/>
          <w:sz w:val="24"/>
        </w:rPr>
        <w:t>CARF MCAA</w:t>
      </w:r>
      <w:r>
        <w:rPr>
          <w:rFonts w:ascii="Times New Roman" w:hAnsi="Times New Roman"/>
          <w:sz w:val="24"/>
        </w:rPr>
        <w:t xml:space="preserve"> mērķis uzlabot nodokļu saistību izpildi starptautiskajā līmenī attiecībā uz attiecīgajiem kriptoaktīviem. Tajā ir arī precizēts, ka </w:t>
      </w:r>
      <w:r>
        <w:rPr>
          <w:rFonts w:ascii="Times New Roman" w:hAnsi="Times New Roman"/>
          <w:i/>
          <w:iCs/>
          <w:sz w:val="24"/>
        </w:rPr>
        <w:t>CARF MCAA</w:t>
      </w:r>
      <w:r>
        <w:rPr>
          <w:rFonts w:ascii="Times New Roman" w:hAnsi="Times New Roman"/>
          <w:sz w:val="24"/>
        </w:rPr>
        <w:t xml:space="preserve"> piemērošana varētu būt atkarīga no tā, ka ir sekmīgi pabeigtas valsts likumdošanas procedūras (piemēram, parlamentārais apstiprinājums un/vai referendums), un atkārtoti norādīts, ka tamdēļ, lai noslēgtu </w:t>
      </w:r>
      <w:r>
        <w:rPr>
          <w:rFonts w:ascii="Times New Roman" w:hAnsi="Times New Roman"/>
          <w:i/>
          <w:iCs/>
          <w:sz w:val="24"/>
        </w:rPr>
        <w:t>CARF MCAA</w:t>
      </w:r>
      <w:r>
        <w:rPr>
          <w:rFonts w:ascii="Times New Roman" w:hAnsi="Times New Roman"/>
          <w:sz w:val="24"/>
        </w:rPr>
        <w:t>, dalībvalstīm ir jāievēro konfidencialitāte, datu aizsardzības pasākumi un citi aizsardzības pasākumi, tostarp tas, ka saņemto/nosūtīto informāciju drīkst izmantot tikai Konvencijā norādītajā apmērā.</w:t>
      </w:r>
    </w:p>
    <w:p w14:paraId="28C08403" w14:textId="77777777" w:rsidR="00491410" w:rsidRPr="00073EC4"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177" w:name="Commentary_on_Section_1_concerning_defin"/>
      <w:bookmarkStart w:id="178" w:name="_bookmark28"/>
      <w:bookmarkStart w:id="179" w:name="_Toc241753085"/>
      <w:bookmarkEnd w:id="177"/>
      <w:bookmarkEnd w:id="178"/>
      <w:r>
        <w:rPr>
          <w:rFonts w:ascii="Times New Roman" w:hAnsi="Times New Roman"/>
          <w:b/>
          <w:color w:val="0B769F" w:themeColor="accent4" w:themeShade="BF"/>
          <w:sz w:val="26"/>
        </w:rPr>
        <w:t>Komentāri par 1. pantu attiecībā uz definīcijām</w:t>
      </w:r>
      <w:bookmarkEnd w:id="179"/>
    </w:p>
    <w:p w14:paraId="7C953623" w14:textId="77777777" w:rsidR="00491410" w:rsidRPr="00073EC4"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80" w:name="Paragraph_1_–_Definitions"/>
      <w:bookmarkEnd w:id="180"/>
      <w:r>
        <w:rPr>
          <w:rFonts w:ascii="Times New Roman" w:hAnsi="Times New Roman"/>
          <w:b/>
          <w:i/>
          <w:sz w:val="26"/>
        </w:rPr>
        <w:t>1. punkts. Definīcijas</w:t>
      </w:r>
    </w:p>
    <w:p w14:paraId="034ACEC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Šā panta 1. punkta a) apakšpunktā ir definētas kompetento iestāžu jurisdikcijas, kas parakstījušas </w:t>
      </w:r>
      <w:r>
        <w:rPr>
          <w:rFonts w:ascii="Times New Roman" w:hAnsi="Times New Roman"/>
          <w:i/>
          <w:iCs/>
          <w:sz w:val="24"/>
        </w:rPr>
        <w:t>CARF MCAA</w:t>
      </w:r>
      <w:r>
        <w:rPr>
          <w:rFonts w:ascii="Times New Roman" w:hAnsi="Times New Roman"/>
          <w:sz w:val="24"/>
        </w:rPr>
        <w:t>, un norādīts, ka tās ir valstis vai teritorijas, attiecībā uz kurām Konvencija ir spēkā (sākotnējā Konvencija) vai darbojas (grozītā Konvencija), vai nu to ratificējot, vai arī paplašinot teritoriālo attiecinājumu.</w:t>
      </w:r>
    </w:p>
    <w:p w14:paraId="67EAADA2" w14:textId="77777777" w:rsidR="00491410" w:rsidRPr="00073EC4"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Termins “kompetentā iestāde”, kas definēts 1. punkta b) apakšpunktā, attiecas uz Konvencijas B pielikumā uzskaitītajām personām un iestādēm.</w:t>
      </w:r>
    </w:p>
    <w:p w14:paraId="311412CC"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Termins “kriptoaktīvu ziņošanas sistēma”, kas definēts 1. punkta c) apakšpunktā, attiecas uz starptautisko sistēmu ar kriptoaktīviem saistītas informācijas automātiskai apmaiņai (kas ietver komentārus), ko izstrādājusi </w:t>
      </w:r>
      <w:r>
        <w:rPr>
          <w:rFonts w:ascii="Times New Roman" w:hAnsi="Times New Roman"/>
          <w:i/>
          <w:iCs/>
          <w:sz w:val="24"/>
        </w:rPr>
        <w:t>OECD</w:t>
      </w:r>
      <w:r>
        <w:rPr>
          <w:rFonts w:ascii="Times New Roman" w:hAnsi="Times New Roman"/>
          <w:sz w:val="24"/>
        </w:rPr>
        <w:t xml:space="preserve"> kopā ar G20 valstīm.</w:t>
      </w:r>
    </w:p>
    <w:p w14:paraId="6A21D8A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Pastāv iespēja, ka </w:t>
      </w:r>
      <w:r>
        <w:rPr>
          <w:rFonts w:ascii="Times New Roman" w:hAnsi="Times New Roman"/>
          <w:i/>
          <w:iCs/>
          <w:sz w:val="24"/>
        </w:rPr>
        <w:t>CARF</w:t>
      </w:r>
      <w:r>
        <w:rPr>
          <w:rFonts w:ascii="Times New Roman" w:hAnsi="Times New Roman"/>
          <w:sz w:val="24"/>
        </w:rPr>
        <w:t xml:space="preserve">, tostarp IT modalitātes, piemēram, </w:t>
      </w:r>
      <w:r>
        <w:rPr>
          <w:rFonts w:ascii="Times New Roman" w:hAnsi="Times New Roman"/>
          <w:i/>
          <w:iCs/>
          <w:sz w:val="24"/>
        </w:rPr>
        <w:t>XML</w:t>
      </w:r>
      <w:r>
        <w:rPr>
          <w:rFonts w:ascii="Times New Roman" w:hAnsi="Times New Roman"/>
          <w:sz w:val="24"/>
        </w:rPr>
        <w:t xml:space="preserve"> shēmas, laiku pa laikam tiks atjauninātas, palielinoties tādu jurisdikciju skaitam, kuras ievieš </w:t>
      </w:r>
      <w:r>
        <w:rPr>
          <w:rFonts w:ascii="Times New Roman" w:hAnsi="Times New Roman"/>
          <w:i/>
          <w:iCs/>
          <w:sz w:val="24"/>
        </w:rPr>
        <w:t>CARF</w:t>
      </w:r>
      <w:r>
        <w:rPr>
          <w:rFonts w:ascii="Times New Roman" w:hAnsi="Times New Roman"/>
          <w:sz w:val="24"/>
        </w:rPr>
        <w:t xml:space="preserve"> un uzkrāj ar to saistītu pieredzi. Turklāt </w:t>
      </w:r>
      <w:r>
        <w:rPr>
          <w:rFonts w:ascii="Times New Roman" w:hAnsi="Times New Roman"/>
          <w:i/>
          <w:iCs/>
          <w:sz w:val="24"/>
        </w:rPr>
        <w:t>CARF MCAA</w:t>
      </w:r>
      <w:r>
        <w:rPr>
          <w:rFonts w:ascii="Times New Roman" w:hAnsi="Times New Roman"/>
          <w:sz w:val="24"/>
        </w:rPr>
        <w:t xml:space="preserve"> kompetentās iestādes var parakstīt dažādos datumos, un atšķirīgo parakstīšanas datumu dēļ </w:t>
      </w:r>
      <w:r>
        <w:rPr>
          <w:rFonts w:ascii="Times New Roman" w:hAnsi="Times New Roman"/>
          <w:i/>
          <w:iCs/>
          <w:sz w:val="24"/>
        </w:rPr>
        <w:t>CARF</w:t>
      </w:r>
      <w:r>
        <w:rPr>
          <w:rFonts w:ascii="Times New Roman" w:hAnsi="Times New Roman"/>
          <w:sz w:val="24"/>
        </w:rPr>
        <w:t xml:space="preserve"> var būt atjaunināta starplaikā. Šajā saistībā un lai nodrošinātu izpratni, ka visām jurisdikcijām būtu jāīsteno </w:t>
      </w:r>
      <w:r>
        <w:rPr>
          <w:rFonts w:ascii="Times New Roman" w:hAnsi="Times New Roman"/>
          <w:i/>
          <w:iCs/>
          <w:sz w:val="24"/>
        </w:rPr>
        <w:t>CARF</w:t>
      </w:r>
      <w:r>
        <w:rPr>
          <w:rFonts w:ascii="Times New Roman" w:hAnsi="Times New Roman"/>
          <w:sz w:val="24"/>
        </w:rPr>
        <w:t xml:space="preserve"> jaunākā redakcija attiecībā uz kriptoaktīvu pakalpojumu sniedzējiem, kas sniedz ziņojumus un kam piemērojamas pienācīgas pārbaudes un ziņošanas prasības to jurisdikcijā, piektajā deklaratīvajā klauzulā norādīts, ka “ir paredzēts, ka jurisdikciju tiesību akti laiku pa laikam tiks grozīti, lai atspoguļotu kriptoaktīvu ziņošanas sistēmas atjauninājumus, un ka pēc tam, kad jurisdikcijas būs ieviesušas šos grozījumus, tiks uzskatīts, ka termina “kriptoaktīvu ziņošanas sistēma” definīcija attiecīgajā jurisdikcijā attiecas uz šādu atjaunināto redakciju”.</w:t>
      </w:r>
    </w:p>
    <w:p w14:paraId="2F814F84"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5. Termins “koordinējošās institūcijas sekretariāts”, kas definēts 1. punkta d) apakšpunktā, attiecas uz </w:t>
      </w:r>
      <w:r>
        <w:rPr>
          <w:rFonts w:ascii="Times New Roman" w:hAnsi="Times New Roman"/>
          <w:i/>
          <w:iCs/>
          <w:sz w:val="24"/>
        </w:rPr>
        <w:t>OECD</w:t>
      </w:r>
      <w:r>
        <w:rPr>
          <w:rFonts w:ascii="Times New Roman" w:hAnsi="Times New Roman"/>
          <w:sz w:val="24"/>
        </w:rPr>
        <w:t xml:space="preserve"> sekretariātu, kas saskaņā ar Konvencijas 24. panta 3. punktu sniedz atbalstu koordinējošajai institūcijai, kura veidota no Konvencijas dalībvalstu kompetento iestāžu pārstāvjiem.</w:t>
      </w:r>
    </w:p>
    <w:p w14:paraId="0ED4546C"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6. Saskaņā ar 1. punkta e) apakšpunktu </w:t>
      </w:r>
      <w:r>
        <w:rPr>
          <w:rFonts w:ascii="Times New Roman" w:hAnsi="Times New Roman"/>
          <w:i/>
          <w:iCs/>
          <w:sz w:val="24"/>
        </w:rPr>
        <w:t>CARF MCAA</w:t>
      </w:r>
      <w:r>
        <w:rPr>
          <w:rFonts w:ascii="Times New Roman" w:hAnsi="Times New Roman"/>
          <w:sz w:val="24"/>
        </w:rPr>
        <w:t xml:space="preserve"> ir “spēkā esošs nolīgums” attiecībā uz jebkurām divām kompetentajām iestādēm, ja tās viena otru ir iekļāvušas plānoto informācijas apmaiņas partneru sarakstā (7. panta 1. punkta g) apakšpunktā minētais paziņojums) un ir izpildījušas citus 7. panta 2. punktā sniegtos nosacījumus. To kompetento iestāžu saraksts, starp kurām šis </w:t>
      </w:r>
      <w:r>
        <w:rPr>
          <w:rFonts w:ascii="Times New Roman" w:hAnsi="Times New Roman"/>
          <w:i/>
          <w:iCs/>
          <w:sz w:val="24"/>
        </w:rPr>
        <w:t>CARF MCAA</w:t>
      </w:r>
      <w:r>
        <w:rPr>
          <w:rFonts w:ascii="Times New Roman" w:hAnsi="Times New Roman"/>
          <w:sz w:val="24"/>
        </w:rPr>
        <w:t xml:space="preserve"> ir spēkā, tiks publicēts </w:t>
      </w:r>
      <w:r>
        <w:rPr>
          <w:rFonts w:ascii="Times New Roman" w:hAnsi="Times New Roman"/>
          <w:i/>
          <w:iCs/>
          <w:sz w:val="24"/>
        </w:rPr>
        <w:t>OECD</w:t>
      </w:r>
      <w:r>
        <w:rPr>
          <w:rFonts w:ascii="Times New Roman" w:hAnsi="Times New Roman"/>
          <w:sz w:val="24"/>
        </w:rPr>
        <w:t xml:space="preserve"> tīmekļa vietnē.</w:t>
      </w:r>
    </w:p>
    <w:p w14:paraId="02B76212" w14:textId="77777777" w:rsidR="00491410" w:rsidRPr="00073EC4" w:rsidRDefault="00491410" w:rsidP="00156A8D">
      <w:pPr>
        <w:keepNext/>
        <w:keepLines/>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81" w:name="Paragraph_2_–_General_rule_of_interpreta"/>
      <w:bookmarkEnd w:id="181"/>
      <w:r>
        <w:rPr>
          <w:rFonts w:ascii="Times New Roman" w:hAnsi="Times New Roman"/>
          <w:b/>
          <w:i/>
          <w:sz w:val="26"/>
        </w:rPr>
        <w:lastRenderedPageBreak/>
        <w:t>2. punkts. Vispārīgais interpretācijas princips</w:t>
      </w:r>
    </w:p>
    <w:p w14:paraId="5039EDCE" w14:textId="77777777" w:rsidR="00491410" w:rsidRPr="003A1063" w:rsidRDefault="00491410" w:rsidP="00156A8D">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7. Vispārīgais interpretācijas princips ir izklāstīts 2. punktā. Šā punkta pirmajā teikumā ir paskaidrots, ka visi ar lielo burtu rakstītie termini, kas izmantoti </w:t>
      </w:r>
      <w:r>
        <w:rPr>
          <w:rFonts w:ascii="Times New Roman" w:hAnsi="Times New Roman"/>
          <w:i/>
          <w:iCs/>
          <w:sz w:val="24"/>
        </w:rPr>
        <w:t>CARF MCAA</w:t>
      </w:r>
      <w:r>
        <w:rPr>
          <w:rFonts w:ascii="Times New Roman" w:hAnsi="Times New Roman"/>
          <w:sz w:val="24"/>
        </w:rPr>
        <w:t xml:space="preserve">, bet nav tajā definēti, jāinterpretē atbilstīgi nozīmei, kas tiem piešķirta </w:t>
      </w:r>
      <w:r>
        <w:rPr>
          <w:rFonts w:ascii="Times New Roman" w:hAnsi="Times New Roman"/>
          <w:i/>
          <w:iCs/>
          <w:sz w:val="24"/>
        </w:rPr>
        <w:t>CARF</w:t>
      </w:r>
      <w:r>
        <w:rPr>
          <w:rFonts w:ascii="Times New Roman" w:hAnsi="Times New Roman"/>
          <w:sz w:val="24"/>
        </w:rPr>
        <w:t>.</w:t>
      </w:r>
    </w:p>
    <w:p w14:paraId="5964EA8D"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8. Šā punkta otrajā teikumā noteikts, ka, ja vien konkrētajā kontekstā nav jārīkojas citādi vai kompetentās iestādes nevienojas par vienotu nozīmi, ikviens termins, kas nav citādi noteikts </w:t>
      </w:r>
      <w:r>
        <w:rPr>
          <w:rFonts w:ascii="Times New Roman" w:hAnsi="Times New Roman"/>
          <w:i/>
          <w:iCs/>
          <w:sz w:val="24"/>
        </w:rPr>
        <w:t>CARF MCAA</w:t>
      </w:r>
      <w:r>
        <w:rPr>
          <w:rFonts w:ascii="Times New Roman" w:hAnsi="Times New Roman"/>
          <w:sz w:val="24"/>
        </w:rPr>
        <w:t xml:space="preserve"> vai kriptoaktīvu ziņošanas sistēmā, ir piemērojams nozīmē, kas tam tajā laikā noteikta </w:t>
      </w:r>
      <w:r>
        <w:rPr>
          <w:rFonts w:ascii="Times New Roman" w:hAnsi="Times New Roman"/>
          <w:i/>
          <w:iCs/>
          <w:sz w:val="24"/>
        </w:rPr>
        <w:t>CARF MCAA</w:t>
      </w:r>
      <w:r>
        <w:rPr>
          <w:rFonts w:ascii="Times New Roman" w:hAnsi="Times New Roman"/>
          <w:sz w:val="24"/>
        </w:rPr>
        <w:t xml:space="preserve"> piemērojošās jurisdikcijas tiesību aktos. Šajā saistībā termina nozīme, kas noteikta šādas jurisdikcijas piemērojamos nodokļu tiesību aktos, prevalēs pār citos šīs jurisdikcijas tiesību aktos noteiktu nozīmi. Turklāt, kad kompetentās iestādes vērtē kontekstu, tām jāņem vērā komentāri par kriptoaktīvu ziņošanas sistēmu.</w:t>
      </w:r>
    </w:p>
    <w:p w14:paraId="0F871797" w14:textId="77777777" w:rsidR="00491410" w:rsidRPr="00073EC4"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182" w:name="Commentary_on_Section_2_concerning_Excha"/>
      <w:bookmarkStart w:id="183" w:name="_bookmark29"/>
      <w:bookmarkStart w:id="184" w:name="_Toc241753086"/>
      <w:bookmarkEnd w:id="182"/>
      <w:bookmarkEnd w:id="183"/>
      <w:r>
        <w:rPr>
          <w:rFonts w:ascii="Times New Roman" w:hAnsi="Times New Roman"/>
          <w:b/>
          <w:color w:val="0B769F" w:themeColor="accent4" w:themeShade="BF"/>
          <w:sz w:val="26"/>
        </w:rPr>
        <w:t>Komentāri par 2. pantu – par informācijas apmaiņu attiecībā uz personām, par kurām jāsniedz ziņojums</w:t>
      </w:r>
      <w:bookmarkEnd w:id="184"/>
    </w:p>
    <w:p w14:paraId="4CA0B2B4"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Šā panta 1. punktā minēts informācijas apmaiņas juridiskais pamats un noteikts, ka informācijas apmaiņa notiks reizi gadā. Informācijas apmaiņa var notikt arī biežāk nekā reizi gadā. Piemēram, ja kompetentā iestāde saņem koriģētus datus no kriptoaktīvu pakalpojumu sniedzēja, kas sniedz ziņojumus, šāda informācija parasti tiks nosūtīta otrai kompetentajai iestādei iespējami īsā laikā pēc tās saņemšanas. Apmaiņa notiek ar informāciju, kas iegūta saskaņā ar kriptoaktīvu ziņošanas II pantu un sīkāk noteikta 3. punktā.</w:t>
      </w:r>
    </w:p>
    <w:p w14:paraId="4BF47BBB"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Šā panta 1. punktā arī skaidri noteikts, ka attiecībā uz informācijas apmaiņu piemēro attiecīgos kriptoaktīvu ziņošanas sistēmā noteiktos ziņošanas un pienācīgas pārbaudes noteikumus. Līdz ar to tad, kad šie noteikumi neparedz ziņot, piemēram, </w:t>
      </w:r>
      <w:r>
        <w:rPr>
          <w:rFonts w:ascii="Times New Roman" w:hAnsi="Times New Roman"/>
          <w:i/>
          <w:iCs/>
          <w:sz w:val="24"/>
        </w:rPr>
        <w:t>TIN</w:t>
      </w:r>
      <w:r>
        <w:rPr>
          <w:rFonts w:ascii="Times New Roman" w:hAnsi="Times New Roman"/>
          <w:sz w:val="24"/>
        </w:rPr>
        <w:t xml:space="preserve"> vai dzimšanas vietu attiecībā uz konkrētu personu, par kuru jāsniedz ziņojums, nav arī pienākuma apmainīties ar šo informāciju.</w:t>
      </w:r>
    </w:p>
    <w:p w14:paraId="7D3B94B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 Šā panta 2. punktā ir aprakstītas prasības attiecībā uz jurisdikcijām, kuras norādījušas, ka tās sarakstā jāiekļauj kā nereciprokālas jurisdikcijas, pamatojoties uz 7. panta 1. punkta b) apakšpunktā norādīto paziņojumu. Šīs jurisdikcijas sūtīs, bet nesaņems 3. punktā norādīto informāciju. Savukārt jurisdikcijas, kas nav uzskaitītas kā nereciprokālas jurisdikcijas, saņems 3. punktā norādīto informāciju no nereciprokālajām jurisdikcijām, bet šādu informāciju nesūtīs šīm nereciprokālajām jurisdikcijām.</w:t>
      </w:r>
    </w:p>
    <w:p w14:paraId="71C4296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 Šā panta 3. punktā uzskaitīta informācija, ar ko apmainās attiecībā uz citas jurisdikcijas katru personu, par kuru jāsniedz ziņojums. Attiecībā uz visām 2. panta 3. punkta c) apakšpunkta ii)–ix) daļā norādītajām ziņojamām kategorijām kriptoaktīvu ziņošanas sistēmā prasīts apkopot, t. i., summēt, visus attiecīgos darījumus, kas attiecināmi uz katru ziņojamo kategoriju katram attiecīgā kriptoaktīva veidam, tos konvertējot un novērtējot saskaņā ar kriptoaktīvu ziņošanas sistēmas II panta D un E punktu un komentāru par II pantu 33.–41. punktu.</w:t>
      </w:r>
    </w:p>
    <w:p w14:paraId="0D7481C7" w14:textId="77777777" w:rsidR="00491410" w:rsidRPr="002E7073"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185" w:name="Commentary_on_Section_3_concerning_Time_"/>
      <w:bookmarkStart w:id="186" w:name="_bookmark30"/>
      <w:bookmarkStart w:id="187" w:name="_Toc241753087"/>
      <w:bookmarkEnd w:id="185"/>
      <w:bookmarkEnd w:id="186"/>
      <w:r>
        <w:rPr>
          <w:rFonts w:ascii="Times New Roman" w:hAnsi="Times New Roman"/>
          <w:b/>
          <w:color w:val="0B769F" w:themeColor="accent4" w:themeShade="BF"/>
          <w:sz w:val="26"/>
        </w:rPr>
        <w:t>Komentāri par 3. pantu – par informācijas apmaiņas laiku un veidu</w:t>
      </w:r>
      <w:bookmarkEnd w:id="187"/>
    </w:p>
    <w:p w14:paraId="49A3556E" w14:textId="77777777" w:rsidR="00491410" w:rsidRPr="002E7073"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88" w:name="Paragraph_1_–_Time_of_exchange_of_inform"/>
      <w:bookmarkEnd w:id="188"/>
      <w:r>
        <w:rPr>
          <w:rFonts w:ascii="Times New Roman" w:hAnsi="Times New Roman"/>
          <w:b/>
          <w:i/>
          <w:sz w:val="26"/>
        </w:rPr>
        <w:t>1. punkts. Informācijas apmaiņas laiks</w:t>
      </w:r>
    </w:p>
    <w:p w14:paraId="1A11484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Šā panta 1. punktā ir noteikts, ka 2. pantā noteiktās informācijas apmaiņai jānotiek deviņu mēnešu laikā pēc tā kalendārā gada beigām, uz kuru šī informācija attiecas. Pirmais gads, par kuru notiek informācijas apmaiņa, ir gads, kuru parakstītāja kompetentā iestāde ir norādījusi 7. panta 1. punkta a) apakšpunktā minētajā paziņojumā, kurā tā apstiprina, ka tās jurisdikcija ir pieņēmusi prasītos īstenošanas tiesību aktus. Deviņu mēnešu termiņš, kas noteikts 1. punktā, ir obligātais standarts, un jurisdikcijas drīkst vienoties par informācijas apmaiņu pirms paredzētā termiņa.</w:t>
      </w:r>
    </w:p>
    <w:p w14:paraId="240DEA03" w14:textId="77777777" w:rsidR="00491410" w:rsidRPr="003A1063" w:rsidRDefault="00491410" w:rsidP="00156A8D">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 xml:space="preserve">2. Šā panta 1. punktā ir arī paredzēts, ka neatkarīgi no tā, kuru gadu kompetentās iestādes ir norādījušas 7. panta 1. punkta a) apakšpunktā minētajā paziņojumā kā gadu, par kuru notiks pirmā informācijas apmaiņa, informācijas apmaiņai jānotiek attiecībā uz kalendāro gadu, ja abas jurisdikcijas ir pieņēmušas tiesību aktus, ar kuriem kriptoaktīvu ziņošanas sistēma ir spēkā attiecībā uz šo kalendāro gadu. Jurisdikcija tomēr var izvēlēties, ja tas noteikts valsts tiesību aktos, apmainīties ar informāciju ar citu jurisdikciju par (agrākiem) gadiem, ja ir spēkā kriptoaktīvu ziņošanas sistēma un tai ir noslēgts </w:t>
      </w:r>
      <w:r>
        <w:rPr>
          <w:rFonts w:ascii="Times New Roman" w:hAnsi="Times New Roman"/>
          <w:i/>
          <w:iCs/>
          <w:sz w:val="24"/>
        </w:rPr>
        <w:t>CARF MCAA</w:t>
      </w:r>
      <w:r>
        <w:rPr>
          <w:rFonts w:ascii="Times New Roman" w:hAnsi="Times New Roman"/>
          <w:sz w:val="24"/>
        </w:rPr>
        <w:t xml:space="preserve"> ar šīs jurisdikcijas kompetento iestādi.</w:t>
      </w:r>
    </w:p>
    <w:p w14:paraId="44D74D5B"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Turpmākajā piemērā ir parādīts, kā darbojas 1. punkta pēdējais teikums. Jurisdikcija A un jurisdikcija B ir parakstījušas </w:t>
      </w:r>
      <w:r>
        <w:rPr>
          <w:rFonts w:ascii="Times New Roman" w:hAnsi="Times New Roman"/>
          <w:i/>
          <w:iCs/>
          <w:sz w:val="24"/>
        </w:rPr>
        <w:t>CARF MCAA</w:t>
      </w:r>
      <w:r>
        <w:rPr>
          <w:rFonts w:ascii="Times New Roman" w:hAnsi="Times New Roman"/>
          <w:sz w:val="24"/>
        </w:rPr>
        <w:t>. Jurisdikcija A 2025. gada 7. jūnijā iesniedz 7. panta 1. punktā minēto paziņojumu, kurā norāda, ka tajā ir spēkā tiesību akti, kas paredz pienākumu sniegt informāciju par 2026. gadu. Jurisdikcija B 2025. gada 1. novembrī iesniedz paziņojumu, kurā norāda, ka tajā ir spēkā tiesību akti, kas paredz pienākumu sniegt informāciju par 2027. gadu. Šādā gadījumā 1. punkta pēdējais teikums paredz, ka jurisdikcijai A nav pienākuma sniegt informāciju par 2026. gadu. Abām jurisdikcijām būs pienākums sniegt informāciju par 2027. gadu. Tomēr jurisdikcija A, ievērojot savus tiesību aktus, var nosūtīt informāciju jurisdikcijai B par 2026. gadu, lai arī jurisdikcija A nesaņems informāciju par 2026. gadu.</w:t>
      </w:r>
    </w:p>
    <w:p w14:paraId="12BF74DA" w14:textId="77777777" w:rsidR="00491410" w:rsidRPr="002E7073"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89" w:name="Paragraphs_2_and_3_–_Information_technol"/>
      <w:bookmarkEnd w:id="189"/>
      <w:r>
        <w:rPr>
          <w:rFonts w:ascii="Times New Roman" w:hAnsi="Times New Roman"/>
          <w:b/>
          <w:i/>
          <w:sz w:val="26"/>
        </w:rPr>
        <w:t>2. un 3. punkts. Informācijas tehnoloģijas modalitātes</w:t>
      </w:r>
    </w:p>
    <w:p w14:paraId="55F28C09" w14:textId="77777777" w:rsidR="00491410" w:rsidRPr="002E7073"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90" w:name="CARF_schema_and_user_guide"/>
      <w:bookmarkEnd w:id="190"/>
      <w:r>
        <w:rPr>
          <w:rFonts w:ascii="Times New Roman" w:hAnsi="Times New Roman"/>
          <w:i/>
          <w:color w:val="616161"/>
          <w:sz w:val="26"/>
        </w:rPr>
        <w:t>CARF shēma un lietošanas vadlīnijas</w:t>
      </w:r>
    </w:p>
    <w:p w14:paraId="54F321FD"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Šā panta 2. punktā noteikts, ka kompetentās iestādes automātiski apmainīsies ar 2. pantā minēto informāciju vienotajā shēmā, izmantojot paplašināmās iezīmēšanas valodu, </w:t>
      </w:r>
      <w:r>
        <w:rPr>
          <w:rFonts w:ascii="Times New Roman" w:hAnsi="Times New Roman"/>
          <w:i/>
          <w:iCs/>
          <w:sz w:val="24"/>
        </w:rPr>
        <w:t>CARF XML</w:t>
      </w:r>
      <w:r>
        <w:rPr>
          <w:rFonts w:ascii="Times New Roman" w:hAnsi="Times New Roman"/>
          <w:sz w:val="24"/>
        </w:rPr>
        <w:t xml:space="preserve"> shēmā.</w:t>
      </w:r>
    </w:p>
    <w:p w14:paraId="0E6BD642" w14:textId="77777777" w:rsidR="00491410" w:rsidRPr="002E7073"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6"/>
          <w:szCs w:val="26"/>
          <w14:ligatures w14:val="none"/>
        </w:rPr>
      </w:pPr>
      <w:bookmarkStart w:id="191" w:name="Data_transmission_including_encryption"/>
      <w:bookmarkEnd w:id="191"/>
      <w:r>
        <w:rPr>
          <w:rFonts w:ascii="Times New Roman" w:hAnsi="Times New Roman"/>
          <w:i/>
          <w:color w:val="616161"/>
          <w:sz w:val="26"/>
        </w:rPr>
        <w:t>Datu pārraide, tostarp šifrēšana</w:t>
      </w:r>
    </w:p>
    <w:p w14:paraId="5A07524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5. Šā panta 3. punkts paredz, ka kompetentās iestādes pārraidīs informāciju, izmantojot </w:t>
      </w:r>
      <w:r>
        <w:rPr>
          <w:rFonts w:ascii="Times New Roman" w:hAnsi="Times New Roman"/>
          <w:i/>
          <w:iCs/>
          <w:sz w:val="24"/>
        </w:rPr>
        <w:t>OECD</w:t>
      </w:r>
      <w:r>
        <w:rPr>
          <w:rFonts w:ascii="Times New Roman" w:hAnsi="Times New Roman"/>
          <w:sz w:val="24"/>
        </w:rPr>
        <w:t xml:space="preserve"> vienoto pārraides sistēmu, kas ir kopīgi izstrādāta drošas pārraides sistēma, ko izmanto kompetentās iestādes visā pasaulē konfidenciālas nodokļu informācijas pārraidei. Informācija tālāk ir jāsagatavo un jāšifrē saskaņā ar jaunākajiem starptautiski atzītiem standartiem.</w:t>
      </w:r>
    </w:p>
    <w:p w14:paraId="65ED5A3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6. Kompetentās iestādes alternatīvi var izmantot citu datu pārraides metodi, kā šīs kompetentās iestādes norādījušas savā paziņojumā, kas minēts 7. panta 1. punkta d) apakšpunktā. Alternatīvajai pārraides metodei jāatbilst tādiem drošības, šifrēšanas un datnes sagatavošanas standartiem, kas ir līdzvērtīgi tiem, kuri piemērojami </w:t>
      </w:r>
      <w:r>
        <w:rPr>
          <w:rFonts w:ascii="Times New Roman" w:hAnsi="Times New Roman"/>
          <w:i/>
          <w:iCs/>
          <w:sz w:val="24"/>
        </w:rPr>
        <w:t>OECD</w:t>
      </w:r>
      <w:r>
        <w:rPr>
          <w:rFonts w:ascii="Times New Roman" w:hAnsi="Times New Roman"/>
          <w:sz w:val="24"/>
        </w:rPr>
        <w:t xml:space="preserve"> vienotai pārraides sistēmai, lai nodrošinātu datu konfidencialitāti un integritāti visā pārraides procesā un lai nodrošinātu, ka dati nekādā gadījumā nav pieejami vai netiek izpausti nepiederošām personām un netiek neatļautā veidā grozīti vai pārveidoti.</w:t>
      </w:r>
    </w:p>
    <w:p w14:paraId="5DABE98B" w14:textId="77777777" w:rsidR="00491410" w:rsidRPr="002E7073" w:rsidRDefault="00491410" w:rsidP="00491410">
      <w:pPr>
        <w:widowControl w:val="0"/>
        <w:tabs>
          <w:tab w:val="left" w:pos="1018"/>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7. Viena informācijas apmaiņā plaši izmantota šifrēšanas metode ir publiskās un privātās atslēgas izmantošana. Publiskā atslēgšifrēšana ir izmantota vairākas desmitgades, un tā ļauj pusēm apmainīties ar šifrētiem datiem, iepriekš nepaziņojot koplietojamo slepeno atslēgu. Sūtītāja puse šifrē datni, izmantojot publisko atslēgu, un droša privātā atslēga, ar kuru iespējams atšifrēt datus, ir vienīgi saņēmējai pusei. Starptautiskajā līmenī tiek izmantoti šifrēšanas atslēgu garuma standarti, attiecībā uz kuriem atzīts, ka tie nodrošina atbilstīgu drošības līmeni personas finanšu datiem gan pašlaik, gan paredzamā nākotnē, piemēram, uzlabotais šifrēšanas standarts (</w:t>
      </w:r>
      <w:r>
        <w:rPr>
          <w:rFonts w:ascii="Times New Roman" w:hAnsi="Times New Roman"/>
          <w:i/>
          <w:iCs/>
          <w:sz w:val="24"/>
        </w:rPr>
        <w:t>AES</w:t>
      </w:r>
      <w:r>
        <w:rPr>
          <w:rFonts w:ascii="Times New Roman" w:hAnsi="Times New Roman"/>
          <w:sz w:val="24"/>
        </w:rPr>
        <w:t>) 256.</w:t>
      </w:r>
    </w:p>
    <w:p w14:paraId="272B5E5A" w14:textId="77777777" w:rsidR="00491410" w:rsidRPr="002E7073"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192" w:name="Commentary_on_Section_4_concerning_Colla"/>
      <w:bookmarkStart w:id="193" w:name="_bookmark31"/>
      <w:bookmarkStart w:id="194" w:name="_Toc241753088"/>
      <w:bookmarkEnd w:id="192"/>
      <w:bookmarkEnd w:id="193"/>
      <w:r>
        <w:rPr>
          <w:rFonts w:ascii="Times New Roman" w:hAnsi="Times New Roman"/>
          <w:b/>
          <w:color w:val="0B769F" w:themeColor="accent4" w:themeShade="BF"/>
          <w:sz w:val="26"/>
        </w:rPr>
        <w:t>Komentāri par 4. pantu – par sadarbību atbilstības nodrošināšanas un izpildes jomā</w:t>
      </w:r>
      <w:bookmarkEnd w:id="194"/>
    </w:p>
    <w:p w14:paraId="45CF68E7"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4. pantā ir sniegtas gaidas par kompetento iestāžu sadarbību atbilstības un izpildes ziņā. Tajā noteikts, ka tad, ja vienai kompetentajai iestādei ir pamats uzskatīt, ka kļūdas dēļ var būt </w:t>
      </w:r>
      <w:r>
        <w:rPr>
          <w:rFonts w:ascii="Times New Roman" w:hAnsi="Times New Roman"/>
          <w:sz w:val="24"/>
        </w:rPr>
        <w:lastRenderedPageBreak/>
        <w:t>paziņota nepareiza vai nepilnīga informācija vai kriptoaktīvu pakalpojumu sniedzējs, kas sniedz ziņojumus, neievēro noteikumus, šai kompetentajai iestādei ir jāinformē otra kompetentā iestāde. Tiek sagaidīts, ka kompetentā iestāde, kas saņēmusi šādu informāciju, veic visus nepieciešamos pasākumus saskaņā ar savas valsts tiesību aktiem, lai novērstu paziņojumā norādītās kļūdas vai neatbilstību. Tas attiecas arī uz gadījumiem, kad persona, par kuru jāsniedz ziņojums, atsaucas uz datu subjekta tiesībām prasīt, lai tās kļūdainie dati tiktu izlaboti vai dzēsti. Pirms formāla paziņojuma nosūtīšanas kompetentajām iestādēm jāizvērtē iespēja neformāli apspriesties par konstatētajām kļūdām vai neatbilstības gadījumiem. Skat. komentārus par kriptoaktīvu ziņošanas sistēmas V pantu attiecībā uz noteikumiem un administratīvajām procedūrām, kam jābūt spēkā jurisdikcijās, lai nodrošinātu, ka kriptoaktīvu ziņošanas sistēma tiek efektīvi īstenota.</w:t>
      </w:r>
    </w:p>
    <w:p w14:paraId="40F8475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Paziņojumam, ko sniedz saskaņā ar šo pantu, jābūt sagatavotam rakstveidā, un tajā skaidri jāizklāsta kļūda vai neatbilstība un jāpamato, kāpēc tiek uzskatīts, ka šāda kļūda notikusi vai neatbilstība pastāv. Paziņojumu saņēmušajai kompetentajai iestādei ir jāsniedz atbilde vai atjauninājums, tiklīdz tas ir iespējams, bet ne vēlāk kā 90 kalendāro dienu laikā pēc šāda paziņojuma saņemšanas no otras kompetentās iestādes. Ja jautājums nav atrisināts, kompetentajai iestādei, kas saņēmusi paziņojumu, jāsūta otrai kompetentajai iestādei atjauninājumi ik pēc 90 dienām. Ja tomēr pēc paziņojuma godprātīgas izskatīšanas un apsvēršanas kompetentā iestāde, kas saņēmusi paziņojumu, nepiekrīt, ka pastāv vai ir pastāvējusi kļūda vai neatbilstība, tai iespējami ātri rakstveidā jāinformē otra kompetentā iestāde par šādu atzinumu un tas jāpamato.</w:t>
      </w:r>
    </w:p>
    <w:p w14:paraId="0FD51A17" w14:textId="77777777" w:rsidR="00491410" w:rsidRPr="00F52DBB"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195" w:name="Commentary_on_Section_5_concerning_Confi"/>
      <w:bookmarkStart w:id="196" w:name="_bookmark32"/>
      <w:bookmarkStart w:id="197" w:name="_Toc241753089"/>
      <w:bookmarkEnd w:id="195"/>
      <w:bookmarkEnd w:id="196"/>
      <w:r>
        <w:rPr>
          <w:rFonts w:ascii="Times New Roman" w:hAnsi="Times New Roman"/>
          <w:b/>
          <w:color w:val="0B769F" w:themeColor="accent4" w:themeShade="BF"/>
          <w:sz w:val="26"/>
        </w:rPr>
        <w:t>Komentāri par 5. pantu – par konfidencialitāti un datu aizsardzības pasākumiem</w:t>
      </w:r>
      <w:bookmarkEnd w:id="197"/>
    </w:p>
    <w:p w14:paraId="7D569D26" w14:textId="77777777" w:rsidR="00491410" w:rsidRPr="00F52DBB"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 Nodokļu maksātāju informācijas konfidencialitāte vienmēr ir bijis stūrakmens, uz kura balstās nodokļu sistēmas, kā arī nodokļu informācijas starptautiskā apmaiņa. Jurisdikcijām ir juridisks pienākums nodrošināt, ka nodotā informācija joprojām ir konfidenciāla un tiek izmantota tikai saskaņā ar noteikumiem, kas ietverti nolīgumā, saskaņā ar kuru tika veikta informācijas apmaiņa. Lai nodrošinātu uzticēšanos savām nodokļu sistēmām un ievērotu tiesību aktos noteiktos pienākumus, nodokļu maksātājiem ir jāzina, ka finanšu informācija netiks apzināti vai nejauši izpausta neatbilstošā veidā. Nodokļu maksātāji un valdības uzticēsies starptautiskai apmaiņai tikai tad, ja saņemtā/nodotā informācija tiek izmantota un izpausta vienīgi saskaņā ar informācijas apmaiņas pamatā esošo dokumentu. Šis ir ne tikai tiesiskā regulējuma jautājums, bet arī jautājums par tādām sistēmām un procedūrām, kas nodrošina, ka tiesiskais regulējums tiek ievērots praksē un ka informācija netiek nesankcionēti izpausta vai izmantota. Spēja aizsargāt nodokļu informācijas konfidencialitāti ir arī nodokļu administrācijas “rūpības kultūras” rezultāts, kas ietver visu sistēmu, procedūru un procesu spektru, lai nodrošinātu, ka praksē tiek ievērots tiesiskais regulējums un informācijas drošība un integritāte tiek uzturēta arī informācijas apstrādē. Tā kā nodokļu administrācija kļūst aizvien izsmalcinātāka, arī konfidencialitātes procesi un prakse nedrīkst atpalikt, lai nodrošinātu, ka saņemtā/nodotā informācija joprojām ir konfidenciāla un tiek atbilstoši izmantota. Šajā saistībā vairākām jurisdikcijām ir īpaši noteikumi par personas datu aizsardzību un datu subjekta tiesībām, kas arī ir piemērojami nodokļu maksātāju informācijai.</w:t>
      </w:r>
    </w:p>
    <w:p w14:paraId="7ED7AEDD"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5. pantā kopā ar 7. pantu un preambulas astotajā deklaratīvajā klauzulā sniegtajos apliecinājumos saistībā ar informācijas automātisku apmaiņu saskaņā ar </w:t>
      </w:r>
      <w:r>
        <w:rPr>
          <w:rFonts w:ascii="Times New Roman" w:hAnsi="Times New Roman"/>
          <w:i/>
          <w:iCs/>
          <w:sz w:val="24"/>
        </w:rPr>
        <w:t>CARF MCAA</w:t>
      </w:r>
      <w:r>
        <w:rPr>
          <w:rFonts w:ascii="Times New Roman" w:hAnsi="Times New Roman"/>
          <w:sz w:val="24"/>
        </w:rPr>
        <w:t xml:space="preserve"> ir skaidri atzīta konfidencialitātes un datu aizsardzības pasākumu nozīme. Komentāros par šo pantu ir īsi apspriests 1. un 2. punkts, un tam seko vispusīgs izklāsts par konfidencialitāti un datu aizsardzību saistībā ar kriptoaktīvu ziņošanas sistēmu.</w:t>
      </w:r>
    </w:p>
    <w:p w14:paraId="335C626D" w14:textId="77777777" w:rsidR="00491410" w:rsidRPr="00F52DBB"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98" w:name="Paragraph_1_–_Confidentiality_and_protec"/>
      <w:bookmarkEnd w:id="198"/>
      <w:r>
        <w:rPr>
          <w:rFonts w:ascii="Times New Roman" w:hAnsi="Times New Roman"/>
          <w:b/>
          <w:i/>
          <w:sz w:val="26"/>
        </w:rPr>
        <w:t>1. punkts. Konfidencialitāte un personas datu aizsardzība</w:t>
      </w:r>
    </w:p>
    <w:p w14:paraId="7A38B91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Visai informācijai, ko nodod saskaņā ar </w:t>
      </w:r>
      <w:r>
        <w:rPr>
          <w:rFonts w:ascii="Times New Roman" w:hAnsi="Times New Roman"/>
          <w:i/>
          <w:iCs/>
          <w:sz w:val="24"/>
        </w:rPr>
        <w:t>CARF MCAA</w:t>
      </w:r>
      <w:r>
        <w:rPr>
          <w:rFonts w:ascii="Times New Roman" w:hAnsi="Times New Roman"/>
          <w:sz w:val="24"/>
        </w:rPr>
        <w:t xml:space="preserve">, piemēro konfidencialitātes noteikumus un citus Konvencijā paredzētos aizsardzības pasākumus. Tostarp ierobežojumus, </w:t>
      </w:r>
      <w:r>
        <w:rPr>
          <w:rFonts w:ascii="Times New Roman" w:hAnsi="Times New Roman"/>
          <w:sz w:val="24"/>
        </w:rPr>
        <w:lastRenderedPageBreak/>
        <w:t>kas noteikti, pamatojoties uz to, kādam mērķim informāciju var izmantot un kādās robežās informāciju var izpaust. Jo īpaši Konvencijas 22. pantā ir noteikts, ka informācija, ko saņem dalībvalsts [Puse], var tikt izpausta tikai personām vai iestādēm, kas iesaistītas šīs dalībvalsts nodokļu aprēķināšanā, iekasēšanā vai piedziņā, likuma izpildē vai lietu iztiesāšanā, vai apelāciju izskatīšanā, un šī dalībvalsts var izmantot šo informāciju tikai šādiem mērķiem</w:t>
      </w:r>
    </w:p>
    <w:p w14:paraId="6D21FB8D"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4. Daudzām jurisdikcijām ir īpaši noteikumi par personas datu aizsardzību un datu subjekta tiesībām, kas ir piemērojami nodokļu maksātāju informācijai. Piemēram, īpaši datu aizsardzības noteikumi piemērojami informācijas apmaiņai, ko veic ES dalībvalstis (informācijai, ko sniedz citai ES dalībvalstij vai trešai jurisdikcijai).</w:t>
      </w:r>
      <w:r>
        <w:rPr>
          <w:rFonts w:ascii="Times New Roman" w:hAnsi="Times New Roman"/>
          <w:sz w:val="24"/>
          <w:vertAlign w:val="superscript"/>
        </w:rPr>
        <w:t>1</w:t>
      </w:r>
      <w:r>
        <w:rPr>
          <w:rFonts w:ascii="Times New Roman" w:hAnsi="Times New Roman"/>
          <w:sz w:val="24"/>
        </w:rPr>
        <w:t xml:space="preserve"> Šie noteikumi ietver tostarp datu subjekta tiesības uz informāciju, piekļuvi, koriģēšanu, kaitējuma atlīdzināšanu un tāda uzraudzības mehānisma pastāvēšanu, ar kuru tiek aizsargātas datu subjekta tiesības.</w:t>
      </w:r>
    </w:p>
    <w:p w14:paraId="4BBC39A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5. Grozītās Konvencijas 22. panta 1. punktā paredzēts, ka “visa informācija, ko (..) saņem dalībvalsts [Puse], tiek uzskatīta (..), tiktāl, cik tas nepieciešams, lai nodrošinātu nepieciešamo personas datu aizsardzības līmeni, saskaņā ar aizsardzības pasākumiem, kādus var norādīt dalībvalsts, kas sniedz informāciju, kā noteikts tās valsts normatīvajos aktos”. Ņemot to vērā, 5. panta 1. punkts paredz, ka kompetentā iestāde, kas sniedz informāciju, var norādīt šos aizsardzības pasākumus paziņojumā, kas iesniegts saskaņā ar 7. panta 1. punkta e) apakšpunktu. Kompetentā iestāde, kas saņem informāciju, apstiprina savā paziņojumā, kas iesniegts saskaņā ar 7. panta 1. punkta g) apakšpunktu (plānotie apmaiņas partneri), ka tās jurisdikcija atbilst prasībām, ko norādījušas kompetentās iestādes, kuras izraudzītas par plānotajiem apmaiņas partneriem. Kompetentajai iestādei, kas saņem informāciju, tā jāapstrādā ne tikai atbilstīgi saviem tiesību aktiem, bet arī ievērojot aizsardzības pasākumus, kas var būt nepieciešami, lai nodrošinātu datu aizsardzību atbilstīgi sniedzējas kompetentās iestādes tiesību aktiem. Šādi papildu aizsardzības pasākumi, ko norādījusi sniedzēja kompetentā iestāde, var attiekties, piemēram, uz fizisku personu piekļuvi datiem, labošanu, dzēšanu vai tiesībām uz kaitējuma atlīdzināšanu. Aizsardzības pasākumus var nenorādīt, ja sniedzēja kompetentā iestāde uzskata, ka saņēmēja kompetentā iestāde nodrošina nepieciešamo datu aizsardzības līmeni attiecībā uz sniegtajiem datiem. Jebkurā gadījumā šie aizsardzības pasākumi ir jāierobežo tiktāl, cik tas nepieciešams, lai nodrošinātu personas datu aizsardzību, vienlaikus nepieļaujot, ka tiek nepamatoti novērsta vai aizkavēta efektīva informācijas apmaiņa, atzīstot, ka informācijas apmaiņa nodokļu jautājumos ir svarīga sabiedrības interesēs.</w:t>
      </w:r>
    </w:p>
    <w:p w14:paraId="0EFC5EA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 Informācijas apmaiņas instrumenti, tostarp Konvencijas 21. pants, kopumā paredz, ka informācija nav jānodod citai jurisdikcijai, ja informācijas izpaušana varētu būt pretrunā ar informāciju sniedzošās jurisdikcijas sabiedrisko kārtību (</w:t>
      </w:r>
      <w:r>
        <w:rPr>
          <w:rFonts w:ascii="Times New Roman" w:hAnsi="Times New Roman"/>
          <w:i/>
          <w:iCs/>
          <w:sz w:val="24"/>
        </w:rPr>
        <w:t>ordre public</w:t>
      </w:r>
      <w:r>
        <w:rPr>
          <w:rFonts w:ascii="Times New Roman" w:hAnsi="Times New Roman"/>
          <w:sz w:val="24"/>
        </w:rPr>
        <w:t>). Lai arī šāds noteikums reti tiek piemērots saistībā ar informācijas apmaiņu starp kompetentajām iestādēm, atsevišķās jurisdikcijās to kompetentajām iestādēm var būt noteikts pienākums, piemēram, norādīt, ka informāciju, ko tās sniedz, nedrīkst izmantot vai izpaust tiesvedībā, kuras rezultātā var tikt piespriests un izpildīts nāvessods, īstenota spīdzināšana vai citi smagi cilvēktiesību pārkāpumi (piemēram, tad, ja nodokļu izmeklēšana uzsākta saistībā ar personas vajāšanu ar politiku, personas piederību rasei vai reliģisko pārliecību saistītu iemeslu dēļ), jo tas būtu pretrunā sniedzošās jurisdikcijas sabiedriskajai kārtībai.</w:t>
      </w:r>
    </w:p>
    <w:p w14:paraId="02C84C92" w14:textId="77777777" w:rsidR="00491410" w:rsidRPr="00F52DBB"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199" w:name="Paragraph_2_–_Breach_of_confidentiality"/>
      <w:bookmarkEnd w:id="199"/>
      <w:r>
        <w:rPr>
          <w:rFonts w:ascii="Times New Roman" w:hAnsi="Times New Roman"/>
          <w:b/>
          <w:i/>
          <w:sz w:val="26"/>
        </w:rPr>
        <w:t>2. punkts. Konfidencialitātes pārkāpums</w:t>
      </w:r>
    </w:p>
    <w:p w14:paraId="592E21F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7. Saņemtās informācijas konfidencialitātes pastāvīgai nodrošināšanai ir ļoti būtiska nozīme. 5. panta 2. punktā noteikts, ka gadījumā, ja jurisdikcijā notiek konfidencialitātes pārkāpums vai netiek izpildīti aizsardzības pasākumi (tostarp papildu aizsardzības pasākumi, ko norādījusi sniedzēja kompetentā iestāde), tad šīs jurisdikcijas kompetentajai iestādei ir nekavējoties jāpaziņo koordinējošās institūcijas sekretariātam par šādu pārkāpumu vai neizpildi, tostarp par visām turpmāk piemērotajām sankcijām vai koriģējošām darbībām. Arī šādā paziņojumā ir jāievēro konfidencialitātes noteikumi, un tam jāatbilst tās jurisdikcijas tiesību aktiem, kurā noticis pārkāpums vai neizpilde. Turklāt 7. pantā skaidri noteikts, ka neatbilstība </w:t>
      </w:r>
      <w:r>
        <w:rPr>
          <w:rFonts w:ascii="Times New Roman" w:hAnsi="Times New Roman"/>
          <w:sz w:val="24"/>
        </w:rPr>
        <w:lastRenderedPageBreak/>
        <w:t xml:space="preserve">konfidencialitātes un datu aizsardzības noteikumiem (tostarp papildu aizsardzības pasākumiem, ko norādījusi sniedzēja kompetentā iestāde) ir uzskatāma par būtisku neatbilstību un pamatu </w:t>
      </w:r>
      <w:r>
        <w:rPr>
          <w:rFonts w:ascii="Times New Roman" w:hAnsi="Times New Roman"/>
          <w:i/>
          <w:iCs/>
          <w:sz w:val="24"/>
        </w:rPr>
        <w:t>CARF MCAA</w:t>
      </w:r>
      <w:r>
        <w:rPr>
          <w:rFonts w:ascii="Times New Roman" w:hAnsi="Times New Roman"/>
          <w:sz w:val="24"/>
        </w:rPr>
        <w:t xml:space="preserve"> darbības tūlītējai apturēšanai.</w:t>
      </w:r>
    </w:p>
    <w:p w14:paraId="59DA62B7" w14:textId="77777777" w:rsidR="00491410" w:rsidRPr="00F52DBB"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00" w:name="Ensuring_ongoing_compliance_with_confide"/>
      <w:bookmarkEnd w:id="200"/>
      <w:r>
        <w:rPr>
          <w:rFonts w:ascii="Times New Roman" w:hAnsi="Times New Roman"/>
          <w:b/>
          <w:i/>
          <w:sz w:val="26"/>
        </w:rPr>
        <w:t>Konfidencialitātes un datu aizsardzības prasību pastāvīgas izpildes nodrošināšana</w:t>
      </w:r>
    </w:p>
    <w:p w14:paraId="2A09F0BB"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8. Lai nodrošinātu, ka attiecībā uz automātiskā informācijas apmaiņā sniegtas informācijas aizsardzību tiek piemēroti atbilstīgi aizsardzības pasākumi, būtiski ir trīs pamatelementi: i) tiesiskais regulējums, kas nodrošina konfidencialitāti un nodotās/saņemtās informācijas atbilstošu izmantošanu saskaņā ar starptautiskajiem juridiskajiem dokumentiem; ii) informācijas drošības pārvaldības (</w:t>
      </w:r>
      <w:r>
        <w:rPr>
          <w:rFonts w:ascii="Times New Roman" w:hAnsi="Times New Roman"/>
          <w:i/>
          <w:iCs/>
          <w:sz w:val="24"/>
        </w:rPr>
        <w:t>ISM</w:t>
      </w:r>
      <w:r>
        <w:rPr>
          <w:rFonts w:ascii="Times New Roman" w:hAnsi="Times New Roman"/>
          <w:sz w:val="24"/>
        </w:rPr>
        <w:t>) sistēma, kas atbilst starptautiski atzītiem standartiem vai paraugpraksei, un iii) izpildes pasākumi un procesi, kas piemērojami, lai risinātu konfidencialitātes pārkāpumus un informācijas ļaunprātīga izmantošanas gadījumus.</w:t>
      </w:r>
    </w:p>
    <w:p w14:paraId="5A64FF23" w14:textId="77777777" w:rsidR="00491410" w:rsidRPr="003A1063"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4"/>
          <w14:ligatures w14:val="none"/>
        </w:rPr>
      </w:pPr>
      <w:bookmarkStart w:id="201" w:name="Legal_framework"/>
      <w:bookmarkEnd w:id="201"/>
      <w:r>
        <w:rPr>
          <w:rFonts w:ascii="Times New Roman" w:hAnsi="Times New Roman"/>
          <w:i/>
          <w:color w:val="616161"/>
          <w:sz w:val="24"/>
        </w:rPr>
        <w:t>Tiesiskais regulējums</w:t>
      </w:r>
    </w:p>
    <w:p w14:paraId="6F9CCD4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9. Jurisdikciju valsts tiesiskajā regulējumā jāiekļauj noteikumi, kas pietiekami aizsargā nodokļu maksātāju informācijas konfidencialitāti, tostarp nodotās/saņemtās informācijas konfidencialitāti, un jāparedz tikai īpaši un ierobežoti apstākļi, kādos šo informāciju var izpaust un izmantot, šiem apstākļiem attiecībā uz nodoto/saņemto informāciju esot saskanīgiem ar tā piemērojamā starptautiskā (divpusējā vai daudzpusējā) apmaiņas instrumenta noteikumiem, saskaņā ar kuru ir veikta informācijas apmaiņa.</w:t>
      </w:r>
    </w:p>
    <w:p w14:paraId="6D7D499B" w14:textId="77777777" w:rsidR="00491410" w:rsidRPr="003A1063"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4"/>
          <w14:ligatures w14:val="none"/>
        </w:rPr>
      </w:pPr>
      <w:bookmarkStart w:id="202" w:name="Information_Security_Management_(ISM)_fr"/>
      <w:bookmarkEnd w:id="202"/>
      <w:r>
        <w:rPr>
          <w:rFonts w:ascii="Times New Roman" w:hAnsi="Times New Roman"/>
          <w:i/>
          <w:color w:val="616161"/>
          <w:sz w:val="24"/>
        </w:rPr>
        <w:t>Informācijas drošības pārvaldības (ISM) sistēma</w:t>
      </w:r>
    </w:p>
    <w:p w14:paraId="7A7DAD8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10. Nodokļu administrācijām, kuras ir pilnvarotas piekļūt informācijai, kas nodota/saņemta saskaņā ar Konvencijas 22. panta 2. punktu vai līdzvērtīgām tiesību normām citos starptautiskajos informācijas apmaiņas nolīgumos (turpmāk tekstā – “attiecīgās organizācijas”), jābūt izstrādātai informācijas drošības pārvaldības politikai un sistēmām, lai nodrošinātu, ka informāciju var izmantot vienīgi paredzētajiem mērķiem, un lai nepieļautu informācijas izpaušanu nepiederošām personām. Informācijas drošības pārvaldības (</w:t>
      </w:r>
      <w:r>
        <w:rPr>
          <w:rFonts w:ascii="Times New Roman" w:hAnsi="Times New Roman"/>
          <w:i/>
          <w:iCs/>
          <w:sz w:val="24"/>
        </w:rPr>
        <w:t>ISM</w:t>
      </w:r>
      <w:r>
        <w:rPr>
          <w:rFonts w:ascii="Times New Roman" w:hAnsi="Times New Roman"/>
          <w:sz w:val="24"/>
        </w:rPr>
        <w:t xml:space="preserve">) sistēma ir pārvaldības pasākumu, politikas, procedūru un prakses kopums, kas attiecas uz informācijas drošības riskiem, tostarp IT riskiem. </w:t>
      </w:r>
      <w:r>
        <w:rPr>
          <w:rFonts w:ascii="Times New Roman" w:hAnsi="Times New Roman"/>
          <w:i/>
          <w:iCs/>
          <w:sz w:val="24"/>
        </w:rPr>
        <w:t>ISM</w:t>
      </w:r>
      <w:r>
        <w:rPr>
          <w:rFonts w:ascii="Times New Roman" w:hAnsi="Times New Roman"/>
          <w:sz w:val="24"/>
        </w:rPr>
        <w:t xml:space="preserve"> sistēmām ir stingri jāatbilst starptautiski atzītiem standartiem vai paraugpraksei.</w:t>
      </w:r>
    </w:p>
    <w:p w14:paraId="4276F56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11. Starptautiski atzīti standarti vai paraugprakse ir “ISO/IEC 27000-sērija”, ko kopīgi publicējusi Starptautiskā standartizācijas organizācija (</w:t>
      </w:r>
      <w:r>
        <w:rPr>
          <w:rFonts w:ascii="Times New Roman" w:hAnsi="Times New Roman"/>
          <w:i/>
          <w:iCs/>
          <w:sz w:val="24"/>
        </w:rPr>
        <w:t>ISO</w:t>
      </w:r>
      <w:r>
        <w:rPr>
          <w:rFonts w:ascii="Times New Roman" w:hAnsi="Times New Roman"/>
          <w:sz w:val="24"/>
        </w:rPr>
        <w:t>) un Starptautiskā elektrotehnikas komisija (</w:t>
      </w:r>
      <w:r>
        <w:rPr>
          <w:rFonts w:ascii="Times New Roman" w:hAnsi="Times New Roman"/>
          <w:i/>
          <w:iCs/>
          <w:sz w:val="24"/>
        </w:rPr>
        <w:t>IEC</w:t>
      </w:r>
      <w:r>
        <w:rPr>
          <w:rFonts w:ascii="Times New Roman" w:hAnsi="Times New Roman"/>
          <w:sz w:val="24"/>
        </w:rPr>
        <w:t xml:space="preserve">), kas sniedz paraugpraksi attiecībā uz informācijas drošības pārvaldību, riskiem un kontroles pasākumiem saistībā ar kopējo </w:t>
      </w:r>
      <w:r>
        <w:rPr>
          <w:rFonts w:ascii="Times New Roman" w:hAnsi="Times New Roman"/>
          <w:i/>
          <w:iCs/>
          <w:sz w:val="24"/>
        </w:rPr>
        <w:t>ISM</w:t>
      </w:r>
      <w:r>
        <w:rPr>
          <w:rFonts w:ascii="Times New Roman" w:hAnsi="Times New Roman"/>
          <w:sz w:val="24"/>
        </w:rPr>
        <w:t xml:space="preserve"> sistēmu.</w:t>
      </w:r>
    </w:p>
    <w:p w14:paraId="68B03BE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12. Attiecīgajām organizācijām ir jāizpilda </w:t>
      </w:r>
      <w:r>
        <w:rPr>
          <w:rFonts w:ascii="Times New Roman" w:hAnsi="Times New Roman"/>
          <w:i/>
          <w:iCs/>
          <w:sz w:val="24"/>
        </w:rPr>
        <w:t>ISM</w:t>
      </w:r>
      <w:r>
        <w:rPr>
          <w:rFonts w:ascii="Times New Roman" w:hAnsi="Times New Roman"/>
          <w:sz w:val="24"/>
        </w:rPr>
        <w:t xml:space="preserve"> prasības savā vispārējā </w:t>
      </w:r>
      <w:r>
        <w:rPr>
          <w:rFonts w:ascii="Times New Roman" w:hAnsi="Times New Roman"/>
          <w:i/>
          <w:iCs/>
          <w:sz w:val="24"/>
        </w:rPr>
        <w:t>ISM</w:t>
      </w:r>
      <w:r>
        <w:rPr>
          <w:rFonts w:ascii="Times New Roman" w:hAnsi="Times New Roman"/>
          <w:sz w:val="24"/>
        </w:rPr>
        <w:t xml:space="preserve"> sistēmā, īstenojot dažādus drošības kontroles pasākumus, un savā darbības sistēmā, lai pārbaudītu šo kontroles pasākumu efektivitāti tā, kā minēts turpmāk.</w:t>
      </w:r>
    </w:p>
    <w:p w14:paraId="4BF76A4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13. Attiecībā uz vispārējo </w:t>
      </w:r>
      <w:r>
        <w:rPr>
          <w:rFonts w:ascii="Times New Roman" w:hAnsi="Times New Roman"/>
          <w:i/>
          <w:iCs/>
          <w:sz w:val="24"/>
        </w:rPr>
        <w:t>ISM</w:t>
      </w:r>
      <w:r>
        <w:rPr>
          <w:rFonts w:ascii="Times New Roman" w:hAnsi="Times New Roman"/>
          <w:sz w:val="24"/>
        </w:rPr>
        <w:t xml:space="preserve"> sistēmu attiecīgajām organizācijām:</w:t>
      </w:r>
    </w:p>
    <w:p w14:paraId="6DB42F2E"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jāparāda skaidra izpratne par nodotās/saņemtās informācijas aprites ciklu organizācijā un jāapņemas aizsargāt tās konfidencialitāti un atbilstošu izmantošanu;</w:t>
      </w:r>
    </w:p>
    <w:p w14:paraId="3482E34F"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jāpārvalda informācijas drošība, kā līdzekli izmantojot rakstisku informācijas drošības politiku, kas ir daļa no visaptverošas drošības sistēmas, kurā skaidri definētas lomas un pienākumi drošības jomā, ko atzinusi augstākā vadība un kas tiek atjaunināta;</w:t>
      </w:r>
    </w:p>
    <w:p w14:paraId="1C57213F"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jāvērš uzmanība uz informācijas drošību, tostarp tehnoloģijām, ar atbilstošiem operatīviem pasākumiem un kā pārvaldības daļa, kas integrēta attiecīgajos uzņēmējdarbības procesos;</w:t>
      </w:r>
    </w:p>
    <w:p w14:paraId="55A335AB"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sistemātiski jāpārvalda savi informācijas drošības riski, ņemot vērā apdraudējumus, ievainojamības un ietekmes, un</w:t>
      </w:r>
    </w:p>
    <w:p w14:paraId="714EBB68"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lastRenderedPageBreak/>
        <w:t>jābūt atbilstošiem pasākumiem, lai pārvaldītu un uzturētu uzņēmējdarbības nepārtrauktību.</w:t>
      </w:r>
    </w:p>
    <w:p w14:paraId="7478804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14. Attiecībā uz cilvēkresursu kontroles pasākumiem attiecīgajām organizācijām:</w:t>
      </w:r>
    </w:p>
    <w:p w14:paraId="4DDD715E"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jānodrošina, ka saistībā ar iesaisti ir definētas, dokumentētas un skaidri paziņotas darbinieku un līgumslēdzēju lomas un pienākumi drošības jomā, kā arī tās tiek regulāri pārskatītas saskaņā ar informācijas drošības politiku (tajā jāiekļauj konfidencialitātes un neizpaušanas nolīgumi);</w:t>
      </w:r>
    </w:p>
    <w:p w14:paraId="4352F3B2"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jāveic iepriekšējās darbības pārbaudes, pienācīgi vētījot visus kandidātus, kas piesakās darbam, darbiniekus un līgumslēdzējus, saskaņā ar atzītu paraugpraksi un identificētajiem riskiem;</w:t>
      </w:r>
    </w:p>
    <w:p w14:paraId="605BD79E"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jānodrošina, ka visi darbinieki un līgumslēdzēji regulāri mācās un atjaunina zināšanas datu drošības jomā un darbinieki un līgumslēdzēji, kuriem ir sensitīva loma, saņem papildu vadlīnijas par to, kā rīkoties ar sensitīvākiem materiāliem;</w:t>
      </w:r>
    </w:p>
    <w:p w14:paraId="3E6BAE14"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jānodrošina, ka darbinieki piemēro drošības politiku un procedūras, un</w:t>
      </w:r>
    </w:p>
    <w:p w14:paraId="4401FB66"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ir ieviesta cilvēkresursu politika un procesi attiecībā uz iesaistes izbeigšanu, kas aizsargā sensitīvu informāciju.</w:t>
      </w:r>
    </w:p>
    <w:p w14:paraId="1B16527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15. Attiecībā uz fiziskas piekļuves un programmatūras piekļuves kontroles pasākumiem attiecīgajām organizācijām:</w:t>
      </w:r>
    </w:p>
    <w:p w14:paraId="42678ED4"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jābūt fiziskas piekļuves kontroles politikai, kuru atzinusi augstākā vadība;</w:t>
      </w:r>
    </w:p>
    <w:p w14:paraId="19DF39CD"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pienācīgi jāaizsargā fiziskas telpas, kā arī jābūt atbilstoši definētiem iekšējiem un ārējiem drošiem perimetriem;</w:t>
      </w:r>
    </w:p>
    <w:p w14:paraId="23B93EB2" w14:textId="77777777" w:rsidR="00491410" w:rsidRPr="00F52DBB"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jābūt programmatūras piekļuves kontroles politikai, ko atzinusi augstākā vadība un kas veidota, pamatojoties uz principu, ka piekļuve ir tikai tiem, kuriem “jāzina”, un tiek piešķirta saskaņā ar “mazāko privilēģiju” principu, un</w:t>
      </w:r>
    </w:p>
    <w:p w14:paraId="14A7089C"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jābūt politikai, procesiem un procedūrām, kurus atzinusi augstākā vadība un ne tikai organizācijas IT funkcija, kas pārvalda programmatūras piekļuvi, un efektīviem procesiem programmatūras piekļuves sagatavošanai un auditēšanai un lietotāju identifikācijai un autentifikācijai.</w:t>
      </w:r>
    </w:p>
    <w:p w14:paraId="67020942" w14:textId="77777777" w:rsidR="00491410" w:rsidRPr="003A1063" w:rsidRDefault="00491410" w:rsidP="00491410">
      <w:pPr>
        <w:widowControl w:val="0"/>
        <w:tabs>
          <w:tab w:val="left" w:pos="963"/>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16. Attiecībā uz IT sistēmas drošību attiecīgajām organizācijām:</w:t>
      </w:r>
    </w:p>
    <w:p w14:paraId="542A18D8"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jānodrošina, ka drošība ir tehnoloģijas pakalpojumu sniegšanas neatņemama daļa, jābūt izstrādātam drošības plānam lietotnēm un jāsaskaņo to sistēmas ar drošību;</w:t>
      </w:r>
    </w:p>
    <w:p w14:paraId="6E07F793"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jāizvērš pienācīgs drošības kontroles pasākumu klāsts;</w:t>
      </w:r>
    </w:p>
    <w:p w14:paraId="42B1ABD4"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pienācīgi jāpārvalda savi aktīvi;</w:t>
      </w:r>
    </w:p>
    <w:p w14:paraId="3519AD5F"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atbilstoši jāpārvalda piegādātāju pakalpojumu sniegšana un</w:t>
      </w:r>
    </w:p>
    <w:p w14:paraId="351CE8AF"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jānodrošina IT pakalpojumu nepārtrauktība, pamatojoties uz pakalpojumu līmeņa nolīgumiem.</w:t>
      </w:r>
    </w:p>
    <w:p w14:paraId="31174CE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17. Attiecībā uz informācijas aizsardzību attiecīgajām organizācijām:</w:t>
      </w:r>
    </w:p>
    <w:p w14:paraId="65ED1C44"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efektīvi jāpārvalda informācija saskaņā ar politikas un procedūru kopumu visā informācijas pārvaldības ciklā (ieskaitot dokumenta nosaukuma piešķiršanu, klasificēšanu, apriti, uzglabāšanu, uzraudzību, auditu un iznīcināšanu un ieskaitot ierīces un datu nesējus, kuros tiek turēta informācija) un</w:t>
      </w:r>
    </w:p>
    <w:p w14:paraId="54625650" w14:textId="77777777" w:rsidR="00491410" w:rsidRPr="003A1063" w:rsidRDefault="00491410" w:rsidP="00156A8D">
      <w:pPr>
        <w:keepNext/>
        <w:keepLines/>
        <w:widowControl w:val="0"/>
        <w:numPr>
          <w:ilvl w:val="1"/>
          <w:numId w:val="21"/>
        </w:numPr>
        <w:tabs>
          <w:tab w:val="left" w:pos="1235"/>
          <w:tab w:val="left" w:pos="1237"/>
        </w:tabs>
        <w:autoSpaceDE w:val="0"/>
        <w:autoSpaceDN w:val="0"/>
        <w:spacing w:before="120" w:after="120" w:line="240" w:lineRule="auto"/>
        <w:ind w:left="568" w:hanging="284"/>
        <w:jc w:val="both"/>
        <w:rPr>
          <w:rFonts w:ascii="Times New Roman" w:eastAsia="Arial" w:hAnsi="Times New Roman" w:cs="Arial"/>
          <w:kern w:val="0"/>
          <w:sz w:val="24"/>
          <w14:ligatures w14:val="none"/>
        </w:rPr>
      </w:pPr>
      <w:r>
        <w:rPr>
          <w:rFonts w:ascii="Times New Roman" w:hAnsi="Times New Roman"/>
          <w:sz w:val="24"/>
        </w:rPr>
        <w:lastRenderedPageBreak/>
        <w:t>jābūt izstrādātiem procesiem attiecībā uz informāciju, kas saņemta no citām kompetentajām iestādēm, lai nodrošinātu, ka tiek izpildītas starptautiskajos apmaiņas nolīgumos noteiktās saistības, tostarp lai novērstu sajaukšanos ar citu informāciju.</w:t>
      </w:r>
    </w:p>
    <w:p w14:paraId="5B960D5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18. Attiecībā uz darbību pārvaldības sistēmu, ieskaitot incidentu pārvaldību, izmaiņu pārvaldību, uzraudzību un auditu, attiecīgajām organizācijām:</w:t>
      </w:r>
    </w:p>
    <w:p w14:paraId="268A60A7"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jāpārzina kontroles pasākumi, kas aizsargā nodoto/saņemto informāciju, un jābūt atbilstošiem to pārvaldības plāniem;</w:t>
      </w:r>
    </w:p>
    <w:p w14:paraId="25AABA4A"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jābūt izstrādātiem atbilstošiem uzraudzības un pierakstīšanās pasākumiem, tostarp lai noteiktu nesankcionētu piekļuvi informācijai, tās nesankcionētu lietošanu vai izpaušanu;</w:t>
      </w:r>
    </w:p>
    <w:p w14:paraId="21B977A2"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jāanalizē drošības riski un jārīkojas, reaģējot uz tiem;</w:t>
      </w:r>
    </w:p>
    <w:p w14:paraId="632F5804"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jābūt procesiem un procedūrām, kā identificēt un pārvaldīt zināmās ievainojamības;</w:t>
      </w:r>
    </w:p>
    <w:p w14:paraId="2A508D50"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jābūt izmaiņu pārvaldības procesam, kurā ir jābūt integrētai drošībai;</w:t>
      </w:r>
    </w:p>
    <w:p w14:paraId="6F49F334"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jābūt incidentu pārvaldības sistēmai, kas aptver visu veidu drošības incidentus, un</w:t>
      </w:r>
    </w:p>
    <w:p w14:paraId="0303F420" w14:textId="77777777" w:rsidR="00491410" w:rsidRPr="003A1063" w:rsidRDefault="00491410" w:rsidP="00491410">
      <w:pPr>
        <w:widowControl w:val="0"/>
        <w:numPr>
          <w:ilvl w:val="1"/>
          <w:numId w:val="21"/>
        </w:numPr>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jābūt iekšējā audita un ārējā audita funkcijām.</w:t>
      </w:r>
    </w:p>
    <w:p w14:paraId="49B92832" w14:textId="77777777" w:rsidR="00491410" w:rsidRPr="003A1063" w:rsidRDefault="00491410" w:rsidP="00491410">
      <w:pPr>
        <w:widowControl w:val="0"/>
        <w:autoSpaceDE w:val="0"/>
        <w:autoSpaceDN w:val="0"/>
        <w:spacing w:before="120" w:after="120" w:line="240" w:lineRule="auto"/>
        <w:ind w:left="284"/>
        <w:jc w:val="both"/>
        <w:outlineLvl w:val="4"/>
        <w:rPr>
          <w:rFonts w:ascii="Times New Roman" w:eastAsia="Arial" w:hAnsi="Times New Roman" w:cs="Arial"/>
          <w:i/>
          <w:iCs/>
          <w:kern w:val="0"/>
          <w:sz w:val="24"/>
          <w14:ligatures w14:val="none"/>
        </w:rPr>
      </w:pPr>
      <w:bookmarkStart w:id="203" w:name="Enforcement_provisions_and_processes_to_"/>
      <w:bookmarkEnd w:id="203"/>
      <w:r>
        <w:rPr>
          <w:rFonts w:ascii="Times New Roman" w:hAnsi="Times New Roman"/>
          <w:i/>
          <w:color w:val="616161"/>
          <w:sz w:val="24"/>
        </w:rPr>
        <w:t>Izpildes pasākumi un procesi, lai risinātu konfidencialitātes pārkāpumus</w:t>
      </w:r>
    </w:p>
    <w:p w14:paraId="5F47E55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19. Jurisdikcijām tiesiskajā regulējumā ir jābūt ieviestiem sodiem un/vai sankcijām par konfidencialitātes un datu aizsardzības prasību neizpildi, lai nodrošinātu atbilstību. Tiesiskais regulējums un </w:t>
      </w:r>
      <w:r>
        <w:rPr>
          <w:rFonts w:ascii="Times New Roman" w:hAnsi="Times New Roman"/>
          <w:i/>
          <w:iCs/>
          <w:sz w:val="24"/>
        </w:rPr>
        <w:t>ISM</w:t>
      </w:r>
      <w:r>
        <w:rPr>
          <w:rFonts w:ascii="Times New Roman" w:hAnsi="Times New Roman"/>
          <w:sz w:val="24"/>
        </w:rPr>
        <w:t xml:space="preserve"> sistēma jāstiprina ar pienācīgiem administratīviem noteikumiem, resursiem un procedūrām, lai varētu risināt iespējamus vai faktiskus pārkāpumiem un veikt koriģējošas darbības. Jābūt arī procesa modifikācijām, lai mazinātu risku un novērstu turpmākus pārkāpumus.</w:t>
      </w:r>
    </w:p>
    <w:p w14:paraId="643585DB"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20. Jo īpaši jurisdikciju valsts tiesiskajā regulējumā jāparedz, ka par nodokļu maksātāju informācijas, tostarp nodotās/saņemtās informācijas, nepareizu izpaušanu vai izmantošanu tiek piemēroti pienācīgi un atbilstoši sodi un/vai sankcijas, atbilstoši izvērtējot administratīvos, civiltiesiskos un krimināltiesiskos sodus vai sankcijas.</w:t>
      </w:r>
    </w:p>
    <w:p w14:paraId="745D013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21. Turklāt jurisdikcijām:</w:t>
      </w:r>
    </w:p>
    <w:p w14:paraId="2F039E73"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jābūt ieviestiem procesiem, kā rīkoties, ja ir iespējami notikusi vai ir faktiska nesankcionēta piekļuve informācijai, tās izmantošana vai izpaušana, un šajos procesos jānodrošina, ka par šīm problēmām tiek ziņots un tās tiek izmeklētas;</w:t>
      </w:r>
    </w:p>
    <w:p w14:paraId="38E2801D"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ar pienācīgu administratīvo resursu, procesu un procedūru atbalstu jānodrošina, ka tiek veiktas koriģējošas darbības, ja ir identificētas faktiskas problēmas, un praksē jāpiemēro atbilstoši sodi vai sankcijas pret darbiniekiem, līgumslēdzējiem un citām personām, kas pārkāpj konfidencialitātes noteikumus, drošības politiku vai procedūras, lai atturētu citus no iesaistīšanās līdzīgos pārkāpumos;</w:t>
      </w:r>
    </w:p>
    <w:p w14:paraId="6459A64F"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jāpiemēro procesi, lai informētu citas kompetentās iestādes par konfidencialitātes pārkāpumiem vai aizsardzības pasākumu atteici, kā arī par visām turpmāk piemērotajām sankcijām un koriģējošām darbībām, un</w:t>
      </w:r>
    </w:p>
    <w:p w14:paraId="5E4E135E" w14:textId="77777777" w:rsidR="00491410" w:rsidRPr="003A1063" w:rsidRDefault="00491410" w:rsidP="00491410">
      <w:pPr>
        <w:widowControl w:val="0"/>
        <w:numPr>
          <w:ilvl w:val="1"/>
          <w:numId w:val="21"/>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jāpārskata uzraudzības un izpildes procesi, kas tiek veikti, reaģējot uz neatbilstību, un augstākajai vadībai jānodrošina, ka ieteikumi veikt izmaiņas tiek īstenoti praksē.</w:t>
      </w:r>
    </w:p>
    <w:p w14:paraId="7449E1D9" w14:textId="77777777" w:rsidR="00491410" w:rsidRPr="00B06BC1"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04" w:name="Commentary_on_Section_6_concerning_Consu"/>
      <w:bookmarkStart w:id="205" w:name="_bookmark33"/>
      <w:bookmarkStart w:id="206" w:name="_Toc241753090"/>
      <w:bookmarkEnd w:id="204"/>
      <w:bookmarkEnd w:id="205"/>
      <w:r>
        <w:rPr>
          <w:rFonts w:ascii="Times New Roman" w:hAnsi="Times New Roman"/>
          <w:b/>
          <w:color w:val="0B769F" w:themeColor="accent4" w:themeShade="BF"/>
          <w:sz w:val="26"/>
        </w:rPr>
        <w:t>Komentāri par 6. pantu – par konsultācijām un grozījumiem</w:t>
      </w:r>
      <w:bookmarkEnd w:id="206"/>
    </w:p>
    <w:p w14:paraId="516A46D4" w14:textId="77777777" w:rsidR="00491410" w:rsidRPr="00B06BC1"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07" w:name="Paragraph_1_–_Consultations"/>
      <w:bookmarkEnd w:id="207"/>
      <w:r>
        <w:rPr>
          <w:rFonts w:ascii="Times New Roman" w:hAnsi="Times New Roman"/>
          <w:b/>
          <w:i/>
          <w:sz w:val="26"/>
        </w:rPr>
        <w:t>1. punkts. Konsultācijas</w:t>
      </w:r>
    </w:p>
    <w:p w14:paraId="752C1CBD" w14:textId="77777777" w:rsidR="00491410" w:rsidRPr="00B06BC1"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Šajā punktā ir noteikts, ka tad, ja rodas sarežģījumi ar </w:t>
      </w:r>
      <w:r>
        <w:rPr>
          <w:rFonts w:ascii="Times New Roman" w:hAnsi="Times New Roman"/>
          <w:i/>
          <w:iCs/>
          <w:sz w:val="24"/>
        </w:rPr>
        <w:t>CARF MCAA</w:t>
      </w:r>
      <w:r>
        <w:rPr>
          <w:rFonts w:ascii="Times New Roman" w:hAnsi="Times New Roman"/>
          <w:sz w:val="24"/>
        </w:rPr>
        <w:t xml:space="preserve"> īstenošanu vai interpretāciju, kompetentā iestāde var pieprasīt konsultācijas, lai izstrādātu atbilstošus </w:t>
      </w:r>
      <w:r>
        <w:rPr>
          <w:rFonts w:ascii="Times New Roman" w:hAnsi="Times New Roman"/>
          <w:sz w:val="24"/>
        </w:rPr>
        <w:lastRenderedPageBreak/>
        <w:t xml:space="preserve">pasākumus, kas nodrošinātu </w:t>
      </w:r>
      <w:r>
        <w:rPr>
          <w:rFonts w:ascii="Times New Roman" w:hAnsi="Times New Roman"/>
          <w:i/>
          <w:iCs/>
          <w:sz w:val="24"/>
        </w:rPr>
        <w:t>CARF MCAA</w:t>
      </w:r>
      <w:r>
        <w:rPr>
          <w:rFonts w:ascii="Times New Roman" w:hAnsi="Times New Roman"/>
          <w:sz w:val="24"/>
        </w:rPr>
        <w:t xml:space="preserve"> izpildi. Konsultācijas var notikt, lai analizētu saņemtās informācijas kvalitāti.</w:t>
      </w:r>
    </w:p>
    <w:p w14:paraId="385763D0"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Kompetentās iestādes var savstarpēji sazināties, lai panāktu vienošanos par atbilstošiem pasākumiem, kas nodrošinātu </w:t>
      </w:r>
      <w:r>
        <w:rPr>
          <w:rFonts w:ascii="Times New Roman" w:hAnsi="Times New Roman"/>
          <w:i/>
          <w:iCs/>
          <w:sz w:val="24"/>
        </w:rPr>
        <w:t>CARF MCAA</w:t>
      </w:r>
      <w:r>
        <w:rPr>
          <w:rFonts w:ascii="Times New Roman" w:hAnsi="Times New Roman"/>
          <w:sz w:val="24"/>
        </w:rPr>
        <w:t xml:space="preserve"> izpildi. Koordinējošās institūcijas sekretariāts informēs visas kompetentās iestādes, tostarp tās, kas nav piedalījušās konsultācijās, par pasākumiem, kas izstrādāti, lai nodrošinātu </w:t>
      </w:r>
      <w:r>
        <w:rPr>
          <w:rFonts w:ascii="Times New Roman" w:hAnsi="Times New Roman"/>
          <w:i/>
          <w:iCs/>
          <w:sz w:val="24"/>
        </w:rPr>
        <w:t>CARF MCAA</w:t>
      </w:r>
      <w:r>
        <w:rPr>
          <w:rFonts w:ascii="Times New Roman" w:hAnsi="Times New Roman"/>
          <w:sz w:val="24"/>
        </w:rPr>
        <w:t xml:space="preserve"> izpildi.</w:t>
      </w:r>
    </w:p>
    <w:p w14:paraId="0B9D04CC" w14:textId="77777777" w:rsidR="00491410" w:rsidRPr="00B06BC1"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08" w:name="Paragraph_2_–_Amendments"/>
      <w:bookmarkEnd w:id="208"/>
      <w:r>
        <w:rPr>
          <w:rFonts w:ascii="Times New Roman" w:hAnsi="Times New Roman"/>
          <w:b/>
          <w:i/>
          <w:sz w:val="26"/>
        </w:rPr>
        <w:t>2. punkts. Grozījumi</w:t>
      </w:r>
    </w:p>
    <w:p w14:paraId="21CDBE9C"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Šajā punktā ir precizēts, ka </w:t>
      </w:r>
      <w:r>
        <w:rPr>
          <w:rFonts w:ascii="Times New Roman" w:hAnsi="Times New Roman"/>
          <w:i/>
          <w:iCs/>
          <w:sz w:val="24"/>
        </w:rPr>
        <w:t>CARF MCAA</w:t>
      </w:r>
      <w:r>
        <w:rPr>
          <w:rFonts w:ascii="Times New Roman" w:hAnsi="Times New Roman"/>
          <w:sz w:val="24"/>
        </w:rPr>
        <w:t xml:space="preserve"> var grozīt, kompetentajām iestādēm par to rakstiski vienojoties. Ja vien kompetentās iestādes nevienojas citādi, šāds grozījums stājas spēkā tā mēneša pirmajā dienā, kas seko vienu mēnesi ilgam laika posmam pēc dienas, kad minētā rakstiskā vienošanās apstiprināta ar pēdējo parakstu.</w:t>
      </w:r>
    </w:p>
    <w:p w14:paraId="6D16187F" w14:textId="77777777" w:rsidR="00491410" w:rsidRPr="0072008B"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09" w:name="Commentary_on_Section_7_concerning_Gener"/>
      <w:bookmarkStart w:id="210" w:name="_bookmark34"/>
      <w:bookmarkStart w:id="211" w:name="_Toc241753091"/>
      <w:bookmarkEnd w:id="209"/>
      <w:bookmarkEnd w:id="210"/>
      <w:r>
        <w:rPr>
          <w:rFonts w:ascii="Times New Roman" w:hAnsi="Times New Roman"/>
          <w:b/>
          <w:color w:val="0B769F" w:themeColor="accent4" w:themeShade="BF"/>
          <w:sz w:val="26"/>
        </w:rPr>
        <w:t>Komentāri par 7. pantu – par vispārīgiem noteikumiem</w:t>
      </w:r>
      <w:bookmarkEnd w:id="211"/>
    </w:p>
    <w:p w14:paraId="03B6B853" w14:textId="77777777" w:rsidR="00491410" w:rsidRPr="0072008B"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12" w:name="Paragraph_1_–_Notifications"/>
      <w:bookmarkEnd w:id="212"/>
      <w:r>
        <w:rPr>
          <w:rFonts w:ascii="Times New Roman" w:hAnsi="Times New Roman"/>
          <w:b/>
          <w:i/>
          <w:sz w:val="26"/>
        </w:rPr>
        <w:t>1. punkts. Paziņojumi</w:t>
      </w:r>
    </w:p>
    <w:p w14:paraId="13CA091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Šā panta 1. punktā ir aprakstīti paziņojumi, kas </w:t>
      </w:r>
      <w:r>
        <w:rPr>
          <w:rFonts w:ascii="Times New Roman" w:hAnsi="Times New Roman"/>
          <w:i/>
          <w:iCs/>
          <w:sz w:val="24"/>
        </w:rPr>
        <w:t>CARF MCAA</w:t>
      </w:r>
      <w:r>
        <w:rPr>
          <w:rFonts w:ascii="Times New Roman" w:hAnsi="Times New Roman"/>
          <w:sz w:val="24"/>
        </w:rPr>
        <w:t xml:space="preserve"> parakstīšanas brīdī vai iespējami drīz pēc tā kompetentajai iestādei jāiesniedz koordinējošās institūcijas sekretariātam, pirms </w:t>
      </w:r>
      <w:r>
        <w:rPr>
          <w:rFonts w:ascii="Times New Roman" w:hAnsi="Times New Roman"/>
          <w:i/>
          <w:iCs/>
          <w:sz w:val="24"/>
        </w:rPr>
        <w:t>CARF MCAA</w:t>
      </w:r>
      <w:r>
        <w:rPr>
          <w:rFonts w:ascii="Times New Roman" w:hAnsi="Times New Roman"/>
          <w:sz w:val="24"/>
        </w:rPr>
        <w:t xml:space="preserve"> var stāties spēkā attiecībā uz citu kompetento iestādi:</w:t>
      </w:r>
    </w:p>
    <w:p w14:paraId="48CC89E2" w14:textId="77777777" w:rsidR="00491410" w:rsidRPr="003A1063" w:rsidRDefault="00491410" w:rsidP="00491410">
      <w:pPr>
        <w:widowControl w:val="0"/>
        <w:numPr>
          <w:ilvl w:val="1"/>
          <w:numId w:val="1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1. punkta a) apakšpunktā norādītais paziņojums ir apstiprinājums, ka jurisdikcijā ir pieņemti nepieciešamie tiesību akti, lai īstenotu kriptoaktīvu ziņošanas sistēmu, kā arī ir norādīti attiecīgie datumi, kad stājas spēkā šie tiesību akti. Tajā var būt norādīti valsts likumdošanas procedūrās ietverti nosacījumi, kas paredz nepieciešamību pagaidu kārtībā piemērot </w:t>
      </w:r>
      <w:r>
        <w:rPr>
          <w:rFonts w:ascii="Times New Roman" w:hAnsi="Times New Roman"/>
          <w:i/>
          <w:iCs/>
          <w:sz w:val="24"/>
        </w:rPr>
        <w:t>CARF MCAA</w:t>
      </w:r>
      <w:r>
        <w:rPr>
          <w:rFonts w:ascii="Times New Roman" w:hAnsi="Times New Roman"/>
          <w:sz w:val="24"/>
        </w:rPr>
        <w:t xml:space="preserve"> ierobežotu laiku. Ja norāda šādu pagaidu piemērošanu, paziņojumā norāda valsts likumdošanas procedūru gatavības stāvokli, pagaidu piemērošanas iemeslus un laika posmu, kurš nekādā gadījumā nedrīkst būt ilgāks par pirmā ziņojumu iesniegšanas perioda beigām. Šajā paziņojumā jāsniedz garantijas, ka jurisdikcijas tiesību akti var nodrošināt to, ka kriptoaktīvu ziņošanas sistēmā noteiktās pienācīgas pārbaudes un ziņošanas prasības tiks izpildītas attiecībā uz visiem kriptoaktīvu pakalpojumu sniedzējiem, kas sniedz ziņojumus un kam ir piemērojamas šīs prasības jurisdikcijā saskaņā ar kriptoaktīvu ziņošanas sistēmas I pantu, jo īpaši iekļaujot īpašas atsauces uz pamatā esošiem tiesību aktiem, kas nodrošina, ka šīs prasības var izpildīt;</w:t>
      </w:r>
    </w:p>
    <w:p w14:paraId="69D26F9A" w14:textId="77777777" w:rsidR="00491410" w:rsidRPr="003A1063" w:rsidRDefault="00491410" w:rsidP="00491410">
      <w:pPr>
        <w:widowControl w:val="0"/>
        <w:numPr>
          <w:ilvl w:val="1"/>
          <w:numId w:val="1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1. punkta b) apakšpunktā norādītais paziņojums apstiprina, vai jurisdikcija ir jāiekļauj sarakstā kā reciprokāla jurisdikcija vai kā nereciprokāla jurisdikcija (piemēram, jo jurisdikcijai nav tiešas nodokļu sistēmas vai jurisdikcijas kompetentā iestāde neizpilda konfidencialitātes un datu aizsardzības pasākumus atbilstošā līmenī). Lai arī nereciprokālai jurisdikcijai var prasīt sūtīt 2. pantā paredzēto informāciju, tā nesaņemtu informāciju no citām kompetentajām iestādēm. Kompetentajai iestādei jāiesniedz paziņojums par nodomu būt nereciprokālai, pat ja tas ir tikai uz laiku (piemēram, kamēr tiek gaidīts konfidencialitātes un datu aizsardzības pasākumu vērtējums);</w:t>
      </w:r>
    </w:p>
    <w:p w14:paraId="4910523E" w14:textId="77777777" w:rsidR="00491410" w:rsidRPr="0072008B" w:rsidRDefault="00491410" w:rsidP="00491410">
      <w:pPr>
        <w:widowControl w:val="0"/>
        <w:numPr>
          <w:ilvl w:val="1"/>
          <w:numId w:val="1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1. punkta c) apakšpunktā norādītais paziņojums paredz deklarāciju, ko sniedz kompetentā iestāde, kura lūdz citu kompetento iestāžu piekrišanu izmantot informāciju, kas saņemta saskaņā ar </w:t>
      </w:r>
      <w:r>
        <w:rPr>
          <w:rFonts w:ascii="Times New Roman" w:hAnsi="Times New Roman"/>
          <w:i/>
          <w:iCs/>
          <w:sz w:val="24"/>
        </w:rPr>
        <w:t>CARF MCAA</w:t>
      </w:r>
      <w:r>
        <w:rPr>
          <w:rFonts w:ascii="Times New Roman" w:hAnsi="Times New Roman"/>
          <w:sz w:val="24"/>
        </w:rPr>
        <w:t>, lai novērtētu, ievāktu vai atgūtu nodokļus, veiktu izpildi vai kriminālvajāšanu attiecībā uz nodokļiem vai noteiktu pārsūdzības saistībā ar nodokļiem, attiecībā uz kuriem tās jurisdikcija sniegusi atrunu saskaņā ar Konvencijas 30. panta 1. punkta a) apakšpunktu. Prasītājai kompetentajai iestādei jānorāda šie nodokļi un jāapstiprina, ka informācija tiks izmantota saskaņā ar Konvencijas noteikumiem. Otrai kompetentajai iestādei ir skaidri jāpiekrīt šādai izmantošanai, iekļaujot prasītāju kompetento iestādi kā plānoto informācijas apmaiņas partneri paziņojumā, kas norādīts 1. punkta g) apakšpunktā;</w:t>
      </w:r>
    </w:p>
    <w:p w14:paraId="122FF290" w14:textId="77777777" w:rsidR="00491410" w:rsidRPr="003A1063" w:rsidRDefault="00491410" w:rsidP="00491410">
      <w:pPr>
        <w:widowControl w:val="0"/>
        <w:numPr>
          <w:ilvl w:val="1"/>
          <w:numId w:val="1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lastRenderedPageBreak/>
        <w:t xml:space="preserve">ceturtajā paziņojumā, kas norādīts 1. punkta d) apakšpunktā, kompetentajām iestādēm ir jānorāda, vai tās vēlas izmantot citas pārraides un šifrēšanas metodes, kas nav </w:t>
      </w:r>
      <w:r>
        <w:rPr>
          <w:rFonts w:ascii="Times New Roman" w:hAnsi="Times New Roman"/>
          <w:i/>
          <w:iCs/>
          <w:sz w:val="24"/>
        </w:rPr>
        <w:t>OECD</w:t>
      </w:r>
      <w:r>
        <w:rPr>
          <w:rFonts w:ascii="Times New Roman" w:hAnsi="Times New Roman"/>
          <w:sz w:val="24"/>
        </w:rPr>
        <w:t xml:space="preserve"> vienotā pārraides sistēma, un saistītās datņu sagatavošanas un šifrēšanas metodes;</w:t>
      </w:r>
    </w:p>
    <w:p w14:paraId="54793037" w14:textId="77777777" w:rsidR="00491410" w:rsidRPr="003A1063" w:rsidRDefault="00491410" w:rsidP="00491410">
      <w:pPr>
        <w:widowControl w:val="0"/>
        <w:numPr>
          <w:ilvl w:val="1"/>
          <w:numId w:val="1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1. punkta e) apakšpunktā minētajā paziņojumā noteikts, ka jurisdikcijai jānorāda personas datu aizsardzības prasības, kas jāievēro saņemošajā jurisdikcijā attiecībā uz informāciju, ko tā nosūta kompetentajām iestādēm šādās jurisdikcijās, papildus Konvencijas 22. pantā ietvertajām konfidencialitātes un lietošanas ierobežojuma prasībām. Tas ļauj sūtītājai kompetentajai iestādei sūtīt informāciju, kad ir saņemts apstiprinājums, ka saņemošajā jurisdikcijā ir ieviesti noteiktie aizsardzības pasākumi. Otrai kompetentajai iestādei ir skaidri jāpiekrīt šādiem aizsardzības pasākumiem, iekļaujot sūtītāju kompetento iestādi kā plānoto informācijas apmaiņas partneri paziņojumā, kas norādīts 1. punkta g) apakšpunktā. Alternatīvi šajā paziņojumā kompetentā iestāde var vienkārši norādīt, ka nevēlas sniegt nekādas sīkākas norādes attiecībā uz datu aizsardzības drošības pasākumiem;</w:t>
      </w:r>
    </w:p>
    <w:p w14:paraId="483B86C5" w14:textId="77777777" w:rsidR="00491410" w:rsidRPr="003A1063" w:rsidRDefault="00491410" w:rsidP="00491410">
      <w:pPr>
        <w:widowControl w:val="0"/>
        <w:numPr>
          <w:ilvl w:val="1"/>
          <w:numId w:val="1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1. punkta f) apakšpunktā norādītajā paziņojumā jurisdikcijām ir jāapstiprina, vai tās ir ieviesušas pienācīgus pasākumus, lai nodrošinātu, ka tiek izpildīti prasītie konfidencialitātes un datu aizsardzības standarti, kā noteikts 5. pantā. To var apstiprināt, atsaucoties uz attiecīgo konfidencialitātes un datu aizsardzības pasākumu ziņojumu par jurisdikciju, ko pieņēmis Pasaules forums par pārredzamības un informācijas apmaiņas jautājumiem nodokļu jomā;</w:t>
      </w:r>
    </w:p>
    <w:p w14:paraId="2EAE16C6" w14:textId="77777777" w:rsidR="00491410" w:rsidRPr="003A1063" w:rsidRDefault="00491410" w:rsidP="00491410">
      <w:pPr>
        <w:widowControl w:val="0"/>
        <w:numPr>
          <w:ilvl w:val="1"/>
          <w:numId w:val="1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visbeidzot, 1. punkta g) apakšpunktā norādītajā paziņojumā kompetentā iestāde uzskaita kompetento iestāžu jurisdikcijas, attiecībā uz kurām </w:t>
      </w:r>
      <w:r>
        <w:rPr>
          <w:rFonts w:ascii="Times New Roman" w:hAnsi="Times New Roman"/>
          <w:i/>
          <w:iCs/>
          <w:sz w:val="24"/>
        </w:rPr>
        <w:t>CARF MCAA</w:t>
      </w:r>
      <w:r>
        <w:rPr>
          <w:rFonts w:ascii="Times New Roman" w:hAnsi="Times New Roman"/>
          <w:sz w:val="24"/>
        </w:rPr>
        <w:t xml:space="preserve"> būs spēkā, kad tiks pabeigtas valsts likumdošanas procedūras par tā stāšanos spēkā (ja tādas ir). Kad jurisdikciju iekļauj šajā sarakstā, tā arī piekrīt izpildīt datu aizsardzības prasības, ko noteikusi šīs jurisdikcijas kompetentā iestāde saskaņā ar 1. punkta e) apakšpunktu. Turklāt, ja atbilstīgi, kompetentā iestāde var norādīt šajā paziņojumā, vai tā piekrīt, ka informācija, ar kuru tā apmainās ar citas jurisdikcijas kompetento iestādi, tiek izmantota, lai administrētu 1. punkta c) apakšpunktā minētajā paziņojumā norādīto nodokļu izpildi.</w:t>
      </w:r>
    </w:p>
    <w:p w14:paraId="67AC704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2. Papildus tam, ka jāiesniedz šie minētie paziņojumi, 1. punktā ir precizēts, ka kompetentajai iestādei ir nekavējoties jāpaziņo koordinējošās institūcijas sekretariātam visas turpmākās izmaiņas, kas jāveic iepriekš minētajos paziņojumos pēc to iesniegšanas.</w:t>
      </w:r>
    </w:p>
    <w:p w14:paraId="5D5C8FDD" w14:textId="77777777" w:rsidR="00491410" w:rsidRPr="003A1063"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4"/>
          <w14:ligatures w14:val="none"/>
        </w:rPr>
      </w:pPr>
      <w:bookmarkStart w:id="213" w:name="Paragraph_2_–_Entry_into_effect"/>
      <w:bookmarkEnd w:id="213"/>
      <w:r>
        <w:rPr>
          <w:rFonts w:ascii="Times New Roman" w:hAnsi="Times New Roman"/>
          <w:b/>
          <w:i/>
          <w:sz w:val="24"/>
        </w:rPr>
        <w:t>2. punkts. Stāšanās spēkā</w:t>
      </w:r>
    </w:p>
    <w:p w14:paraId="4307E7F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 Šā panta 2. punktā norādīts, ka konkrētās divpusējās informācijas apmaiņas attiecības tiek iedarbinātas un stājas spēkā dienā, kad otrā no abām kompetentajām iestādēm ir iesniegusi koordinējošās institūcijas sekretariātam visus 1. punktā prasītos paziņojumus un iekļāvusi sarakstā otru kompetentās iestādes jurisdikciju saskaņā ar 7. panta 1. punkta g) apakšpunktu.</w:t>
      </w:r>
    </w:p>
    <w:p w14:paraId="215B41BB" w14:textId="77777777" w:rsidR="00491410" w:rsidRPr="0072008B"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14" w:name="Paragraphs_3_and_4_–_Role_of_Co-ordinati"/>
      <w:bookmarkEnd w:id="214"/>
      <w:r>
        <w:rPr>
          <w:rFonts w:ascii="Times New Roman" w:hAnsi="Times New Roman"/>
          <w:b/>
          <w:i/>
          <w:sz w:val="26"/>
        </w:rPr>
        <w:t>3. un 4. punkts. Koordinējošās institūcijas sekretariāta loma</w:t>
      </w:r>
    </w:p>
    <w:p w14:paraId="44F56997"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Šā panta 3. punktā ir precizēts, ka koordinējošās institūcijas sekretariāts uzturēs visu to kompetento iestāžu sarakstu, kuras ir parakstījušas </w:t>
      </w:r>
      <w:r>
        <w:rPr>
          <w:rFonts w:ascii="Times New Roman" w:hAnsi="Times New Roman"/>
          <w:i/>
          <w:iCs/>
          <w:sz w:val="24"/>
        </w:rPr>
        <w:t>CARF MCAA</w:t>
      </w:r>
      <w:r>
        <w:rPr>
          <w:rFonts w:ascii="Times New Roman" w:hAnsi="Times New Roman"/>
          <w:sz w:val="24"/>
        </w:rPr>
        <w:t xml:space="preserve">, kā arī starp kurām </w:t>
      </w:r>
      <w:r>
        <w:rPr>
          <w:rFonts w:ascii="Times New Roman" w:hAnsi="Times New Roman"/>
          <w:i/>
          <w:iCs/>
          <w:sz w:val="24"/>
        </w:rPr>
        <w:t>CARF MCAA</w:t>
      </w:r>
      <w:r>
        <w:rPr>
          <w:rFonts w:ascii="Times New Roman" w:hAnsi="Times New Roman"/>
          <w:sz w:val="24"/>
        </w:rPr>
        <w:t xml:space="preserve"> ir spēkā. Šī informācija ir publicēta </w:t>
      </w:r>
      <w:r>
        <w:rPr>
          <w:rFonts w:ascii="Times New Roman" w:hAnsi="Times New Roman"/>
          <w:i/>
          <w:iCs/>
          <w:sz w:val="24"/>
        </w:rPr>
        <w:t>OECD</w:t>
      </w:r>
      <w:r>
        <w:rPr>
          <w:rFonts w:ascii="Times New Roman" w:hAnsi="Times New Roman"/>
          <w:sz w:val="24"/>
        </w:rPr>
        <w:t xml:space="preserve"> tīmekļa vietnē.</w:t>
      </w:r>
    </w:p>
    <w:p w14:paraId="15E0AAB6" w14:textId="77777777" w:rsidR="00491410" w:rsidRPr="0072008B"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5. Šā panta 4. punktā ir sīkāk paskaidrots, ka koordinējošās institūcijas sekretariāts publicēs </w:t>
      </w:r>
      <w:r>
        <w:rPr>
          <w:rFonts w:ascii="Times New Roman" w:hAnsi="Times New Roman"/>
          <w:i/>
          <w:iCs/>
          <w:sz w:val="24"/>
        </w:rPr>
        <w:t>OECD</w:t>
      </w:r>
      <w:r>
        <w:rPr>
          <w:rFonts w:ascii="Times New Roman" w:hAnsi="Times New Roman"/>
          <w:sz w:val="24"/>
        </w:rPr>
        <w:t xml:space="preserve"> tīmekļa vietnē arī tos paziņojumus, kas iesniegti saskaņā ar 7. panta 1. punkta a) apakšpunktu (apstiprinot, ka jurisdikcija ir pieņēmusi nepieciešamos tiesību aktus), 1. punkta b) apakšpunktu (apstiprinot, vai jurisdikcija ir jāiekļauj sarakstā kā nereciprokāla jurisdikcija) un 1. punkta e) apakšpunktu (norādot datu aizsardzības prasības). Koordinējošās institūcijas sekretariāts uzturēs arī to informāciju, ko kompetentās iestādes sniegušas saskaņā ar 7. panta 1. punkta c), d), f) un g) apakšpunktu. Šī informācija tomēr netiks publicēta </w:t>
      </w:r>
      <w:r>
        <w:rPr>
          <w:rFonts w:ascii="Times New Roman" w:hAnsi="Times New Roman"/>
          <w:i/>
          <w:iCs/>
          <w:sz w:val="24"/>
        </w:rPr>
        <w:t>OECD</w:t>
      </w:r>
      <w:r>
        <w:rPr>
          <w:rFonts w:ascii="Times New Roman" w:hAnsi="Times New Roman"/>
          <w:sz w:val="24"/>
        </w:rPr>
        <w:t xml:space="preserve"> tīmekļa vietnē un būs pieejama tikai </w:t>
      </w:r>
      <w:r>
        <w:rPr>
          <w:rFonts w:ascii="Times New Roman" w:hAnsi="Times New Roman"/>
          <w:i/>
          <w:iCs/>
          <w:sz w:val="24"/>
        </w:rPr>
        <w:t>CARF MCAA</w:t>
      </w:r>
      <w:r>
        <w:rPr>
          <w:rFonts w:ascii="Times New Roman" w:hAnsi="Times New Roman"/>
          <w:sz w:val="24"/>
        </w:rPr>
        <w:t xml:space="preserve"> parakstītājiem.</w:t>
      </w:r>
    </w:p>
    <w:p w14:paraId="6701CE53" w14:textId="77777777" w:rsidR="00491410" w:rsidRPr="0072008B"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15" w:name="Paragraph_5_–_Suspension"/>
      <w:bookmarkEnd w:id="215"/>
      <w:r>
        <w:rPr>
          <w:rFonts w:ascii="Times New Roman" w:hAnsi="Times New Roman"/>
          <w:b/>
          <w:i/>
          <w:sz w:val="26"/>
        </w:rPr>
        <w:lastRenderedPageBreak/>
        <w:t>5. punkts. Darbības apturēšana</w:t>
      </w:r>
    </w:p>
    <w:p w14:paraId="4B55278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6. Šā panta 5. punktā ir sīkāk norādīts, ka kompetentā iestāde var apturēt </w:t>
      </w:r>
      <w:r>
        <w:rPr>
          <w:rFonts w:ascii="Times New Roman" w:hAnsi="Times New Roman"/>
          <w:i/>
          <w:iCs/>
          <w:sz w:val="24"/>
        </w:rPr>
        <w:t>CARF MCAA</w:t>
      </w:r>
      <w:r>
        <w:rPr>
          <w:rFonts w:ascii="Times New Roman" w:hAnsi="Times New Roman"/>
          <w:sz w:val="24"/>
        </w:rPr>
        <w:t xml:space="preserve"> attiecībā pret citu kompetento iestādi, ja ir konstatējusi, ka šī otra kompetentā iestāde ir vai bija pieļāvusi būtisku neatbilstību. Ja iespējams, kompetentā iestāde cenšas atrisināt neatbilstības problēmas, pat ja ir pieļauta būtiska neatbilstība, pirms iesniegt paziņojumu par savstarpējā </w:t>
      </w:r>
      <w:r>
        <w:rPr>
          <w:rFonts w:ascii="Times New Roman" w:hAnsi="Times New Roman"/>
          <w:i/>
          <w:iCs/>
          <w:sz w:val="24"/>
        </w:rPr>
        <w:t>CARF MCAA</w:t>
      </w:r>
      <w:r>
        <w:rPr>
          <w:rFonts w:ascii="Times New Roman" w:hAnsi="Times New Roman"/>
          <w:sz w:val="24"/>
        </w:rPr>
        <w:t xml:space="preserve"> apturēšanu.</w:t>
      </w:r>
    </w:p>
    <w:p w14:paraId="1CDB77E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7. Lai apturētu </w:t>
      </w:r>
      <w:r>
        <w:rPr>
          <w:rFonts w:ascii="Times New Roman" w:hAnsi="Times New Roman"/>
          <w:i/>
          <w:iCs/>
          <w:sz w:val="24"/>
        </w:rPr>
        <w:t>CARF MCAA</w:t>
      </w:r>
      <w:r>
        <w:rPr>
          <w:rFonts w:ascii="Times New Roman" w:hAnsi="Times New Roman"/>
          <w:sz w:val="24"/>
        </w:rPr>
        <w:t xml:space="preserve">, kompetentajai iestādei ir pienākums rakstveidā informēt otru kompetento iestādi, ka tā plāno apturēt </w:t>
      </w:r>
      <w:r>
        <w:rPr>
          <w:rFonts w:ascii="Times New Roman" w:hAnsi="Times New Roman"/>
          <w:i/>
          <w:iCs/>
          <w:sz w:val="24"/>
        </w:rPr>
        <w:t>CARF MCAA</w:t>
      </w:r>
      <w:r>
        <w:rPr>
          <w:rFonts w:ascii="Times New Roman" w:hAnsi="Times New Roman"/>
          <w:sz w:val="24"/>
        </w:rPr>
        <w:t xml:space="preserve"> ar šo otro kompetento iestādi. Paziņojumā, ja vien iespējams, jānorāda apturēšanas iemesli un pasākumi, kas jāpieņem, lai problēmu atrisinātu. Darbības apturēšana stājas spēkā nekavējoties.</w:t>
      </w:r>
    </w:p>
    <w:p w14:paraId="2A92F84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8. Paziņojumu saņēmušajai kompetentajai iestādei iespējami drīz jāveic nepieciešamie pasākumi, lai novērstu būtisko neatbilstību. Tiklīdz neatbilstība ir novērsta, paziņojumu saņēmušajai kompetentajai iestādei ir jāinformē par to otra kompetentā iestāde. Kad problēma ir sekmīgi atrisināta, kompetentajai iestādei, kas bija nosūtījusi paziņojumu par apturēšanu, rakstiski jāinformē paziņojumu saņēmusī kompetentā iestāde, ka </w:t>
      </w:r>
      <w:r>
        <w:rPr>
          <w:rFonts w:ascii="Times New Roman" w:hAnsi="Times New Roman"/>
          <w:i/>
          <w:iCs/>
          <w:sz w:val="24"/>
        </w:rPr>
        <w:t>CARF MCAA</w:t>
      </w:r>
      <w:r>
        <w:rPr>
          <w:rFonts w:ascii="Times New Roman" w:hAnsi="Times New Roman"/>
          <w:sz w:val="24"/>
        </w:rPr>
        <w:t xml:space="preserve"> darbība vairs nav apturēta un ka informācijas apmaiņai jāatsākas iespējami īsā laikā.</w:t>
      </w:r>
    </w:p>
    <w:p w14:paraId="634AF00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9. Šā panta 5. punktā noteiktas dažas šādas būtiskas neatbilstības:</w:t>
      </w:r>
    </w:p>
    <w:p w14:paraId="4CE79755" w14:textId="77777777" w:rsidR="00491410" w:rsidRPr="003A1063" w:rsidRDefault="00491410" w:rsidP="00491410">
      <w:pPr>
        <w:widowControl w:val="0"/>
        <w:numPr>
          <w:ilvl w:val="1"/>
          <w:numId w:val="1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i/>
          <w:iCs/>
          <w:sz w:val="24"/>
        </w:rPr>
        <w:t>CARF MCAA</w:t>
      </w:r>
      <w:r>
        <w:rPr>
          <w:rFonts w:ascii="Times New Roman" w:hAnsi="Times New Roman"/>
          <w:sz w:val="24"/>
        </w:rPr>
        <w:t xml:space="preserve"> konfidencialitātes vai datu aizsardzības noteikumu neievērošana, piemēram, informācija tiek izmantota vajadzībām, kas nav norādītas </w:t>
      </w:r>
      <w:r>
        <w:rPr>
          <w:rFonts w:ascii="Times New Roman" w:hAnsi="Times New Roman"/>
          <w:i/>
          <w:iCs/>
          <w:sz w:val="24"/>
        </w:rPr>
        <w:t>CARF MCAA</w:t>
      </w:r>
      <w:r>
        <w:rPr>
          <w:rFonts w:ascii="Times New Roman" w:hAnsi="Times New Roman"/>
          <w:sz w:val="24"/>
        </w:rPr>
        <w:t xml:space="preserve"> vai Konvencijā, vai valsts tiesību akti tiek grozīti tā, ka tiek pasliktināta informācijas konfidencialitāte, vai</w:t>
      </w:r>
    </w:p>
    <w:p w14:paraId="6BA580B4" w14:textId="77777777" w:rsidR="00491410" w:rsidRPr="003A1063" w:rsidRDefault="00491410" w:rsidP="00491410">
      <w:pPr>
        <w:widowControl w:val="0"/>
        <w:numPr>
          <w:ilvl w:val="1"/>
          <w:numId w:val="19"/>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kompetentā iestāde laikus neiesniedz </w:t>
      </w:r>
      <w:r>
        <w:rPr>
          <w:rFonts w:ascii="Times New Roman" w:hAnsi="Times New Roman"/>
          <w:i/>
          <w:iCs/>
          <w:sz w:val="24"/>
        </w:rPr>
        <w:t>CARF MCAA</w:t>
      </w:r>
      <w:r>
        <w:rPr>
          <w:rFonts w:ascii="Times New Roman" w:hAnsi="Times New Roman"/>
          <w:sz w:val="24"/>
        </w:rPr>
        <w:t xml:space="preserve"> prasīto informāciju vai tā ir neatbilstīga.</w:t>
      </w:r>
    </w:p>
    <w:p w14:paraId="474757A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10. </w:t>
      </w:r>
      <w:r>
        <w:rPr>
          <w:rFonts w:ascii="Times New Roman" w:hAnsi="Times New Roman"/>
          <w:i/>
          <w:iCs/>
          <w:sz w:val="24"/>
        </w:rPr>
        <w:t>CARF MCAA</w:t>
      </w:r>
      <w:r>
        <w:rPr>
          <w:rFonts w:ascii="Times New Roman" w:hAnsi="Times New Roman"/>
          <w:sz w:val="24"/>
        </w:rPr>
        <w:t xml:space="preserve"> darbības apturēšanas laikā visa informācija, kas iepriekš saņemta saskaņā ar </w:t>
      </w:r>
      <w:r>
        <w:rPr>
          <w:rFonts w:ascii="Times New Roman" w:hAnsi="Times New Roman"/>
          <w:i/>
          <w:iCs/>
          <w:sz w:val="24"/>
        </w:rPr>
        <w:t>CARF MCAA</w:t>
      </w:r>
      <w:r>
        <w:rPr>
          <w:rFonts w:ascii="Times New Roman" w:hAnsi="Times New Roman"/>
          <w:sz w:val="24"/>
        </w:rPr>
        <w:t xml:space="preserve">, saglabā savu konfidencialitāti un uz to attiecināms </w:t>
      </w:r>
      <w:r>
        <w:rPr>
          <w:rFonts w:ascii="Times New Roman" w:hAnsi="Times New Roman"/>
          <w:i/>
          <w:iCs/>
          <w:sz w:val="24"/>
        </w:rPr>
        <w:t>CARF MCAA</w:t>
      </w:r>
      <w:r>
        <w:rPr>
          <w:rFonts w:ascii="Times New Roman" w:hAnsi="Times New Roman"/>
          <w:sz w:val="24"/>
        </w:rPr>
        <w:t xml:space="preserve"> 5. panta noteikumi, tostarp jebkādi papildu datu aizsardzības pasākumi, ko norādījusi sniedzēja kompetentā iestāde.</w:t>
      </w:r>
    </w:p>
    <w:p w14:paraId="16FA68A1" w14:textId="77777777" w:rsidR="00491410" w:rsidRPr="0072008B"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16" w:name="Paragraph_6_–_Deactivation_and_terminati"/>
      <w:bookmarkEnd w:id="216"/>
      <w:r>
        <w:rPr>
          <w:rFonts w:ascii="Times New Roman" w:hAnsi="Times New Roman"/>
          <w:b/>
          <w:i/>
          <w:sz w:val="26"/>
        </w:rPr>
        <w:t>6. punkts. Darbības pārtraukšana un izbeigšana</w:t>
      </w:r>
    </w:p>
    <w:p w14:paraId="1F8C9C7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11. Saskaņā ar 6. punktu kompetentā iestāde var vai nu pārtraukt konkrētās attiecības informācijas apmaiņas jomā saskaņā ar </w:t>
      </w:r>
      <w:r>
        <w:rPr>
          <w:rFonts w:ascii="Times New Roman" w:hAnsi="Times New Roman"/>
          <w:i/>
          <w:iCs/>
          <w:sz w:val="24"/>
        </w:rPr>
        <w:t>CARF MCAA</w:t>
      </w:r>
      <w:r>
        <w:rPr>
          <w:rFonts w:ascii="Times New Roman" w:hAnsi="Times New Roman"/>
          <w:sz w:val="24"/>
        </w:rPr>
        <w:t xml:space="preserve">, vai arī pilnībā izbeigt dalību </w:t>
      </w:r>
      <w:r>
        <w:rPr>
          <w:rFonts w:ascii="Times New Roman" w:hAnsi="Times New Roman"/>
          <w:i/>
          <w:iCs/>
          <w:sz w:val="24"/>
        </w:rPr>
        <w:t>CARF MCAA</w:t>
      </w:r>
      <w:r>
        <w:rPr>
          <w:rFonts w:ascii="Times New Roman" w:hAnsi="Times New Roman"/>
          <w:sz w:val="24"/>
        </w:rPr>
        <w:t xml:space="preserve">. Abos gadījumos kompetentajai iestādei rakstveidā jāinformē koordinējošās institūcijas sekretariāts. Darbības pārtraukšana vai izbeigšana stājas spēkā tā mēneša pirmajā dienā, kurš seko 12 mēnešus ilgam laika posmam pēc paziņojuma dienas. Apstākļos, kad tas nepieciešams (piemēram, valsts likumdošanas procedūru vai tiesas sprieduma dēļ), kompetentā iestāde, kas pārtrauc vienas vai vairākas attiecības informācijas apmaiņas jomā saskaņā ar </w:t>
      </w:r>
      <w:r>
        <w:rPr>
          <w:rFonts w:ascii="Times New Roman" w:hAnsi="Times New Roman"/>
          <w:i/>
          <w:iCs/>
          <w:sz w:val="24"/>
        </w:rPr>
        <w:t>CARF MCAA</w:t>
      </w:r>
      <w:r>
        <w:rPr>
          <w:rFonts w:ascii="Times New Roman" w:hAnsi="Times New Roman"/>
          <w:sz w:val="24"/>
        </w:rPr>
        <w:t xml:space="preserve"> vai izbeidz dalību </w:t>
      </w:r>
      <w:r>
        <w:rPr>
          <w:rFonts w:ascii="Times New Roman" w:hAnsi="Times New Roman"/>
          <w:i/>
          <w:iCs/>
          <w:sz w:val="24"/>
        </w:rPr>
        <w:t>CARF MCAA</w:t>
      </w:r>
      <w:r>
        <w:rPr>
          <w:rFonts w:ascii="Times New Roman" w:hAnsi="Times New Roman"/>
          <w:sz w:val="24"/>
        </w:rPr>
        <w:t>, var atkāpties no 12 mēnešu perioda, kas noteikts pēc noklusējuma, un noteikt citu periodu.</w:t>
      </w:r>
    </w:p>
    <w:p w14:paraId="705C437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12. Ja jurisdikcija izbeidz dalību Konvencijā, tas automātiski nozīmē, ka tiek automātiski izbeigts </w:t>
      </w:r>
      <w:r>
        <w:rPr>
          <w:rFonts w:ascii="Times New Roman" w:hAnsi="Times New Roman"/>
          <w:i/>
          <w:iCs/>
          <w:sz w:val="24"/>
        </w:rPr>
        <w:t>CARF MCAA</w:t>
      </w:r>
      <w:r>
        <w:rPr>
          <w:rFonts w:ascii="Times New Roman" w:hAnsi="Times New Roman"/>
          <w:sz w:val="24"/>
        </w:rPr>
        <w:t xml:space="preserve"> attiecībā uz šo jurisdikciju. Šādos apstākļos nav nepieciešams atsevišķi izbeigt </w:t>
      </w:r>
      <w:r>
        <w:rPr>
          <w:rFonts w:ascii="Times New Roman" w:hAnsi="Times New Roman"/>
          <w:i/>
          <w:iCs/>
          <w:sz w:val="24"/>
        </w:rPr>
        <w:t>CARF MCAA</w:t>
      </w:r>
      <w:r>
        <w:rPr>
          <w:rFonts w:ascii="Times New Roman" w:hAnsi="Times New Roman"/>
          <w:sz w:val="24"/>
        </w:rPr>
        <w:t>.</w:t>
      </w:r>
    </w:p>
    <w:p w14:paraId="1E96420B"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13. Šā panta 6. punktā ir paskaidrots, ka darbības pārtraukšanas vai izbeigšanas gadījumā visa informācija, kas iepriekš saņemta saskaņā ar </w:t>
      </w:r>
      <w:r>
        <w:rPr>
          <w:rFonts w:ascii="Times New Roman" w:hAnsi="Times New Roman"/>
          <w:i/>
          <w:iCs/>
          <w:sz w:val="24"/>
        </w:rPr>
        <w:t>CARF MCAA</w:t>
      </w:r>
      <w:r>
        <w:rPr>
          <w:rFonts w:ascii="Times New Roman" w:hAnsi="Times New Roman"/>
          <w:sz w:val="24"/>
        </w:rPr>
        <w:t>, saglabā savu konfidencialitāti un uz to attiecināms 5. pants, tostarp jebkādi papildu datu aizsardzības pasākumi, ko noteikusi sniedzēja kompetentā iestāde.</w:t>
      </w:r>
    </w:p>
    <w:p w14:paraId="057070D9" w14:textId="77777777" w:rsidR="00491410" w:rsidRPr="0072008B" w:rsidRDefault="00491410" w:rsidP="00156A8D">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17" w:name="Commentary_on_Section_8_concerning_the_C"/>
      <w:bookmarkStart w:id="218" w:name="_bookmark35"/>
      <w:bookmarkStart w:id="219" w:name="_Toc241753092"/>
      <w:bookmarkEnd w:id="217"/>
      <w:bookmarkEnd w:id="218"/>
      <w:r>
        <w:rPr>
          <w:rFonts w:ascii="Times New Roman" w:hAnsi="Times New Roman"/>
          <w:b/>
          <w:color w:val="0B769F" w:themeColor="accent4" w:themeShade="BF"/>
          <w:sz w:val="26"/>
        </w:rPr>
        <w:lastRenderedPageBreak/>
        <w:t>Komentāri par 8. pantu – par koordinējošās institūcijas sekretariātu</w:t>
      </w:r>
      <w:bookmarkEnd w:id="219"/>
    </w:p>
    <w:p w14:paraId="45A5E7EF" w14:textId="77777777" w:rsidR="00491410" w:rsidRPr="003A1063" w:rsidRDefault="00491410" w:rsidP="00156A8D">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8. pantā ir precizēts, ka, ja vien </w:t>
      </w:r>
      <w:r>
        <w:rPr>
          <w:rFonts w:ascii="Times New Roman" w:hAnsi="Times New Roman"/>
          <w:i/>
          <w:iCs/>
          <w:sz w:val="24"/>
        </w:rPr>
        <w:t>CARF MCAA</w:t>
      </w:r>
      <w:r>
        <w:rPr>
          <w:rFonts w:ascii="Times New Roman" w:hAnsi="Times New Roman"/>
          <w:sz w:val="24"/>
        </w:rPr>
        <w:t xml:space="preserve"> nav noteikts citādi, koordinējošās institūcijas sekretariāts informē visas kompetentās iestādes par visiem paziņojumiem, ko tas saņēmis saskaņā ar </w:t>
      </w:r>
      <w:r>
        <w:rPr>
          <w:rFonts w:ascii="Times New Roman" w:hAnsi="Times New Roman"/>
          <w:i/>
          <w:iCs/>
          <w:sz w:val="24"/>
        </w:rPr>
        <w:t>CARF MCAA</w:t>
      </w:r>
      <w:r>
        <w:rPr>
          <w:rFonts w:ascii="Times New Roman" w:hAnsi="Times New Roman"/>
          <w:sz w:val="24"/>
        </w:rPr>
        <w:t xml:space="preserve">. 8. pantā ir arī precizēts, ka koordinējošā institūcija informēs visus </w:t>
      </w:r>
      <w:r>
        <w:rPr>
          <w:rFonts w:ascii="Times New Roman" w:hAnsi="Times New Roman"/>
          <w:i/>
          <w:iCs/>
          <w:sz w:val="24"/>
        </w:rPr>
        <w:t>CARF MCAA</w:t>
      </w:r>
      <w:r>
        <w:rPr>
          <w:rFonts w:ascii="Times New Roman" w:hAnsi="Times New Roman"/>
          <w:sz w:val="24"/>
        </w:rPr>
        <w:t xml:space="preserve"> parakstītājus, kad jauna kompetentā iestāde paraksta </w:t>
      </w:r>
      <w:r>
        <w:rPr>
          <w:rFonts w:ascii="Times New Roman" w:hAnsi="Times New Roman"/>
          <w:i/>
          <w:iCs/>
          <w:sz w:val="24"/>
        </w:rPr>
        <w:t>CARF MCAA</w:t>
      </w:r>
      <w:r>
        <w:rPr>
          <w:rFonts w:ascii="Times New Roman" w:hAnsi="Times New Roman"/>
          <w:sz w:val="24"/>
        </w:rPr>
        <w:t>.</w:t>
      </w:r>
    </w:p>
    <w:p w14:paraId="08BF9105" w14:textId="77777777" w:rsidR="00491410" w:rsidRPr="003A1063" w:rsidRDefault="00491410" w:rsidP="00156A8D">
      <w:pPr>
        <w:pStyle w:val="Heading1"/>
        <w:spacing w:before="240" w:after="120" w:line="240" w:lineRule="auto"/>
        <w:rPr>
          <w:rFonts w:ascii="Times New Roman" w:eastAsia="Arial" w:hAnsi="Times New Roman" w:cs="Arial"/>
          <w:b/>
          <w:bCs/>
          <w:kern w:val="0"/>
          <w:sz w:val="24"/>
          <w:szCs w:val="24"/>
          <w14:ligatures w14:val="none"/>
        </w:rPr>
      </w:pPr>
      <w:bookmarkStart w:id="220" w:name="_bookmark36"/>
      <w:bookmarkStart w:id="221" w:name="_Toc241753093"/>
      <w:bookmarkEnd w:id="220"/>
      <w:r>
        <w:rPr>
          <w:rFonts w:ascii="Times New Roman" w:hAnsi="Times New Roman"/>
          <w:b/>
          <w:color w:val="0B769F" w:themeColor="accent4" w:themeShade="BF"/>
          <w:sz w:val="26"/>
        </w:rPr>
        <w:t>Piezīme</w:t>
      </w:r>
      <w:bookmarkEnd w:id="221"/>
    </w:p>
    <w:p w14:paraId="382B3473" w14:textId="0A7E9B54" w:rsidR="00491410" w:rsidRPr="003A1063" w:rsidRDefault="00491410" w:rsidP="00156A8D">
      <w:pPr>
        <w:widowControl w:val="0"/>
        <w:autoSpaceDE w:val="0"/>
        <w:autoSpaceDN w:val="0"/>
        <w:spacing w:before="120" w:after="120" w:line="240" w:lineRule="auto"/>
        <w:rPr>
          <w:rFonts w:ascii="Times New Roman" w:eastAsia="Arial" w:hAnsi="Times New Roman" w:cs="Arial"/>
          <w:kern w:val="0"/>
          <w:sz w:val="24"/>
          <w:szCs w:val="20"/>
          <w14:ligatures w14:val="none"/>
        </w:rPr>
      </w:pPr>
      <w:r>
        <w:rPr>
          <w:rFonts w:ascii="Times New Roman" w:hAnsi="Times New Roman"/>
          <w:sz w:val="24"/>
          <w:vertAlign w:val="superscript"/>
        </w:rPr>
        <w:t>1</w:t>
      </w:r>
      <w:r>
        <w:rPr>
          <w:rFonts w:ascii="Times New Roman" w:hAnsi="Times New Roman"/>
          <w:sz w:val="24"/>
        </w:rPr>
        <w:t xml:space="preserve"> Skat. ES Regulu 2016/679 par fizisku personu aizsardzību attiecībā uz personas datu apstrādi un šādu datu brīvu apriti (VDAR):</w:t>
      </w:r>
      <w:r w:rsidR="00156A8D">
        <w:rPr>
          <w:rFonts w:ascii="Times New Roman" w:hAnsi="Times New Roman"/>
          <w:sz w:val="24"/>
        </w:rPr>
        <w:t> </w:t>
      </w:r>
      <w:hyperlink r:id="rId26">
        <w:r>
          <w:rPr>
            <w:rFonts w:ascii="Times New Roman" w:hAnsi="Times New Roman"/>
            <w:color w:val="0000FF"/>
            <w:sz w:val="24"/>
            <w:u w:val="single" w:color="0000FF"/>
          </w:rPr>
          <w:t>https://eur-</w:t>
        </w:r>
      </w:hyperlink>
      <w:r>
        <w:rPr>
          <w:rFonts w:ascii="Times New Roman" w:hAnsi="Times New Roman"/>
          <w:color w:val="0000FF"/>
          <w:sz w:val="24"/>
        </w:rPr>
        <w:t xml:space="preserve"> </w:t>
      </w:r>
      <w:hyperlink r:id="rId27">
        <w:r>
          <w:rPr>
            <w:rFonts w:ascii="Times New Roman" w:hAnsi="Times New Roman"/>
            <w:color w:val="0000FF"/>
            <w:sz w:val="24"/>
            <w:u w:val="single" w:color="0000FF"/>
          </w:rPr>
          <w:t>lex.europa.eu/legal-content/EN/TXT/?uri=CELEX%3A02016R0679-20160504&amp;qid=1532348683434</w:t>
        </w:r>
      </w:hyperlink>
    </w:p>
    <w:p w14:paraId="6C87EC20" w14:textId="77777777" w:rsidR="00491410" w:rsidRDefault="00491410" w:rsidP="00491410">
      <w:pPr>
        <w:rPr>
          <w:rFonts w:ascii="Times New Roman" w:eastAsia="Arial" w:hAnsi="Times New Roman" w:cs="Arial"/>
          <w:b/>
          <w:bCs/>
          <w:color w:val="4E81BD"/>
          <w:kern w:val="0"/>
          <w:sz w:val="24"/>
          <w:szCs w:val="72"/>
          <w14:ligatures w14:val="none"/>
        </w:rPr>
      </w:pPr>
      <w:bookmarkStart w:id="222" w:name="Part_II_Amendments_to_the_Common_Reporti"/>
      <w:bookmarkStart w:id="223" w:name="_bookmark37"/>
      <w:bookmarkEnd w:id="222"/>
      <w:bookmarkEnd w:id="223"/>
      <w:r>
        <w:br w:type="page"/>
      </w:r>
    </w:p>
    <w:p w14:paraId="357A8B5A" w14:textId="77777777" w:rsidR="00491410" w:rsidRPr="006A191A" w:rsidRDefault="00491410" w:rsidP="00491410">
      <w:pPr>
        <w:pStyle w:val="Heading1"/>
        <w:rPr>
          <w:rFonts w:ascii="Times New Roman" w:eastAsia="Arial" w:hAnsi="Times New Roman" w:cs="Times New Roman"/>
          <w:b/>
          <w:bCs/>
          <w:noProof/>
          <w:color w:val="0B769F" w:themeColor="accent4" w:themeShade="BF"/>
          <w:sz w:val="24"/>
          <w:szCs w:val="24"/>
        </w:rPr>
      </w:pPr>
    </w:p>
    <w:p w14:paraId="3940BBC2" w14:textId="77777777" w:rsidR="00491410" w:rsidRPr="006A191A" w:rsidRDefault="00491410" w:rsidP="00491410">
      <w:pPr>
        <w:pStyle w:val="Heading1"/>
        <w:rPr>
          <w:rFonts w:ascii="Times New Roman" w:eastAsia="Arial" w:hAnsi="Times New Roman" w:cs="Times New Roman"/>
          <w:b/>
          <w:bCs/>
          <w:noProof/>
          <w:color w:val="0B769F" w:themeColor="accent4" w:themeShade="BF"/>
          <w:sz w:val="24"/>
          <w:szCs w:val="24"/>
        </w:rPr>
      </w:pPr>
    </w:p>
    <w:p w14:paraId="036FE6EF" w14:textId="77777777" w:rsidR="00491410" w:rsidRPr="006A191A" w:rsidRDefault="00491410" w:rsidP="00491410">
      <w:pPr>
        <w:pStyle w:val="Heading1"/>
        <w:rPr>
          <w:rFonts w:ascii="Times New Roman" w:eastAsia="Arial" w:hAnsi="Times New Roman" w:cs="Times New Roman"/>
          <w:b/>
          <w:bCs/>
          <w:noProof/>
          <w:color w:val="0B769F" w:themeColor="accent4" w:themeShade="BF"/>
          <w:sz w:val="48"/>
          <w:szCs w:val="48"/>
        </w:rPr>
      </w:pPr>
      <w:bookmarkStart w:id="224" w:name="_Toc241753094"/>
      <w:r>
        <w:rPr>
          <w:rFonts w:ascii="Times New Roman" w:hAnsi="Times New Roman"/>
          <w:b/>
          <w:color w:val="0B769F" w:themeColor="accent4" w:themeShade="BF"/>
          <w:sz w:val="48"/>
        </w:rPr>
        <w:t>II daļa. Kopējā ziņošanas standarta grozījumi</w:t>
      </w:r>
      <w:bookmarkEnd w:id="224"/>
    </w:p>
    <w:p w14:paraId="76FB100D" w14:textId="77777777" w:rsidR="00491410" w:rsidRDefault="00491410" w:rsidP="00491410">
      <w:pPr>
        <w:rPr>
          <w:rFonts w:ascii="Times New Roman" w:eastAsia="Arial" w:hAnsi="Times New Roman" w:cs="Arial"/>
          <w:kern w:val="0"/>
          <w:sz w:val="24"/>
          <w14:ligatures w14:val="none"/>
        </w:rPr>
      </w:pPr>
      <w:r>
        <w:br w:type="page"/>
      </w:r>
    </w:p>
    <w:p w14:paraId="59AB5B9C" w14:textId="77777777" w:rsidR="00491410" w:rsidRPr="006A191A" w:rsidRDefault="00491410" w:rsidP="00491410">
      <w:pPr>
        <w:widowControl w:val="0"/>
        <w:autoSpaceDE w:val="0"/>
        <w:autoSpaceDN w:val="0"/>
        <w:spacing w:before="120" w:after="120" w:line="240" w:lineRule="auto"/>
        <w:jc w:val="both"/>
        <w:rPr>
          <w:rFonts w:ascii="Times New Roman" w:eastAsia="Arial" w:hAnsi="Times New Roman" w:cs="Times New Roman"/>
          <w:b/>
          <w:bCs/>
          <w:noProof/>
          <w:color w:val="0B769F" w:themeColor="accent4" w:themeShade="BF"/>
          <w:sz w:val="48"/>
          <w:szCs w:val="48"/>
        </w:rPr>
      </w:pPr>
      <w:bookmarkStart w:id="225" w:name="1_Introduction"/>
      <w:bookmarkStart w:id="226" w:name="_bookmark38"/>
      <w:bookmarkEnd w:id="225"/>
      <w:bookmarkEnd w:id="226"/>
      <w:r>
        <w:rPr>
          <w:rFonts w:ascii="Times New Roman" w:hAnsi="Times New Roman"/>
          <w:b/>
          <w:color w:val="0B769F" w:themeColor="accent4" w:themeShade="BF"/>
          <w:sz w:val="72"/>
          <w:u w:val="single"/>
        </w:rPr>
        <w:lastRenderedPageBreak/>
        <w:t>1.</w:t>
      </w:r>
      <w:r>
        <w:rPr>
          <w:rFonts w:ascii="Times New Roman" w:hAnsi="Times New Roman"/>
          <w:b/>
          <w:color w:val="0B769F" w:themeColor="accent4" w:themeShade="BF"/>
          <w:sz w:val="72"/>
        </w:rPr>
        <w:t xml:space="preserve"> </w:t>
      </w:r>
      <w:r>
        <w:rPr>
          <w:rFonts w:ascii="Times New Roman" w:hAnsi="Times New Roman"/>
          <w:b/>
          <w:color w:val="0B769F" w:themeColor="accent4" w:themeShade="BF"/>
          <w:sz w:val="48"/>
        </w:rPr>
        <w:t>Ievads</w:t>
      </w:r>
    </w:p>
    <w:p w14:paraId="1DE65906"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kern w:val="0"/>
          <w:sz w:val="24"/>
          <w:szCs w:val="20"/>
          <w14:ligatures w14:val="none"/>
        </w:rPr>
      </w:pPr>
    </w:p>
    <w:p w14:paraId="28F1FD7E"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kern w:val="0"/>
          <w:sz w:val="24"/>
          <w:szCs w:val="20"/>
          <w14:ligatures w14:val="none"/>
        </w:rPr>
      </w:pPr>
    </w:p>
    <w:p w14:paraId="66969B1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w:t>
      </w:r>
      <w:r>
        <w:rPr>
          <w:rFonts w:ascii="Times New Roman" w:hAnsi="Times New Roman"/>
          <w:i/>
          <w:iCs/>
          <w:sz w:val="24"/>
        </w:rPr>
        <w:t>CRS</w:t>
      </w:r>
      <w:r>
        <w:rPr>
          <w:rFonts w:ascii="Times New Roman" w:hAnsi="Times New Roman"/>
          <w:sz w:val="24"/>
        </w:rPr>
        <w:t xml:space="preserve"> tika izstrādāts, lai veicinātu nodokļu pārredzamību attiecībā uz finanšu kontiem, kas tiek turēti ārvalstīs, un tajā prasīta informācijas vākšana un tās automātiska apmaiņa par konta turētāju identitāti, kā arī kontu bilanci un ienākumu, kas iemaksāts kontos vai kreditēts uz kontiem. </w:t>
      </w:r>
      <w:r>
        <w:rPr>
          <w:rFonts w:ascii="Times New Roman" w:hAnsi="Times New Roman"/>
          <w:i/>
          <w:iCs/>
          <w:sz w:val="24"/>
        </w:rPr>
        <w:t>CRS</w:t>
      </w:r>
      <w:r>
        <w:rPr>
          <w:rFonts w:ascii="Times New Roman" w:hAnsi="Times New Roman"/>
          <w:sz w:val="24"/>
        </w:rPr>
        <w:t xml:space="preserve"> tika pieņemts 2014. gadā, un kopš tā laika ir pagājuši vairāk nekā septiņi gadi, kuru laikā </w:t>
      </w:r>
      <w:r>
        <w:rPr>
          <w:rFonts w:ascii="Times New Roman" w:hAnsi="Times New Roman"/>
          <w:i/>
          <w:iCs/>
          <w:sz w:val="24"/>
        </w:rPr>
        <w:t>CRS</w:t>
      </w:r>
      <w:r>
        <w:rPr>
          <w:rFonts w:ascii="Times New Roman" w:hAnsi="Times New Roman"/>
          <w:sz w:val="24"/>
        </w:rPr>
        <w:t xml:space="preserve"> ir ieviesušas vairāk nekā 100 jurisdikcijas.</w:t>
      </w:r>
    </w:p>
    <w:p w14:paraId="3AC8DD22"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Tādējādi tagad gan valdības, gan finanšu iestādes ir ieguvušas lielu pieredzi par </w:t>
      </w:r>
      <w:r>
        <w:rPr>
          <w:rFonts w:ascii="Times New Roman" w:hAnsi="Times New Roman"/>
          <w:i/>
          <w:iCs/>
          <w:sz w:val="24"/>
        </w:rPr>
        <w:t>CRS</w:t>
      </w:r>
      <w:r>
        <w:rPr>
          <w:rFonts w:ascii="Times New Roman" w:hAnsi="Times New Roman"/>
          <w:sz w:val="24"/>
        </w:rPr>
        <w:t xml:space="preserve">. Tāpēc </w:t>
      </w:r>
      <w:r>
        <w:rPr>
          <w:rFonts w:ascii="Times New Roman" w:hAnsi="Times New Roman"/>
          <w:i/>
          <w:iCs/>
          <w:sz w:val="24"/>
        </w:rPr>
        <w:t>OECD</w:t>
      </w:r>
      <w:r>
        <w:rPr>
          <w:rFonts w:ascii="Times New Roman" w:hAnsi="Times New Roman"/>
          <w:sz w:val="24"/>
        </w:rPr>
        <w:t xml:space="preserve"> ir veikusi pirmo visaptverošo </w:t>
      </w:r>
      <w:r>
        <w:rPr>
          <w:rFonts w:ascii="Times New Roman" w:hAnsi="Times New Roman"/>
          <w:i/>
          <w:iCs/>
          <w:sz w:val="24"/>
        </w:rPr>
        <w:t>CRS</w:t>
      </w:r>
      <w:r>
        <w:rPr>
          <w:rFonts w:ascii="Times New Roman" w:hAnsi="Times New Roman"/>
          <w:sz w:val="24"/>
        </w:rPr>
        <w:t xml:space="preserve"> pārskatīšanu, lai uzlabotu </w:t>
      </w:r>
      <w:r>
        <w:rPr>
          <w:rFonts w:ascii="Times New Roman" w:hAnsi="Times New Roman"/>
          <w:i/>
          <w:iCs/>
          <w:sz w:val="24"/>
        </w:rPr>
        <w:t>CRS</w:t>
      </w:r>
      <w:r>
        <w:rPr>
          <w:rFonts w:ascii="Times New Roman" w:hAnsi="Times New Roman"/>
          <w:sz w:val="24"/>
        </w:rPr>
        <w:t xml:space="preserve"> darbību. Tālab, lai noteiktu jomas, kas būtu jāpārskata, </w:t>
      </w:r>
      <w:r>
        <w:rPr>
          <w:rFonts w:ascii="Times New Roman" w:hAnsi="Times New Roman"/>
          <w:i/>
          <w:iCs/>
          <w:sz w:val="24"/>
        </w:rPr>
        <w:t>OECD</w:t>
      </w:r>
      <w:r>
        <w:rPr>
          <w:rFonts w:ascii="Times New Roman" w:hAnsi="Times New Roman"/>
          <w:sz w:val="24"/>
        </w:rPr>
        <w:t xml:space="preserve"> ir ņēmusi vērā ievaddatus, ko sniegušas jurisdikcijas, kuras ir ieviesušas </w:t>
      </w:r>
      <w:r>
        <w:rPr>
          <w:rFonts w:ascii="Times New Roman" w:hAnsi="Times New Roman"/>
          <w:i/>
          <w:iCs/>
          <w:sz w:val="24"/>
        </w:rPr>
        <w:t>CRS</w:t>
      </w:r>
      <w:r>
        <w:rPr>
          <w:rFonts w:ascii="Times New Roman" w:hAnsi="Times New Roman"/>
          <w:sz w:val="24"/>
        </w:rPr>
        <w:t xml:space="preserve">, kā arī datus, ko sniegušas finanšu iestādes, kuras sniedz ziņojumus saskaņā ar </w:t>
      </w:r>
      <w:r>
        <w:rPr>
          <w:rFonts w:ascii="Times New Roman" w:hAnsi="Times New Roman"/>
          <w:i/>
          <w:iCs/>
          <w:sz w:val="24"/>
        </w:rPr>
        <w:t>CRS</w:t>
      </w:r>
      <w:r>
        <w:rPr>
          <w:rFonts w:ascii="Times New Roman" w:hAnsi="Times New Roman"/>
          <w:sz w:val="24"/>
        </w:rPr>
        <w:t>. Tādējādi tika veikti grozījumi divās pamatjomās.</w:t>
      </w:r>
    </w:p>
    <w:p w14:paraId="46D82D07"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Pirmkārt, </w:t>
      </w:r>
      <w:r>
        <w:rPr>
          <w:rFonts w:ascii="Times New Roman" w:hAnsi="Times New Roman"/>
          <w:i/>
          <w:iCs/>
          <w:sz w:val="24"/>
        </w:rPr>
        <w:t>CRS</w:t>
      </w:r>
      <w:r>
        <w:rPr>
          <w:rFonts w:ascii="Times New Roman" w:hAnsi="Times New Roman"/>
          <w:sz w:val="24"/>
        </w:rPr>
        <w:t xml:space="preserve"> tvērumā ir iekļauti jauni digitāli finanšu produkti, jo tie var kļūt par uzticamu alternatīvu naudas vai finanšu aktīvu turēšanai kontos, par kuriem šobrīd jāziņo saskaņā ar </w:t>
      </w:r>
      <w:r>
        <w:rPr>
          <w:rFonts w:ascii="Times New Roman" w:hAnsi="Times New Roman"/>
          <w:i/>
          <w:iCs/>
          <w:sz w:val="24"/>
        </w:rPr>
        <w:t>CRS</w:t>
      </w:r>
      <w:r>
        <w:rPr>
          <w:rFonts w:ascii="Times New Roman" w:hAnsi="Times New Roman"/>
          <w:sz w:val="24"/>
        </w:rPr>
        <w:t xml:space="preserve">. Šajā saistībā </w:t>
      </w:r>
      <w:r>
        <w:rPr>
          <w:rFonts w:ascii="Times New Roman" w:hAnsi="Times New Roman"/>
          <w:i/>
          <w:iCs/>
          <w:sz w:val="24"/>
        </w:rPr>
        <w:t>CRS</w:t>
      </w:r>
      <w:r>
        <w:rPr>
          <w:rFonts w:ascii="Times New Roman" w:hAnsi="Times New Roman"/>
          <w:sz w:val="24"/>
        </w:rPr>
        <w:t xml:space="preserve"> tagad ir ietverti noteikti elektroniskās naudas produkti un centrālās bankas digitālās valūtas. Ņemot vērā </w:t>
      </w:r>
      <w:r>
        <w:rPr>
          <w:rFonts w:ascii="Times New Roman" w:hAnsi="Times New Roman"/>
          <w:i/>
          <w:iCs/>
          <w:sz w:val="24"/>
        </w:rPr>
        <w:t>CARF</w:t>
      </w:r>
      <w:r>
        <w:rPr>
          <w:rFonts w:ascii="Times New Roman" w:hAnsi="Times New Roman"/>
          <w:sz w:val="24"/>
        </w:rPr>
        <w:t xml:space="preserve"> attīstību, mainīta ir arī finanšu aktīvu un ieguldījumu vienības definīcija, lai nodrošinātu, ka atvasinātie instrumenti, kas piesaistīti kriptoaktīviem un tiek turēti turētāju kontos, un ieguldījumu vienības, kas iegulda kriptoaktīvos, tiek ietvertas </w:t>
      </w:r>
      <w:r>
        <w:rPr>
          <w:rFonts w:ascii="Times New Roman" w:hAnsi="Times New Roman"/>
          <w:i/>
          <w:iCs/>
          <w:sz w:val="24"/>
        </w:rPr>
        <w:t>CRS</w:t>
      </w:r>
      <w:r>
        <w:rPr>
          <w:rFonts w:ascii="Times New Roman" w:hAnsi="Times New Roman"/>
          <w:sz w:val="24"/>
        </w:rPr>
        <w:t xml:space="preserve">. </w:t>
      </w:r>
      <w:r>
        <w:rPr>
          <w:rFonts w:ascii="Times New Roman" w:hAnsi="Times New Roman"/>
          <w:i/>
          <w:iCs/>
          <w:sz w:val="24"/>
        </w:rPr>
        <w:t>CRS</w:t>
      </w:r>
      <w:r>
        <w:rPr>
          <w:rFonts w:ascii="Times New Roman" w:hAnsi="Times New Roman"/>
          <w:sz w:val="24"/>
        </w:rPr>
        <w:t xml:space="preserve"> tagad ir ietvertas arī tiesību normas, lai nodrošinātu </w:t>
      </w:r>
      <w:r>
        <w:rPr>
          <w:rFonts w:ascii="Times New Roman" w:hAnsi="Times New Roman"/>
          <w:i/>
          <w:iCs/>
          <w:sz w:val="24"/>
        </w:rPr>
        <w:t>CRS</w:t>
      </w:r>
      <w:r>
        <w:rPr>
          <w:rFonts w:ascii="Times New Roman" w:hAnsi="Times New Roman"/>
          <w:sz w:val="24"/>
        </w:rPr>
        <w:t xml:space="preserve"> un </w:t>
      </w:r>
      <w:r>
        <w:rPr>
          <w:rFonts w:ascii="Times New Roman" w:hAnsi="Times New Roman"/>
          <w:i/>
          <w:iCs/>
          <w:sz w:val="24"/>
        </w:rPr>
        <w:t>CARF</w:t>
      </w:r>
      <w:r>
        <w:rPr>
          <w:rFonts w:ascii="Times New Roman" w:hAnsi="Times New Roman"/>
          <w:sz w:val="24"/>
        </w:rPr>
        <w:t xml:space="preserve"> efektīvu mijiedarbību, jo īpaši tamdēļ, lai ierobežotu ziņošanas dublēšanās gadījumus, vienlaikus nodrošinot, ka finanšu iestādes, kas sniedz ziņojumus un kam ir piemērojamas saistības arī saskaņā ar </w:t>
      </w:r>
      <w:r>
        <w:rPr>
          <w:rFonts w:ascii="Times New Roman" w:hAnsi="Times New Roman"/>
          <w:i/>
          <w:iCs/>
          <w:sz w:val="24"/>
        </w:rPr>
        <w:t>CRS</w:t>
      </w:r>
      <w:r>
        <w:rPr>
          <w:rFonts w:ascii="Times New Roman" w:hAnsi="Times New Roman"/>
          <w:sz w:val="24"/>
        </w:rPr>
        <w:t>, saglabā maksimālu darbības elastīgumu.</w:t>
      </w:r>
    </w:p>
    <w:p w14:paraId="6E4450E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Otrkārt, veiktie grozījumi uzlabo saskaņā ar </w:t>
      </w:r>
      <w:r>
        <w:rPr>
          <w:rFonts w:ascii="Times New Roman" w:hAnsi="Times New Roman"/>
          <w:i/>
          <w:iCs/>
          <w:sz w:val="24"/>
        </w:rPr>
        <w:t>CRS</w:t>
      </w:r>
      <w:r>
        <w:rPr>
          <w:rFonts w:ascii="Times New Roman" w:hAnsi="Times New Roman"/>
          <w:sz w:val="24"/>
        </w:rPr>
        <w:t xml:space="preserve"> veiktās ziņošanas rezultātus, tostarp ieviešot detalizētākas ziņošanas prasības, stiprinot pienācīgas pārbaudes procedūras, ieviešot jaunu neobligātu kategoriju “finanšu iestāde, kas nesniedz ziņojumus” ieguldījumu vienībām, kas ir patiesas bezpeļņas organizācijas, un izveidojot jaunu kategoriju “izslēgtais konts” kapitālieguldījumu kontiem. Turklāt </w:t>
      </w:r>
      <w:r>
        <w:rPr>
          <w:rFonts w:ascii="Times New Roman" w:hAnsi="Times New Roman"/>
          <w:i/>
          <w:iCs/>
          <w:sz w:val="24"/>
        </w:rPr>
        <w:t>CRS</w:t>
      </w:r>
      <w:r>
        <w:rPr>
          <w:rFonts w:ascii="Times New Roman" w:hAnsi="Times New Roman"/>
          <w:sz w:val="24"/>
        </w:rPr>
        <w:t xml:space="preserve"> komentāros vairākās vietās ir iekļautas papildu ziņas, lai palielinātu </w:t>
      </w:r>
      <w:r>
        <w:rPr>
          <w:rFonts w:ascii="Times New Roman" w:hAnsi="Times New Roman"/>
          <w:i/>
          <w:iCs/>
          <w:sz w:val="24"/>
        </w:rPr>
        <w:t>CRS</w:t>
      </w:r>
      <w:r>
        <w:rPr>
          <w:rFonts w:ascii="Times New Roman" w:hAnsi="Times New Roman"/>
          <w:sz w:val="24"/>
        </w:rPr>
        <w:t xml:space="preserve"> piemērošanas saskanību un iekļautu iepriekš sniegtos biežāk uzdotos jautājumus un norādījumus par interpretāciju.</w:t>
      </w:r>
    </w:p>
    <w:p w14:paraId="4DE1060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5. Lai iekļautu paplašinātās ziņošanas prasības, kas noteiktas pārskatītajā </w:t>
      </w:r>
      <w:r>
        <w:rPr>
          <w:rFonts w:ascii="Times New Roman" w:hAnsi="Times New Roman"/>
          <w:i/>
          <w:iCs/>
          <w:sz w:val="24"/>
        </w:rPr>
        <w:t>CRS</w:t>
      </w:r>
      <w:r>
        <w:rPr>
          <w:rFonts w:ascii="Times New Roman" w:hAnsi="Times New Roman"/>
          <w:sz w:val="24"/>
        </w:rPr>
        <w:t xml:space="preserve">, tika izstrādāts </w:t>
      </w:r>
      <w:r>
        <w:rPr>
          <w:rFonts w:ascii="Times New Roman" w:hAnsi="Times New Roman"/>
          <w:i/>
          <w:iCs/>
          <w:sz w:val="24"/>
        </w:rPr>
        <w:t>CRS MCAA</w:t>
      </w:r>
      <w:r>
        <w:rPr>
          <w:rFonts w:ascii="Times New Roman" w:hAnsi="Times New Roman"/>
          <w:sz w:val="24"/>
        </w:rPr>
        <w:t xml:space="preserve"> papildinājums, kurā sniegts atjaunināts tiesiskais pamats iesaistītajām jurisdikcijām, kas apmainās ar </w:t>
      </w:r>
      <w:r>
        <w:rPr>
          <w:rFonts w:ascii="Times New Roman" w:hAnsi="Times New Roman"/>
          <w:i/>
          <w:iCs/>
          <w:sz w:val="24"/>
        </w:rPr>
        <w:t>CRS</w:t>
      </w:r>
      <w:r>
        <w:rPr>
          <w:rFonts w:ascii="Times New Roman" w:hAnsi="Times New Roman"/>
          <w:sz w:val="24"/>
        </w:rPr>
        <w:t xml:space="preserve"> informāciju saskaņā ar </w:t>
      </w:r>
      <w:r>
        <w:rPr>
          <w:rFonts w:ascii="Times New Roman" w:hAnsi="Times New Roman"/>
          <w:i/>
          <w:iCs/>
          <w:sz w:val="24"/>
        </w:rPr>
        <w:t>CRS MCAA</w:t>
      </w:r>
      <w:r>
        <w:rPr>
          <w:rFonts w:ascii="Times New Roman" w:hAnsi="Times New Roman"/>
          <w:sz w:val="24"/>
        </w:rPr>
        <w:t>.</w:t>
      </w:r>
    </w:p>
    <w:p w14:paraId="4CB0753C" w14:textId="77777777" w:rsidR="00491410" w:rsidRPr="006A191A"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27" w:name="Covering_new_digital_financial_products"/>
      <w:bookmarkStart w:id="228" w:name="_bookmark39"/>
      <w:bookmarkStart w:id="229" w:name="_Toc241753095"/>
      <w:bookmarkEnd w:id="227"/>
      <w:bookmarkEnd w:id="228"/>
      <w:r>
        <w:rPr>
          <w:rFonts w:ascii="Times New Roman" w:hAnsi="Times New Roman"/>
          <w:b/>
          <w:color w:val="0B769F" w:themeColor="accent4" w:themeShade="BF"/>
          <w:sz w:val="26"/>
        </w:rPr>
        <w:t>Jaunu digitālo finanšu produktu iekļaušana</w:t>
      </w:r>
      <w:bookmarkEnd w:id="229"/>
    </w:p>
    <w:p w14:paraId="288E57F7" w14:textId="77777777" w:rsidR="00491410" w:rsidRPr="006A191A"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30" w:name="Digital_money_products"/>
      <w:bookmarkEnd w:id="230"/>
      <w:r>
        <w:rPr>
          <w:rFonts w:ascii="Times New Roman" w:hAnsi="Times New Roman"/>
          <w:b/>
          <w:i/>
          <w:sz w:val="26"/>
        </w:rPr>
        <w:t>Digitālās naudas produkti</w:t>
      </w:r>
    </w:p>
    <w:p w14:paraId="77D1580C"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Var uzskatīt, ka noteikti e-naudas produkti, kā arī centrālās bankas digitālās valūtas (CBDV), kas ir centrālās bankas emitētas digitālas bezseguma valūtas, no klienta skatpunkta ir funkcionāli līdzīgas ierastam bankas kontam, tāpēc var radīt atbilstības bažas līdzīgi tām, kas saistītas ar bankas kontiem, kuriem šobrīd piemērojams </w:t>
      </w:r>
      <w:r>
        <w:rPr>
          <w:rFonts w:ascii="Times New Roman" w:hAnsi="Times New Roman"/>
          <w:i/>
          <w:iCs/>
          <w:sz w:val="24"/>
        </w:rPr>
        <w:t>CRS</w:t>
      </w:r>
      <w:r>
        <w:rPr>
          <w:rFonts w:ascii="Times New Roman" w:hAnsi="Times New Roman"/>
          <w:sz w:val="24"/>
        </w:rPr>
        <w:t xml:space="preserve">. Lai digitālās naudas produktiem un ierastajiem bankas kontiem nodrošinātu līdzvērtīgus konkurences apstākļus un lai nodrošinātu saskanīgus ziņošanas rezultātus, </w:t>
      </w:r>
      <w:r>
        <w:rPr>
          <w:rFonts w:ascii="Times New Roman" w:hAnsi="Times New Roman"/>
          <w:i/>
          <w:iCs/>
          <w:sz w:val="24"/>
        </w:rPr>
        <w:t>CRS</w:t>
      </w:r>
      <w:r>
        <w:rPr>
          <w:rFonts w:ascii="Times New Roman" w:hAnsi="Times New Roman"/>
          <w:sz w:val="24"/>
        </w:rPr>
        <w:t xml:space="preserve"> tika izdarīti šādi grozījumi:</w:t>
      </w:r>
    </w:p>
    <w:p w14:paraId="6ADE7CF5"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ir ieviests termins “noteikts elektroniskās naudas produkts” – tas ir vienotas bezseguma valūtas digitāls atveidojums, kas izdots, saņemot līdzekļus, lai veiktu naudas darījumus, ir izteikts ar tādā pašā bezseguma valūtā denominētu prasījumu pret emitentu, ko atzinusi </w:t>
      </w:r>
      <w:r>
        <w:rPr>
          <w:rFonts w:ascii="Times New Roman" w:hAnsi="Times New Roman"/>
          <w:sz w:val="24"/>
        </w:rPr>
        <w:lastRenderedPageBreak/>
        <w:t>fiziska vai juridiska persona, kas nav emitents, un, ņemot vērā normatīvās prasības, kas piemērojamas emitentam, tas dzēšams pēc produkta turētāja pieprasījuma par tādu pašu bezseguma valūtas nominālvērtību. Šajā definīcijā neietilpst tādi produkti, kas radīti vienīgi tāpēc, lai veicinātu līdzekļu pārvedumu saskaņā ar klienta norādījumiem, un ko nevar izmantot vērtības saglabāšanai;</w:t>
      </w:r>
    </w:p>
    <w:p w14:paraId="746CAE73"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ir ieviests termins “centrālās bankas digitālā valūta (CBDV)”, kas ietver jebkādu jurisdikcijas oficiālo valūtu, kuru emitējusi centrālā banka digitālā veidā;</w:t>
      </w:r>
    </w:p>
    <w:p w14:paraId="086D5DE7"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ir grozīta termina “noguldījumu iestāde” definīcija un saistītie komentāri, proti, iekļauti tie e-naudas sniedzēji, kas saskaņā ar pašreizējo definīciju vēl nav noguldījumu iestādes un kas no </w:t>
      </w:r>
      <w:r>
        <w:rPr>
          <w:rFonts w:ascii="Times New Roman" w:hAnsi="Times New Roman"/>
          <w:i/>
          <w:iCs/>
          <w:sz w:val="24"/>
        </w:rPr>
        <w:t>CRS</w:t>
      </w:r>
      <w:r>
        <w:rPr>
          <w:rFonts w:ascii="Times New Roman" w:hAnsi="Times New Roman"/>
          <w:sz w:val="24"/>
        </w:rPr>
        <w:t xml:space="preserve"> skatpunkta ir būtiski, ņemot vērā, ka tur noteiktus elektroniskās naudas produktus vai CBDV;</w:t>
      </w:r>
    </w:p>
    <w:p w14:paraId="66B81E96"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ir grozīta termina “noguldījumu konts” definīcija, proti, tajā iekļauti konti, kas pārstāv klientiem turētos noteiktos elektroniskās naudas produktus un CBDV;</w:t>
      </w:r>
    </w:p>
    <w:p w14:paraId="407A5F1F"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ir pievienota jauna izslēgto kontu kategorija, lai netiktu iekļauti zema riska digitālās naudas produkti, kuriem ir zems risks, ņemot vērā ierobežoto uzglabāto monetāro vērtību, proti, noteikti elektroniskās naudas produkti, kuru slīdošā vidējā konta bilance vai vērtība dienas beigās 90 dienu periodā nepārsniedz 10 000 USD jebkurā secīgā 90 dienu periodā, un</w:t>
      </w:r>
    </w:p>
    <w:p w14:paraId="31A0010E"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termina “finanšu iestāde, kas nesniedz ziņojumus” definīcijai ir pievienota frāze, lai precizētu, ka centrālā banka netiek uzskatīta par finanšu iestādi, kas nesniedz ziņojumus, ja tā tur CBDV nefinanšu vienību vai fizisku personu vārdā.</w:t>
      </w:r>
    </w:p>
    <w:p w14:paraId="625532ED" w14:textId="77777777" w:rsidR="00491410" w:rsidRPr="006A191A"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31" w:name="Coverage_of_derivatives_referencing_Cryp"/>
      <w:bookmarkEnd w:id="231"/>
      <w:r>
        <w:rPr>
          <w:rFonts w:ascii="Times New Roman" w:hAnsi="Times New Roman"/>
          <w:b/>
          <w:i/>
          <w:sz w:val="26"/>
        </w:rPr>
        <w:t>Atvasinātie instrumenti, kas piesaistīti kriptoaktīviem, un ieguldījumu vienības, kas iegulda kriptoaktīvos</w:t>
      </w:r>
    </w:p>
    <w:p w14:paraId="798F9AD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Lai nodrošinātu, ka atvasinātie instrumenti, kas piesaistīti kriptoaktīviem, ir saskaņoti ar atvasinātajiem instrumentiem, kas piesaistīti (citiem) finanšu aktīviem, un pēdējie minētie jau ir iekļauti </w:t>
      </w:r>
      <w:r>
        <w:rPr>
          <w:rFonts w:ascii="Times New Roman" w:hAnsi="Times New Roman"/>
          <w:i/>
          <w:iCs/>
          <w:sz w:val="24"/>
        </w:rPr>
        <w:t>CRS</w:t>
      </w:r>
      <w:r>
        <w:rPr>
          <w:rFonts w:ascii="Times New Roman" w:hAnsi="Times New Roman"/>
          <w:sz w:val="24"/>
        </w:rPr>
        <w:t xml:space="preserve"> darbības jomā, atvasinātie līgumi, kas piesaistīti kriptoaktīviem, ir iekļauti finanšu aktīvu definīcijā, tādējādi finanšu iestādes, kas sniedz ziņojumus, var piemērot pienācīgas pārbaudes un ziņošanas procedūras atvasinātajiem instrumentiem, kas piesaistīti dažādu veidu aktīviem.</w:t>
      </w:r>
    </w:p>
    <w:p w14:paraId="1533334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3. Papildus tam, ka ieguldītāji var veikt tiešus darījumus ar kriptoaktīviem un tos turēt, ieguldītāji var arī ieguldīt kriptoaktīvos, izmantojot fondus un citus bagātības pārvaldības līdzekļus, kuru mērķis ir iegādāties un turēt attiecīgos kriptoaktīvus ieguldīšanas nolūkos. Tādējādi ieguldītāji var tikt pakļauti kriptoaktīvu fonda cenu svārstībām, lai arī pašiem kriptoaktīvi nepieder tieši.</w:t>
      </w:r>
    </w:p>
    <w:p w14:paraId="6842B4E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Par līdzdalību fondos un bagātības pārvaldības līdzekļos jau ir jāziņo saskaņā ar </w:t>
      </w:r>
      <w:r>
        <w:rPr>
          <w:rFonts w:ascii="Times New Roman" w:hAnsi="Times New Roman"/>
          <w:i/>
          <w:iCs/>
          <w:sz w:val="24"/>
        </w:rPr>
        <w:t>CRS</w:t>
      </w:r>
      <w:r>
        <w:rPr>
          <w:rFonts w:ascii="Times New Roman" w:hAnsi="Times New Roman"/>
          <w:sz w:val="24"/>
        </w:rPr>
        <w:t xml:space="preserve"> vai nu kā par līdzdalības daļu ieguldījumu sabiedrības kapitālā vai parādkapitālā, vai kā par finanšu aktīviem, kas tiek turēti turētāju kontos. Tomēr ieguldījumu iestādes definīcijā šobrīd nav iekļauti kriptoaktīvi kā attaisnoto ieguldījumu kategorija, kas ļautu vienību ietvert </w:t>
      </w:r>
      <w:r>
        <w:rPr>
          <w:rFonts w:ascii="Times New Roman" w:hAnsi="Times New Roman"/>
          <w:i/>
          <w:iCs/>
          <w:sz w:val="24"/>
        </w:rPr>
        <w:t>CRS</w:t>
      </w:r>
      <w:r>
        <w:rPr>
          <w:rFonts w:ascii="Times New Roman" w:hAnsi="Times New Roman"/>
          <w:sz w:val="24"/>
        </w:rPr>
        <w:t xml:space="preserve"> darbības jomā, jo pašreiz definīcijā ir iekļauti tikai finanšu aktīvi un nauda. Tāpēc termina “ieguldījumu vienība” definīcija ir paplašināta, iekļaujot tajā ieguldīšanu kriptoaktīvos.</w:t>
      </w:r>
    </w:p>
    <w:p w14:paraId="62231620" w14:textId="77777777" w:rsidR="00491410" w:rsidRPr="006A191A"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32" w:name="Further_amendments_to_improve_CRS_report"/>
      <w:bookmarkStart w:id="233" w:name="_bookmark40"/>
      <w:bookmarkStart w:id="234" w:name="_Toc241753096"/>
      <w:bookmarkEnd w:id="232"/>
      <w:bookmarkEnd w:id="233"/>
      <w:r>
        <w:rPr>
          <w:rFonts w:ascii="Times New Roman" w:hAnsi="Times New Roman"/>
          <w:b/>
          <w:color w:val="0B769F" w:themeColor="accent4" w:themeShade="BF"/>
          <w:sz w:val="26"/>
        </w:rPr>
        <w:t xml:space="preserve">Turpmāki grozījumi, lai uzlabotu </w:t>
      </w:r>
      <w:r>
        <w:rPr>
          <w:rFonts w:ascii="Times New Roman" w:hAnsi="Times New Roman"/>
          <w:b/>
          <w:i/>
          <w:iCs/>
          <w:color w:val="0B769F" w:themeColor="accent4" w:themeShade="BF"/>
          <w:sz w:val="26"/>
        </w:rPr>
        <w:t>CRS</w:t>
      </w:r>
      <w:r>
        <w:rPr>
          <w:rFonts w:ascii="Times New Roman" w:hAnsi="Times New Roman"/>
          <w:b/>
          <w:color w:val="0B769F" w:themeColor="accent4" w:themeShade="BF"/>
          <w:sz w:val="26"/>
        </w:rPr>
        <w:t xml:space="preserve"> ziņošanu</w:t>
      </w:r>
      <w:bookmarkEnd w:id="234"/>
    </w:p>
    <w:p w14:paraId="6F738B0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 Kā norādīts iepriekš, ir veikta vēl virkne grozījumu </w:t>
      </w:r>
      <w:r>
        <w:rPr>
          <w:rFonts w:ascii="Times New Roman" w:hAnsi="Times New Roman"/>
          <w:i/>
          <w:iCs/>
          <w:sz w:val="24"/>
        </w:rPr>
        <w:t>CRS</w:t>
      </w:r>
      <w:r>
        <w:rPr>
          <w:rFonts w:ascii="Times New Roman" w:hAnsi="Times New Roman"/>
          <w:sz w:val="24"/>
        </w:rPr>
        <w:t xml:space="preserve"> un komentāros, lai uzlabotu </w:t>
      </w:r>
      <w:r>
        <w:rPr>
          <w:rFonts w:ascii="Times New Roman" w:hAnsi="Times New Roman"/>
          <w:i/>
          <w:iCs/>
          <w:sz w:val="24"/>
        </w:rPr>
        <w:t>CRS</w:t>
      </w:r>
      <w:r>
        <w:rPr>
          <w:rFonts w:ascii="Times New Roman" w:hAnsi="Times New Roman"/>
          <w:sz w:val="24"/>
        </w:rPr>
        <w:t xml:space="preserve"> noteikto ziņojumu kvalitāti un izmantojamību. Šīs izmaiņas īsumā sniegtas turpmākā izklāstā.</w:t>
      </w:r>
    </w:p>
    <w:p w14:paraId="3EA92458" w14:textId="77777777" w:rsidR="00491410" w:rsidRPr="006A191A" w:rsidRDefault="00491410" w:rsidP="000E30F3">
      <w:pPr>
        <w:keepNext/>
        <w:keepLines/>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35" w:name="Expansion_of_the_reporting_requirements_"/>
      <w:bookmarkEnd w:id="235"/>
      <w:r>
        <w:rPr>
          <w:rFonts w:ascii="Times New Roman" w:hAnsi="Times New Roman"/>
          <w:b/>
          <w:i/>
          <w:sz w:val="26"/>
        </w:rPr>
        <w:lastRenderedPageBreak/>
        <w:t>Ziņošanas prasību attiecināšana uz konta turētājiem, kontrolējošām personām un finanšu kontiem, ko tās tur (I pants. Ziņošanas prasības)</w:t>
      </w:r>
    </w:p>
    <w:p w14:paraId="79E4229A" w14:textId="77777777" w:rsidR="00491410" w:rsidRPr="003A1063" w:rsidRDefault="00491410" w:rsidP="000E30F3">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Kad tika izstrādāts </w:t>
      </w:r>
      <w:r>
        <w:rPr>
          <w:rFonts w:ascii="Times New Roman" w:hAnsi="Times New Roman"/>
          <w:i/>
          <w:iCs/>
          <w:sz w:val="24"/>
        </w:rPr>
        <w:t>CRS</w:t>
      </w:r>
      <w:r>
        <w:rPr>
          <w:rFonts w:ascii="Times New Roman" w:hAnsi="Times New Roman"/>
          <w:sz w:val="24"/>
        </w:rPr>
        <w:t>, I pantā noteiktās ziņošanas prasības bija primāri vērstas uz to, ka jāziņo galvenie identifikācijas elementi attiecībā uz konta turētājiem un kontrolējošām personām, kā arī informācija saistībā ar realizēto ienākumu un bilanci finanšu kontos.</w:t>
      </w:r>
    </w:p>
    <w:p w14:paraId="4010579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3. Vienlaikus finanšu iestādēm, kas sniedz ziņojumus, var būt zināmi vairāki citi fakti un apstākļi saistībā ar konta turētājiem, kontrolējošām personām un finanšu kontiem, ko tās tur, kas, ja tiek ziņots, ļauj nodokļu administrācijām labāk saprast kontekstu par informāciju, ko tās saņem saskaņā ar </w:t>
      </w:r>
      <w:r>
        <w:rPr>
          <w:rFonts w:ascii="Times New Roman" w:hAnsi="Times New Roman"/>
          <w:i/>
          <w:iCs/>
          <w:sz w:val="24"/>
        </w:rPr>
        <w:t>CRS</w:t>
      </w:r>
      <w:r>
        <w:rPr>
          <w:rFonts w:ascii="Times New Roman" w:hAnsi="Times New Roman"/>
          <w:sz w:val="24"/>
        </w:rPr>
        <w:t xml:space="preserve">, un atvieglot datu izmantošanu nodokļu saistību izpildes nolūkos. Tāpēc </w:t>
      </w:r>
      <w:r>
        <w:rPr>
          <w:rFonts w:ascii="Times New Roman" w:hAnsi="Times New Roman"/>
          <w:i/>
          <w:iCs/>
          <w:sz w:val="24"/>
        </w:rPr>
        <w:t>CRS</w:t>
      </w:r>
      <w:r>
        <w:rPr>
          <w:rFonts w:ascii="Times New Roman" w:hAnsi="Times New Roman"/>
          <w:sz w:val="24"/>
        </w:rPr>
        <w:t xml:space="preserve"> noteiktās ziņošanas prasības ir paplašinātas, ietverot turpmāk minēto:</w:t>
      </w:r>
    </w:p>
    <w:p w14:paraId="4DFD408E"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kontrolējošo personu loma attiecībā uz vienību, kas ir konta turētājs, un ieguldījumu vienības līdzdalības daļas turētāju loma(-as) – tas nodrošina, ka nodokļu administrācijas redz, kāda(-as) loma(-as) ir kontrolējošai personai / līdzdalības daļu turētājam attiecībā uz vienību, tādējādi tās var nošķirt kontrolējošās personas / līdzdalības daļu turētājus, kuriem ir līdzdalības daļa, jo ir īpašnieki, īsteno kontroli vai ir labuma guvēji, pretstatā tiem, kuri pilda vadītāja lomu (piemēram, augstākās amatpersonas, pārraudzītāji, pilnvarotie);</w:t>
      </w:r>
    </w:p>
    <w:p w14:paraId="07A2555E"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vai konts ir iepriekšpastāvējis konts vai jauns konts un vai ir iegūts derīgs pašapliecinājums – šī informācija dod nodokļu administrācijām iespēju ieraudzīt piemērotās pienācīgas pārbaudes procedūras un tādējādi sniedz ieskatu par informācijas uzticamību;</w:t>
      </w:r>
    </w:p>
    <w:p w14:paraId="79B19916"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vai konts ir kopīgs konts, kā arī kopīgā konta turētāju skaits – šī informācija ļauj nodokļu administrācijām ņemt vērā to, ka kopīgo kontu ienākums un bilance ne vienmēr ir pilnībā attiecināmi uz katru konta turētāju, bet drīzāk jāsadala attiecīgi starp konta turētājiem, un</w:t>
      </w:r>
    </w:p>
    <w:p w14:paraId="2D4AEC10" w14:textId="77777777" w:rsidR="00491410" w:rsidRPr="003A1063" w:rsidRDefault="00491410" w:rsidP="00491410">
      <w:pPr>
        <w:widowControl w:val="0"/>
        <w:numPr>
          <w:ilvl w:val="1"/>
          <w:numId w:val="16"/>
        </w:numPr>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finanšu konta veids – nošķīrums “noguldījuma konti”, “turētāju konti”, “līdzdalības daļas kapitālā vai parādkapitālā” un “apdrošināšanas līgumi ar naudas vērtību” ļauj nodokļu administrācijām labāk saprast, kādus finanšu ieguldījumus tur nodokļu maksātāji.</w:t>
      </w:r>
    </w:p>
    <w:p w14:paraId="2E4EDA16" w14:textId="77777777" w:rsidR="00491410" w:rsidRPr="006A191A"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36" w:name="Reliance_on_AML/KYC_Procedures_for_deter"/>
      <w:bookmarkEnd w:id="236"/>
      <w:r>
        <w:rPr>
          <w:rFonts w:ascii="Times New Roman" w:hAnsi="Times New Roman"/>
          <w:b/>
          <w:i/>
          <w:sz w:val="26"/>
        </w:rPr>
        <w:t>Paļaušanās uz AML/KYC procedūrām, lai noteiktu kontrolējošās personas (VI pants – pienācīgas pārbaudes prasības)</w:t>
      </w:r>
    </w:p>
    <w:p w14:paraId="2211414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4. Nosacījumi, kas jāievēro, lai finanšu iestāde, kas sniedz ziņojumus, varētu paļauties uz </w:t>
      </w:r>
      <w:r>
        <w:rPr>
          <w:rFonts w:ascii="Times New Roman" w:hAnsi="Times New Roman"/>
          <w:i/>
          <w:iCs/>
          <w:sz w:val="24"/>
        </w:rPr>
        <w:t>AML/KYC</w:t>
      </w:r>
      <w:r>
        <w:rPr>
          <w:rFonts w:ascii="Times New Roman" w:hAnsi="Times New Roman"/>
          <w:sz w:val="24"/>
        </w:rPr>
        <w:t xml:space="preserve"> procedūrām, lai noteiktu personas, kuras kontrolē jaunu vienību, kas ir konta turētājs, ir iekļauti paša </w:t>
      </w:r>
      <w:r>
        <w:rPr>
          <w:rFonts w:ascii="Times New Roman" w:hAnsi="Times New Roman"/>
          <w:i/>
          <w:iCs/>
          <w:sz w:val="24"/>
        </w:rPr>
        <w:t>CRS</w:t>
      </w:r>
      <w:r>
        <w:rPr>
          <w:rFonts w:ascii="Times New Roman" w:hAnsi="Times New Roman"/>
          <w:sz w:val="24"/>
        </w:rPr>
        <w:t xml:space="preserve"> tekstā. Proti, ir noteikts, ka jaunai vienībai, kas ir konta turētājs, </w:t>
      </w:r>
      <w:r>
        <w:rPr>
          <w:rFonts w:ascii="Times New Roman" w:hAnsi="Times New Roman"/>
          <w:i/>
          <w:iCs/>
          <w:sz w:val="24"/>
        </w:rPr>
        <w:t>AML/KYC</w:t>
      </w:r>
      <w:r>
        <w:rPr>
          <w:rFonts w:ascii="Times New Roman" w:hAnsi="Times New Roman"/>
          <w:sz w:val="24"/>
        </w:rPr>
        <w:t xml:space="preserve"> procedūrām ir jāatbilst </w:t>
      </w:r>
      <w:r>
        <w:rPr>
          <w:rFonts w:ascii="Times New Roman" w:hAnsi="Times New Roman"/>
          <w:i/>
          <w:iCs/>
          <w:sz w:val="24"/>
        </w:rPr>
        <w:t>FATF</w:t>
      </w:r>
      <w:r>
        <w:rPr>
          <w:rFonts w:ascii="Times New Roman" w:hAnsi="Times New Roman"/>
          <w:sz w:val="24"/>
        </w:rPr>
        <w:t xml:space="preserve"> 2012. gada ieteikumiem. Turklāt ir precizēts, ka tad, ja </w:t>
      </w:r>
      <w:r>
        <w:rPr>
          <w:rFonts w:ascii="Times New Roman" w:hAnsi="Times New Roman"/>
          <w:i/>
          <w:iCs/>
          <w:sz w:val="24"/>
        </w:rPr>
        <w:t>AML/KYC</w:t>
      </w:r>
      <w:r>
        <w:rPr>
          <w:rFonts w:ascii="Times New Roman" w:hAnsi="Times New Roman"/>
          <w:sz w:val="24"/>
        </w:rPr>
        <w:t xml:space="preserve"> procedūras neatbilst </w:t>
      </w:r>
      <w:r>
        <w:rPr>
          <w:rFonts w:ascii="Times New Roman" w:hAnsi="Times New Roman"/>
          <w:i/>
          <w:iCs/>
          <w:sz w:val="24"/>
        </w:rPr>
        <w:t>FATF</w:t>
      </w:r>
      <w:r>
        <w:rPr>
          <w:rFonts w:ascii="Times New Roman" w:hAnsi="Times New Roman"/>
          <w:sz w:val="24"/>
        </w:rPr>
        <w:t xml:space="preserve"> 2012. gada ieteikumiem, finanšu iestādei, kas sniedz ziņojumus, ir pienākums piemērot būtībā līdzīgas procedūras.</w:t>
      </w:r>
    </w:p>
    <w:p w14:paraId="0B021EFB" w14:textId="77777777" w:rsidR="00491410" w:rsidRPr="006A191A"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37" w:name="Exceptional_due_diligence_procedure_for_"/>
      <w:bookmarkEnd w:id="237"/>
      <w:r>
        <w:rPr>
          <w:rFonts w:ascii="Times New Roman" w:hAnsi="Times New Roman"/>
          <w:b/>
          <w:i/>
          <w:sz w:val="26"/>
        </w:rPr>
        <w:t>Pienācīgas pārbaudes procedūra, kas kā izņēmums tiek piemērota gadījumos, ja netika iegūts derīgs pašapliecinājums, lai nodrošinātu ziņošanu attiecībā uz šādiem kontiem (II–VII pants – pienācīgas pārbaudes prasības)</w:t>
      </w:r>
    </w:p>
    <w:p w14:paraId="6B6B4305"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5. Tā kā </w:t>
      </w:r>
      <w:r>
        <w:rPr>
          <w:rFonts w:ascii="Times New Roman" w:hAnsi="Times New Roman"/>
          <w:i/>
          <w:iCs/>
          <w:sz w:val="24"/>
        </w:rPr>
        <w:t>CRS</w:t>
      </w:r>
      <w:r>
        <w:rPr>
          <w:rFonts w:ascii="Times New Roman" w:hAnsi="Times New Roman"/>
          <w:sz w:val="24"/>
        </w:rPr>
        <w:t xml:space="preserve"> ir prasīts finanšu iestādēm, kas sniedz ziņojumus, iegūt pašapliecinājumus par visiem jauniem kontiem un pārbaudīt to derīgumu, </w:t>
      </w:r>
      <w:r>
        <w:rPr>
          <w:rFonts w:ascii="Times New Roman" w:hAnsi="Times New Roman"/>
          <w:i/>
          <w:iCs/>
          <w:sz w:val="24"/>
        </w:rPr>
        <w:t>CRS</w:t>
      </w:r>
      <w:r>
        <w:rPr>
          <w:rFonts w:ascii="Times New Roman" w:hAnsi="Times New Roman"/>
          <w:sz w:val="24"/>
        </w:rPr>
        <w:t xml:space="preserve"> nav paredzēta pienācīgas pārbaudes rezerves procedūra, ko piemēro izņēmuma gadījumā, ja finanšu iestāde, kas sniedz ziņojumus, nav izpildījusi prasību iegūt derīgu pašapliecinājumu.</w:t>
      </w:r>
    </w:p>
    <w:p w14:paraId="0CF70DBB"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6. Tāpēc finanšu iestādēm, kas sniedz ziņojumus, pagaidu kārtībā jānosaka konta turētāju un/vai kontrolējošo personu rezidence, pamatojoties uz pienācīgas pārbaudes procedūrām attiecībā uz iepriekšpastāvējušiem kontiem. Jāatzīmē, ka tā nav standartprocedūra un nav alternatīva prasībai iegūt derīgu pašapliecinājumu.</w:t>
      </w:r>
    </w:p>
    <w:p w14:paraId="7CD67C99" w14:textId="77777777" w:rsidR="00491410" w:rsidRPr="006A191A"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38" w:name="Qualification_of_certain_capital_contrib"/>
      <w:bookmarkEnd w:id="238"/>
      <w:r>
        <w:rPr>
          <w:rFonts w:ascii="Times New Roman" w:hAnsi="Times New Roman"/>
          <w:b/>
          <w:i/>
          <w:sz w:val="26"/>
        </w:rPr>
        <w:lastRenderedPageBreak/>
        <w:t>Noteiktu kapitālieguldījumu kontu iedalīšana kategorijā “izslēgtie konti” (VIII panta C punkta 17. apakšpunkta e) daļa – izslēgto kontu definīcija)</w:t>
      </w:r>
    </w:p>
    <w:p w14:paraId="4B76E63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7. Tā dēvētie kapitālieguldījumu konti, kuru mērķis ir uz ierobežotu laiku bloķēt līdzekļus, lai reģistrētu jaunu uzņēmumu vai kamēr tiek gaidīts kapitāla palielinājums, tagad tiek uzskatīti par izslēgtajiem kontiem ar nosacījumu, ka ir ieviesti atbilstīgi drošības pasākumi, lai nepieļautu šādu kontu ļaunprātīgu izmantošanu. Tas tā ir, ja šādiem darījumiem piemēro regulējumu un no tiesību viedokļa tie jāveic, izmantojot īpašu bankas kontu, ar kuru attiecīgie līdzekļi tiek iesaldēti, līdz tiek veikts kapitālieguldījums, un inkorporācijas gadījumā, līdz uzņēmums tiek juridiski nodibināts un reģistrēts jurisdikcijas komercreģistrā. Tiklīdz uzņēmums ir juridiski nodibināts un reģistrēts, kapitālieguldījuma konts tiek pārveidots par parastu noguldījumu kontu vai arī kapitāla summa tiek pārskaitīta uz noguldījumu kontu un sākotnējais kapitālieguldījuma konts tiek slēgts. Savukārt, ja uzņēmums netiek nodibināts, ieguldījumus atmaksā atpakaļ parakstītājam(-iem).</w:t>
      </w:r>
    </w:p>
    <w:p w14:paraId="2B6B2799"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8. Lai nodrošinātu, ka šādi konti tiek izmantoti tikai tam, lai pabeigtu gaidāmo kapitālieguldījuma darījumu, šādu kontu uzskata par izslēgto kontu tikai tad, ja šādu kontu izmantošana ir paredzēta tiesību aktos un ne ilgāk kā 12 mēnešus.</w:t>
      </w:r>
    </w:p>
    <w:p w14:paraId="48DADAF8" w14:textId="77777777" w:rsidR="00491410" w:rsidRPr="006A191A"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39" w:name="Non-Reporting_Financial_Institution_cate"/>
      <w:bookmarkEnd w:id="239"/>
      <w:r>
        <w:rPr>
          <w:rFonts w:ascii="Times New Roman" w:hAnsi="Times New Roman"/>
          <w:b/>
          <w:i/>
          <w:sz w:val="26"/>
        </w:rPr>
        <w:t>Patiesu labdarības organizāciju iedalīšana kategorijā “finanšu iestādes, kas nesniedz ziņojumus”</w:t>
      </w:r>
    </w:p>
    <w:p w14:paraId="0F0F3363"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9. Lai arī vairums aktīvo nefinanšu vienību netiek uzskatītas par ieguldījumu vienībām, pat ja tās atbilst ieguldījumu vienības definīcijai, šo izņēmumu nepiemēro tām vienībām, kas ir aktīvas nefinanšu vienības, jo ir bezpeļņas vienības, kā definēts VIII panta D punkta 9. apakšpunkta h) daļā. Filantropijas nozares pārstāvji ir norādījuši, ka var būt ļoti nevēlams rezultāts tam, ka tiek prasīts patiesiem sabiedriskā labuma nodibinājumiem piemērot pienācīgas pārbaudes procedūras attiecībā uz visiem subsīdiju saņēmējiem un ziņot par dotāciju maksājumiem saņēmējiem, kas ir nerezidenti, piemēram, nelabvēlīgā situācijā esošiem studentiem, kas saņem stipendijas. Vienlaikus arī valdības pauda bažas, ka tad, ja vienkārši paplašinātu to vienību loku, kurām nepiemēro ieguldījumu vienības definīciju, no šīs definīcijas izslēdzot visas VIII panta D punkta 9. apakšpunkta h) daļā aprakstītās bezpeļņas vienības, varētu rasties situācijas, ka ieguldījumu vienības cenšas apiet </w:t>
      </w:r>
      <w:r>
        <w:rPr>
          <w:rFonts w:ascii="Times New Roman" w:hAnsi="Times New Roman"/>
          <w:i/>
          <w:iCs/>
          <w:sz w:val="24"/>
        </w:rPr>
        <w:t>CRS</w:t>
      </w:r>
      <w:r>
        <w:rPr>
          <w:rFonts w:ascii="Times New Roman" w:hAnsi="Times New Roman"/>
          <w:sz w:val="24"/>
        </w:rPr>
        <w:t xml:space="preserve"> noteikto ziņošanas pienākumu, nepamatoti sev prasot bezpeļņas vienības statusu.</w:t>
      </w:r>
    </w:p>
    <w:p w14:paraId="553327E4"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10. Ņemot vērā šos apsvērumus, </w:t>
      </w:r>
      <w:r>
        <w:rPr>
          <w:rFonts w:ascii="Times New Roman" w:hAnsi="Times New Roman"/>
          <w:i/>
          <w:iCs/>
          <w:sz w:val="24"/>
        </w:rPr>
        <w:t>CRS</w:t>
      </w:r>
      <w:r>
        <w:rPr>
          <w:rFonts w:ascii="Times New Roman" w:hAnsi="Times New Roman"/>
          <w:sz w:val="24"/>
        </w:rPr>
        <w:t xml:space="preserve"> kategorijā “finanšu iestāde, kas nesniedz ziņojumus” tagad ir iekļauta jauna fakultatīva kategorija attiecībā uz patiesām bezpeļņas vienībām, kas i) atspoguļo aktīvas nefinanšu vienības pamatnosacījumus saskaņā ar VIII panta D punkta 9. apakšpunkta h) daļu un ii) tiek izslēgtas, pamatojoties uz pienācīgām pārbaudes procedūrām, ko veic nodokļu administrācija jurisdikcijā, kurā par vienību citādi būtu jāziņo kā par ieguldījumu vienību.</w:t>
      </w:r>
    </w:p>
    <w:p w14:paraId="268E483F"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11. Komentāros par VIII panta B punktu tagad ir iekļauts teksts, kas ieskicē šos nosacījumus, lai kritērijiem atbilstošas bezpeļņas vienības izslēgtu no to vienību loka, kurām piemērojami ziņošanas pienākumi saskaņā ar </w:t>
      </w:r>
      <w:r>
        <w:rPr>
          <w:rFonts w:ascii="Times New Roman" w:hAnsi="Times New Roman"/>
          <w:i/>
          <w:iCs/>
          <w:sz w:val="24"/>
        </w:rPr>
        <w:t>CRS</w:t>
      </w:r>
      <w:r>
        <w:rPr>
          <w:rFonts w:ascii="Times New Roman" w:hAnsi="Times New Roman"/>
          <w:sz w:val="24"/>
        </w:rPr>
        <w:t>. Komentāros ir arī aprakstīts, ka nodokļu administrācijai vai citai valdības iestādei ir jāsaņem apstiprinājums, lai vienību uzskatītu par kritērijiem atbilstošu bezpeļņas vienību.</w:t>
      </w:r>
    </w:p>
    <w:p w14:paraId="3B765A60" w14:textId="77777777" w:rsidR="00491410" w:rsidRPr="006A191A"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40" w:name="Broadening_of_the_scope_of_Depository_In"/>
      <w:bookmarkEnd w:id="240"/>
      <w:r>
        <w:rPr>
          <w:rFonts w:ascii="Times New Roman" w:hAnsi="Times New Roman"/>
          <w:b/>
          <w:i/>
          <w:sz w:val="26"/>
        </w:rPr>
        <w:t>Noguldījumu iestādes tvēruma paplašināšana (Komentāri par noguldījumu iestādes definīciju)</w:t>
      </w:r>
    </w:p>
    <w:p w14:paraId="4675E54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12. Komentāri par terminu “noguldījumu iestāde” ir grozīti, lai paplašinātu tvērumu, proti, lai iekļautu vienības, kas ir tikai saņēmušas licenci, lai nodarbotos ar noteiktām banku darbībām, bet faktiski tās neveic.</w:t>
      </w:r>
    </w:p>
    <w:p w14:paraId="33E98473"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208AF756" w14:textId="77777777" w:rsidR="00491410" w:rsidRPr="006A191A"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41" w:name="Notions_of_customer_and_business_in_the_"/>
      <w:bookmarkEnd w:id="241"/>
      <w:r>
        <w:rPr>
          <w:rFonts w:ascii="Times New Roman" w:hAnsi="Times New Roman"/>
          <w:b/>
          <w:i/>
          <w:sz w:val="26"/>
        </w:rPr>
        <w:lastRenderedPageBreak/>
        <w:t>Jēdzieni “klients” un “darījumdarbība” saistībā ar ieguldījumu vienībām (Komentāri par ieguldījumu vienības definīciju)</w:t>
      </w:r>
    </w:p>
    <w:p w14:paraId="0E3F63A1"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13. Attiecībā uz ieguldījumu vienībām saskaņā ar definīcijas a) apakšpunktu ir radušās šaubas par termina “klients” interpretāciju, kā arī par nosacījumu, ka minētajā apakšpunktā uzskaitītās darbības ir jāveic “kā darījumdarbība”. Šis jautājums ir jo īpaši būtisks attiecībā uz līdzekļiem.</w:t>
      </w:r>
    </w:p>
    <w:p w14:paraId="30DDD29C"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14. Definīcijas tvērums ir precizēts, izmantojot terminus “klients” un “darījumdarbība”, komentāros skaidri apstiprinot, ka līdzekļu ieguldītājus var uzskatīt par “klientiem” un ka pašus līdzekļus var uzskatīt par darbības veikšanu “kā darījumdarbību”. Tas atbilst tam, kā finanšu iestādes definīcija tiek interpretēta </w:t>
      </w:r>
      <w:r>
        <w:rPr>
          <w:rFonts w:ascii="Times New Roman" w:hAnsi="Times New Roman"/>
          <w:i/>
          <w:iCs/>
          <w:sz w:val="24"/>
        </w:rPr>
        <w:t>FATF</w:t>
      </w:r>
      <w:r>
        <w:rPr>
          <w:rFonts w:ascii="Times New Roman" w:hAnsi="Times New Roman"/>
          <w:sz w:val="24"/>
        </w:rPr>
        <w:t xml:space="preserve"> ieteikumos, uz kuru pamata ir izstrādāts a) apakšpunkts.</w:t>
      </w:r>
    </w:p>
    <w:p w14:paraId="48E56A36" w14:textId="77777777" w:rsidR="00491410" w:rsidRPr="006A191A"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42" w:name="Reporting_in_respect_of_dual-resident_ac"/>
      <w:bookmarkEnd w:id="242"/>
      <w:r>
        <w:rPr>
          <w:rFonts w:ascii="Times New Roman" w:hAnsi="Times New Roman"/>
          <w:b/>
          <w:i/>
          <w:sz w:val="26"/>
        </w:rPr>
        <w:t>Ziņošana attiecībā uz konta turētājiem, kas ir dubultrezidenti (Komentāru par IV un VI pantu attiecīgi 4. un 7. punkts)</w:t>
      </w:r>
    </w:p>
    <w:p w14:paraId="242874A8"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15. Komentāros par </w:t>
      </w:r>
      <w:r>
        <w:rPr>
          <w:rFonts w:ascii="Times New Roman" w:hAnsi="Times New Roman"/>
          <w:i/>
          <w:iCs/>
          <w:sz w:val="24"/>
        </w:rPr>
        <w:t>CRS</w:t>
      </w:r>
      <w:r>
        <w:rPr>
          <w:rFonts w:ascii="Times New Roman" w:hAnsi="Times New Roman"/>
          <w:sz w:val="24"/>
        </w:rPr>
        <w:t xml:space="preserve"> ir atzīts, ka vienība vai fiziska persona, kas ir konta turētājs, var būt rezidents nodokļu aprēķina vajadzībām divās vai vairākās jurisdikcijās. Komentāros arī norādīts, ka saistībā ar pašapliecinājuma procesu šādi dubultrezidenti var paļauties uz izšķirošā nolīguma noteikumiem, kas iekļauti piemērojamās nodokļu konvencijās, lai noteiktu savu rezidenci nodokļu aprēķina vajadzībām.</w:t>
      </w:r>
    </w:p>
    <w:p w14:paraId="3F101F1B"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16. Tādējādi var gadīties, ka konta turētāju priekšlaikus uzskata par nodokļu rezidentu vienā jurisdikcijā saistībā ar </w:t>
      </w:r>
      <w:r>
        <w:rPr>
          <w:rFonts w:ascii="Times New Roman" w:hAnsi="Times New Roman"/>
          <w:i/>
          <w:iCs/>
          <w:sz w:val="24"/>
        </w:rPr>
        <w:t>CRS</w:t>
      </w:r>
      <w:r>
        <w:rPr>
          <w:rFonts w:ascii="Times New Roman" w:hAnsi="Times New Roman"/>
          <w:sz w:val="24"/>
        </w:rPr>
        <w:t xml:space="preserve">, kā dēļ </w:t>
      </w:r>
      <w:r>
        <w:rPr>
          <w:rFonts w:ascii="Times New Roman" w:hAnsi="Times New Roman"/>
          <w:i/>
          <w:iCs/>
          <w:sz w:val="24"/>
        </w:rPr>
        <w:t>CRS</w:t>
      </w:r>
      <w:r>
        <w:rPr>
          <w:rFonts w:ascii="Times New Roman" w:hAnsi="Times New Roman"/>
          <w:sz w:val="24"/>
        </w:rPr>
        <w:t xml:space="preserve"> prasītā informācija par konta turētāju netiek ziņota citai(-ām) jurisdikcijai(-ām).</w:t>
      </w:r>
    </w:p>
    <w:p w14:paraId="688632FC"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17. Tāpēc komentāri tika pārskatīti, lai nodrošinātu, ka tad, kad piemēro izšķirošo noteikumu, konta turētājam jāiesniedz pašapliecinājums visās nodokļu rezidences jurisdikcijās un konta turētājs jāuzskata par nodokļu rezidentu visās identificētajās jurisdikcijās. Komentāros sīkāk precizēts, ka paļaušanās uz izšķirošajiem noteikumiem, lai noteiktu rezidences jurisdikciju pašapliecinājuma vajadzībām, vairs nav atļauta perspektīvā, tiklīdz </w:t>
      </w:r>
      <w:r>
        <w:rPr>
          <w:rFonts w:ascii="Times New Roman" w:hAnsi="Times New Roman"/>
          <w:i/>
          <w:iCs/>
          <w:sz w:val="24"/>
        </w:rPr>
        <w:t>CRS</w:t>
      </w:r>
      <w:r>
        <w:rPr>
          <w:rFonts w:ascii="Times New Roman" w:hAnsi="Times New Roman"/>
          <w:sz w:val="24"/>
        </w:rPr>
        <w:t xml:space="preserve"> izmaiņas ir stājušās spēkā.</w:t>
      </w:r>
    </w:p>
    <w:p w14:paraId="7F5EE820" w14:textId="77777777" w:rsidR="00491410" w:rsidRPr="0082303C"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43" w:name="Reflecting_Government_Verification_Servi"/>
      <w:bookmarkEnd w:id="243"/>
      <w:r>
        <w:rPr>
          <w:rFonts w:ascii="Times New Roman" w:hAnsi="Times New Roman"/>
          <w:b/>
          <w:i/>
          <w:sz w:val="26"/>
        </w:rPr>
        <w:t>Valdības verifikācijas pakalpojumu atspoguļojums CRS pienācīgas pārbaudes procedūrās</w:t>
      </w:r>
    </w:p>
    <w:p w14:paraId="76FC1A1E"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18. Pašreiz </w:t>
      </w:r>
      <w:r>
        <w:rPr>
          <w:rFonts w:ascii="Times New Roman" w:hAnsi="Times New Roman"/>
          <w:i/>
          <w:iCs/>
          <w:sz w:val="24"/>
        </w:rPr>
        <w:t>CRS</w:t>
      </w:r>
      <w:r>
        <w:rPr>
          <w:rFonts w:ascii="Times New Roman" w:hAnsi="Times New Roman"/>
          <w:sz w:val="24"/>
        </w:rPr>
        <w:t xml:space="preserve"> pienācīgas pārbaudes procedūras ir izstrādātas, pamatojoties uz </w:t>
      </w:r>
      <w:r>
        <w:rPr>
          <w:rFonts w:ascii="Times New Roman" w:hAnsi="Times New Roman"/>
          <w:i/>
          <w:iCs/>
          <w:sz w:val="24"/>
        </w:rPr>
        <w:t>AML/KYC</w:t>
      </w:r>
      <w:r>
        <w:rPr>
          <w:rFonts w:ascii="Times New Roman" w:hAnsi="Times New Roman"/>
          <w:sz w:val="24"/>
        </w:rPr>
        <w:t xml:space="preserve"> dokumentāciju, pašapliecinājumiem un citu ar kontiem saistītu informāciju, ko ievāc finanšu iestādes, kas sniedz ziņojumus. Vienlaikus tehnoloģijas attīstās tādā virzienā, kas varētu ievērojami vienkāršot nodokļu maksātāju dokumentāciju, nodrošinot augsta līmeņa uzticamību. Jo īpaši tā dēvētie valdības verifikācijas pakalpojumi (</w:t>
      </w:r>
      <w:r>
        <w:rPr>
          <w:rFonts w:ascii="Times New Roman" w:hAnsi="Times New Roman"/>
          <w:i/>
          <w:iCs/>
          <w:sz w:val="24"/>
        </w:rPr>
        <w:t>GVS</w:t>
      </w:r>
      <w:r>
        <w:rPr>
          <w:rFonts w:ascii="Times New Roman" w:hAnsi="Times New Roman"/>
          <w:sz w:val="24"/>
        </w:rPr>
        <w:t>) varētu ļaut informācijas sniedzējam, kas ir trešā persona, piemēram, finanšu iestādei, kas sniedz ziņojumus, iegūt tiešu apstiprinājumu IT žetona veidā vai cita unikāla identifikatora veidā no nodokļu administrācijas jurisdikcijā, kas ir nodokļu maksātāja rezidence, par nodokļu maksātāja identitāti un nodokļu rezidenci.</w:t>
      </w:r>
    </w:p>
    <w:p w14:paraId="4082F2E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19. Ar mērķi nodrošināt, ka </w:t>
      </w:r>
      <w:r>
        <w:rPr>
          <w:rFonts w:ascii="Times New Roman" w:hAnsi="Times New Roman"/>
          <w:i/>
          <w:iCs/>
          <w:sz w:val="24"/>
        </w:rPr>
        <w:t>CRS</w:t>
      </w:r>
      <w:r>
        <w:rPr>
          <w:rFonts w:ascii="Times New Roman" w:hAnsi="Times New Roman"/>
          <w:sz w:val="24"/>
        </w:rPr>
        <w:t xml:space="preserve"> nākotnē ir derīgs turpmākajiem IT pilnveidojumiem, finanšu iestādes, kas sniedz ziņojumus, varēs paļauties uz </w:t>
      </w:r>
      <w:r>
        <w:rPr>
          <w:rFonts w:ascii="Times New Roman" w:hAnsi="Times New Roman"/>
          <w:i/>
          <w:iCs/>
          <w:sz w:val="24"/>
        </w:rPr>
        <w:t>GVS</w:t>
      </w:r>
      <w:r>
        <w:rPr>
          <w:rFonts w:ascii="Times New Roman" w:hAnsi="Times New Roman"/>
          <w:sz w:val="24"/>
        </w:rPr>
        <w:t xml:space="preserve"> procedūru, lai dokumentētu konta turētāju vai kontrolējošo personu </w:t>
      </w:r>
      <w:r>
        <w:rPr>
          <w:rFonts w:ascii="Times New Roman" w:hAnsi="Times New Roman"/>
          <w:i/>
          <w:iCs/>
          <w:sz w:val="24"/>
        </w:rPr>
        <w:t>CRS</w:t>
      </w:r>
      <w:r>
        <w:rPr>
          <w:rFonts w:ascii="Times New Roman" w:hAnsi="Times New Roman"/>
          <w:sz w:val="24"/>
        </w:rPr>
        <w:t xml:space="preserve"> pienācīgas pārbaudes procedūrās. Šajā saistībā konta turētāja vai kontrolējošās personas identitātes un nodokļu rezidences apstiprinājums, kas saņemts ar </w:t>
      </w:r>
      <w:r>
        <w:rPr>
          <w:rFonts w:ascii="Times New Roman" w:hAnsi="Times New Roman"/>
          <w:i/>
          <w:iCs/>
          <w:sz w:val="24"/>
        </w:rPr>
        <w:t>GVS</w:t>
      </w:r>
      <w:r>
        <w:rPr>
          <w:rFonts w:ascii="Times New Roman" w:hAnsi="Times New Roman"/>
          <w:sz w:val="24"/>
        </w:rPr>
        <w:t xml:space="preserve"> starpniecību vai līdzīgu IT vadītu procesu, ir atzīts par funkcionāli līdzvērtīgu </w:t>
      </w:r>
      <w:r>
        <w:rPr>
          <w:rFonts w:ascii="Times New Roman" w:hAnsi="Times New Roman"/>
          <w:i/>
          <w:iCs/>
          <w:sz w:val="24"/>
        </w:rPr>
        <w:t>TIN</w:t>
      </w:r>
      <w:r>
        <w:rPr>
          <w:rFonts w:ascii="Times New Roman" w:hAnsi="Times New Roman"/>
          <w:sz w:val="24"/>
        </w:rPr>
        <w:t>.</w:t>
      </w:r>
    </w:p>
    <w:p w14:paraId="7AAD4116" w14:textId="77777777" w:rsidR="00491410" w:rsidRPr="0082303C" w:rsidRDefault="00491410" w:rsidP="008B1337">
      <w:pPr>
        <w:keepNext/>
        <w:keepLines/>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44" w:name="Look-through_requirements_in_respect_of_"/>
      <w:bookmarkEnd w:id="244"/>
      <w:r>
        <w:rPr>
          <w:rFonts w:ascii="Times New Roman" w:hAnsi="Times New Roman"/>
          <w:b/>
          <w:i/>
          <w:sz w:val="26"/>
        </w:rPr>
        <w:lastRenderedPageBreak/>
        <w:t>Caurlūkošanas prasības attiecībā uz kontrolējošām personām un vienībām, kas ir publiskas akciju sabiedrības (Komentāru par V un VI pantu attiecīgi 21. un 19. punkts)</w:t>
      </w:r>
    </w:p>
    <w:p w14:paraId="63A6D988" w14:textId="77777777" w:rsidR="00491410" w:rsidRPr="003A1063" w:rsidRDefault="00491410" w:rsidP="008B1337">
      <w:pPr>
        <w:keepNext/>
        <w:keepLines/>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20. </w:t>
      </w:r>
      <w:r>
        <w:rPr>
          <w:rFonts w:ascii="Times New Roman" w:hAnsi="Times New Roman"/>
          <w:i/>
          <w:iCs/>
          <w:sz w:val="24"/>
        </w:rPr>
        <w:t>CRS</w:t>
      </w:r>
      <w:r>
        <w:rPr>
          <w:rFonts w:ascii="Times New Roman" w:hAnsi="Times New Roman"/>
          <w:sz w:val="24"/>
        </w:rPr>
        <w:t xml:space="preserve"> pienācīgas pārbaudes procedūrās attiecībā gan uz iepriekšpastāvējušu vienību, gan jaunu vienību kontiem ir noteikta prasība finanšu iestādēm, kas sniedz ziņojumus, caurlūkot pasīvās nefinanšu vienības, lai noteiktu tās kontrolējošās personas. Šajā nolūkā finanšu iestādes, kas sniedz ziņojumus, var paļauties uz informāciju, kas ievākta un uzturēta, izmantojot </w:t>
      </w:r>
      <w:r>
        <w:rPr>
          <w:rFonts w:ascii="Times New Roman" w:hAnsi="Times New Roman"/>
          <w:i/>
          <w:iCs/>
          <w:sz w:val="24"/>
        </w:rPr>
        <w:t>AML/KYC</w:t>
      </w:r>
      <w:r>
        <w:rPr>
          <w:rFonts w:ascii="Times New Roman" w:hAnsi="Times New Roman"/>
          <w:sz w:val="24"/>
        </w:rPr>
        <w:t xml:space="preserve"> procedūras. Šajā saistībā </w:t>
      </w:r>
      <w:r>
        <w:rPr>
          <w:rFonts w:ascii="Times New Roman" w:hAnsi="Times New Roman"/>
          <w:i/>
          <w:iCs/>
          <w:sz w:val="24"/>
        </w:rPr>
        <w:t>FATF</w:t>
      </w:r>
      <w:r>
        <w:rPr>
          <w:rFonts w:ascii="Times New Roman" w:hAnsi="Times New Roman"/>
          <w:sz w:val="24"/>
        </w:rPr>
        <w:t xml:space="preserve"> 10. ieteikuma (klientu pienācīga pārbaude) skaidrojošās piezīmēs ir noteikts, ka finanšu iestādēm nav jāpieprasa informācija par publisko akciju patiesā labuma guvējiem, ja šai sabiedrībai jau kā citādi piemērojamas informācijas atklāšanas prasības, kas nodrošina informācijas par patiesā labuma guvējiem pienācīgu pārredzamību. Šis izņēmums tagad ir iekļauts </w:t>
      </w:r>
      <w:r>
        <w:rPr>
          <w:rFonts w:ascii="Times New Roman" w:hAnsi="Times New Roman"/>
          <w:i/>
          <w:iCs/>
          <w:sz w:val="24"/>
        </w:rPr>
        <w:t>CRS</w:t>
      </w:r>
      <w:r>
        <w:rPr>
          <w:rFonts w:ascii="Times New Roman" w:hAnsi="Times New Roman"/>
          <w:sz w:val="24"/>
        </w:rPr>
        <w:t xml:space="preserve">, lai nodrošinātu saskaņotību ar </w:t>
      </w:r>
      <w:r>
        <w:rPr>
          <w:rFonts w:ascii="Times New Roman" w:hAnsi="Times New Roman"/>
          <w:i/>
          <w:iCs/>
          <w:sz w:val="24"/>
        </w:rPr>
        <w:t>FATF</w:t>
      </w:r>
      <w:r>
        <w:rPr>
          <w:rFonts w:ascii="Times New Roman" w:hAnsi="Times New Roman"/>
          <w:sz w:val="24"/>
        </w:rPr>
        <w:t xml:space="preserve"> ieteikumiem un ņemot vērā šīs informācijas ierobežoto lietderību nodokļu riska novērtēšanas vajadzībām.</w:t>
      </w:r>
    </w:p>
    <w:p w14:paraId="12F43005" w14:textId="77777777" w:rsidR="00491410" w:rsidRPr="0082303C"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45" w:name="Integrating_CBI/RBI_guidance_within_the_"/>
      <w:bookmarkEnd w:id="245"/>
      <w:r>
        <w:rPr>
          <w:rFonts w:ascii="Times New Roman" w:hAnsi="Times New Roman"/>
          <w:b/>
          <w:i/>
          <w:sz w:val="26"/>
        </w:rPr>
        <w:t>CBI/RBI vadlīniju iekļaušana CRS (Komentāru par VII pantu 3.bis punkts)</w:t>
      </w:r>
    </w:p>
    <w:p w14:paraId="3CE2DBB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21. 2018. gada oktobrī </w:t>
      </w:r>
      <w:r>
        <w:rPr>
          <w:rFonts w:ascii="Times New Roman" w:hAnsi="Times New Roman"/>
          <w:i/>
          <w:iCs/>
          <w:sz w:val="24"/>
        </w:rPr>
        <w:t>OECD</w:t>
      </w:r>
      <w:r>
        <w:rPr>
          <w:rFonts w:ascii="Times New Roman" w:hAnsi="Times New Roman"/>
          <w:sz w:val="24"/>
        </w:rPr>
        <w:t xml:space="preserve"> laida klajā skaidrojošās vadlīnijas finanšu iestādēm, kas sniedz ziņojumus, lai risinātu jautājumu par noteiktām ieguldījumu shēmām, kurās ļaunprātīgi izmanto pilsonības un pastāvīgas uzturēšanās statusu (</w:t>
      </w:r>
      <w:r>
        <w:rPr>
          <w:rFonts w:ascii="Times New Roman" w:hAnsi="Times New Roman"/>
          <w:i/>
          <w:iCs/>
          <w:sz w:val="24"/>
        </w:rPr>
        <w:t>CBI/RBI</w:t>
      </w:r>
      <w:r>
        <w:rPr>
          <w:rFonts w:ascii="Times New Roman" w:hAnsi="Times New Roman"/>
          <w:sz w:val="24"/>
        </w:rPr>
        <w:t xml:space="preserve">), proti, ārvalstniekiem tiek ļauts iegūt pilsonību vai pagaidu vai pastāvīgas uzturēšanās tiesības, pamatojoties uz vietējiem ieguldījumiem vai par noteiktu maksu, lai apietu </w:t>
      </w:r>
      <w:r>
        <w:rPr>
          <w:rFonts w:ascii="Times New Roman" w:hAnsi="Times New Roman"/>
          <w:i/>
          <w:iCs/>
          <w:sz w:val="24"/>
        </w:rPr>
        <w:t>CRS</w:t>
      </w:r>
      <w:r>
        <w:rPr>
          <w:rFonts w:ascii="Times New Roman" w:hAnsi="Times New Roman"/>
          <w:sz w:val="24"/>
        </w:rPr>
        <w:t>.</w:t>
      </w:r>
    </w:p>
    <w:p w14:paraId="661432FA"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22. Skaidrojošajās vadlīnijās ir atkārtoti norādīts, ka finanšu iestāde, kas sniedz ziņojumus, var nepaļauties uz pašapliecinājumu vai dokumentāro pierādījumu, ja tā zina vai tai ir pamats zināt, ka tas ir nepareizs vai neuzticams. Lai to noteiktu, finanšu iestādei, kas sniedz ziņojumus, jāņem vērā informācija, ko publicējusi </w:t>
      </w:r>
      <w:r>
        <w:rPr>
          <w:rFonts w:ascii="Times New Roman" w:hAnsi="Times New Roman"/>
          <w:i/>
          <w:iCs/>
          <w:sz w:val="24"/>
        </w:rPr>
        <w:t>OECD</w:t>
      </w:r>
      <w:r>
        <w:rPr>
          <w:rFonts w:ascii="Times New Roman" w:hAnsi="Times New Roman"/>
          <w:sz w:val="24"/>
        </w:rPr>
        <w:t xml:space="preserve"> par iespējami augsta riska </w:t>
      </w:r>
      <w:r>
        <w:rPr>
          <w:rFonts w:ascii="Times New Roman" w:hAnsi="Times New Roman"/>
          <w:i/>
          <w:iCs/>
          <w:sz w:val="24"/>
        </w:rPr>
        <w:t>CBI/RBI</w:t>
      </w:r>
      <w:r>
        <w:rPr>
          <w:rFonts w:ascii="Times New Roman" w:hAnsi="Times New Roman"/>
          <w:sz w:val="24"/>
        </w:rPr>
        <w:t xml:space="preserve"> shēmām. Vadlīnijās ir iekļauti arī vairāki papildu jautājumi, kurus finanšu iestādes, kas sniedz ziņojumus, var uzdot, lai noskaidrotu atbilstošo(-ās) jurisdikciju(-as), kas ziņo saskaņā ar </w:t>
      </w:r>
      <w:r>
        <w:rPr>
          <w:rFonts w:ascii="Times New Roman" w:hAnsi="Times New Roman"/>
          <w:i/>
          <w:iCs/>
          <w:sz w:val="24"/>
        </w:rPr>
        <w:t>CRS</w:t>
      </w:r>
      <w:r>
        <w:rPr>
          <w:rFonts w:ascii="Times New Roman" w:hAnsi="Times New Roman"/>
          <w:sz w:val="24"/>
        </w:rPr>
        <w:t>. Skaidrojošās vadlīnijas tagad ir iekļautas komentāros.</w:t>
      </w:r>
    </w:p>
    <w:p w14:paraId="2FF49ACE" w14:textId="77777777" w:rsidR="00491410" w:rsidRPr="0082303C" w:rsidRDefault="00491410" w:rsidP="00491410">
      <w:pPr>
        <w:widowControl w:val="0"/>
        <w:autoSpaceDE w:val="0"/>
        <w:autoSpaceDN w:val="0"/>
        <w:spacing w:before="120" w:after="120" w:line="240" w:lineRule="auto"/>
        <w:jc w:val="both"/>
        <w:outlineLvl w:val="3"/>
        <w:rPr>
          <w:rFonts w:ascii="Times New Roman" w:eastAsia="Arial" w:hAnsi="Times New Roman" w:cs="Arial"/>
          <w:b/>
          <w:bCs/>
          <w:i/>
          <w:iCs/>
          <w:kern w:val="0"/>
          <w:sz w:val="26"/>
          <w:szCs w:val="26"/>
          <w14:ligatures w14:val="none"/>
        </w:rPr>
      </w:pPr>
      <w:bookmarkStart w:id="246" w:name="Incorporating_FAQs"/>
      <w:bookmarkEnd w:id="246"/>
      <w:r>
        <w:rPr>
          <w:rFonts w:ascii="Times New Roman" w:hAnsi="Times New Roman"/>
          <w:b/>
          <w:i/>
          <w:sz w:val="26"/>
        </w:rPr>
        <w:t>Biežāk uzdoto jautājumu iekļaušana</w:t>
      </w:r>
    </w:p>
    <w:p w14:paraId="55E39F96" w14:textId="77777777" w:rsidR="00491410" w:rsidRPr="003A1063" w:rsidRDefault="00491410" w:rsidP="00491410">
      <w:pPr>
        <w:widowControl w:val="0"/>
        <w:tabs>
          <w:tab w:val="left" w:pos="961"/>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23. Kopš </w:t>
      </w:r>
      <w:r>
        <w:rPr>
          <w:rFonts w:ascii="Times New Roman" w:hAnsi="Times New Roman"/>
          <w:i/>
          <w:iCs/>
          <w:sz w:val="24"/>
        </w:rPr>
        <w:t>CRS</w:t>
      </w:r>
      <w:r>
        <w:rPr>
          <w:rFonts w:ascii="Times New Roman" w:hAnsi="Times New Roman"/>
          <w:sz w:val="24"/>
        </w:rPr>
        <w:t xml:space="preserve"> pieņemšanas 2014. gadā </w:t>
      </w:r>
      <w:r>
        <w:rPr>
          <w:rFonts w:ascii="Times New Roman" w:hAnsi="Times New Roman"/>
          <w:i/>
          <w:iCs/>
          <w:sz w:val="24"/>
        </w:rPr>
        <w:t>OECD</w:t>
      </w:r>
      <w:r>
        <w:rPr>
          <w:rFonts w:ascii="Times New Roman" w:hAnsi="Times New Roman"/>
          <w:sz w:val="24"/>
        </w:rPr>
        <w:t xml:space="preserve"> tiek regulāri lūgts sniegt vadlīnijas par </w:t>
      </w:r>
      <w:r>
        <w:rPr>
          <w:rFonts w:ascii="Times New Roman" w:hAnsi="Times New Roman"/>
          <w:i/>
          <w:iCs/>
          <w:sz w:val="24"/>
        </w:rPr>
        <w:t>CRS</w:t>
      </w:r>
      <w:r>
        <w:rPr>
          <w:rFonts w:ascii="Times New Roman" w:hAnsi="Times New Roman"/>
          <w:sz w:val="24"/>
        </w:rPr>
        <w:t xml:space="preserve"> interpretēšanu. Tās parasti tika sniegtas biežāk uzdoto jautājumu sadaļā, kas ir publicēta </w:t>
      </w:r>
      <w:r>
        <w:rPr>
          <w:rFonts w:ascii="Times New Roman" w:hAnsi="Times New Roman"/>
          <w:i/>
          <w:iCs/>
          <w:sz w:val="24"/>
        </w:rPr>
        <w:t>OECD</w:t>
      </w:r>
      <w:r>
        <w:rPr>
          <w:rFonts w:ascii="Times New Roman" w:hAnsi="Times New Roman"/>
          <w:sz w:val="24"/>
        </w:rPr>
        <w:t xml:space="preserve"> tīmekļa vietnē. Lai būtiskākās vadlīnijas, kas sniegtas biežāk uzdoto jautājumu sadaļā, atainotu pašā </w:t>
      </w:r>
      <w:r>
        <w:rPr>
          <w:rFonts w:ascii="Times New Roman" w:hAnsi="Times New Roman"/>
          <w:i/>
          <w:iCs/>
          <w:sz w:val="24"/>
        </w:rPr>
        <w:t>CRS</w:t>
      </w:r>
      <w:r>
        <w:rPr>
          <w:rFonts w:ascii="Times New Roman" w:hAnsi="Times New Roman"/>
          <w:sz w:val="24"/>
        </w:rPr>
        <w:t xml:space="preserve">, vairākās vietās komentāros tika pievienots teksts. Biežāk uzdotie jautājumi nav tieši iekļauti komentāros, tomēr tie joprojām ir vērtīgas vadlīnijas </w:t>
      </w:r>
      <w:r>
        <w:rPr>
          <w:rFonts w:ascii="Times New Roman" w:hAnsi="Times New Roman"/>
          <w:i/>
          <w:iCs/>
          <w:sz w:val="24"/>
        </w:rPr>
        <w:t>CRS</w:t>
      </w:r>
      <w:r>
        <w:rPr>
          <w:rFonts w:ascii="Times New Roman" w:hAnsi="Times New Roman"/>
          <w:sz w:val="24"/>
        </w:rPr>
        <w:t xml:space="preserve"> interpretēšanai.</w:t>
      </w:r>
    </w:p>
    <w:p w14:paraId="186E13AA" w14:textId="77777777" w:rsidR="00491410"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p>
    <w:p w14:paraId="51F50FE3"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416F5AF8"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noProof/>
          <w:sz w:val="24"/>
        </w:rPr>
        <mc:AlternateContent>
          <mc:Choice Requires="wpg">
            <w:drawing>
              <wp:inline distT="0" distB="0" distL="0" distR="0" wp14:anchorId="071F443F" wp14:editId="5589CEEC">
                <wp:extent cx="5851525" cy="76200"/>
                <wp:effectExtent l="0"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1525" cy="76200"/>
                          <a:chOff x="0" y="0"/>
                          <a:chExt cx="5851525" cy="76200"/>
                        </a:xfrm>
                      </wpg:grpSpPr>
                      <wps:wsp>
                        <wps:cNvPr id="57" name="Graphic 57"/>
                        <wps:cNvSpPr/>
                        <wps:spPr>
                          <a:xfrm>
                            <a:off x="0" y="0"/>
                            <a:ext cx="5851525" cy="76200"/>
                          </a:xfrm>
                          <a:custGeom>
                            <a:avLst/>
                            <a:gdLst/>
                            <a:ahLst/>
                            <a:cxnLst/>
                            <a:rect l="l" t="t" r="r" b="b"/>
                            <a:pathLst>
                              <a:path w="5851525" h="76200">
                                <a:moveTo>
                                  <a:pt x="5851525" y="0"/>
                                </a:moveTo>
                                <a:lnTo>
                                  <a:pt x="0" y="0"/>
                                </a:lnTo>
                                <a:lnTo>
                                  <a:pt x="0" y="76200"/>
                                </a:lnTo>
                                <a:lnTo>
                                  <a:pt x="5851525" y="76200"/>
                                </a:lnTo>
                                <a:lnTo>
                                  <a:pt x="5851525"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2F1CE7DA" id="Group 56" o:spid="_x0000_s1026" style="width:460.75pt;height:6pt;mso-position-horizontal-relative:char;mso-position-vertical-relative:line" coordsize="58515,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">
                <v:shape id="Graphic 57" o:spid="_x0000_s1027" style="position:absolute;width:58515;height:762;visibility:visible;mso-wrap-style:square;v-text-anchor:top" coordsize="58515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" path="m5851525,l,,,76200r5851525,l5851525,xe" stroked="f">
                  <v:path arrowok="t"/>
                </v:shape>
                <w10:anchorlock/>
              </v:group>
            </w:pict>
          </mc:Fallback>
        </mc:AlternateContent>
      </w:r>
    </w:p>
    <w:p w14:paraId="6801BE53" w14:textId="77777777" w:rsidR="00491410" w:rsidRDefault="00491410" w:rsidP="00491410">
      <w:pPr>
        <w:rPr>
          <w:rFonts w:ascii="Times New Roman" w:eastAsia="Arial" w:hAnsi="Times New Roman" w:cs="Times New Roman"/>
          <w:b/>
          <w:bCs/>
          <w:noProof/>
          <w:color w:val="0B769F" w:themeColor="accent4" w:themeShade="BF"/>
          <w:sz w:val="72"/>
          <w:szCs w:val="72"/>
          <w:u w:val="single"/>
        </w:rPr>
      </w:pPr>
      <w:bookmarkStart w:id="247" w:name="2_Amendments_to_the_Rules"/>
      <w:bookmarkStart w:id="248" w:name="_bookmark41"/>
      <w:bookmarkEnd w:id="247"/>
      <w:bookmarkEnd w:id="248"/>
      <w:r>
        <w:br w:type="page"/>
      </w:r>
    </w:p>
    <w:p w14:paraId="25EF5503" w14:textId="77777777" w:rsidR="00491410" w:rsidRPr="0082303C" w:rsidRDefault="00491410" w:rsidP="00491410">
      <w:pPr>
        <w:widowControl w:val="0"/>
        <w:autoSpaceDE w:val="0"/>
        <w:autoSpaceDN w:val="0"/>
        <w:spacing w:before="120" w:after="120" w:line="240" w:lineRule="auto"/>
        <w:jc w:val="both"/>
        <w:rPr>
          <w:rFonts w:ascii="Times New Roman" w:eastAsia="Arial" w:hAnsi="Times New Roman" w:cs="Times New Roman"/>
          <w:b/>
          <w:bCs/>
          <w:noProof/>
          <w:color w:val="0B769F" w:themeColor="accent4" w:themeShade="BF"/>
          <w:sz w:val="48"/>
          <w:szCs w:val="48"/>
        </w:rPr>
      </w:pPr>
      <w:r>
        <w:rPr>
          <w:rFonts w:ascii="Times New Roman" w:hAnsi="Times New Roman"/>
          <w:b/>
          <w:color w:val="0B769F" w:themeColor="accent4" w:themeShade="BF"/>
          <w:sz w:val="72"/>
          <w:u w:val="single"/>
        </w:rPr>
        <w:lastRenderedPageBreak/>
        <w:t>2.</w:t>
      </w:r>
      <w:r>
        <w:rPr>
          <w:rFonts w:ascii="Times New Roman" w:hAnsi="Times New Roman"/>
          <w:b/>
          <w:color w:val="0B769F" w:themeColor="accent4" w:themeShade="BF"/>
          <w:sz w:val="48"/>
        </w:rPr>
        <w:t xml:space="preserve"> Noteikumu grozījumi</w:t>
      </w:r>
    </w:p>
    <w:p w14:paraId="699D2C47"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kern w:val="0"/>
          <w:sz w:val="24"/>
          <w:szCs w:val="20"/>
          <w14:ligatures w14:val="none"/>
        </w:rPr>
      </w:pPr>
    </w:p>
    <w:p w14:paraId="4DB897FA"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kern w:val="0"/>
          <w:sz w:val="24"/>
          <w:szCs w:val="20"/>
          <w14:ligatures w14:val="none"/>
        </w:rPr>
      </w:pPr>
    </w:p>
    <w:p w14:paraId="3DAB3926" w14:textId="77777777" w:rsidR="00491410" w:rsidRPr="0082303C"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49" w:name="Section_I:_General_Reporting_Requirement"/>
      <w:bookmarkStart w:id="250" w:name="_bookmark42"/>
      <w:bookmarkStart w:id="251" w:name="_Toc241753097"/>
      <w:bookmarkEnd w:id="249"/>
      <w:bookmarkEnd w:id="250"/>
      <w:r>
        <w:rPr>
          <w:rFonts w:ascii="Times New Roman" w:hAnsi="Times New Roman"/>
          <w:b/>
          <w:color w:val="0B769F" w:themeColor="accent4" w:themeShade="BF"/>
          <w:sz w:val="26"/>
        </w:rPr>
        <w:t>I pants. Ziņojumu sniegšanas vispārējās prasības</w:t>
      </w:r>
      <w:bookmarkEnd w:id="251"/>
    </w:p>
    <w:p w14:paraId="6CBC2CC9" w14:textId="77777777" w:rsidR="00491410" w:rsidRPr="003A1063" w:rsidRDefault="00491410" w:rsidP="00491410">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Arial"/>
          <w:kern w:val="0"/>
          <w:sz w:val="24"/>
          <w14:ligatures w14:val="none"/>
        </w:rPr>
      </w:pPr>
      <w:r>
        <w:rPr>
          <w:rFonts w:ascii="Times New Roman" w:hAnsi="Times New Roman"/>
          <w:sz w:val="24"/>
        </w:rPr>
        <w:t>A. Ievērojot C–F punktu, katrai finanšu iestādei, kas sniedz ziņojumus, jāsniedz turpmāk minētā informācija attiecībā uz katru kontu, par kuru šādai finanšu iestādei jāsniedz ziņojums:</w:t>
      </w:r>
    </w:p>
    <w:p w14:paraId="0A0F0DE3" w14:textId="77777777" w:rsidR="00491410" w:rsidRPr="003A1063" w:rsidRDefault="00491410" w:rsidP="006663BB">
      <w:pPr>
        <w:widowControl w:val="0"/>
        <w:tabs>
          <w:tab w:val="left" w:pos="1235"/>
        </w:tabs>
        <w:autoSpaceDE w:val="0"/>
        <w:autoSpaceDN w:val="0"/>
        <w:spacing w:before="120" w:after="120" w:line="240" w:lineRule="auto"/>
        <w:ind w:left="284"/>
        <w:jc w:val="both"/>
        <w:rPr>
          <w:rFonts w:ascii="Times New Roman" w:eastAsia="Arial" w:hAnsi="Times New Roman" w:cs="Arial"/>
          <w:kern w:val="0"/>
          <w:sz w:val="24"/>
          <w14:ligatures w14:val="none"/>
        </w:rPr>
      </w:pPr>
      <w:r>
        <w:rPr>
          <w:rFonts w:ascii="Times New Roman" w:hAnsi="Times New Roman"/>
          <w:sz w:val="24"/>
        </w:rPr>
        <w:t>1)</w:t>
      </w:r>
    </w:p>
    <w:p w14:paraId="7E948278" w14:textId="77777777" w:rsidR="00491410" w:rsidRPr="003A1063" w:rsidRDefault="00491410" w:rsidP="00491410">
      <w:pPr>
        <w:widowControl w:val="0"/>
        <w:tabs>
          <w:tab w:val="left" w:pos="1801"/>
          <w:tab w:val="left" w:pos="1803"/>
        </w:tabs>
        <w:autoSpaceDE w:val="0"/>
        <w:autoSpaceDN w:val="0"/>
        <w:spacing w:before="120" w:after="120" w:line="240" w:lineRule="auto"/>
        <w:ind w:left="851" w:hanging="283"/>
        <w:jc w:val="both"/>
        <w:rPr>
          <w:rFonts w:ascii="Times New Roman" w:eastAsia="Arial" w:hAnsi="Times New Roman" w:cs="Arial"/>
          <w:kern w:val="0"/>
          <w:sz w:val="24"/>
          <w14:ligatures w14:val="none"/>
        </w:rPr>
      </w:pPr>
      <w:r>
        <w:rPr>
          <w:rFonts w:ascii="Times New Roman" w:hAnsi="Times New Roman"/>
          <w:sz w:val="24"/>
        </w:rPr>
        <w:t xml:space="preserve">a) par katru personu, par ko jāziņo un kas ir konta turētājs, – vārds, uzvārds, rezidences jurisdikcija(-as) </w:t>
      </w:r>
      <w:r>
        <w:rPr>
          <w:rFonts w:ascii="Times New Roman" w:hAnsi="Times New Roman"/>
          <w:i/>
          <w:iCs/>
          <w:sz w:val="24"/>
        </w:rPr>
        <w:t>TIN</w:t>
      </w:r>
      <w:r>
        <w:rPr>
          <w:rFonts w:ascii="Times New Roman" w:hAnsi="Times New Roman"/>
          <w:sz w:val="24"/>
        </w:rPr>
        <w:t xml:space="preserve">, dzimšanas vieta un datums (fiziskas personas gadījumā) </w:t>
      </w:r>
      <w:r>
        <w:rPr>
          <w:rFonts w:ascii="Times New Roman" w:hAnsi="Times New Roman"/>
          <w:i/>
          <w:sz w:val="24"/>
          <w:u w:val="single"/>
        </w:rPr>
        <w:t>un tas, vai konta turētājs ir iesniedzis derīgu pašapliecinājumu</w:t>
      </w:r>
      <w:r>
        <w:rPr>
          <w:rFonts w:ascii="Times New Roman" w:hAnsi="Times New Roman"/>
          <w:sz w:val="24"/>
        </w:rPr>
        <w:t>;</w:t>
      </w:r>
    </w:p>
    <w:p w14:paraId="225E40F6" w14:textId="77777777" w:rsidR="00491410" w:rsidRPr="003A1063" w:rsidRDefault="00491410" w:rsidP="00491410">
      <w:pPr>
        <w:widowControl w:val="0"/>
        <w:tabs>
          <w:tab w:val="left" w:pos="1801"/>
          <w:tab w:val="left" w:pos="1803"/>
        </w:tabs>
        <w:autoSpaceDE w:val="0"/>
        <w:autoSpaceDN w:val="0"/>
        <w:spacing w:before="120" w:after="120" w:line="240" w:lineRule="auto"/>
        <w:ind w:left="851" w:hanging="283"/>
        <w:jc w:val="both"/>
        <w:rPr>
          <w:rFonts w:ascii="Times New Roman" w:eastAsia="Arial" w:hAnsi="Times New Roman" w:cs="Arial"/>
          <w:i/>
          <w:kern w:val="0"/>
          <w:sz w:val="24"/>
          <w14:ligatures w14:val="none"/>
        </w:rPr>
      </w:pPr>
      <w:r>
        <w:rPr>
          <w:rFonts w:ascii="Times New Roman" w:hAnsi="Times New Roman"/>
          <w:sz w:val="24"/>
        </w:rPr>
        <w:t xml:space="preserve">b) ja konta turētājs ir vienība un pēc pienācīgas pārbaudes procedūru piemērošanas saskaņā ar V, VI un VII pantu ir identificēts, ka tai ir viena vai vairākas kontrolējošās personas, par kurām jāsniedz ziņojums, – vienības nosaukums, adrese, rezidences jurisdikcija(-as) un </w:t>
      </w:r>
      <w:r>
        <w:rPr>
          <w:rFonts w:ascii="Times New Roman" w:hAnsi="Times New Roman"/>
          <w:i/>
          <w:iCs/>
          <w:sz w:val="24"/>
        </w:rPr>
        <w:t>TIN</w:t>
      </w:r>
      <w:r>
        <w:rPr>
          <w:rFonts w:ascii="Times New Roman" w:hAnsi="Times New Roman"/>
          <w:sz w:val="24"/>
        </w:rPr>
        <w:t xml:space="preserve">, kā arī par katru personu, par kuru jāsniedz ziņojums, – vārds, uzvārds, rezidences jurisdikcija(-as) </w:t>
      </w:r>
      <w:r>
        <w:rPr>
          <w:rFonts w:ascii="Times New Roman" w:hAnsi="Times New Roman"/>
          <w:i/>
          <w:iCs/>
          <w:sz w:val="24"/>
        </w:rPr>
        <w:t>TIN</w:t>
      </w:r>
      <w:r>
        <w:rPr>
          <w:rFonts w:ascii="Times New Roman" w:hAnsi="Times New Roman"/>
          <w:sz w:val="24"/>
        </w:rPr>
        <w:t xml:space="preserve">, dzimšanas vieta un datums, </w:t>
      </w:r>
      <w:r>
        <w:rPr>
          <w:rFonts w:ascii="Times New Roman" w:hAnsi="Times New Roman"/>
          <w:i/>
          <w:sz w:val="24"/>
          <w:u w:val="single"/>
        </w:rPr>
        <w:t>kā arī loma(-as), saskaņā ar kuru(-ām) katra persona, par ko jāsniedz ziņojums, ir vienību kontrolējošā persona un vai par katru šādu personu ir iesniegts derīgs pašapliecinājums, un</w:t>
      </w:r>
    </w:p>
    <w:p w14:paraId="14EEF184" w14:textId="77777777" w:rsidR="00491410" w:rsidRPr="003A1063" w:rsidRDefault="00491410" w:rsidP="00491410">
      <w:pPr>
        <w:widowControl w:val="0"/>
        <w:tabs>
          <w:tab w:val="left" w:pos="1802"/>
        </w:tabs>
        <w:autoSpaceDE w:val="0"/>
        <w:autoSpaceDN w:val="0"/>
        <w:spacing w:before="120" w:after="120" w:line="240" w:lineRule="auto"/>
        <w:ind w:left="851" w:hanging="283"/>
        <w:jc w:val="both"/>
        <w:rPr>
          <w:rFonts w:ascii="Times New Roman" w:eastAsia="Arial" w:hAnsi="Times New Roman" w:cs="Arial"/>
          <w:i/>
          <w:kern w:val="0"/>
          <w:sz w:val="24"/>
          <w14:ligatures w14:val="none"/>
        </w:rPr>
      </w:pPr>
      <w:r w:rsidRPr="006663BB">
        <w:rPr>
          <w:rFonts w:ascii="Times New Roman" w:hAnsi="Times New Roman"/>
          <w:i/>
          <w:sz w:val="24"/>
          <w:u w:val="single"/>
        </w:rPr>
        <w:t>c)</w:t>
      </w:r>
      <w:r>
        <w:rPr>
          <w:rFonts w:ascii="Times New Roman" w:hAnsi="Times New Roman"/>
          <w:i/>
          <w:sz w:val="24"/>
          <w:u w:val="single"/>
        </w:rPr>
        <w:t xml:space="preserve"> vai konts ir kopīgs konts, kā arī kopīgā konta turētāju skaits.</w:t>
      </w:r>
    </w:p>
    <w:p w14:paraId="2DB407C2"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2) konta numurs (vai funkcionāls ekvivalents, ja nav konta numura), </w:t>
      </w:r>
      <w:r>
        <w:rPr>
          <w:rFonts w:ascii="Times New Roman" w:hAnsi="Times New Roman"/>
          <w:i/>
          <w:iCs/>
          <w:sz w:val="24"/>
          <w:u w:val="single"/>
        </w:rPr>
        <w:t>konta veids un vai konts ir iepriekšpastāvējis konts vai jauns konts</w:t>
      </w:r>
      <w:r>
        <w:rPr>
          <w:rFonts w:ascii="Times New Roman" w:hAnsi="Times New Roman"/>
          <w:sz w:val="24"/>
        </w:rPr>
        <w:t>;</w:t>
      </w:r>
    </w:p>
    <w:p w14:paraId="6E9A56CB"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3) finanšu iestādes, kas sniedz ziņojumus, nosaukums un identifikācijas numurs (ja tāds ir);</w:t>
      </w:r>
    </w:p>
    <w:p w14:paraId="3200A83A"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4) konta bilance vai vērtība (tostarp apdrošināšanas līguma ar naudas vērtību vai anuitātes līguma gadījumā – naudas vērtība vai līguma laušanas gadījumā – izmaksājamā summa) attiecīgā kalendārā gada vai cita attiecīga ziņošanas perioda beigās vai informācija par konta slēgšanu, ja konts ticis slēgts minētā gada vai perioda laikā;</w:t>
      </w:r>
    </w:p>
    <w:p w14:paraId="5E4283EC"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5) turētāja konta gadījumā:</w:t>
      </w:r>
    </w:p>
    <w:p w14:paraId="38CBE02F" w14:textId="77777777" w:rsidR="00491410" w:rsidRPr="003A1063" w:rsidRDefault="00491410" w:rsidP="00491410">
      <w:pPr>
        <w:widowControl w:val="0"/>
        <w:tabs>
          <w:tab w:val="left" w:pos="1801"/>
          <w:tab w:val="left" w:pos="1803"/>
        </w:tabs>
        <w:autoSpaceDE w:val="0"/>
        <w:autoSpaceDN w:val="0"/>
        <w:spacing w:before="120" w:after="120" w:line="240" w:lineRule="auto"/>
        <w:ind w:left="851" w:hanging="283"/>
        <w:jc w:val="both"/>
        <w:rPr>
          <w:rFonts w:ascii="Times New Roman" w:eastAsia="Arial" w:hAnsi="Times New Roman" w:cs="Arial"/>
          <w:kern w:val="0"/>
          <w:sz w:val="24"/>
          <w14:ligatures w14:val="none"/>
        </w:rPr>
      </w:pPr>
      <w:r>
        <w:rPr>
          <w:rFonts w:ascii="Times New Roman" w:hAnsi="Times New Roman"/>
          <w:sz w:val="24"/>
        </w:rPr>
        <w:t>a) procentu kopējā bruto summa, dividenžu kopējā bruto summa, citu ienākumu, kuri gūti saistībā ar kontā turētajiem aktīviem, kopējā bruto summa, kas katrā gadījumā iemaksāta kontā vai kreditēta uz kontu (vai saistībā ar kontu) kalendārajā gadā vai citā attiecīgajā ziņošanas periodā, un</w:t>
      </w:r>
    </w:p>
    <w:p w14:paraId="006430B0" w14:textId="77777777" w:rsidR="00491410" w:rsidRPr="003A1063" w:rsidRDefault="00491410" w:rsidP="00491410">
      <w:pPr>
        <w:widowControl w:val="0"/>
        <w:tabs>
          <w:tab w:val="left" w:pos="1801"/>
          <w:tab w:val="left" w:pos="1803"/>
        </w:tabs>
        <w:autoSpaceDE w:val="0"/>
        <w:autoSpaceDN w:val="0"/>
        <w:spacing w:before="120" w:after="120" w:line="240" w:lineRule="auto"/>
        <w:ind w:left="851" w:hanging="283"/>
        <w:jc w:val="both"/>
        <w:rPr>
          <w:rFonts w:ascii="Times New Roman" w:eastAsia="Arial" w:hAnsi="Times New Roman" w:cs="Arial"/>
          <w:kern w:val="0"/>
          <w:sz w:val="24"/>
          <w14:ligatures w14:val="none"/>
        </w:rPr>
      </w:pPr>
      <w:r>
        <w:rPr>
          <w:rFonts w:ascii="Times New Roman" w:hAnsi="Times New Roman"/>
          <w:sz w:val="24"/>
        </w:rPr>
        <w:t>b) kopējie bruto ieņēmumi no finanšu aktīvu pārdošanas vai dzēšanas, kuri iemaksāti kontā vai kreditēti uz kontu kalendārajā gadā vai citā attiecīgajā ziņošanas periodā, kurā finanšu iestāde, kas sniedz ziņojumus, rīkojās kā turētājiestāde, ieguldījumu iestāde, nominālais finanšu aktīvu turētājs vai citā statusā kā konta turētāja aģents;</w:t>
      </w:r>
    </w:p>
    <w:p w14:paraId="1EAC799A" w14:textId="77777777" w:rsidR="00491410" w:rsidRPr="003A1063" w:rsidRDefault="00491410" w:rsidP="00491410">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6) jebkāda noguldījumu konta gadījumā – kopējā procentu bruto summa, kas iemaksāta kontā vai kreditēta uz kontu kalendārajā gadā vai citā attiecīgajā ziņošanas periodā;</w:t>
      </w:r>
    </w:p>
    <w:p w14:paraId="59C1BC1F" w14:textId="77777777" w:rsidR="00491410" w:rsidRPr="003A1063" w:rsidRDefault="00491410" w:rsidP="00491410">
      <w:pPr>
        <w:widowControl w:val="0"/>
        <w:autoSpaceDE w:val="0"/>
        <w:autoSpaceDN w:val="0"/>
        <w:spacing w:before="120" w:after="120" w:line="240" w:lineRule="auto"/>
        <w:ind w:left="284"/>
        <w:jc w:val="both"/>
        <w:rPr>
          <w:rFonts w:ascii="Times New Roman" w:eastAsia="Arial" w:hAnsi="Times New Roman" w:cs="Arial"/>
          <w:i/>
          <w:kern w:val="0"/>
          <w:sz w:val="24"/>
          <w14:ligatures w14:val="none"/>
        </w:rPr>
      </w:pPr>
      <w:r>
        <w:rPr>
          <w:rFonts w:ascii="Times New Roman" w:hAnsi="Times New Roman"/>
          <w:i/>
          <w:sz w:val="24"/>
          <w:u w:val="single"/>
        </w:rPr>
        <w:t>6.bis) attiecībā uz vienību, kurai līdzdalības daļas tiek turētas ieguldījumu vienībā, kas ir juridisks veidojums, loma(-as), saskaņā ar kuru(-ām) persona, par ko jāsniedz ziņojums, ir vienības līdzdalības daļu turētāja, un</w:t>
      </w:r>
    </w:p>
    <w:p w14:paraId="785ADBCE" w14:textId="77777777" w:rsidR="00491410" w:rsidRPr="003A1063" w:rsidRDefault="00491410" w:rsidP="002A3B54">
      <w:pPr>
        <w:keepNext/>
        <w:keepLines/>
        <w:widowControl w:val="0"/>
        <w:tabs>
          <w:tab w:val="left" w:pos="1235"/>
          <w:tab w:val="left" w:pos="1237"/>
        </w:tabs>
        <w:autoSpaceDE w:val="0"/>
        <w:autoSpaceDN w:val="0"/>
        <w:spacing w:before="120" w:after="120" w:line="240" w:lineRule="auto"/>
        <w:ind w:left="568" w:hanging="284"/>
        <w:jc w:val="both"/>
        <w:rPr>
          <w:rFonts w:ascii="Times New Roman" w:eastAsia="Arial" w:hAnsi="Times New Roman" w:cs="Arial"/>
          <w:kern w:val="0"/>
          <w:sz w:val="24"/>
          <w14:ligatures w14:val="none"/>
        </w:rPr>
      </w:pPr>
      <w:r>
        <w:rPr>
          <w:rFonts w:ascii="Times New Roman" w:hAnsi="Times New Roman"/>
          <w:sz w:val="24"/>
        </w:rPr>
        <w:lastRenderedPageBreak/>
        <w:t>7) jebkura tāda konta gadījumā, kas nav minēts A punkta 5. vai 6. apakšpunktā, sniedz informāciju par kopējo bruto summu, kas iemaksāta vai kreditēta konta turētājam attiecībā uz kontu kalendārajā gadā vai citā attiecīgā ziņošanas periodā, attiecībā uz kuru finanšu iestāde, kas sniedz ziņojumus, ir maksājuma saistībām pakļauta persona vai parādnieks, tostarp par jebkādu tādu dzēšanai paredzētu maksājumu kopsummu, kas veikti konta turētājam kalendārajā gadā vai citā attiecīgā ziņošanas periodā.</w:t>
      </w:r>
    </w:p>
    <w:p w14:paraId="50AF7947" w14:textId="77777777" w:rsidR="00491410" w:rsidRPr="003A1063" w:rsidRDefault="00491410" w:rsidP="00491410">
      <w:pPr>
        <w:widowControl w:val="0"/>
        <w:tabs>
          <w:tab w:val="left" w:pos="526"/>
        </w:tabs>
        <w:autoSpaceDE w:val="0"/>
        <w:autoSpaceDN w:val="0"/>
        <w:spacing w:before="120" w:after="120" w:line="240" w:lineRule="auto"/>
        <w:ind w:left="284" w:hanging="284"/>
        <w:jc w:val="both"/>
        <w:rPr>
          <w:rFonts w:ascii="Times New Roman" w:eastAsia="Arial" w:hAnsi="Times New Roman" w:cs="Arial"/>
          <w:kern w:val="0"/>
          <w:sz w:val="24"/>
          <w14:ligatures w14:val="none"/>
        </w:rPr>
      </w:pPr>
      <w:r>
        <w:rPr>
          <w:rFonts w:ascii="Times New Roman" w:hAnsi="Times New Roman"/>
          <w:sz w:val="24"/>
        </w:rPr>
        <w:t>B. Paziņotajā informācijā jānorāda valūta, kurā ir izteikta katra summa.</w:t>
      </w:r>
    </w:p>
    <w:p w14:paraId="76CC73FA" w14:textId="77777777" w:rsidR="00491410" w:rsidRPr="003A1063" w:rsidRDefault="00491410" w:rsidP="00491410">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Arial"/>
          <w:i/>
          <w:kern w:val="0"/>
          <w:sz w:val="24"/>
          <w14:ligatures w14:val="none"/>
        </w:rPr>
      </w:pPr>
      <w:r>
        <w:rPr>
          <w:rFonts w:ascii="Times New Roman" w:hAnsi="Times New Roman"/>
          <w:sz w:val="24"/>
        </w:rPr>
        <w:t xml:space="preserve">C. Atkāpjoties no A punkta 1. apakšpunkta, ja konts, par kuru jāsniedz ziņojums, ir iepriekšpastāvējis konts, tad attiecībā uz to nav jāpaziņo </w:t>
      </w:r>
      <w:r>
        <w:rPr>
          <w:rFonts w:ascii="Times New Roman" w:hAnsi="Times New Roman"/>
          <w:i/>
          <w:iCs/>
          <w:sz w:val="24"/>
        </w:rPr>
        <w:t>TIN</w:t>
      </w:r>
      <w:r>
        <w:rPr>
          <w:rFonts w:ascii="Times New Roman" w:hAnsi="Times New Roman"/>
          <w:sz w:val="24"/>
        </w:rPr>
        <w:t xml:space="preserve"> vai dzimšanas datums, ja šāds </w:t>
      </w:r>
      <w:r>
        <w:rPr>
          <w:rFonts w:ascii="Times New Roman" w:hAnsi="Times New Roman"/>
          <w:i/>
          <w:iCs/>
          <w:sz w:val="24"/>
        </w:rPr>
        <w:t>TIN</w:t>
      </w:r>
      <w:r>
        <w:rPr>
          <w:rFonts w:ascii="Times New Roman" w:hAnsi="Times New Roman"/>
          <w:sz w:val="24"/>
        </w:rPr>
        <w:t xml:space="preserve"> vai dzimšanas datums nav norādīts pierakstos, kurus ievāc finanšu iestāde, kas sniedz ziņojumus, un ja attiecīgās valsts tiesību aktos šādai finanšu iestādei, kas sniedz ziņojumus, nav noteikts pienākums vākt šādu informāciju. Taču finanšu iestādei, kas sniedz ziņojumus, ir jāveic saprātīgi nepieciešamie pasākumi, lai noskaidrotu </w:t>
      </w:r>
      <w:r>
        <w:rPr>
          <w:rFonts w:ascii="Times New Roman" w:hAnsi="Times New Roman"/>
          <w:i/>
          <w:iCs/>
          <w:sz w:val="24"/>
        </w:rPr>
        <w:t>TIN</w:t>
      </w:r>
      <w:r>
        <w:rPr>
          <w:rFonts w:ascii="Times New Roman" w:hAnsi="Times New Roman"/>
          <w:sz w:val="24"/>
        </w:rPr>
        <w:t xml:space="preserve"> un dzimšanas datumu attiecībā uz iepriekšpastāvējušiem kontiem līdz tā otra kalendārā gada beigām, kas seko gadam, kurā šie iepriekšpastāvējuši konti tika identificēti kā konti, par kuriem jāsniedz ziņojums, </w:t>
      </w:r>
      <w:r>
        <w:rPr>
          <w:rFonts w:ascii="Times New Roman" w:hAnsi="Times New Roman"/>
          <w:i/>
          <w:iCs/>
          <w:sz w:val="24"/>
          <w:u w:val="single"/>
        </w:rPr>
        <w:t>un tad, kad tai nepieciešams atjaunot informāciju par iepriekšpastāvējušu kontu saskaņā ar valsts tiesību aktos paredzētajām</w:t>
      </w:r>
      <w:r>
        <w:rPr>
          <w:rFonts w:ascii="Times New Roman" w:hAnsi="Times New Roman"/>
          <w:sz w:val="24"/>
          <w:u w:val="single"/>
        </w:rPr>
        <w:t xml:space="preserve"> AML/KYC </w:t>
      </w:r>
      <w:r>
        <w:rPr>
          <w:rFonts w:ascii="Times New Roman" w:hAnsi="Times New Roman"/>
          <w:i/>
          <w:iCs/>
          <w:sz w:val="24"/>
          <w:u w:val="single"/>
        </w:rPr>
        <w:t>procedūrām</w:t>
      </w:r>
      <w:r>
        <w:rPr>
          <w:rFonts w:ascii="Times New Roman" w:hAnsi="Times New Roman"/>
          <w:sz w:val="24"/>
        </w:rPr>
        <w:t>.</w:t>
      </w:r>
    </w:p>
    <w:p w14:paraId="1C8A4033" w14:textId="77777777" w:rsidR="00491410" w:rsidRPr="003A1063" w:rsidRDefault="00491410" w:rsidP="00491410">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Arial"/>
          <w:kern w:val="0"/>
          <w:sz w:val="24"/>
          <w14:ligatures w14:val="none"/>
        </w:rPr>
      </w:pPr>
      <w:r>
        <w:rPr>
          <w:rFonts w:ascii="Times New Roman" w:hAnsi="Times New Roman"/>
          <w:sz w:val="24"/>
        </w:rPr>
        <w:t xml:space="preserve">D. Atkāpjoties no A punkta 1. apakšpunkta, </w:t>
      </w:r>
      <w:r>
        <w:rPr>
          <w:rFonts w:ascii="Times New Roman" w:hAnsi="Times New Roman"/>
          <w:i/>
          <w:iCs/>
          <w:sz w:val="24"/>
        </w:rPr>
        <w:t>TIN</w:t>
      </w:r>
      <w:r>
        <w:rPr>
          <w:rFonts w:ascii="Times New Roman" w:hAnsi="Times New Roman"/>
          <w:sz w:val="24"/>
        </w:rPr>
        <w:t xml:space="preserve"> nav jāziņo, ja i) </w:t>
      </w:r>
      <w:r>
        <w:rPr>
          <w:rFonts w:ascii="Times New Roman" w:hAnsi="Times New Roman"/>
          <w:i/>
          <w:iCs/>
          <w:sz w:val="24"/>
        </w:rPr>
        <w:t>TIN</w:t>
      </w:r>
      <w:r>
        <w:rPr>
          <w:rFonts w:ascii="Times New Roman" w:hAnsi="Times New Roman"/>
          <w:sz w:val="24"/>
        </w:rPr>
        <w:t xml:space="preserve"> nav izdevusi attiecīgā jurisdikcija, par kuru jāsniedz ziņojums, vai ii) attiecīgajā jurisdikcijā, par kuru jāsniedz ziņojums, tās tiesību aktos nav noteikts pienākums vākt </w:t>
      </w:r>
      <w:r>
        <w:rPr>
          <w:rFonts w:ascii="Times New Roman" w:hAnsi="Times New Roman"/>
          <w:i/>
          <w:iCs/>
          <w:sz w:val="24"/>
        </w:rPr>
        <w:t>TIN</w:t>
      </w:r>
      <w:r>
        <w:rPr>
          <w:rFonts w:ascii="Times New Roman" w:hAnsi="Times New Roman"/>
          <w:sz w:val="24"/>
        </w:rPr>
        <w:t>, ko izdevusi šāda jurisdikcija, par kuru jāsniedz ziņojums.</w:t>
      </w:r>
    </w:p>
    <w:p w14:paraId="7ECD9A19" w14:textId="77777777" w:rsidR="00491410" w:rsidRPr="003A1063" w:rsidRDefault="00491410" w:rsidP="00491410">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Arial"/>
          <w:kern w:val="0"/>
          <w:sz w:val="24"/>
          <w14:ligatures w14:val="none"/>
        </w:rPr>
      </w:pPr>
      <w:r>
        <w:rPr>
          <w:rFonts w:ascii="Times New Roman" w:hAnsi="Times New Roman"/>
          <w:sz w:val="24"/>
        </w:rPr>
        <w:t>E. Atkāpjoties no A punkta 1. apakšpunkta, dzimšanas vieta nav jāziņo, ja vien finanšu iestādei, kas sniedz ziņojumus, valsts tiesību aktos ir noteikts pienākums vākt un sniegt šādu informāciju saistībā citām vajadzībām un tā ir pieejama elektroniski uzmeklējamajos datos, kurus uztur finanšu iestāde, kas sniedz ziņojumus.</w:t>
      </w:r>
    </w:p>
    <w:p w14:paraId="309DAC6A" w14:textId="77777777" w:rsidR="00491410" w:rsidRPr="003A1063" w:rsidRDefault="00491410" w:rsidP="00491410">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Arial"/>
          <w:kern w:val="0"/>
          <w:sz w:val="24"/>
          <w14:ligatures w14:val="none"/>
        </w:rPr>
      </w:pPr>
      <w:r>
        <w:rPr>
          <w:rFonts w:ascii="Times New Roman" w:hAnsi="Times New Roman"/>
          <w:sz w:val="24"/>
        </w:rPr>
        <w:t>F. Atkāpjoties no A punkta, par [xxxx]. gadu jāsniedz A punktā minētā informācija, izņemot A. punkta 5. apakšpunkta b) daļā minēto informāciju par bruto ieņēmumiem.</w:t>
      </w:r>
    </w:p>
    <w:p w14:paraId="2BEC37C0" w14:textId="77777777" w:rsidR="00491410" w:rsidRPr="003A1063" w:rsidRDefault="00491410" w:rsidP="00491410">
      <w:pPr>
        <w:widowControl w:val="0"/>
        <w:tabs>
          <w:tab w:val="left" w:pos="524"/>
          <w:tab w:val="left" w:pos="526"/>
        </w:tabs>
        <w:autoSpaceDE w:val="0"/>
        <w:autoSpaceDN w:val="0"/>
        <w:spacing w:before="120" w:after="120" w:line="240" w:lineRule="auto"/>
        <w:ind w:left="284" w:hanging="284"/>
        <w:jc w:val="both"/>
        <w:rPr>
          <w:rFonts w:ascii="Times New Roman" w:eastAsia="Arial" w:hAnsi="Times New Roman" w:cs="Arial"/>
          <w:i/>
          <w:kern w:val="0"/>
          <w:sz w:val="24"/>
          <w14:ligatures w14:val="none"/>
        </w:rPr>
      </w:pPr>
      <w:r>
        <w:rPr>
          <w:rFonts w:ascii="Times New Roman" w:hAnsi="Times New Roman"/>
          <w:sz w:val="24"/>
        </w:rPr>
        <w:t xml:space="preserve">G. </w:t>
      </w:r>
      <w:r>
        <w:rPr>
          <w:rFonts w:ascii="Times New Roman" w:hAnsi="Times New Roman"/>
          <w:i/>
          <w:iCs/>
          <w:sz w:val="24"/>
          <w:u w:val="single"/>
        </w:rPr>
        <w:t>Atkāpjoties no A punkta 5. apakšpunkta b) daļas un ja vien finanšu iestāde, kas sniedz ziņojumus, neizlemj citādi attiecībā uz jebkādu skaidri identificētu kontu grupu, bruto ieņēmumi no finanšu aktīva pārdošanas vai dzēšanas nav jāziņo, ciktāl šādus bruto ieņēmumus no šāda finanšu aktīva pārdošanas vai dzēšanas finanšu iestāde, kas sniedz ziņojumus, paziņo saskaņā ar kriptoaktīvu ziņošanas sistēmu.</w:t>
      </w:r>
    </w:p>
    <w:p w14:paraId="2023810A"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0D1A30A2" w14:textId="77777777" w:rsidR="00491410" w:rsidRPr="003A1063" w:rsidRDefault="00491410" w:rsidP="00491410">
      <w:pPr>
        <w:pStyle w:val="Heading1"/>
        <w:spacing w:before="240" w:after="120" w:line="240" w:lineRule="auto"/>
        <w:rPr>
          <w:rFonts w:ascii="Times New Roman" w:eastAsia="Arial" w:hAnsi="Times New Roman" w:cs="Arial"/>
          <w:b/>
          <w:bCs/>
          <w:kern w:val="0"/>
          <w:sz w:val="24"/>
          <w:szCs w:val="24"/>
          <w14:ligatures w14:val="none"/>
        </w:rPr>
      </w:pPr>
      <w:bookmarkStart w:id="252" w:name="Section_V:_Due_Diligence_for_Preexisting"/>
      <w:bookmarkStart w:id="253" w:name="_bookmark43"/>
      <w:bookmarkStart w:id="254" w:name="_Toc241753098"/>
      <w:bookmarkEnd w:id="252"/>
      <w:bookmarkEnd w:id="253"/>
      <w:r>
        <w:rPr>
          <w:rFonts w:ascii="Times New Roman" w:hAnsi="Times New Roman"/>
          <w:b/>
          <w:color w:val="0B769F" w:themeColor="accent4" w:themeShade="BF"/>
          <w:sz w:val="26"/>
        </w:rPr>
        <w:t>V pants. Iepriekšpastāvējušu vienību kontu pienācīga pārbaude</w:t>
      </w:r>
      <w:bookmarkEnd w:id="254"/>
    </w:p>
    <w:p w14:paraId="40C85BB7"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b/>
          <w:kern w:val="0"/>
          <w:sz w:val="24"/>
          <w:szCs w:val="20"/>
          <w14:ligatures w14:val="none"/>
        </w:rPr>
      </w:pPr>
    </w:p>
    <w:p w14:paraId="61736367"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Lai no iepriekšpastāvējušo kontu klāsta identificētu kontus, par kuriem jāsniedz ziņojumi, piemēro turpmāk minētās procedūras.</w:t>
      </w:r>
    </w:p>
    <w:p w14:paraId="22B96426"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3D43D7B4" w14:textId="77777777" w:rsidR="00491410" w:rsidRPr="003A1063" w:rsidRDefault="00491410" w:rsidP="00491410">
      <w:pPr>
        <w:widowControl w:val="0"/>
        <w:autoSpaceDE w:val="0"/>
        <w:autoSpaceDN w:val="0"/>
        <w:spacing w:before="120" w:after="120" w:line="240" w:lineRule="auto"/>
        <w:jc w:val="both"/>
        <w:outlineLvl w:val="6"/>
        <w:rPr>
          <w:rFonts w:ascii="Times New Roman" w:eastAsia="Arial" w:hAnsi="Times New Roman" w:cs="Arial"/>
          <w:b/>
          <w:bCs/>
          <w:kern w:val="0"/>
          <w:sz w:val="24"/>
          <w:szCs w:val="20"/>
          <w14:ligatures w14:val="none"/>
        </w:rPr>
      </w:pPr>
      <w:r>
        <w:rPr>
          <w:rFonts w:ascii="Times New Roman" w:hAnsi="Times New Roman"/>
          <w:b/>
          <w:sz w:val="24"/>
        </w:rPr>
        <w:t>D. Pārskatīšanas procedūras, lai identificētu vienību kontus, par kuriem ir pienākums ziņot</w:t>
      </w:r>
    </w:p>
    <w:p w14:paraId="6EB6DC52"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782F1E03" w14:textId="77777777" w:rsidR="00491410" w:rsidRPr="003A1063" w:rsidRDefault="00491410" w:rsidP="00491410">
      <w:pPr>
        <w:widowControl w:val="0"/>
        <w:tabs>
          <w:tab w:val="left" w:pos="470"/>
        </w:tabs>
        <w:autoSpaceDE w:val="0"/>
        <w:autoSpaceDN w:val="0"/>
        <w:spacing w:before="120" w:after="120" w:line="240" w:lineRule="auto"/>
        <w:jc w:val="both"/>
        <w:outlineLvl w:val="6"/>
        <w:rPr>
          <w:rFonts w:ascii="Times New Roman" w:eastAsia="Arial" w:hAnsi="Times New Roman" w:cs="Arial"/>
          <w:b/>
          <w:bCs/>
          <w:kern w:val="0"/>
          <w:sz w:val="24"/>
          <w:szCs w:val="20"/>
          <w14:ligatures w14:val="none"/>
        </w:rPr>
      </w:pPr>
      <w:r>
        <w:rPr>
          <w:rFonts w:ascii="Times New Roman" w:hAnsi="Times New Roman"/>
          <w:b/>
          <w:sz w:val="24"/>
        </w:rPr>
        <w:t>2. Nosaka, vai vienība ir pasīva nefinanšu vienība, ko kontrolē viena vai vairākas personas, par kurām jāsniedz ziņojums</w:t>
      </w:r>
    </w:p>
    <w:p w14:paraId="429F4C68"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7442FA3C"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 xml:space="preserve">b) </w:t>
      </w:r>
      <w:r>
        <w:rPr>
          <w:rFonts w:ascii="Times New Roman" w:hAnsi="Times New Roman"/>
          <w:b/>
          <w:bCs/>
          <w:sz w:val="24"/>
        </w:rPr>
        <w:t>Nosaka konta turētāja kontrolējošās personas.</w:t>
      </w:r>
      <w:r>
        <w:rPr>
          <w:rFonts w:ascii="Times New Roman" w:hAnsi="Times New Roman"/>
          <w:b/>
          <w:sz w:val="24"/>
        </w:rPr>
        <w:t xml:space="preserve"> </w:t>
      </w:r>
      <w:r>
        <w:rPr>
          <w:rFonts w:ascii="Times New Roman" w:hAnsi="Times New Roman"/>
          <w:sz w:val="24"/>
        </w:rPr>
        <w:t xml:space="preserve">Lai noskaidrotu konta turētāja kontrolējošās personas, finanšu iestāde, kas sniedz ziņojumus, var paļauties uz informāciju, kura savākta un saglabāta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w:t>
      </w:r>
    </w:p>
    <w:p w14:paraId="4886C270"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74DE193A" w14:textId="77777777" w:rsidR="00491410" w:rsidRPr="003A1063" w:rsidRDefault="00491410" w:rsidP="00491410">
      <w:pPr>
        <w:pStyle w:val="Heading1"/>
        <w:spacing w:before="240" w:after="120" w:line="240" w:lineRule="auto"/>
        <w:rPr>
          <w:rFonts w:ascii="Times New Roman" w:eastAsia="Arial" w:hAnsi="Times New Roman" w:cs="Arial"/>
          <w:b/>
          <w:bCs/>
          <w:kern w:val="0"/>
          <w:sz w:val="24"/>
          <w:szCs w:val="24"/>
          <w14:ligatures w14:val="none"/>
        </w:rPr>
      </w:pPr>
      <w:bookmarkStart w:id="255" w:name="Section_VI:_Due_Diligence_for_New_Entity"/>
      <w:bookmarkStart w:id="256" w:name="_bookmark44"/>
      <w:bookmarkStart w:id="257" w:name="_Toc241753099"/>
      <w:bookmarkEnd w:id="255"/>
      <w:bookmarkEnd w:id="256"/>
      <w:r>
        <w:rPr>
          <w:rFonts w:ascii="Times New Roman" w:hAnsi="Times New Roman"/>
          <w:b/>
          <w:color w:val="0B769F" w:themeColor="accent4" w:themeShade="BF"/>
          <w:sz w:val="26"/>
        </w:rPr>
        <w:t>VI pants. Jaunu vienības kontu pienācīga pārbaude</w:t>
      </w:r>
      <w:bookmarkEnd w:id="257"/>
    </w:p>
    <w:p w14:paraId="077ABE69"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Lai no jaunu vienību kontu klāsta identificētu kontus, par kuriem jāsniedz ziņojumi, piemēro turpmāk minētās procedūras.</w:t>
      </w:r>
    </w:p>
    <w:p w14:paraId="0AE76AD6"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6AFA390E" w14:textId="77777777" w:rsidR="00491410" w:rsidRPr="003A1063" w:rsidRDefault="00491410" w:rsidP="00491410">
      <w:pPr>
        <w:widowControl w:val="0"/>
        <w:autoSpaceDE w:val="0"/>
        <w:autoSpaceDN w:val="0"/>
        <w:spacing w:before="120" w:after="120" w:line="240" w:lineRule="auto"/>
        <w:jc w:val="both"/>
        <w:outlineLvl w:val="6"/>
        <w:rPr>
          <w:rFonts w:ascii="Times New Roman" w:eastAsia="Arial" w:hAnsi="Times New Roman" w:cs="Arial"/>
          <w:b/>
          <w:bCs/>
          <w:kern w:val="0"/>
          <w:sz w:val="24"/>
          <w:szCs w:val="20"/>
          <w14:ligatures w14:val="none"/>
        </w:rPr>
      </w:pPr>
      <w:r>
        <w:rPr>
          <w:rFonts w:ascii="Times New Roman" w:hAnsi="Times New Roman"/>
          <w:b/>
          <w:sz w:val="24"/>
        </w:rPr>
        <w:t>A. Pārskatīšanas procedūras, lai identificētu vienību kontus, par kuriem ir pienākums ziņot</w:t>
      </w:r>
    </w:p>
    <w:p w14:paraId="1C6BB976"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6BB6A294" w14:textId="77777777" w:rsidR="00491410" w:rsidRPr="003A1063" w:rsidRDefault="00491410" w:rsidP="00491410">
      <w:pPr>
        <w:widowControl w:val="0"/>
        <w:autoSpaceDE w:val="0"/>
        <w:autoSpaceDN w:val="0"/>
        <w:spacing w:before="120" w:after="120" w:line="240" w:lineRule="auto"/>
        <w:jc w:val="both"/>
        <w:outlineLvl w:val="6"/>
        <w:rPr>
          <w:rFonts w:ascii="Times New Roman" w:eastAsia="Arial" w:hAnsi="Times New Roman" w:cs="Arial"/>
          <w:b/>
          <w:bCs/>
          <w:kern w:val="0"/>
          <w:sz w:val="24"/>
          <w:szCs w:val="20"/>
          <w14:ligatures w14:val="none"/>
        </w:rPr>
      </w:pPr>
      <w:r>
        <w:rPr>
          <w:rFonts w:ascii="Times New Roman" w:hAnsi="Times New Roman"/>
          <w:b/>
          <w:sz w:val="24"/>
        </w:rPr>
        <w:t>2. Nosaka, vai vienība ir pasīva nefinanšu vienība, ko kontrolē viena vai vairākas personas, par kurām jāsniedz ziņojums</w:t>
      </w:r>
    </w:p>
    <w:p w14:paraId="5888093E"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75D76490" w14:textId="77777777" w:rsidR="00491410" w:rsidRPr="003A1063" w:rsidRDefault="00491410" w:rsidP="00491410">
      <w:pPr>
        <w:widowControl w:val="0"/>
        <w:tabs>
          <w:tab w:val="left" w:pos="489"/>
        </w:tabs>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sz w:val="24"/>
        </w:rPr>
        <w:t xml:space="preserve">b) </w:t>
      </w:r>
      <w:r>
        <w:rPr>
          <w:rFonts w:ascii="Times New Roman" w:hAnsi="Times New Roman"/>
          <w:b/>
          <w:bCs/>
          <w:sz w:val="24"/>
        </w:rPr>
        <w:t>Nosaka konta turētāja kontrolējošās personas.</w:t>
      </w:r>
      <w:r>
        <w:rPr>
          <w:rFonts w:ascii="Times New Roman" w:hAnsi="Times New Roman"/>
          <w:sz w:val="24"/>
        </w:rPr>
        <w:t xml:space="preserve"> Lai noskaidrotu konta turētāja kontrolējošās personas, finanšu iestāde, kas sniedz ziņojumus, var paļauties uz informāciju, kura savākta un saglabāta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w:t>
      </w:r>
      <w:r>
        <w:rPr>
          <w:rFonts w:ascii="Times New Roman" w:hAnsi="Times New Roman"/>
          <w:i/>
          <w:iCs/>
          <w:sz w:val="24"/>
          <w:u w:val="single"/>
        </w:rPr>
        <w:t>ar nosacījumu, ka šīs procedūras atbilst</w:t>
      </w:r>
      <w:r>
        <w:rPr>
          <w:rFonts w:ascii="Times New Roman" w:hAnsi="Times New Roman"/>
          <w:sz w:val="24"/>
          <w:u w:val="single"/>
        </w:rPr>
        <w:t xml:space="preserve"> FATF </w:t>
      </w:r>
      <w:r>
        <w:rPr>
          <w:rFonts w:ascii="Times New Roman" w:hAnsi="Times New Roman"/>
          <w:i/>
          <w:iCs/>
          <w:sz w:val="24"/>
          <w:u w:val="single"/>
        </w:rPr>
        <w:t>2012. gada ieteikumiem</w:t>
      </w:r>
      <w:r>
        <w:rPr>
          <w:rFonts w:ascii="Times New Roman" w:hAnsi="Times New Roman"/>
          <w:sz w:val="24"/>
        </w:rPr>
        <w:t>.</w:t>
      </w:r>
      <w:r>
        <w:rPr>
          <w:rFonts w:ascii="Times New Roman" w:hAnsi="Times New Roman"/>
          <w:i/>
          <w:sz w:val="24"/>
          <w:u w:val="single"/>
        </w:rPr>
        <w:t xml:space="preserve"> Ja finanšu iestādei, kas sniedz ziņojumus, nav juridiski noteikts pienākums piemērot AML/KYC procedūras, kas saskan ar FATF 2012. gada ieteikumiem, tai kontrolējošo personu noteikšanai jāpiemēro pēc būtības līdzīgas procedūras.</w:t>
      </w:r>
    </w:p>
    <w:p w14:paraId="6339EEBB"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4088770B"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4E4BA52E" w14:textId="77777777" w:rsidR="00491410" w:rsidRPr="00BF04B7"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58" w:name="Section_VII:_Special_Due_Diligence_Rules"/>
      <w:bookmarkStart w:id="259" w:name="_bookmark45"/>
      <w:bookmarkStart w:id="260" w:name="_Toc241753100"/>
      <w:bookmarkEnd w:id="258"/>
      <w:bookmarkEnd w:id="259"/>
      <w:r>
        <w:rPr>
          <w:rFonts w:ascii="Times New Roman" w:hAnsi="Times New Roman"/>
          <w:b/>
          <w:color w:val="0B769F" w:themeColor="accent4" w:themeShade="BF"/>
          <w:sz w:val="26"/>
        </w:rPr>
        <w:t>VII pants. Īpašie pienācīgas pārbaudes noteikumi</w:t>
      </w:r>
      <w:bookmarkEnd w:id="260"/>
    </w:p>
    <w:p w14:paraId="470CBACA"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Īstenojot iepriekš izklāstītās pienācīgas pārbaudes procedūras, piemēro turpmāk minētos papildu noteikumus.</w:t>
      </w:r>
    </w:p>
    <w:p w14:paraId="4E66B27F" w14:textId="77777777" w:rsidR="00491410" w:rsidRPr="003A1063" w:rsidRDefault="00491410" w:rsidP="00491410">
      <w:pPr>
        <w:widowControl w:val="0"/>
        <w:tabs>
          <w:tab w:val="left" w:pos="524"/>
        </w:tabs>
        <w:autoSpaceDE w:val="0"/>
        <w:autoSpaceDN w:val="0"/>
        <w:spacing w:before="120" w:after="120" w:line="240" w:lineRule="auto"/>
        <w:jc w:val="both"/>
        <w:outlineLvl w:val="3"/>
        <w:rPr>
          <w:rFonts w:ascii="Times New Roman" w:eastAsia="Arial" w:hAnsi="Times New Roman" w:cs="Arial"/>
          <w:b/>
          <w:bCs/>
          <w:i/>
          <w:iCs/>
          <w:kern w:val="0"/>
          <w:sz w:val="24"/>
          <w:u w:val="single"/>
          <w14:ligatures w14:val="none"/>
        </w:rPr>
      </w:pPr>
      <w:bookmarkStart w:id="261" w:name="A._Reliance_on_Self-Certifications_and_D"/>
      <w:bookmarkEnd w:id="261"/>
      <w:r>
        <w:rPr>
          <w:rFonts w:ascii="Times New Roman" w:hAnsi="Times New Roman"/>
          <w:b/>
          <w:i/>
          <w:sz w:val="24"/>
        </w:rPr>
        <w:t>A. Paļaušanās uz pašapliecinājumiem un dokumentāriem pierādījumiem</w:t>
      </w:r>
    </w:p>
    <w:p w14:paraId="54DA872E"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Finanšu iestāde, kas sniedz ziņojumus, nedrīkst paļauties uz pašapliecinājumu vai dokumentāriem pierādījumiem, ja tā zina vai tai ir pamats zināt, ka pašapliecinājums vai dokumentārie pierādījumi ir nepareizi vai neuzticami.</w:t>
      </w:r>
    </w:p>
    <w:p w14:paraId="5E80CFC4"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i/>
          <w:sz w:val="24"/>
          <w:u w:val="single"/>
        </w:rPr>
        <w:t>A.bis. Īslaicīgi nav pašapliecinājuma</w:t>
      </w:r>
    </w:p>
    <w:p w14:paraId="0EAF8D2A"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i/>
          <w:sz w:val="24"/>
          <w:u w:val="single"/>
        </w:rPr>
        <w:t>Izņēmuma apstākļos, ja finanšu iestāde, kas sniedz ziņojumus, attiecībā uz jaunu kontu nevar savlaicīgi iegūt pašapliecinājumu, lai izpildītu pienācīgas pārbaudes un ziņošanas pienākumus par pārskata periodu, kurā konts tika atvērts, finanšu iestādei, kas sniedz ziņojumus, jāpiemēro iepriekšpastāvējušiem kontiem paredzētās pienācīgas pārbaudes procedūras līdz brīdim, kad attiecīgais pašapliecinājums ir iegūts un tā derīgums ir pārbaudīts.</w:t>
      </w:r>
    </w:p>
    <w:p w14:paraId="7FC73A81"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191C5430"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6ED66983" w14:textId="77777777" w:rsidR="00491410" w:rsidRPr="00CB339D"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62" w:name="Section_VIII:_Defined_Terms"/>
      <w:bookmarkStart w:id="263" w:name="_bookmark46"/>
      <w:bookmarkStart w:id="264" w:name="_Toc241753101"/>
      <w:bookmarkEnd w:id="262"/>
      <w:bookmarkEnd w:id="263"/>
      <w:r>
        <w:rPr>
          <w:rFonts w:ascii="Times New Roman" w:hAnsi="Times New Roman"/>
          <w:b/>
          <w:color w:val="0B769F" w:themeColor="accent4" w:themeShade="BF"/>
          <w:sz w:val="26"/>
        </w:rPr>
        <w:t>VIII pants. Terminu definīcijas</w:t>
      </w:r>
      <w:bookmarkEnd w:id="264"/>
    </w:p>
    <w:p w14:paraId="329AA9A5" w14:textId="77777777" w:rsidR="00491410" w:rsidRPr="003A1063" w:rsidRDefault="00491410" w:rsidP="00491410">
      <w:pPr>
        <w:widowControl w:val="0"/>
        <w:tabs>
          <w:tab w:val="left" w:pos="524"/>
        </w:tabs>
        <w:autoSpaceDE w:val="0"/>
        <w:autoSpaceDN w:val="0"/>
        <w:spacing w:before="120" w:after="120" w:line="240" w:lineRule="auto"/>
        <w:jc w:val="both"/>
        <w:outlineLvl w:val="3"/>
        <w:rPr>
          <w:rFonts w:ascii="Times New Roman" w:eastAsia="Arial" w:hAnsi="Times New Roman" w:cs="Arial"/>
          <w:b/>
          <w:bCs/>
          <w:i/>
          <w:iCs/>
          <w:kern w:val="0"/>
          <w:sz w:val="24"/>
          <w14:ligatures w14:val="none"/>
        </w:rPr>
      </w:pPr>
      <w:bookmarkStart w:id="265" w:name="A._Reporting_Financial_Institution"/>
      <w:bookmarkEnd w:id="265"/>
      <w:r>
        <w:rPr>
          <w:rFonts w:ascii="Times New Roman" w:hAnsi="Times New Roman"/>
          <w:b/>
          <w:i/>
          <w:sz w:val="24"/>
        </w:rPr>
        <w:t>A. Finanšu iestāde, kas sniedz ziņojumus</w:t>
      </w:r>
    </w:p>
    <w:p w14:paraId="726AFDDF"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0D9A598A" w14:textId="77777777" w:rsidR="00491410" w:rsidRPr="003A1063" w:rsidRDefault="00491410" w:rsidP="00491410">
      <w:pPr>
        <w:widowControl w:val="0"/>
        <w:tabs>
          <w:tab w:val="left" w:pos="463"/>
        </w:tabs>
        <w:autoSpaceDE w:val="0"/>
        <w:autoSpaceDN w:val="0"/>
        <w:spacing w:before="120" w:after="120" w:line="240" w:lineRule="auto"/>
        <w:jc w:val="both"/>
        <w:rPr>
          <w:rFonts w:ascii="Times New Roman" w:eastAsia="Arial" w:hAnsi="Times New Roman" w:cs="Arial"/>
          <w:b/>
          <w:kern w:val="0"/>
          <w:sz w:val="24"/>
          <w14:ligatures w14:val="none"/>
        </w:rPr>
      </w:pPr>
      <w:r>
        <w:rPr>
          <w:rFonts w:ascii="Times New Roman" w:hAnsi="Times New Roman"/>
          <w:sz w:val="24"/>
        </w:rPr>
        <w:lastRenderedPageBreak/>
        <w:t xml:space="preserve">5. </w:t>
      </w:r>
      <w:r>
        <w:rPr>
          <w:rFonts w:ascii="Times New Roman" w:hAnsi="Times New Roman"/>
          <w:b/>
          <w:bCs/>
          <w:sz w:val="24"/>
        </w:rPr>
        <w:t>“Noguldījumu iestāde”</w:t>
      </w:r>
      <w:r>
        <w:rPr>
          <w:rFonts w:ascii="Times New Roman" w:hAnsi="Times New Roman"/>
          <w:sz w:val="24"/>
        </w:rPr>
        <w:t xml:space="preserve"> ir vienība, kas:</w:t>
      </w:r>
    </w:p>
    <w:p w14:paraId="7569AA9E" w14:textId="77777777" w:rsidR="00491410" w:rsidRPr="003A1063" w:rsidRDefault="00491410" w:rsidP="00491410">
      <w:pPr>
        <w:widowControl w:val="0"/>
        <w:tabs>
          <w:tab w:val="left" w:pos="1182"/>
        </w:tabs>
        <w:autoSpaceDE w:val="0"/>
        <w:autoSpaceDN w:val="0"/>
        <w:spacing w:before="120" w:after="120" w:line="240" w:lineRule="auto"/>
        <w:ind w:left="284"/>
        <w:jc w:val="both"/>
        <w:rPr>
          <w:rFonts w:ascii="Times New Roman" w:eastAsia="Arial" w:hAnsi="Times New Roman" w:cs="Arial"/>
          <w:kern w:val="0"/>
          <w:sz w:val="24"/>
          <w:u w:val="single"/>
          <w14:ligatures w14:val="none"/>
        </w:rPr>
      </w:pPr>
      <w:r>
        <w:rPr>
          <w:rFonts w:ascii="Times New Roman" w:hAnsi="Times New Roman"/>
          <w:sz w:val="24"/>
        </w:rPr>
        <w:t>a) pieņem noguldījumus parastā banku vai līdzīgas darījumdarbības gaitā</w:t>
      </w:r>
      <w:r>
        <w:rPr>
          <w:rFonts w:ascii="Times New Roman" w:hAnsi="Times New Roman"/>
          <w:i/>
          <w:iCs/>
          <w:sz w:val="24"/>
          <w:u w:val="single"/>
        </w:rPr>
        <w:t xml:space="preserve"> vai</w:t>
      </w:r>
    </w:p>
    <w:p w14:paraId="71C36508"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7007EB00" w14:textId="77777777" w:rsidR="00491410" w:rsidRPr="003A1063" w:rsidRDefault="00491410" w:rsidP="00491410">
      <w:pPr>
        <w:widowControl w:val="0"/>
        <w:tabs>
          <w:tab w:val="left" w:pos="420"/>
        </w:tabs>
        <w:autoSpaceDE w:val="0"/>
        <w:autoSpaceDN w:val="0"/>
        <w:spacing w:before="120" w:after="120" w:line="240" w:lineRule="auto"/>
        <w:ind w:left="284" w:hanging="142"/>
        <w:jc w:val="both"/>
        <w:rPr>
          <w:rFonts w:ascii="Times New Roman" w:eastAsia="Arial" w:hAnsi="Times New Roman" w:cs="Arial"/>
          <w:i/>
          <w:kern w:val="0"/>
          <w:sz w:val="24"/>
          <w:u w:val="single"/>
          <w14:ligatures w14:val="none"/>
        </w:rPr>
      </w:pPr>
      <w:r>
        <w:rPr>
          <w:rFonts w:ascii="Times New Roman" w:hAnsi="Times New Roman"/>
          <w:i/>
          <w:sz w:val="24"/>
          <w:u w:val="single"/>
        </w:rPr>
        <w:t>b) tur noteiktos elektroniskās naudas produktus vai centrālās bankas digitālās valūtas klientu labā.</w:t>
      </w:r>
    </w:p>
    <w:p w14:paraId="7ACF4C04" w14:textId="77777777" w:rsidR="00491410" w:rsidRPr="003A1063" w:rsidRDefault="00491410" w:rsidP="00491410">
      <w:pPr>
        <w:widowControl w:val="0"/>
        <w:tabs>
          <w:tab w:val="left" w:pos="463"/>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6. </w:t>
      </w:r>
      <w:r>
        <w:rPr>
          <w:rFonts w:ascii="Times New Roman" w:hAnsi="Times New Roman"/>
          <w:b/>
          <w:bCs/>
          <w:sz w:val="24"/>
        </w:rPr>
        <w:t>“Ieguldījumu vienība”</w:t>
      </w:r>
      <w:r>
        <w:rPr>
          <w:rFonts w:ascii="Times New Roman" w:hAnsi="Times New Roman"/>
          <w:sz w:val="24"/>
        </w:rPr>
        <w:t xml:space="preserve"> ir vienība:</w:t>
      </w:r>
    </w:p>
    <w:p w14:paraId="7DA440BE" w14:textId="77777777" w:rsidR="00491410" w:rsidRPr="003A1063" w:rsidRDefault="00491410" w:rsidP="00491410">
      <w:pPr>
        <w:widowControl w:val="0"/>
        <w:tabs>
          <w:tab w:val="left" w:pos="1182"/>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a) kuras darījumdarbība galvenokārt ir veikt vienu vai vairākas šādas darbības vai operācijas klienta uzdevumā vai vārdā:</w:t>
      </w:r>
    </w:p>
    <w:p w14:paraId="2154ACA4" w14:textId="77777777" w:rsidR="00491410" w:rsidRPr="003A1063" w:rsidRDefault="00491410" w:rsidP="00491410">
      <w:pPr>
        <w:widowControl w:val="0"/>
        <w:tabs>
          <w:tab w:val="left" w:pos="1689"/>
        </w:tabs>
        <w:autoSpaceDE w:val="0"/>
        <w:autoSpaceDN w:val="0"/>
        <w:spacing w:before="120" w:after="120" w:line="240" w:lineRule="auto"/>
        <w:ind w:left="851" w:hanging="283"/>
        <w:jc w:val="both"/>
        <w:rPr>
          <w:rFonts w:ascii="Times New Roman" w:eastAsia="Arial" w:hAnsi="Times New Roman" w:cs="Arial"/>
          <w:kern w:val="0"/>
          <w:sz w:val="24"/>
          <w14:ligatures w14:val="none"/>
        </w:rPr>
      </w:pPr>
      <w:r>
        <w:rPr>
          <w:rFonts w:ascii="Times New Roman" w:hAnsi="Times New Roman"/>
          <w:sz w:val="24"/>
        </w:rPr>
        <w:t>i) tirdzniecība ar naudas tirgus instrumentiem (čekiem, vekseļiem, noguldījumu sertifikātiem, atvasinātiem instrumentiem u. c.), ārvalstu valūtu, valūtas kursa, procentu likmju un indeksu instrumentiem, pārvedamiem vērtspapīriem vai regulētā tirgū tirgotiem preču nākotnes līgumiem;</w:t>
      </w:r>
    </w:p>
    <w:p w14:paraId="486FCD8B" w14:textId="77777777" w:rsidR="00491410" w:rsidRPr="003A1063" w:rsidRDefault="00491410" w:rsidP="00491410">
      <w:pPr>
        <w:widowControl w:val="0"/>
        <w:tabs>
          <w:tab w:val="left" w:pos="1716"/>
        </w:tabs>
        <w:autoSpaceDE w:val="0"/>
        <w:autoSpaceDN w:val="0"/>
        <w:spacing w:before="120" w:after="120" w:line="240" w:lineRule="auto"/>
        <w:ind w:left="851" w:hanging="283"/>
        <w:jc w:val="both"/>
        <w:rPr>
          <w:rFonts w:ascii="Times New Roman" w:eastAsia="Arial" w:hAnsi="Times New Roman" w:cs="Arial"/>
          <w:kern w:val="0"/>
          <w:sz w:val="24"/>
          <w14:ligatures w14:val="none"/>
        </w:rPr>
      </w:pPr>
      <w:r>
        <w:rPr>
          <w:rFonts w:ascii="Times New Roman" w:hAnsi="Times New Roman"/>
          <w:sz w:val="24"/>
        </w:rPr>
        <w:t>ii) individuāla un kolektīva portfeļa pārvaldība vai</w:t>
      </w:r>
    </w:p>
    <w:p w14:paraId="042D2FA8" w14:textId="77777777" w:rsidR="00491410" w:rsidRPr="003A1063" w:rsidRDefault="00491410" w:rsidP="00491410">
      <w:pPr>
        <w:widowControl w:val="0"/>
        <w:tabs>
          <w:tab w:val="left" w:pos="1752"/>
        </w:tabs>
        <w:autoSpaceDE w:val="0"/>
        <w:autoSpaceDN w:val="0"/>
        <w:spacing w:before="120" w:after="120" w:line="240" w:lineRule="auto"/>
        <w:ind w:left="851" w:hanging="283"/>
        <w:jc w:val="both"/>
        <w:rPr>
          <w:rFonts w:ascii="Times New Roman" w:eastAsia="Arial" w:hAnsi="Times New Roman" w:cs="Arial"/>
          <w:kern w:val="0"/>
          <w:sz w:val="24"/>
          <w14:ligatures w14:val="none"/>
        </w:rPr>
      </w:pPr>
      <w:r>
        <w:rPr>
          <w:rFonts w:ascii="Times New Roman" w:hAnsi="Times New Roman"/>
          <w:sz w:val="24"/>
        </w:rPr>
        <w:t xml:space="preserve">iii) citāda finanšu aktīvu, naudas </w:t>
      </w:r>
      <w:r>
        <w:rPr>
          <w:rFonts w:ascii="Times New Roman" w:hAnsi="Times New Roman"/>
          <w:i/>
          <w:iCs/>
          <w:sz w:val="24"/>
          <w:u w:val="single"/>
        </w:rPr>
        <w:t>vai attiecīgo kriptoaktīvu</w:t>
      </w:r>
      <w:r>
        <w:rPr>
          <w:rFonts w:ascii="Times New Roman" w:hAnsi="Times New Roman"/>
          <w:sz w:val="24"/>
        </w:rPr>
        <w:t xml:space="preserve"> ieguldīšana, administrēšana vai pārvaldība citu personu vārdā vai</w:t>
      </w:r>
    </w:p>
    <w:p w14:paraId="5489F18F" w14:textId="77777777" w:rsidR="00491410" w:rsidRPr="003A1063" w:rsidRDefault="00491410" w:rsidP="00491410">
      <w:pPr>
        <w:widowControl w:val="0"/>
        <w:tabs>
          <w:tab w:val="left" w:pos="1183"/>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 xml:space="preserve">b) kuras bruto ienākumi galvenokārt ir saistīti ar </w:t>
      </w:r>
      <w:r>
        <w:rPr>
          <w:rFonts w:ascii="Times New Roman" w:hAnsi="Times New Roman"/>
          <w:i/>
          <w:iCs/>
          <w:sz w:val="24"/>
          <w:u w:val="single"/>
        </w:rPr>
        <w:t>finanšu aktīvu vai attiecīgo kriptoaktīvu</w:t>
      </w:r>
      <w:r>
        <w:rPr>
          <w:rFonts w:ascii="Times New Roman" w:hAnsi="Times New Roman"/>
          <w:sz w:val="24"/>
        </w:rPr>
        <w:t xml:space="preserve"> ieguldīšanu, atkārtotu ieguldīšanu vai tirdzniecību, </w:t>
      </w:r>
      <w:r>
        <w:rPr>
          <w:rFonts w:ascii="Times New Roman" w:hAnsi="Times New Roman"/>
          <w:i/>
          <w:iCs/>
          <w:sz w:val="24"/>
          <w:u w:val="single"/>
        </w:rPr>
        <w:t>ja vienību pārvalda cita vienība, kas ir noguldījumu iestāde, turētājiestāde</w:t>
      </w:r>
      <w:r>
        <w:rPr>
          <w:rFonts w:ascii="Times New Roman" w:hAnsi="Times New Roman"/>
          <w:sz w:val="24"/>
        </w:rPr>
        <w:t>, specializētā apdrošināšanas sabiedrība vai ieguldījumu vienība, kura minēta A punkta 6. apakšpunkta a) daļā.</w:t>
      </w:r>
    </w:p>
    <w:p w14:paraId="4B04D743"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Uzskata, ka vienības darījumdarbība galvenokārt ir viena vai vairākas A punkta 6. apakšpunkta a) daļā aprakstītās darbības vai ka vienības bruto ienākumi galvenokārt ir saistīti ar finanšu aktīvu </w:t>
      </w:r>
      <w:r>
        <w:rPr>
          <w:rFonts w:ascii="Times New Roman" w:hAnsi="Times New Roman"/>
          <w:i/>
          <w:iCs/>
          <w:sz w:val="24"/>
          <w:u w:val="single"/>
        </w:rPr>
        <w:t>vai attiecīgo kriptoaktīvu</w:t>
      </w:r>
      <w:r>
        <w:rPr>
          <w:rFonts w:ascii="Times New Roman" w:hAnsi="Times New Roman"/>
          <w:sz w:val="24"/>
        </w:rPr>
        <w:t xml:space="preserve"> ieguldīšanu, atkārtotu ieguldīšanu vai tirdzniecību A punkta 6. apakšpunkta b) daļas vajadzībām, ja vienības bruto ienākumi, kas saistīti ar attiecīgajām darbībām, ir vismaz 50 % no vienības bruto ienākumiem vai nu: i) trīs gadu laika posmā, kurš beidzas tāda gada 31. decembrī, kas seko gadam, kad ir veikta noteikšana, vai arī ii) vienības pastāvēšanas laika posmā, piemērojot īsāko no šiem laika posmiem. </w:t>
      </w:r>
      <w:r>
        <w:rPr>
          <w:rFonts w:ascii="Times New Roman" w:hAnsi="Times New Roman"/>
          <w:i/>
          <w:iCs/>
          <w:sz w:val="24"/>
          <w:u w:val="single"/>
        </w:rPr>
        <w:t>Šā panta A punkta 6. apakšpunkta a) daļas iii) punkta vajadzībām termins “citāda finanšu aktīvu, naudas vai attiecīgo kriptoaktīvu ieguldīšana, administrēšana vai pārvaldība citu personu vārdā” neietver pakalpojumu, ar ko izpilda maiņas darījumus klientiem vai to vārdā.</w:t>
      </w:r>
      <w:r>
        <w:rPr>
          <w:rFonts w:ascii="Times New Roman" w:hAnsi="Times New Roman"/>
          <w:sz w:val="24"/>
        </w:rPr>
        <w:t xml:space="preserve"> Termins “ieguldījumu vienība” neietver vienību, kas ir aktīva nefinanšu vienība, jo minētā vienība atbilst visiem D punkta 9. apakšpunkta d)–g) daļas kritērijiem.</w:t>
      </w:r>
    </w:p>
    <w:p w14:paraId="13C2F6CA" w14:textId="77777777" w:rsidR="00491410"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Šo apakšpunktu interpretē atbilstīgi tam, kā ir formulēta termina “finanšu iestāde” definīcija Finanšu darījumu darba grupas (</w:t>
      </w:r>
      <w:r>
        <w:rPr>
          <w:rFonts w:ascii="Times New Roman" w:hAnsi="Times New Roman"/>
          <w:i/>
          <w:iCs/>
          <w:sz w:val="24"/>
        </w:rPr>
        <w:t>Financial Action Task Force</w:t>
      </w:r>
      <w:r>
        <w:rPr>
          <w:rFonts w:ascii="Times New Roman" w:hAnsi="Times New Roman"/>
          <w:sz w:val="24"/>
        </w:rPr>
        <w:t>) ieteikumos.</w:t>
      </w:r>
    </w:p>
    <w:p w14:paraId="398267DE"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r>
        <w:rPr>
          <w:rFonts w:ascii="Times New Roman" w:hAnsi="Times New Roman"/>
          <w:sz w:val="24"/>
        </w:rPr>
        <w:t>(..)</w:t>
      </w:r>
    </w:p>
    <w:p w14:paraId="5AD78A3C" w14:textId="77777777" w:rsidR="00491410" w:rsidRPr="003A1063" w:rsidRDefault="00491410" w:rsidP="00491410">
      <w:pPr>
        <w:widowControl w:val="0"/>
        <w:tabs>
          <w:tab w:val="left" w:pos="506"/>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7. </w:t>
      </w:r>
      <w:r>
        <w:rPr>
          <w:rFonts w:ascii="Times New Roman" w:hAnsi="Times New Roman"/>
          <w:b/>
          <w:bCs/>
          <w:sz w:val="24"/>
        </w:rPr>
        <w:t>“Finanšu aktīvs”</w:t>
      </w:r>
      <w:r>
        <w:rPr>
          <w:rFonts w:ascii="Times New Roman" w:hAnsi="Times New Roman"/>
          <w:sz w:val="24"/>
        </w:rPr>
        <w:t xml:space="preserve"> ir vērtspapīri (piemēram, kapitāla daļas kapitālsabiedrībā, uzņēmējsabiedrības daļas vai faktisko īpašumtiesību daļas plaši turētā vai publiskā akciju sabiedrībā vai trastā, vekseļi, obligācijas, parādzīmes vai cita veida parādsaistību apliecinājumi), daļas uzņēmējsabiedrībā, preces, mijmaiņas līgumi (piemēram, procentu likmju mijmaiņas līgumi, valūtas mijmaiņas līgumi, bāzes mijmaiņas līgumi, procentu likmes maksimālo robežvērtības līgumi, procentu likmju minimālo robežvērtību līgumi, ar precēm saistīti mijmaiņas līgumi, akciju mijmaiņas līgumi, akciju indeksu mijmaiņas līgumi un līdzīgas vienošanās), apdrošināšanas līgumi vai anuitātes līgumi, vai jebkāda līdzdalība (tostarp regulētā tirgū tirgoti un regulētā tirgū netirgoti nākotnes līgumi vai iespējas līgumi) vērtspapīros, </w:t>
      </w:r>
      <w:r>
        <w:rPr>
          <w:rFonts w:ascii="Times New Roman" w:hAnsi="Times New Roman"/>
          <w:i/>
          <w:iCs/>
          <w:sz w:val="24"/>
        </w:rPr>
        <w:t>attiecīgajos kriptoaktīvos</w:t>
      </w:r>
      <w:r>
        <w:rPr>
          <w:rFonts w:ascii="Times New Roman" w:hAnsi="Times New Roman"/>
          <w:sz w:val="24"/>
        </w:rPr>
        <w:t>, uzņēmējsabiedrības daļās, preču līgumos, mijmaiņas līgumos, apdrošināšanas līgumos vai anuitātes līgumos. Termins “finanšu aktīvs” neietver ar parāda finansējumu nesaistītu tiešu līdzdalību nekustamā īpašumā.</w:t>
      </w:r>
    </w:p>
    <w:p w14:paraId="19DF10CB"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w:t>
      </w:r>
    </w:p>
    <w:p w14:paraId="1D93EBED" w14:textId="77777777" w:rsidR="00491410" w:rsidRPr="003A1063" w:rsidRDefault="00491410" w:rsidP="00491410">
      <w:pPr>
        <w:widowControl w:val="0"/>
        <w:tabs>
          <w:tab w:val="left" w:pos="409"/>
        </w:tabs>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i/>
          <w:sz w:val="24"/>
          <w:u w:val="single"/>
        </w:rPr>
        <w:t xml:space="preserve">9. </w:t>
      </w:r>
      <w:r>
        <w:rPr>
          <w:rFonts w:ascii="Times New Roman" w:hAnsi="Times New Roman"/>
          <w:b/>
          <w:bCs/>
          <w:i/>
          <w:sz w:val="24"/>
          <w:u w:val="single"/>
        </w:rPr>
        <w:t>“Noteikts elektroniskās naudas produkts”</w:t>
      </w:r>
      <w:r>
        <w:rPr>
          <w:rFonts w:ascii="Times New Roman" w:hAnsi="Times New Roman"/>
          <w:i/>
          <w:sz w:val="24"/>
          <w:u w:val="single"/>
        </w:rPr>
        <w:t xml:space="preserve"> ir jebkurš produkts, kas ir:</w:t>
      </w:r>
    </w:p>
    <w:p w14:paraId="4ECEB512" w14:textId="77777777" w:rsidR="00491410" w:rsidRPr="00115AB5" w:rsidRDefault="00491410" w:rsidP="00491410">
      <w:pPr>
        <w:widowControl w:val="0"/>
        <w:tabs>
          <w:tab w:val="left" w:pos="1128"/>
        </w:tabs>
        <w:autoSpaceDE w:val="0"/>
        <w:autoSpaceDN w:val="0"/>
        <w:spacing w:before="120" w:after="120" w:line="240" w:lineRule="auto"/>
        <w:ind w:left="567" w:hanging="283"/>
        <w:jc w:val="both"/>
        <w:rPr>
          <w:rFonts w:ascii="Times New Roman" w:eastAsia="Arial" w:hAnsi="Times New Roman" w:cs="Arial"/>
          <w:i/>
          <w:kern w:val="0"/>
          <w:sz w:val="24"/>
          <w:u w:val="single"/>
          <w14:ligatures w14:val="none"/>
        </w:rPr>
      </w:pPr>
      <w:r>
        <w:rPr>
          <w:rFonts w:ascii="Times New Roman" w:hAnsi="Times New Roman"/>
          <w:i/>
          <w:sz w:val="24"/>
          <w:u w:val="single"/>
        </w:rPr>
        <w:t>a) vienotas bezseguma valūtas digitāls atveidojums;</w:t>
      </w:r>
    </w:p>
    <w:p w14:paraId="6B054270" w14:textId="77777777" w:rsidR="00491410" w:rsidRPr="00115AB5" w:rsidRDefault="00491410" w:rsidP="00491410">
      <w:pPr>
        <w:widowControl w:val="0"/>
        <w:tabs>
          <w:tab w:val="left" w:pos="1128"/>
        </w:tabs>
        <w:autoSpaceDE w:val="0"/>
        <w:autoSpaceDN w:val="0"/>
        <w:spacing w:before="120" w:after="120" w:line="240" w:lineRule="auto"/>
        <w:ind w:left="567" w:hanging="283"/>
        <w:jc w:val="both"/>
        <w:rPr>
          <w:rFonts w:ascii="Times New Roman" w:eastAsia="Arial" w:hAnsi="Times New Roman" w:cs="Arial"/>
          <w:i/>
          <w:kern w:val="0"/>
          <w:sz w:val="24"/>
          <w:u w:val="single"/>
          <w14:ligatures w14:val="none"/>
        </w:rPr>
      </w:pPr>
      <w:r>
        <w:rPr>
          <w:rFonts w:ascii="Times New Roman" w:hAnsi="Times New Roman"/>
          <w:i/>
          <w:sz w:val="24"/>
          <w:u w:val="single"/>
        </w:rPr>
        <w:t>b) izdots, saņemot līdzekļus maksājumu darījumu veikšanai;</w:t>
      </w:r>
    </w:p>
    <w:p w14:paraId="43D2A6CB" w14:textId="77777777" w:rsidR="00491410" w:rsidRPr="00115AB5" w:rsidRDefault="00491410" w:rsidP="00491410">
      <w:pPr>
        <w:widowControl w:val="0"/>
        <w:tabs>
          <w:tab w:val="left" w:pos="1117"/>
        </w:tabs>
        <w:autoSpaceDE w:val="0"/>
        <w:autoSpaceDN w:val="0"/>
        <w:spacing w:before="120" w:after="120" w:line="240" w:lineRule="auto"/>
        <w:ind w:left="567" w:hanging="283"/>
        <w:jc w:val="both"/>
        <w:rPr>
          <w:rFonts w:ascii="Times New Roman" w:eastAsia="Arial" w:hAnsi="Times New Roman" w:cs="Arial"/>
          <w:i/>
          <w:kern w:val="0"/>
          <w:sz w:val="24"/>
          <w:u w:val="single"/>
          <w14:ligatures w14:val="none"/>
        </w:rPr>
      </w:pPr>
      <w:r>
        <w:rPr>
          <w:rFonts w:ascii="Times New Roman" w:hAnsi="Times New Roman"/>
          <w:i/>
          <w:sz w:val="24"/>
          <w:u w:val="single"/>
        </w:rPr>
        <w:t>c) pārstāvēts ar tajā pašā bezseguma valūtā denominētu prasījumu pret emitentu;</w:t>
      </w:r>
    </w:p>
    <w:p w14:paraId="03558700" w14:textId="77777777" w:rsidR="00491410" w:rsidRPr="00115AB5" w:rsidRDefault="00491410" w:rsidP="00491410">
      <w:pPr>
        <w:widowControl w:val="0"/>
        <w:tabs>
          <w:tab w:val="left" w:pos="1128"/>
        </w:tabs>
        <w:autoSpaceDE w:val="0"/>
        <w:autoSpaceDN w:val="0"/>
        <w:spacing w:before="120" w:after="120" w:line="240" w:lineRule="auto"/>
        <w:ind w:left="567" w:hanging="283"/>
        <w:jc w:val="both"/>
        <w:rPr>
          <w:rFonts w:ascii="Times New Roman" w:eastAsia="Arial" w:hAnsi="Times New Roman" w:cs="Arial"/>
          <w:i/>
          <w:kern w:val="0"/>
          <w:sz w:val="24"/>
          <w:u w:val="single"/>
          <w14:ligatures w14:val="none"/>
        </w:rPr>
      </w:pPr>
      <w:r>
        <w:rPr>
          <w:rFonts w:ascii="Times New Roman" w:hAnsi="Times New Roman"/>
          <w:i/>
          <w:sz w:val="24"/>
          <w:u w:val="single"/>
        </w:rPr>
        <w:t>d) saņemts kā maksājums, un to ir saņēmusi fiziska vai juridiska persona, kas nav emitents, un</w:t>
      </w:r>
    </w:p>
    <w:p w14:paraId="0328C8E5" w14:textId="77777777" w:rsidR="00491410" w:rsidRPr="00115AB5" w:rsidRDefault="00491410" w:rsidP="00491410">
      <w:pPr>
        <w:widowControl w:val="0"/>
        <w:tabs>
          <w:tab w:val="left" w:pos="1128"/>
        </w:tabs>
        <w:autoSpaceDE w:val="0"/>
        <w:autoSpaceDN w:val="0"/>
        <w:spacing w:before="120" w:after="120" w:line="240" w:lineRule="auto"/>
        <w:ind w:left="567" w:hanging="283"/>
        <w:jc w:val="both"/>
        <w:rPr>
          <w:rFonts w:ascii="Times New Roman" w:eastAsia="Arial" w:hAnsi="Times New Roman" w:cs="Arial"/>
          <w:i/>
          <w:kern w:val="0"/>
          <w:sz w:val="24"/>
          <w:u w:val="single"/>
          <w14:ligatures w14:val="none"/>
        </w:rPr>
      </w:pPr>
      <w:r>
        <w:rPr>
          <w:rFonts w:ascii="Times New Roman" w:hAnsi="Times New Roman"/>
          <w:i/>
          <w:iCs/>
          <w:sz w:val="24"/>
          <w:u w:val="single"/>
        </w:rPr>
        <w:t>e) dzēšams pēc produkta turētāja pieprasījuma jebkurā laikā saskaņā ar emitentam izvirzītajām regulatīvajām prasībām un par tādu pašu bezseguma valūtas nominālvērtību.</w:t>
      </w:r>
    </w:p>
    <w:p w14:paraId="4EAFAE04"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i/>
          <w:sz w:val="24"/>
          <w:u w:val="single"/>
        </w:rPr>
        <w:t xml:space="preserve">Termins “noteikts elektroniskās naudas produkts” neietver produktu, kas radīts vienīgi nolūkā atvieglot naudas līdzekļu pārvešanu no klienta citai personai saskaņā ar klienta norādījumiem. </w:t>
      </w:r>
      <w:r>
        <w:rPr>
          <w:rFonts w:ascii="Times New Roman" w:hAnsi="Times New Roman"/>
          <w:i/>
          <w:sz w:val="24"/>
        </w:rPr>
        <w:t>Produkts nav radīts vienīgi nolūkā atvieglot naudas līdzekļu pārvešanu, ja vienība, kas veic pārvedumu, parastajā darījumdarbībā ar šādu produktu saistītos līdzekļus tur ilgāk par 60 dienām pēc tam, kad saņemti norādījumi pārvešanas atvieglošanai vai arī, ja šādi norādījumi nav saņemti, ar šādu produktu saistītie līdzekļi tiek turēti ilgāk par 60 dienām pēc līdzekļu saņemšanas.</w:t>
      </w:r>
    </w:p>
    <w:p w14:paraId="44B3AB78" w14:textId="77777777" w:rsidR="00491410" w:rsidRPr="003A1063" w:rsidRDefault="00491410" w:rsidP="00491410">
      <w:pPr>
        <w:widowControl w:val="0"/>
        <w:tabs>
          <w:tab w:val="left" w:pos="517"/>
        </w:tabs>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i/>
          <w:sz w:val="24"/>
          <w:u w:val="single"/>
        </w:rPr>
        <w:t xml:space="preserve">10. </w:t>
      </w:r>
      <w:r>
        <w:rPr>
          <w:rFonts w:ascii="Times New Roman" w:hAnsi="Times New Roman"/>
          <w:b/>
          <w:bCs/>
          <w:i/>
          <w:sz w:val="24"/>
          <w:u w:val="single"/>
        </w:rPr>
        <w:t>“Centrālās bankas digitālā valūta”</w:t>
      </w:r>
      <w:r>
        <w:rPr>
          <w:rFonts w:ascii="Times New Roman" w:hAnsi="Times New Roman"/>
          <w:i/>
          <w:sz w:val="24"/>
          <w:u w:val="single"/>
        </w:rPr>
        <w:t xml:space="preserve"> ir jebkura digitāla bezseguma valūta, ko emitējusi centrālā banka.</w:t>
      </w:r>
    </w:p>
    <w:p w14:paraId="3BC5E72C" w14:textId="77777777" w:rsidR="00491410" w:rsidRPr="003A1063" w:rsidRDefault="00491410" w:rsidP="00491410">
      <w:pPr>
        <w:widowControl w:val="0"/>
        <w:tabs>
          <w:tab w:val="left" w:pos="517"/>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i/>
          <w:sz w:val="24"/>
          <w:u w:val="single"/>
        </w:rPr>
        <w:t xml:space="preserve">11. </w:t>
      </w:r>
      <w:r>
        <w:rPr>
          <w:rFonts w:ascii="Times New Roman" w:hAnsi="Times New Roman"/>
          <w:b/>
          <w:bCs/>
          <w:i/>
          <w:iCs/>
          <w:sz w:val="24"/>
          <w:u w:val="single"/>
        </w:rPr>
        <w:t>“Bezseguma valūta”</w:t>
      </w:r>
      <w:r>
        <w:rPr>
          <w:rFonts w:ascii="Times New Roman" w:hAnsi="Times New Roman"/>
          <w:sz w:val="24"/>
        </w:rPr>
        <w:t xml:space="preserve"> ir jurisdikcijas oficiālā valūta, ko emitē jurisdikcija vai jurisdikcijas norīkota centrālā banka vai monetārā iestāde un kas pieejama kā fiziskas banknotes, monētas vai nauda dažādās digitālās formās, tostarp banku rezerves, un centrālās bankas digitālās valūtas. Šis termins ietver arī komercbanku naudu un elektroniskās naudas produktus (tostarp noteiktos elektroniskās naudas produktus).</w:t>
      </w:r>
    </w:p>
    <w:p w14:paraId="32424EE3" w14:textId="77777777" w:rsidR="00491410" w:rsidRDefault="00491410" w:rsidP="00491410">
      <w:pPr>
        <w:widowControl w:val="0"/>
        <w:tabs>
          <w:tab w:val="left" w:pos="517"/>
        </w:tabs>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i/>
          <w:sz w:val="24"/>
          <w:u w:val="single"/>
        </w:rPr>
        <w:t xml:space="preserve">12. </w:t>
      </w:r>
      <w:r>
        <w:rPr>
          <w:rFonts w:ascii="Times New Roman" w:hAnsi="Times New Roman"/>
          <w:b/>
          <w:bCs/>
          <w:i/>
          <w:sz w:val="24"/>
          <w:u w:val="single"/>
        </w:rPr>
        <w:t>“Kriptoaktīvs”</w:t>
      </w:r>
      <w:r>
        <w:rPr>
          <w:rFonts w:ascii="Times New Roman" w:hAnsi="Times New Roman"/>
          <w:i/>
          <w:sz w:val="24"/>
          <w:u w:val="single"/>
        </w:rPr>
        <w:t xml:space="preserve"> ir vērtības digitāls atveidojums, kas balstīts uz kriptogrāfiski aizsargātu sadalīto virsgrāmatu vai līdzīgu tehnoloģiju, ko izmanto, lai darījumus validētu un aizsargātu.</w:t>
      </w:r>
    </w:p>
    <w:p w14:paraId="34D93461" w14:textId="77777777" w:rsidR="00491410" w:rsidRPr="003A1063" w:rsidRDefault="00491410" w:rsidP="00491410">
      <w:pPr>
        <w:widowControl w:val="0"/>
        <w:tabs>
          <w:tab w:val="left" w:pos="517"/>
        </w:tabs>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i/>
          <w:sz w:val="24"/>
          <w:u w:val="single"/>
        </w:rPr>
        <w:t xml:space="preserve">13. </w:t>
      </w:r>
      <w:r>
        <w:rPr>
          <w:rFonts w:ascii="Times New Roman" w:hAnsi="Times New Roman"/>
          <w:b/>
          <w:bCs/>
          <w:i/>
          <w:sz w:val="24"/>
          <w:u w:val="single"/>
        </w:rPr>
        <w:t>“Attiecīgais kriptoaktīvs”</w:t>
      </w:r>
      <w:r>
        <w:rPr>
          <w:rFonts w:ascii="Times New Roman" w:hAnsi="Times New Roman"/>
          <w:i/>
          <w:sz w:val="24"/>
          <w:u w:val="single"/>
        </w:rPr>
        <w:t xml:space="preserve"> ir jebkurš kriptoaktīvs, kas nav centrālās bankas digitālā valūta, noteikts elektroniskās naudas produkts vai jebkurš kriptoaktīvs, attiecībā uz kuru kriptoaktīvu pakalpojumu sniedzējs, kas sniedz ziņojumus, ir noteicis, ka to nevar izmantot maksājumu vai ieguldījumu nolūkos.</w:t>
      </w:r>
    </w:p>
    <w:p w14:paraId="0BBB45E2" w14:textId="77777777" w:rsidR="00491410" w:rsidRPr="002A3B54" w:rsidRDefault="00491410" w:rsidP="00491410">
      <w:pPr>
        <w:widowControl w:val="0"/>
        <w:tabs>
          <w:tab w:val="left" w:pos="517"/>
        </w:tabs>
        <w:autoSpaceDE w:val="0"/>
        <w:autoSpaceDN w:val="0"/>
        <w:spacing w:before="120" w:after="120" w:line="240" w:lineRule="auto"/>
        <w:jc w:val="both"/>
        <w:rPr>
          <w:rFonts w:ascii="Times New Roman" w:eastAsia="Arial" w:hAnsi="Times New Roman" w:cs="Arial"/>
          <w:i/>
          <w:kern w:val="0"/>
          <w:sz w:val="24"/>
          <w:u w:val="single"/>
          <w14:ligatures w14:val="none"/>
        </w:rPr>
      </w:pPr>
      <w:r w:rsidRPr="002A3B54">
        <w:rPr>
          <w:rFonts w:ascii="Times New Roman" w:hAnsi="Times New Roman"/>
          <w:i/>
          <w:sz w:val="24"/>
          <w:u w:val="single"/>
        </w:rPr>
        <w:t xml:space="preserve">14. </w:t>
      </w:r>
      <w:r w:rsidRPr="002A3B54">
        <w:rPr>
          <w:rFonts w:ascii="Times New Roman" w:hAnsi="Times New Roman"/>
          <w:b/>
          <w:bCs/>
          <w:i/>
          <w:sz w:val="24"/>
          <w:u w:val="single"/>
        </w:rPr>
        <w:t>“Maiņas darījums”</w:t>
      </w:r>
      <w:r w:rsidRPr="002A3B54">
        <w:rPr>
          <w:rFonts w:ascii="Times New Roman" w:hAnsi="Times New Roman"/>
          <w:i/>
          <w:sz w:val="24"/>
          <w:u w:val="single"/>
        </w:rPr>
        <w:t xml:space="preserve"> ir:</w:t>
      </w:r>
    </w:p>
    <w:p w14:paraId="2A749E02"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i/>
          <w:kern w:val="0"/>
          <w:sz w:val="24"/>
          <w14:ligatures w14:val="none"/>
        </w:rPr>
      </w:pPr>
      <w:r>
        <w:rPr>
          <w:rFonts w:ascii="Times New Roman" w:hAnsi="Times New Roman"/>
          <w:i/>
          <w:sz w:val="24"/>
          <w:u w:val="single"/>
        </w:rPr>
        <w:t>a) attiecīgo kriptoaktīvu un bezseguma valūtu maiņa un</w:t>
      </w:r>
    </w:p>
    <w:p w14:paraId="56DE8153" w14:textId="77777777" w:rsidR="00491410" w:rsidRPr="003A1063" w:rsidRDefault="00491410" w:rsidP="00491410">
      <w:pPr>
        <w:widowControl w:val="0"/>
        <w:tabs>
          <w:tab w:val="left" w:pos="1235"/>
        </w:tabs>
        <w:autoSpaceDE w:val="0"/>
        <w:autoSpaceDN w:val="0"/>
        <w:spacing w:before="120" w:after="120" w:line="240" w:lineRule="auto"/>
        <w:ind w:left="567" w:hanging="283"/>
        <w:jc w:val="both"/>
        <w:rPr>
          <w:rFonts w:ascii="Times New Roman" w:eastAsia="Arial" w:hAnsi="Times New Roman" w:cs="Arial"/>
          <w:i/>
          <w:kern w:val="0"/>
          <w:sz w:val="24"/>
          <w14:ligatures w14:val="none"/>
        </w:rPr>
      </w:pPr>
      <w:r>
        <w:rPr>
          <w:rFonts w:ascii="Times New Roman" w:hAnsi="Times New Roman"/>
          <w:i/>
          <w:sz w:val="24"/>
          <w:u w:val="single"/>
        </w:rPr>
        <w:t>b) viena vai vairāku virtuālo valūtu veidu maiņa.</w:t>
      </w:r>
    </w:p>
    <w:p w14:paraId="31143BBF"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7044EC1F" w14:textId="77777777" w:rsidR="00491410" w:rsidRPr="003A1063" w:rsidRDefault="00491410" w:rsidP="00491410">
      <w:pPr>
        <w:widowControl w:val="0"/>
        <w:tabs>
          <w:tab w:val="left" w:pos="524"/>
        </w:tabs>
        <w:autoSpaceDE w:val="0"/>
        <w:autoSpaceDN w:val="0"/>
        <w:spacing w:before="120" w:after="120" w:line="240" w:lineRule="auto"/>
        <w:jc w:val="both"/>
        <w:outlineLvl w:val="3"/>
        <w:rPr>
          <w:rFonts w:ascii="Times New Roman" w:eastAsia="Arial" w:hAnsi="Times New Roman" w:cs="Arial"/>
          <w:b/>
          <w:bCs/>
          <w:i/>
          <w:iCs/>
          <w:kern w:val="0"/>
          <w:sz w:val="24"/>
          <w14:ligatures w14:val="none"/>
        </w:rPr>
      </w:pPr>
      <w:bookmarkStart w:id="266" w:name="B._Non-Reporting_Financial_Institution"/>
      <w:bookmarkEnd w:id="266"/>
      <w:r>
        <w:rPr>
          <w:rFonts w:ascii="Times New Roman" w:hAnsi="Times New Roman"/>
          <w:b/>
          <w:i/>
          <w:sz w:val="24"/>
        </w:rPr>
        <w:t>B. Finanšu iestāde, kas nesniedz ziņojumus</w:t>
      </w:r>
    </w:p>
    <w:p w14:paraId="1F234405" w14:textId="77777777" w:rsidR="00491410" w:rsidRPr="003A1063" w:rsidRDefault="00491410" w:rsidP="00491410">
      <w:pPr>
        <w:widowControl w:val="0"/>
        <w:tabs>
          <w:tab w:val="left" w:pos="463"/>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a) </w:t>
      </w:r>
      <w:r>
        <w:rPr>
          <w:rFonts w:ascii="Times New Roman" w:hAnsi="Times New Roman"/>
          <w:b/>
          <w:bCs/>
          <w:sz w:val="24"/>
        </w:rPr>
        <w:t>“Finanšu iestāde, kas nesniedz ziņojumus”</w:t>
      </w:r>
      <w:r>
        <w:rPr>
          <w:rFonts w:ascii="Times New Roman" w:hAnsi="Times New Roman"/>
          <w:sz w:val="24"/>
        </w:rPr>
        <w:t xml:space="preserve"> ir jebkura finanšu iestāde, kas ir:</w:t>
      </w:r>
    </w:p>
    <w:p w14:paraId="26F536E1" w14:textId="77777777" w:rsidR="00491410" w:rsidRPr="003A1063" w:rsidRDefault="00491410" w:rsidP="00491410">
      <w:pPr>
        <w:widowControl w:val="0"/>
        <w:tabs>
          <w:tab w:val="left" w:pos="1194"/>
        </w:tabs>
        <w:autoSpaceDE w:val="0"/>
        <w:autoSpaceDN w:val="0"/>
        <w:spacing w:before="120" w:after="120" w:line="240" w:lineRule="auto"/>
        <w:ind w:left="567" w:hanging="283"/>
        <w:jc w:val="both"/>
        <w:rPr>
          <w:rFonts w:ascii="Times New Roman" w:eastAsia="Arial" w:hAnsi="Times New Roman" w:cs="Arial"/>
          <w:kern w:val="0"/>
          <w:sz w:val="24"/>
          <w14:ligatures w14:val="none"/>
        </w:rPr>
      </w:pPr>
      <w:r>
        <w:rPr>
          <w:rFonts w:ascii="Times New Roman" w:hAnsi="Times New Roman"/>
          <w:sz w:val="24"/>
        </w:rPr>
        <w:t>a) valdības iestāde, starptautiska organizācija vai centrālā banka, izņemot:</w:t>
      </w:r>
    </w:p>
    <w:p w14:paraId="28471F05" w14:textId="77777777" w:rsidR="00491410" w:rsidRPr="00B638AF" w:rsidRDefault="00491410" w:rsidP="00491410">
      <w:pPr>
        <w:widowControl w:val="0"/>
        <w:tabs>
          <w:tab w:val="left" w:pos="1708"/>
        </w:tabs>
        <w:autoSpaceDE w:val="0"/>
        <w:autoSpaceDN w:val="0"/>
        <w:spacing w:before="120" w:after="120" w:line="240" w:lineRule="auto"/>
        <w:ind w:left="851" w:hanging="283"/>
        <w:jc w:val="both"/>
        <w:rPr>
          <w:rFonts w:ascii="Times New Roman" w:eastAsia="Arial" w:hAnsi="Times New Roman" w:cs="Arial"/>
          <w:kern w:val="0"/>
          <w:sz w:val="24"/>
          <w:u w:val="single"/>
          <w14:ligatures w14:val="none"/>
        </w:rPr>
      </w:pPr>
      <w:r>
        <w:rPr>
          <w:rFonts w:ascii="Times New Roman" w:hAnsi="Times New Roman"/>
          <w:sz w:val="24"/>
        </w:rPr>
        <w:t xml:space="preserve">i) attiecībā uz maksājumu, kas rodas tādu saistību rezultātā, kuras izriet no tādas komerciālas finanšu darbības, kas atbilst </w:t>
      </w:r>
      <w:r>
        <w:rPr>
          <w:rFonts w:ascii="Times New Roman" w:hAnsi="Times New Roman"/>
          <w:i/>
          <w:iCs/>
          <w:sz w:val="24"/>
          <w:u w:val="single"/>
        </w:rPr>
        <w:t>specializētās apdrošināšanas sabiedrības, turētājiestādes vai noguldījumu iestādes</w:t>
      </w:r>
      <w:r>
        <w:rPr>
          <w:rFonts w:ascii="Times New Roman" w:hAnsi="Times New Roman"/>
          <w:sz w:val="24"/>
        </w:rPr>
        <w:t xml:space="preserve"> veiktām darbībām;</w:t>
      </w:r>
    </w:p>
    <w:p w14:paraId="4B7DCF05" w14:textId="77777777" w:rsidR="00491410" w:rsidRPr="003A1063" w:rsidRDefault="00491410" w:rsidP="00491410">
      <w:pPr>
        <w:widowControl w:val="0"/>
        <w:tabs>
          <w:tab w:val="left" w:pos="1670"/>
        </w:tabs>
        <w:autoSpaceDE w:val="0"/>
        <w:autoSpaceDN w:val="0"/>
        <w:spacing w:before="120" w:after="120" w:line="240" w:lineRule="auto"/>
        <w:ind w:left="851" w:hanging="283"/>
        <w:jc w:val="both"/>
        <w:rPr>
          <w:rFonts w:ascii="Times New Roman" w:eastAsia="Arial" w:hAnsi="Times New Roman" w:cs="Arial"/>
          <w:i/>
          <w:kern w:val="0"/>
          <w:sz w:val="24"/>
          <w:u w:val="single"/>
          <w14:ligatures w14:val="none"/>
        </w:rPr>
      </w:pPr>
      <w:r>
        <w:rPr>
          <w:rFonts w:ascii="Times New Roman" w:hAnsi="Times New Roman"/>
          <w:i/>
          <w:sz w:val="24"/>
        </w:rPr>
        <w:t>ii) attiecībā uz centrālās bankas digitālo valūtu uzturēšanu tādiem konta turētājiem, kuri nav finanšu iestādes, valdības vienības, starptautiskas organizācijas vai centrālās bankas.</w:t>
      </w:r>
    </w:p>
    <w:p w14:paraId="347BC23E"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lastRenderedPageBreak/>
        <w:t>(..)</w:t>
      </w:r>
    </w:p>
    <w:p w14:paraId="0AD78CAF" w14:textId="77777777" w:rsidR="00491410" w:rsidRPr="003A1063" w:rsidRDefault="00491410" w:rsidP="00491410">
      <w:pPr>
        <w:widowControl w:val="0"/>
        <w:tabs>
          <w:tab w:val="left" w:pos="524"/>
        </w:tabs>
        <w:autoSpaceDE w:val="0"/>
        <w:autoSpaceDN w:val="0"/>
        <w:spacing w:before="120" w:after="120" w:line="240" w:lineRule="auto"/>
        <w:jc w:val="both"/>
        <w:outlineLvl w:val="3"/>
        <w:rPr>
          <w:rFonts w:ascii="Times New Roman" w:eastAsia="Arial" w:hAnsi="Times New Roman" w:cs="Arial"/>
          <w:b/>
          <w:bCs/>
          <w:i/>
          <w:iCs/>
          <w:kern w:val="0"/>
          <w:sz w:val="24"/>
          <w14:ligatures w14:val="none"/>
        </w:rPr>
      </w:pPr>
      <w:bookmarkStart w:id="267" w:name="C._Financial_Account"/>
      <w:bookmarkEnd w:id="267"/>
      <w:r>
        <w:rPr>
          <w:rFonts w:ascii="Times New Roman" w:hAnsi="Times New Roman"/>
          <w:b/>
          <w:i/>
          <w:sz w:val="24"/>
        </w:rPr>
        <w:t>C. Finanšu konts</w:t>
      </w:r>
    </w:p>
    <w:p w14:paraId="0A3CC5FB"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5883EEB2" w14:textId="77777777" w:rsidR="00491410" w:rsidRPr="003A1063" w:rsidRDefault="00491410" w:rsidP="00491410">
      <w:pPr>
        <w:widowControl w:val="0"/>
        <w:tabs>
          <w:tab w:val="left" w:pos="462"/>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w:t>
      </w:r>
      <w:r>
        <w:rPr>
          <w:rFonts w:ascii="Times New Roman" w:hAnsi="Times New Roman"/>
          <w:b/>
          <w:bCs/>
          <w:sz w:val="24"/>
        </w:rPr>
        <w:t>“Noguldījumu konts”</w:t>
      </w:r>
      <w:r>
        <w:rPr>
          <w:rFonts w:ascii="Times New Roman" w:hAnsi="Times New Roman"/>
          <w:sz w:val="24"/>
        </w:rPr>
        <w:t xml:space="preserve"> ir jebkurš komerckonts, norēķinu konts, krājkonts, termiņa konts vai krājaizdevuma konts, vai konts, kuru apliecina noguldījuma sertifikāts, krājaizdevuma sertifikāts, ieguldījuma sertifikāts, parāda sertifikāts vai cits līdzīgs instruments, ko uztur </w:t>
      </w:r>
      <w:r>
        <w:rPr>
          <w:rFonts w:ascii="Times New Roman" w:hAnsi="Times New Roman"/>
          <w:i/>
          <w:iCs/>
          <w:sz w:val="24"/>
          <w:u w:val="single"/>
        </w:rPr>
        <w:t>noguldījumu iestāde</w:t>
      </w:r>
      <w:r>
        <w:rPr>
          <w:rFonts w:ascii="Times New Roman" w:hAnsi="Times New Roman"/>
          <w:strike/>
          <w:sz w:val="24"/>
        </w:rPr>
        <w:t>Finanšu iestāde, veicot parastu bankas darbību vai līdzīgu darījumdarbību</w:t>
      </w:r>
      <w:r>
        <w:rPr>
          <w:rFonts w:ascii="Times New Roman" w:hAnsi="Times New Roman"/>
          <w:sz w:val="24"/>
        </w:rPr>
        <w:t>. Noguldījuma konts ir arī:</w:t>
      </w:r>
    </w:p>
    <w:p w14:paraId="58690B90" w14:textId="77777777" w:rsidR="00491410" w:rsidRPr="003A1063" w:rsidRDefault="00491410" w:rsidP="00491410">
      <w:pPr>
        <w:widowControl w:val="0"/>
        <w:tabs>
          <w:tab w:val="left" w:pos="498"/>
        </w:tabs>
        <w:autoSpaceDE w:val="0"/>
        <w:autoSpaceDN w:val="0"/>
        <w:spacing w:before="120" w:after="120" w:line="240" w:lineRule="auto"/>
        <w:ind w:left="567" w:hanging="284"/>
        <w:jc w:val="both"/>
        <w:rPr>
          <w:rFonts w:ascii="Times New Roman" w:eastAsia="Arial" w:hAnsi="Times New Roman" w:cs="Arial"/>
          <w:kern w:val="0"/>
          <w:sz w:val="24"/>
          <w:u w:val="single"/>
          <w14:ligatures w14:val="none"/>
        </w:rPr>
      </w:pPr>
      <w:r>
        <w:rPr>
          <w:rFonts w:ascii="Times New Roman" w:hAnsi="Times New Roman"/>
          <w:sz w:val="24"/>
        </w:rPr>
        <w:t>a) summa, kuru tur apdrošināšanas sabiedrība saskaņā ar garantētu ieguldījumu līgumu vai līdzīgu līgumu, lai iemaksātu vai ieskaitītu tajā par šo summu pienākošos procentus;</w:t>
      </w:r>
    </w:p>
    <w:p w14:paraId="50ED788A" w14:textId="77777777" w:rsidR="00491410" w:rsidRPr="003A1063" w:rsidRDefault="00491410" w:rsidP="00491410">
      <w:pPr>
        <w:widowControl w:val="0"/>
        <w:tabs>
          <w:tab w:val="left" w:pos="420"/>
        </w:tabs>
        <w:autoSpaceDE w:val="0"/>
        <w:autoSpaceDN w:val="0"/>
        <w:spacing w:before="120" w:after="120" w:line="240" w:lineRule="auto"/>
        <w:ind w:left="567" w:hanging="284"/>
        <w:jc w:val="both"/>
        <w:rPr>
          <w:rFonts w:ascii="Times New Roman" w:eastAsia="Arial" w:hAnsi="Times New Roman" w:cs="Arial"/>
          <w:i/>
          <w:kern w:val="0"/>
          <w:sz w:val="24"/>
          <w:u w:val="single"/>
          <w14:ligatures w14:val="none"/>
        </w:rPr>
      </w:pPr>
      <w:r>
        <w:rPr>
          <w:rFonts w:ascii="Times New Roman" w:hAnsi="Times New Roman"/>
          <w:i/>
          <w:sz w:val="24"/>
          <w:u w:val="single"/>
        </w:rPr>
        <w:t>b) konts vai nosacīts konts, kas pārstāv visus noteiktos elektroniskās naudas produktus, kuri tiek turēti klienta labā, un</w:t>
      </w:r>
    </w:p>
    <w:p w14:paraId="41362F2F" w14:textId="77777777" w:rsidR="00491410" w:rsidRPr="003A1063" w:rsidRDefault="00491410" w:rsidP="00491410">
      <w:pPr>
        <w:widowControl w:val="0"/>
        <w:tabs>
          <w:tab w:val="left" w:pos="409"/>
        </w:tabs>
        <w:autoSpaceDE w:val="0"/>
        <w:autoSpaceDN w:val="0"/>
        <w:spacing w:before="120" w:after="120" w:line="240" w:lineRule="auto"/>
        <w:ind w:left="567" w:hanging="284"/>
        <w:jc w:val="both"/>
        <w:rPr>
          <w:rFonts w:ascii="Times New Roman" w:eastAsia="Arial" w:hAnsi="Times New Roman" w:cs="Arial"/>
          <w:i/>
          <w:kern w:val="0"/>
          <w:sz w:val="24"/>
          <w:u w:val="single"/>
          <w14:ligatures w14:val="none"/>
        </w:rPr>
      </w:pPr>
      <w:r>
        <w:rPr>
          <w:rFonts w:ascii="Times New Roman" w:hAnsi="Times New Roman"/>
          <w:i/>
          <w:sz w:val="24"/>
          <w:u w:val="single"/>
        </w:rPr>
        <w:t>c) konts, kurā tur vienu vai vairākas centrālās bankas digitālās valūtas klientu labā.</w:t>
      </w:r>
    </w:p>
    <w:p w14:paraId="56BCEAE0" w14:textId="77777777" w:rsidR="00491410" w:rsidRPr="003A1063" w:rsidRDefault="00491410" w:rsidP="00491410">
      <w:pPr>
        <w:widowControl w:val="0"/>
        <w:tabs>
          <w:tab w:val="left" w:pos="491"/>
        </w:tabs>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sz w:val="24"/>
        </w:rPr>
        <w:t xml:space="preserve">9. </w:t>
      </w:r>
      <w:r>
        <w:rPr>
          <w:rFonts w:ascii="Times New Roman" w:hAnsi="Times New Roman"/>
          <w:b/>
          <w:bCs/>
          <w:sz w:val="24"/>
        </w:rPr>
        <w:t>“Iepriekšpastāvējis konts”</w:t>
      </w:r>
      <w:r>
        <w:rPr>
          <w:rFonts w:ascii="Times New Roman" w:hAnsi="Times New Roman"/>
          <w:sz w:val="24"/>
        </w:rPr>
        <w:t xml:space="preserve"> ir finanšu konts, ko finanšu iestāde, kas sniedz ziņojumus, uzturējusi [xx.xx.xxxx], </w:t>
      </w:r>
      <w:r>
        <w:rPr>
          <w:rFonts w:ascii="Times New Roman" w:hAnsi="Times New Roman"/>
          <w:i/>
          <w:iCs/>
          <w:sz w:val="24"/>
          <w:u w:val="single"/>
        </w:rPr>
        <w:t xml:space="preserve">vai, ja kontu uzskata par finanšu kontu, tikai pamatojoties uz Kopējā ziņošanas standarta grozījumiem, konts, ko tā uzturējusi [pārskatītā </w:t>
      </w:r>
      <w:r>
        <w:rPr>
          <w:rFonts w:ascii="Times New Roman" w:hAnsi="Times New Roman"/>
          <w:sz w:val="24"/>
          <w:u w:val="single"/>
        </w:rPr>
        <w:t>CRS</w:t>
      </w:r>
      <w:r>
        <w:rPr>
          <w:rFonts w:ascii="Times New Roman" w:hAnsi="Times New Roman"/>
          <w:i/>
          <w:iCs/>
          <w:sz w:val="24"/>
          <w:u w:val="single"/>
        </w:rPr>
        <w:t xml:space="preserve"> spēkā stāšanās datums mīnus viena diena].</w:t>
      </w:r>
    </w:p>
    <w:p w14:paraId="288B742F" w14:textId="77777777" w:rsidR="00491410" w:rsidRPr="003A1063" w:rsidRDefault="00491410" w:rsidP="00491410">
      <w:pPr>
        <w:widowControl w:val="0"/>
        <w:tabs>
          <w:tab w:val="left" w:pos="574"/>
        </w:tabs>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sz w:val="24"/>
        </w:rPr>
        <w:t xml:space="preserve">10. </w:t>
      </w:r>
      <w:r>
        <w:rPr>
          <w:rFonts w:ascii="Times New Roman" w:hAnsi="Times New Roman"/>
          <w:b/>
          <w:bCs/>
          <w:sz w:val="24"/>
        </w:rPr>
        <w:t>“Jauns konts”</w:t>
      </w:r>
      <w:r>
        <w:rPr>
          <w:rFonts w:ascii="Times New Roman" w:hAnsi="Times New Roman"/>
          <w:sz w:val="24"/>
        </w:rPr>
        <w:t xml:space="preserve"> ir finanšu konts, ko uztur finanšu iestāde, kura sniedz ziņojumus, un kas atvērts, sākot no [xx/xx/xxxx], </w:t>
      </w:r>
      <w:r>
        <w:rPr>
          <w:rFonts w:ascii="Times New Roman" w:hAnsi="Times New Roman"/>
          <w:i/>
          <w:iCs/>
          <w:sz w:val="24"/>
          <w:u w:val="single"/>
        </w:rPr>
        <w:t xml:space="preserve">vai, ja kontu uzskata par finanšu kontu, tikai pamatojoties uz Kopējā ziņošanas standarta grozījumiem, konts, kas atvērts, sākot no [pārskatītā </w:t>
      </w:r>
      <w:r>
        <w:rPr>
          <w:rFonts w:ascii="Times New Roman" w:hAnsi="Times New Roman"/>
          <w:sz w:val="24"/>
          <w:u w:val="single"/>
        </w:rPr>
        <w:t>CRS</w:t>
      </w:r>
      <w:r>
        <w:rPr>
          <w:rFonts w:ascii="Times New Roman" w:hAnsi="Times New Roman"/>
          <w:i/>
          <w:iCs/>
          <w:sz w:val="24"/>
          <w:u w:val="single"/>
        </w:rPr>
        <w:t xml:space="preserve"> spēkā stāšanās datums].</w:t>
      </w:r>
    </w:p>
    <w:p w14:paraId="08F4FCA1"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398C5FE4"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17. </w:t>
      </w:r>
      <w:r>
        <w:rPr>
          <w:rFonts w:ascii="Times New Roman" w:hAnsi="Times New Roman"/>
          <w:b/>
          <w:bCs/>
          <w:sz w:val="24"/>
        </w:rPr>
        <w:t>“Izslēgtais konts”</w:t>
      </w:r>
      <w:r>
        <w:rPr>
          <w:rFonts w:ascii="Times New Roman" w:hAnsi="Times New Roman"/>
          <w:sz w:val="24"/>
        </w:rPr>
        <w:t xml:space="preserve"> ir jebkurš no šādiem kontiem:</w:t>
      </w:r>
    </w:p>
    <w:p w14:paraId="59477888"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25E7D6EB" w14:textId="77777777" w:rsidR="00491410" w:rsidRPr="003A1063" w:rsidRDefault="00491410" w:rsidP="00491410">
      <w:pPr>
        <w:widowControl w:val="0"/>
        <w:autoSpaceDE w:val="0"/>
        <w:autoSpaceDN w:val="0"/>
        <w:spacing w:before="120" w:after="120" w:line="240" w:lineRule="auto"/>
        <w:ind w:left="284"/>
        <w:jc w:val="both"/>
        <w:rPr>
          <w:rFonts w:ascii="Times New Roman" w:eastAsia="Arial" w:hAnsi="Times New Roman" w:cs="Arial"/>
          <w:i/>
          <w:kern w:val="0"/>
          <w:sz w:val="24"/>
          <w14:ligatures w14:val="none"/>
        </w:rPr>
      </w:pPr>
      <w:r>
        <w:rPr>
          <w:rFonts w:ascii="Times New Roman" w:hAnsi="Times New Roman"/>
          <w:i/>
          <w:sz w:val="24"/>
          <w:u w:val="single"/>
        </w:rPr>
        <w:t>e) konts, kas ir izveidots saistībā jebkuru no šādiem gadījumiem:</w:t>
      </w:r>
    </w:p>
    <w:p w14:paraId="4A2CC339" w14:textId="77777777" w:rsidR="00491410" w:rsidRPr="00497A8C" w:rsidRDefault="00491410" w:rsidP="00491410">
      <w:pPr>
        <w:widowControl w:val="0"/>
        <w:autoSpaceDE w:val="0"/>
        <w:autoSpaceDN w:val="0"/>
        <w:spacing w:before="120" w:after="120" w:line="240" w:lineRule="auto"/>
        <w:jc w:val="both"/>
        <w:rPr>
          <w:rFonts w:ascii="Times New Roman" w:eastAsia="Arial" w:hAnsi="Times New Roman" w:cs="Arial"/>
          <w:iCs/>
          <w:kern w:val="0"/>
          <w:sz w:val="24"/>
          <w:szCs w:val="20"/>
          <w14:ligatures w14:val="none"/>
        </w:rPr>
      </w:pPr>
      <w:r>
        <w:rPr>
          <w:rFonts w:ascii="Times New Roman" w:hAnsi="Times New Roman"/>
          <w:sz w:val="24"/>
        </w:rPr>
        <w:t>(..)</w:t>
      </w:r>
    </w:p>
    <w:p w14:paraId="324A30FB" w14:textId="77777777" w:rsidR="00491410" w:rsidRPr="003A1063" w:rsidRDefault="00491410" w:rsidP="00491410">
      <w:pPr>
        <w:widowControl w:val="0"/>
        <w:tabs>
          <w:tab w:val="left" w:pos="529"/>
          <w:tab w:val="left" w:pos="567"/>
        </w:tabs>
        <w:autoSpaceDE w:val="0"/>
        <w:autoSpaceDN w:val="0"/>
        <w:spacing w:before="120" w:after="120" w:line="240" w:lineRule="auto"/>
        <w:ind w:left="567" w:hanging="283"/>
        <w:jc w:val="both"/>
        <w:rPr>
          <w:rFonts w:ascii="Times New Roman" w:eastAsia="Arial" w:hAnsi="Times New Roman" w:cs="Arial"/>
          <w:i/>
          <w:kern w:val="0"/>
          <w:sz w:val="24"/>
          <w14:ligatures w14:val="none"/>
        </w:rPr>
      </w:pPr>
      <w:r>
        <w:rPr>
          <w:rFonts w:ascii="Times New Roman" w:hAnsi="Times New Roman"/>
          <w:i/>
          <w:sz w:val="24"/>
          <w:u w:val="single"/>
        </w:rPr>
        <w:t>v) uzņēmuma nodibināšana vai tā kapitāla palielināšana ar nosacījumu, ka konts atbilst šādām prasībām:</w:t>
      </w:r>
    </w:p>
    <w:p w14:paraId="6345EDC4" w14:textId="77777777" w:rsidR="00491410" w:rsidRDefault="00491410" w:rsidP="00491410">
      <w:pPr>
        <w:widowControl w:val="0"/>
        <w:tabs>
          <w:tab w:val="left" w:pos="920"/>
        </w:tabs>
        <w:autoSpaceDE w:val="0"/>
        <w:autoSpaceDN w:val="0"/>
        <w:spacing w:before="120" w:after="120" w:line="240" w:lineRule="auto"/>
        <w:ind w:left="851" w:hanging="283"/>
        <w:jc w:val="both"/>
        <w:rPr>
          <w:rFonts w:ascii="Times New Roman" w:eastAsia="Arial" w:hAnsi="Times New Roman" w:cs="Arial"/>
          <w:i/>
          <w:kern w:val="0"/>
          <w:sz w:val="24"/>
          <w14:ligatures w14:val="none"/>
        </w:rPr>
      </w:pPr>
      <w:r>
        <w:rPr>
          <w:rFonts w:ascii="Times New Roman" w:hAnsi="Times New Roman"/>
          <w:i/>
          <w:sz w:val="24"/>
          <w:u w:val="single"/>
        </w:rPr>
        <w:t>i) kontu izmanto tikai tamdēļ, lai noguldītu kapitālu, kas jāizmanto uzņēmuma nodibināšanai vai tā kapitāla palielināšanai, kā noteikts tiesību aktos;</w:t>
      </w:r>
    </w:p>
    <w:p w14:paraId="0CBF5737" w14:textId="77777777" w:rsidR="00491410" w:rsidRPr="003A1063" w:rsidRDefault="00491410" w:rsidP="00491410">
      <w:pPr>
        <w:widowControl w:val="0"/>
        <w:tabs>
          <w:tab w:val="left" w:pos="920"/>
        </w:tabs>
        <w:autoSpaceDE w:val="0"/>
        <w:autoSpaceDN w:val="0"/>
        <w:spacing w:before="120" w:after="120" w:line="240" w:lineRule="auto"/>
        <w:ind w:left="851" w:hanging="283"/>
        <w:jc w:val="both"/>
        <w:rPr>
          <w:rFonts w:ascii="Times New Roman" w:eastAsia="Arial" w:hAnsi="Times New Roman" w:cs="Arial"/>
          <w:i/>
          <w:kern w:val="0"/>
          <w:sz w:val="24"/>
          <w14:ligatures w14:val="none"/>
        </w:rPr>
      </w:pPr>
      <w:r>
        <w:rPr>
          <w:rFonts w:ascii="Times New Roman" w:hAnsi="Times New Roman"/>
          <w:i/>
          <w:sz w:val="24"/>
          <w:u w:val="single"/>
        </w:rPr>
        <w:t>ii) visa kontā turētā summa tiek bloķēta, līdz finanšu iestāde, kas sniedz ziņojumus, iegūst neatkarīgu apstiprinājumu par uzņēmuma nodibināšanu vai kapitāla palielināšanu;</w:t>
      </w:r>
    </w:p>
    <w:p w14:paraId="238198BF" w14:textId="77777777" w:rsidR="00491410" w:rsidRPr="003A1063" w:rsidRDefault="00491410" w:rsidP="00491410">
      <w:pPr>
        <w:widowControl w:val="0"/>
        <w:tabs>
          <w:tab w:val="left" w:pos="1008"/>
        </w:tabs>
        <w:autoSpaceDE w:val="0"/>
        <w:autoSpaceDN w:val="0"/>
        <w:spacing w:before="120" w:after="120" w:line="240" w:lineRule="auto"/>
        <w:ind w:left="851" w:hanging="283"/>
        <w:jc w:val="both"/>
        <w:rPr>
          <w:rFonts w:ascii="Times New Roman" w:eastAsia="Arial" w:hAnsi="Times New Roman" w:cs="Arial"/>
          <w:i/>
          <w:kern w:val="0"/>
          <w:sz w:val="24"/>
          <w14:ligatures w14:val="none"/>
        </w:rPr>
      </w:pPr>
      <w:r>
        <w:rPr>
          <w:rFonts w:ascii="Times New Roman" w:hAnsi="Times New Roman"/>
          <w:i/>
          <w:sz w:val="24"/>
          <w:u w:val="single"/>
        </w:rPr>
        <w:t>iii) pēc uzņēmuma nodibināšanas vai kapitāla palielināšanas kontu slēdz vai pārveido par uzņēmuma vārdā izveidotu kontu;</w:t>
      </w:r>
    </w:p>
    <w:p w14:paraId="3DCDA0F7" w14:textId="77777777" w:rsidR="00491410" w:rsidRPr="003A1063" w:rsidRDefault="00491410" w:rsidP="00491410">
      <w:pPr>
        <w:widowControl w:val="0"/>
        <w:tabs>
          <w:tab w:val="left" w:pos="1021"/>
        </w:tabs>
        <w:autoSpaceDE w:val="0"/>
        <w:autoSpaceDN w:val="0"/>
        <w:spacing w:before="120" w:after="120" w:line="240" w:lineRule="auto"/>
        <w:ind w:left="851" w:hanging="283"/>
        <w:jc w:val="both"/>
        <w:rPr>
          <w:rFonts w:ascii="Times New Roman" w:eastAsia="Arial" w:hAnsi="Times New Roman" w:cs="Arial"/>
          <w:i/>
          <w:kern w:val="0"/>
          <w:sz w:val="24"/>
          <w14:ligatures w14:val="none"/>
        </w:rPr>
      </w:pPr>
      <w:r>
        <w:rPr>
          <w:rFonts w:ascii="Times New Roman" w:hAnsi="Times New Roman"/>
          <w:i/>
          <w:sz w:val="24"/>
          <w:u w:val="single"/>
        </w:rPr>
        <w:t>iv) ja uzņēmums netiek nodibināts vai kapitāls netiek palielināts, summas, no kurām atskaitītas pakalpojuma sniedzēja un līdzīgas maksas, atmaksā tikai personām, kuras tās ir iemaksājušas, un</w:t>
      </w:r>
    </w:p>
    <w:p w14:paraId="14A50BCF" w14:textId="77777777" w:rsidR="00491410" w:rsidRPr="003A1063" w:rsidRDefault="00491410" w:rsidP="00491410">
      <w:pPr>
        <w:widowControl w:val="0"/>
        <w:tabs>
          <w:tab w:val="left" w:pos="978"/>
        </w:tabs>
        <w:autoSpaceDE w:val="0"/>
        <w:autoSpaceDN w:val="0"/>
        <w:spacing w:before="120" w:after="120" w:line="240" w:lineRule="auto"/>
        <w:ind w:left="851" w:hanging="283"/>
        <w:jc w:val="both"/>
        <w:rPr>
          <w:rFonts w:ascii="Times New Roman" w:eastAsia="Arial" w:hAnsi="Times New Roman" w:cs="Arial"/>
          <w:i/>
          <w:kern w:val="0"/>
          <w:sz w:val="24"/>
          <w14:ligatures w14:val="none"/>
        </w:rPr>
      </w:pPr>
      <w:r>
        <w:rPr>
          <w:rFonts w:ascii="Times New Roman" w:hAnsi="Times New Roman"/>
          <w:i/>
          <w:sz w:val="24"/>
          <w:u w:val="single"/>
        </w:rPr>
        <w:t>v) konts ir izveidots ne vēlāk kā pirms 12 mēnešiem;</w:t>
      </w:r>
    </w:p>
    <w:p w14:paraId="1AC2C324" w14:textId="77777777" w:rsidR="00491410" w:rsidRPr="003A1063" w:rsidRDefault="00491410" w:rsidP="00491410">
      <w:pPr>
        <w:widowControl w:val="0"/>
        <w:autoSpaceDE w:val="0"/>
        <w:autoSpaceDN w:val="0"/>
        <w:spacing w:before="120" w:after="120" w:line="240" w:lineRule="auto"/>
        <w:ind w:left="567" w:hanging="283"/>
        <w:jc w:val="both"/>
        <w:rPr>
          <w:rFonts w:ascii="Times New Roman" w:eastAsia="Arial" w:hAnsi="Times New Roman" w:cs="Arial"/>
          <w:i/>
          <w:kern w:val="0"/>
          <w:sz w:val="24"/>
          <w14:ligatures w14:val="none"/>
        </w:rPr>
      </w:pPr>
      <w:r>
        <w:rPr>
          <w:rFonts w:ascii="Times New Roman" w:hAnsi="Times New Roman"/>
          <w:i/>
          <w:sz w:val="24"/>
          <w:u w:val="single"/>
        </w:rPr>
        <w:t>e.bis) noguldījumu konts, kas pārstāv visus noteiktos elektroniskās naudas produktus, kuri tiek turēti klienta labā, ja apkopotās konta bilances vai vērtības slīdošais vidējais rādītājs jebkurā 90 secīgu dienu periodā nepārsniedz 10 000 USD jebkurā dienā kalendārajā gadā vai citā atbilstošā pārskata periodā.</w:t>
      </w:r>
    </w:p>
    <w:p w14:paraId="3CC505BC" w14:textId="77777777" w:rsidR="00491410" w:rsidRPr="003A1063" w:rsidRDefault="00491410" w:rsidP="009036BF">
      <w:pPr>
        <w:keepNext/>
        <w:keepLines/>
        <w:widowControl w:val="0"/>
        <w:tabs>
          <w:tab w:val="left" w:pos="524"/>
        </w:tabs>
        <w:autoSpaceDE w:val="0"/>
        <w:autoSpaceDN w:val="0"/>
        <w:spacing w:before="120" w:after="120" w:line="240" w:lineRule="auto"/>
        <w:jc w:val="both"/>
        <w:outlineLvl w:val="3"/>
        <w:rPr>
          <w:rFonts w:ascii="Times New Roman" w:eastAsia="Arial" w:hAnsi="Times New Roman" w:cs="Arial"/>
          <w:b/>
          <w:bCs/>
          <w:i/>
          <w:iCs/>
          <w:kern w:val="0"/>
          <w:sz w:val="24"/>
          <w14:ligatures w14:val="none"/>
        </w:rPr>
      </w:pPr>
      <w:bookmarkStart w:id="268" w:name="D._Reportable_Account"/>
      <w:bookmarkEnd w:id="268"/>
      <w:r>
        <w:rPr>
          <w:rFonts w:ascii="Times New Roman" w:hAnsi="Times New Roman"/>
          <w:b/>
          <w:i/>
          <w:sz w:val="24"/>
        </w:rPr>
        <w:lastRenderedPageBreak/>
        <w:t>D. Konts, par kuru jāsniedz ziņojums</w:t>
      </w:r>
    </w:p>
    <w:p w14:paraId="6D79C5FA" w14:textId="77777777" w:rsidR="00491410" w:rsidRPr="003A1063" w:rsidRDefault="00491410" w:rsidP="009036BF">
      <w:pPr>
        <w:keepNext/>
        <w:keepLines/>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73ACE900" w14:textId="77777777" w:rsidR="00491410" w:rsidRPr="003A1063" w:rsidRDefault="00491410" w:rsidP="009036BF">
      <w:pPr>
        <w:keepNext/>
        <w:keepLines/>
        <w:widowControl w:val="0"/>
        <w:tabs>
          <w:tab w:val="left" w:pos="460"/>
        </w:tabs>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 xml:space="preserve">2. </w:t>
      </w:r>
      <w:r>
        <w:rPr>
          <w:rFonts w:ascii="Times New Roman" w:hAnsi="Times New Roman"/>
          <w:b/>
          <w:bCs/>
          <w:sz w:val="24"/>
        </w:rPr>
        <w:t>“Persona, par kuru jāsniedz ziņojums”</w:t>
      </w:r>
      <w:r>
        <w:rPr>
          <w:rFonts w:ascii="Times New Roman" w:hAnsi="Times New Roman"/>
          <w:sz w:val="24"/>
        </w:rPr>
        <w:t xml:space="preserve"> ir persona jurisdikcijā, par ko jāsniedz ziņojums, un nav i) </w:t>
      </w:r>
      <w:r>
        <w:rPr>
          <w:rFonts w:ascii="Times New Roman" w:hAnsi="Times New Roman"/>
          <w:strike/>
          <w:sz w:val="24"/>
        </w:rPr>
        <w:t>uzņēmums</w:t>
      </w:r>
      <w:r>
        <w:rPr>
          <w:rFonts w:ascii="Times New Roman" w:hAnsi="Times New Roman"/>
          <w:sz w:val="24"/>
        </w:rPr>
        <w:t xml:space="preserve"> </w:t>
      </w:r>
      <w:r>
        <w:rPr>
          <w:rFonts w:ascii="Times New Roman" w:hAnsi="Times New Roman"/>
          <w:i/>
          <w:iCs/>
          <w:sz w:val="24"/>
          <w:u w:val="single"/>
        </w:rPr>
        <w:t>vienība</w:t>
      </w:r>
      <w:r>
        <w:rPr>
          <w:rFonts w:ascii="Times New Roman" w:hAnsi="Times New Roman"/>
          <w:sz w:val="24"/>
        </w:rPr>
        <w:t xml:space="preserve">, kuras akcijas regulāri tirgo vienā vai vairākos vispāratzītos vērtspapīru tirgos; ii) </w:t>
      </w:r>
      <w:r>
        <w:rPr>
          <w:rFonts w:ascii="Times New Roman" w:hAnsi="Times New Roman"/>
          <w:strike/>
          <w:sz w:val="24"/>
        </w:rPr>
        <w:t>uzņēmums</w:t>
      </w:r>
      <w:r>
        <w:rPr>
          <w:rFonts w:ascii="Times New Roman" w:hAnsi="Times New Roman"/>
          <w:sz w:val="24"/>
        </w:rPr>
        <w:t xml:space="preserve"> </w:t>
      </w:r>
      <w:r>
        <w:rPr>
          <w:rFonts w:ascii="Times New Roman" w:hAnsi="Times New Roman"/>
          <w:i/>
          <w:iCs/>
          <w:sz w:val="24"/>
          <w:u w:val="single"/>
        </w:rPr>
        <w:t>vienība</w:t>
      </w:r>
      <w:r>
        <w:rPr>
          <w:rFonts w:ascii="Times New Roman" w:hAnsi="Times New Roman"/>
          <w:sz w:val="24"/>
        </w:rPr>
        <w:t xml:space="preserve">, kas ir i) apakšpunktā aprakstītās </w:t>
      </w:r>
      <w:r>
        <w:rPr>
          <w:rFonts w:ascii="Times New Roman" w:hAnsi="Times New Roman"/>
          <w:i/>
          <w:iCs/>
          <w:sz w:val="24"/>
          <w:u w:val="single"/>
        </w:rPr>
        <w:t>vienības</w:t>
      </w:r>
      <w:r>
        <w:rPr>
          <w:rFonts w:ascii="Times New Roman" w:hAnsi="Times New Roman"/>
          <w:sz w:val="24"/>
        </w:rPr>
        <w:t xml:space="preserve"> saistītā vienība (..)</w:t>
      </w:r>
    </w:p>
    <w:p w14:paraId="4B739578"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2C39E8CC" w14:textId="77777777" w:rsidR="00491410" w:rsidRPr="005F27FB" w:rsidRDefault="00491410" w:rsidP="00491410">
      <w:pPr>
        <w:widowControl w:val="0"/>
        <w:tabs>
          <w:tab w:val="left" w:pos="510"/>
        </w:tabs>
        <w:autoSpaceDE w:val="0"/>
        <w:autoSpaceDN w:val="0"/>
        <w:spacing w:before="120" w:after="120" w:line="240" w:lineRule="auto"/>
        <w:jc w:val="both"/>
        <w:outlineLvl w:val="3"/>
        <w:rPr>
          <w:rFonts w:ascii="Times New Roman" w:eastAsia="Arial" w:hAnsi="Times New Roman" w:cs="Arial"/>
          <w:b/>
          <w:bCs/>
          <w:i/>
          <w:iCs/>
          <w:kern w:val="0"/>
          <w:sz w:val="24"/>
          <w14:ligatures w14:val="none"/>
        </w:rPr>
      </w:pPr>
      <w:bookmarkStart w:id="269" w:name="E._Miscellaneous"/>
      <w:bookmarkEnd w:id="269"/>
      <w:r>
        <w:rPr>
          <w:rFonts w:ascii="Times New Roman" w:hAnsi="Times New Roman"/>
          <w:b/>
          <w:i/>
          <w:sz w:val="24"/>
        </w:rPr>
        <w:t>E. Dažādi jautājumi</w:t>
      </w:r>
    </w:p>
    <w:p w14:paraId="44A4A989"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7C08B4EC" w14:textId="77777777" w:rsidR="00491410" w:rsidRPr="003A1063" w:rsidRDefault="00491410" w:rsidP="00491410">
      <w:pPr>
        <w:widowControl w:val="0"/>
        <w:tabs>
          <w:tab w:val="left" w:pos="409"/>
        </w:tabs>
        <w:autoSpaceDE w:val="0"/>
        <w:autoSpaceDN w:val="0"/>
        <w:spacing w:before="120" w:after="120" w:line="240" w:lineRule="auto"/>
        <w:jc w:val="both"/>
        <w:rPr>
          <w:rFonts w:ascii="Times New Roman" w:eastAsia="Arial" w:hAnsi="Times New Roman" w:cs="Arial"/>
          <w:i/>
          <w:kern w:val="0"/>
          <w:sz w:val="24"/>
          <w:u w:val="single"/>
          <w14:ligatures w14:val="none"/>
        </w:rPr>
      </w:pPr>
      <w:r>
        <w:rPr>
          <w:rFonts w:ascii="Times New Roman" w:hAnsi="Times New Roman"/>
          <w:i/>
          <w:sz w:val="24"/>
          <w:u w:val="single"/>
        </w:rPr>
        <w:t xml:space="preserve">7. </w:t>
      </w:r>
      <w:r>
        <w:rPr>
          <w:rFonts w:ascii="Times New Roman" w:hAnsi="Times New Roman"/>
          <w:b/>
          <w:bCs/>
          <w:i/>
          <w:sz w:val="24"/>
          <w:u w:val="single"/>
        </w:rPr>
        <w:t>“Valdības verifikācijas pakalpojums”</w:t>
      </w:r>
      <w:r>
        <w:rPr>
          <w:rFonts w:ascii="Times New Roman" w:hAnsi="Times New Roman"/>
          <w:i/>
          <w:sz w:val="24"/>
          <w:u w:val="single"/>
        </w:rPr>
        <w:t xml:space="preserve"> ir elektronisks process, ko jurisdikcija, par kuru jāsniedz ziņojums, dara pieejamu finanšu iestādei, kas sniedz ziņojumus, lai pārliecinātos par konta turētāja vai kontrolējošās personas identitāti un rezidenci nodokļu vajadzībām.</w:t>
      </w:r>
    </w:p>
    <w:p w14:paraId="7511BEDD"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14:ligatures w14:val="none"/>
        </w:rPr>
      </w:pPr>
      <w:r>
        <w:rPr>
          <w:rFonts w:ascii="Times New Roman" w:hAnsi="Times New Roman"/>
          <w:sz w:val="24"/>
        </w:rPr>
        <w:t>(..)</w:t>
      </w:r>
    </w:p>
    <w:p w14:paraId="44D40B50" w14:textId="77777777" w:rsidR="00491410" w:rsidRPr="003A1063" w:rsidRDefault="00491410" w:rsidP="00491410">
      <w:pPr>
        <w:widowControl w:val="0"/>
        <w:autoSpaceDE w:val="0"/>
        <w:autoSpaceDN w:val="0"/>
        <w:spacing w:before="120" w:after="120" w:line="240" w:lineRule="auto"/>
        <w:jc w:val="both"/>
        <w:rPr>
          <w:rFonts w:ascii="Times New Roman" w:eastAsia="Arial" w:hAnsi="Times New Roman" w:cs="Arial"/>
          <w:kern w:val="0"/>
          <w:sz w:val="24"/>
          <w:szCs w:val="20"/>
          <w14:ligatures w14:val="none"/>
        </w:rPr>
      </w:pPr>
    </w:p>
    <w:p w14:paraId="15C2CC9D" w14:textId="77777777" w:rsidR="00491410" w:rsidRPr="005F27FB" w:rsidRDefault="00491410" w:rsidP="00491410">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70" w:name="Section_X:_Transitional_Measures"/>
      <w:bookmarkStart w:id="271" w:name="_bookmark47"/>
      <w:bookmarkStart w:id="272" w:name="_Toc241753102"/>
      <w:bookmarkEnd w:id="270"/>
      <w:bookmarkEnd w:id="271"/>
      <w:r>
        <w:rPr>
          <w:rFonts w:ascii="Times New Roman" w:hAnsi="Times New Roman"/>
          <w:b/>
          <w:color w:val="0B769F" w:themeColor="accent4" w:themeShade="BF"/>
          <w:sz w:val="26"/>
        </w:rPr>
        <w:t>X pants. Pārejas pasākumi</w:t>
      </w:r>
      <w:bookmarkEnd w:id="272"/>
    </w:p>
    <w:p w14:paraId="6D3060A0" w14:textId="77777777" w:rsidR="00491410" w:rsidRPr="003A1063" w:rsidRDefault="00491410" w:rsidP="00491410">
      <w:pPr>
        <w:widowControl w:val="0"/>
        <w:tabs>
          <w:tab w:val="left" w:pos="430"/>
        </w:tabs>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i/>
          <w:sz w:val="24"/>
          <w:u w:val="single"/>
        </w:rPr>
        <w:t>A. Kopējā ziņošanas standarta grozījumi stājas spēkā [pārskatītā CRS spēkā stāšanās datums].</w:t>
      </w:r>
    </w:p>
    <w:p w14:paraId="73F7BFCD" w14:textId="77777777" w:rsidR="00491410" w:rsidRPr="003A1063" w:rsidRDefault="00491410" w:rsidP="00491410">
      <w:pPr>
        <w:widowControl w:val="0"/>
        <w:tabs>
          <w:tab w:val="left" w:pos="430"/>
        </w:tabs>
        <w:autoSpaceDE w:val="0"/>
        <w:autoSpaceDN w:val="0"/>
        <w:spacing w:before="120" w:after="120" w:line="240" w:lineRule="auto"/>
        <w:jc w:val="both"/>
        <w:rPr>
          <w:rFonts w:ascii="Times New Roman" w:eastAsia="Arial" w:hAnsi="Times New Roman" w:cs="Arial"/>
          <w:i/>
          <w:kern w:val="0"/>
          <w:sz w:val="24"/>
          <w14:ligatures w14:val="none"/>
        </w:rPr>
      </w:pPr>
      <w:r>
        <w:rPr>
          <w:rFonts w:ascii="Times New Roman" w:hAnsi="Times New Roman"/>
          <w:i/>
          <w:iCs/>
          <w:sz w:val="24"/>
          <w:u w:val="single"/>
        </w:rPr>
        <w:t>B. Neatkarīgi no A punkta saskaņā ar I panta A punkta 1. apakšpunkta b) daļu un 6.bis) apakšpunktu attiecībā uz kontu, par kuru jāsniedz ziņojums un kuru finanšu iestāde, kas sniedz ziņojumus, uzturējusi [pārskatītā CRS spēkā stāšanās datums mīnus viena diena], un attiecībā uz pārskata periodiem, kas beidzas līdz tā otra kalendārā gada beigām, kas seko šai spēkā stāšanās dienai, informācija par lomu(-ām), uz kuras(-u) pamata persona, par ko jāsniedz ziņojums, ir vienību kontrolējošā persona vai vienība, kura ir vienības līdzdalības daļu turētāja, ir jāsniedz tikai tad, ja šī informācija ir pieejama elektroniski uzmeklējamos datos, kurus uztur finanšu iestāde, kas sniedz ziņojumus.</w:t>
      </w:r>
    </w:p>
    <w:p w14:paraId="0286080C" w14:textId="77777777" w:rsidR="00491410" w:rsidRPr="003A1063" w:rsidRDefault="00491410" w:rsidP="00491410">
      <w:pPr>
        <w:spacing w:before="120" w:after="120" w:line="240" w:lineRule="auto"/>
        <w:jc w:val="both"/>
        <w:rPr>
          <w:rFonts w:ascii="Times New Roman" w:hAnsi="Times New Roman"/>
          <w:sz w:val="24"/>
        </w:rPr>
      </w:pPr>
    </w:p>
    <w:p w14:paraId="5F309F09" w14:textId="05313F22" w:rsidR="00F509BB" w:rsidRDefault="00F509BB">
      <w:pPr>
        <w:rPr>
          <w:rFonts w:ascii="Times New Roman" w:eastAsia="Arial" w:hAnsi="Times New Roman" w:cs="Times New Roman"/>
          <w:noProof/>
          <w:kern w:val="0"/>
          <w:sz w:val="24"/>
          <w:szCs w:val="24"/>
          <w14:ligatures w14:val="none"/>
        </w:rPr>
      </w:pPr>
      <w:r>
        <w:rPr>
          <w:rFonts w:ascii="Times New Roman" w:eastAsia="Arial" w:hAnsi="Times New Roman" w:cs="Times New Roman"/>
          <w:noProof/>
          <w:kern w:val="0"/>
          <w:sz w:val="24"/>
          <w:szCs w:val="24"/>
          <w14:ligatures w14:val="none"/>
        </w:rPr>
        <w:br w:type="page"/>
      </w:r>
    </w:p>
    <w:p w14:paraId="0603E068" w14:textId="77777777" w:rsidR="00F509BB" w:rsidRPr="0001557D" w:rsidRDefault="00F509BB" w:rsidP="00F509BB">
      <w:pPr>
        <w:widowControl w:val="0"/>
        <w:autoSpaceDE w:val="0"/>
        <w:autoSpaceDN w:val="0"/>
        <w:spacing w:before="120" w:after="120" w:line="240" w:lineRule="auto"/>
        <w:jc w:val="both"/>
        <w:rPr>
          <w:rFonts w:ascii="Times New Roman" w:eastAsia="Arial" w:hAnsi="Times New Roman" w:cs="Times New Roman"/>
          <w:b/>
          <w:bCs/>
          <w:noProof/>
          <w:color w:val="0B769F" w:themeColor="accent4" w:themeShade="BF"/>
          <w:sz w:val="48"/>
          <w:szCs w:val="48"/>
        </w:rPr>
      </w:pPr>
      <w:r>
        <w:rPr>
          <w:rFonts w:ascii="Times New Roman" w:hAnsi="Times New Roman"/>
          <w:b/>
          <w:color w:val="0B769F" w:themeColor="accent4" w:themeShade="BF"/>
          <w:sz w:val="72"/>
          <w:u w:val="single"/>
        </w:rPr>
        <w:lastRenderedPageBreak/>
        <w:t>3.</w:t>
      </w:r>
      <w:r>
        <w:rPr>
          <w:rFonts w:ascii="Times New Roman" w:hAnsi="Times New Roman"/>
          <w:b/>
          <w:color w:val="0B769F" w:themeColor="accent4" w:themeShade="BF"/>
          <w:sz w:val="48"/>
        </w:rPr>
        <w:t xml:space="preserve"> Grozījumi komentāros par noteikumiem</w:t>
      </w:r>
    </w:p>
    <w:p w14:paraId="5DC4A0F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14:ligatures w14:val="none"/>
        </w:rPr>
      </w:pPr>
    </w:p>
    <w:p w14:paraId="5B5F0901" w14:textId="77777777" w:rsidR="00F509BB" w:rsidRPr="00893E23" w:rsidRDefault="00F509BB" w:rsidP="00F509BB">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73" w:name="Commentary_on_Section_I"/>
      <w:bookmarkStart w:id="274" w:name="_bookmark49"/>
      <w:bookmarkStart w:id="275" w:name="_Toc241753103"/>
      <w:bookmarkEnd w:id="273"/>
      <w:bookmarkEnd w:id="274"/>
      <w:r>
        <w:rPr>
          <w:rFonts w:ascii="Times New Roman" w:hAnsi="Times New Roman"/>
          <w:b/>
          <w:color w:val="0B769F" w:themeColor="accent4" w:themeShade="BF"/>
          <w:sz w:val="26"/>
        </w:rPr>
        <w:t>Komentārs par I pantu</w:t>
      </w:r>
      <w:bookmarkEnd w:id="275"/>
    </w:p>
    <w:p w14:paraId="67E941D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7A8F5361" w14:textId="77777777" w:rsidR="00F509BB" w:rsidRPr="00893E23"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276" w:name="Paragraph_A_–_Information_to_be_reported"/>
      <w:bookmarkEnd w:id="276"/>
      <w:r>
        <w:rPr>
          <w:rFonts w:ascii="Times New Roman" w:hAnsi="Times New Roman"/>
          <w:b/>
          <w:i/>
          <w:sz w:val="26"/>
        </w:rPr>
        <w:t>A punkts. Sniedzamā informācija</w:t>
      </w:r>
    </w:p>
    <w:p w14:paraId="677EA99F" w14:textId="77777777" w:rsidR="00F509BB" w:rsidRPr="005421A9" w:rsidRDefault="00F509BB" w:rsidP="00F509BB">
      <w:pPr>
        <w:widowControl w:val="0"/>
        <w:tabs>
          <w:tab w:val="left" w:pos="460"/>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3. Saskaņā ar A punktu katrai finanšu iestādei, kas sniedz ziņojumus, ir jāsniedz turpmāk minētā informācija attiecībā uz katru šādas finanšu iestādes kontu, par kuru jāsniedz ziņojums:</w:t>
      </w:r>
    </w:p>
    <w:p w14:paraId="013E1C7F"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a) ja fiziska persona ir konta turētājs un persona, par kuru jāsniedz ziņojums, – vārds, uzvārds, adrese, rezidences jurisdikcija(-as), </w:t>
      </w:r>
      <w:r>
        <w:rPr>
          <w:rFonts w:ascii="Times New Roman" w:hAnsi="Times New Roman"/>
          <w:i/>
          <w:iCs/>
          <w:sz w:val="24"/>
        </w:rPr>
        <w:t>TIN</w:t>
      </w:r>
      <w:r>
        <w:rPr>
          <w:rFonts w:ascii="Times New Roman" w:hAnsi="Times New Roman"/>
          <w:sz w:val="24"/>
        </w:rPr>
        <w:t xml:space="preserve">, dzimšanas vieta un datums, kā arī jānorāda, </w:t>
      </w:r>
      <w:r>
        <w:rPr>
          <w:rFonts w:ascii="Times New Roman" w:hAnsi="Times New Roman"/>
          <w:i/>
          <w:sz w:val="24"/>
          <w:u w:val="single"/>
        </w:rPr>
        <w:t>vai konta turētājs ir iesniedzis derīgu pašapliecinājumu un vai konts ir kopīgs konts, kā arī kopīgā konta turētāju skaits</w:t>
      </w:r>
      <w:r>
        <w:rPr>
          <w:rFonts w:ascii="Times New Roman" w:hAnsi="Times New Roman"/>
          <w:sz w:val="24"/>
        </w:rPr>
        <w:t>;</w:t>
      </w:r>
    </w:p>
    <w:p w14:paraId="46D7DE8C"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a) ja vienība ir konta turētājs un persona, par kuru jāsniedz ziņojums, – nosaukums, adrese, rezidences jurisdikcija(-as), </w:t>
      </w:r>
      <w:r>
        <w:rPr>
          <w:rFonts w:ascii="Times New Roman" w:hAnsi="Times New Roman"/>
          <w:i/>
          <w:iCs/>
          <w:sz w:val="24"/>
        </w:rPr>
        <w:t>TIN</w:t>
      </w:r>
      <w:r>
        <w:rPr>
          <w:rFonts w:ascii="Times New Roman" w:hAnsi="Times New Roman"/>
          <w:sz w:val="24"/>
        </w:rPr>
        <w:t xml:space="preserve">, kā arī jānorāda, </w:t>
      </w:r>
      <w:r>
        <w:rPr>
          <w:rFonts w:ascii="Times New Roman" w:hAnsi="Times New Roman"/>
          <w:i/>
          <w:sz w:val="24"/>
          <w:u w:val="single"/>
        </w:rPr>
        <w:t>vai konta turētājs ir iesniedzis derīgu pašapliecinājumu un vai konts ir kopīgs konts, kā arī kopīgā konta turētāju skaits</w:t>
      </w:r>
      <w:r>
        <w:rPr>
          <w:rFonts w:ascii="Times New Roman" w:hAnsi="Times New Roman"/>
          <w:sz w:val="24"/>
        </w:rPr>
        <w:t>;</w:t>
      </w:r>
    </w:p>
    <w:p w14:paraId="6281735B" w14:textId="77777777" w:rsidR="00F509BB" w:rsidRPr="005421A9" w:rsidRDefault="00F509BB" w:rsidP="00F509BB">
      <w:pPr>
        <w:widowControl w:val="0"/>
        <w:tabs>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c) ja vienība ir konta turētājs un ir norādīts, ka tai ir viena vai vairākas kontrolējošās personas, kas ir personas, par kurām jāsniedz ziņojums:</w:t>
      </w:r>
    </w:p>
    <w:p w14:paraId="1B334ED7" w14:textId="77777777" w:rsidR="00F509BB" w:rsidRPr="005421A9" w:rsidRDefault="00F509BB" w:rsidP="00F509BB">
      <w:pPr>
        <w:widowControl w:val="0"/>
        <w:tabs>
          <w:tab w:val="left" w:pos="1802"/>
        </w:tabs>
        <w:autoSpaceDE w:val="0"/>
        <w:autoSpaceDN w:val="0"/>
        <w:spacing w:before="120" w:after="120" w:line="240" w:lineRule="auto"/>
        <w:ind w:left="851"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1) vienības nosaukums, adrese, rezidences jurisdikcija(-as) un </w:t>
      </w:r>
      <w:r>
        <w:rPr>
          <w:rFonts w:ascii="Times New Roman" w:hAnsi="Times New Roman"/>
          <w:i/>
          <w:iCs/>
          <w:sz w:val="24"/>
        </w:rPr>
        <w:t>TIN</w:t>
      </w:r>
      <w:r>
        <w:rPr>
          <w:rFonts w:ascii="Times New Roman" w:hAnsi="Times New Roman"/>
          <w:sz w:val="24"/>
        </w:rPr>
        <w:t xml:space="preserve"> un</w:t>
      </w:r>
    </w:p>
    <w:p w14:paraId="1A644D59" w14:textId="77777777" w:rsidR="00F509BB" w:rsidRPr="005421A9" w:rsidRDefault="00F509BB" w:rsidP="00F509BB">
      <w:pPr>
        <w:widowControl w:val="0"/>
        <w:tabs>
          <w:tab w:val="left" w:pos="1801"/>
          <w:tab w:val="left" w:pos="1803"/>
        </w:tabs>
        <w:autoSpaceDE w:val="0"/>
        <w:autoSpaceDN w:val="0"/>
        <w:spacing w:before="120" w:after="120" w:line="240" w:lineRule="auto"/>
        <w:ind w:left="851" w:hanging="283"/>
        <w:jc w:val="both"/>
        <w:rPr>
          <w:rFonts w:ascii="Times New Roman" w:eastAsia="Arial" w:hAnsi="Times New Roman" w:cs="Arial"/>
          <w:i/>
          <w:noProof/>
          <w:kern w:val="0"/>
          <w:sz w:val="24"/>
          <w:szCs w:val="24"/>
          <w14:ligatures w14:val="none"/>
        </w:rPr>
      </w:pPr>
      <w:r>
        <w:rPr>
          <w:rFonts w:ascii="Times New Roman" w:hAnsi="Times New Roman"/>
          <w:sz w:val="24"/>
        </w:rPr>
        <w:t xml:space="preserve">2) par katru kontrolējošo personu, par kuru jāsniedz ziņojums, – vārds, uzvārds, adrese, rezidences jurisdikcija(-as), </w:t>
      </w:r>
      <w:r>
        <w:rPr>
          <w:rFonts w:ascii="Times New Roman" w:hAnsi="Times New Roman"/>
          <w:i/>
          <w:iCs/>
          <w:sz w:val="24"/>
        </w:rPr>
        <w:t>TIN</w:t>
      </w:r>
      <w:r>
        <w:rPr>
          <w:rFonts w:ascii="Times New Roman" w:hAnsi="Times New Roman"/>
          <w:sz w:val="24"/>
        </w:rPr>
        <w:t xml:space="preserve">, dzimšanas datums un vieta, </w:t>
      </w:r>
      <w:r>
        <w:rPr>
          <w:rFonts w:ascii="Times New Roman" w:hAnsi="Times New Roman"/>
          <w:i/>
          <w:sz w:val="24"/>
          <w:u w:val="single"/>
        </w:rPr>
        <w:t>kā arī loma(-as), saskaņā ar kuru(-ām) katra persona, par kuru jāsniedz ziņojums, ir vienību kontrolējošā persona, un vai par katru šādu personu ir iesniegts derīgs pašapliecinājums</w:t>
      </w:r>
      <w:r>
        <w:rPr>
          <w:rFonts w:ascii="Times New Roman" w:hAnsi="Times New Roman"/>
          <w:sz w:val="24"/>
        </w:rPr>
        <w:t>;</w:t>
      </w:r>
    </w:p>
    <w:p w14:paraId="14F80E80"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d) konta numurs (vai funkcionāls ekvivalents, ja nav konta numura), </w:t>
      </w:r>
      <w:r>
        <w:rPr>
          <w:rFonts w:ascii="Times New Roman" w:hAnsi="Times New Roman"/>
          <w:i/>
          <w:iCs/>
          <w:sz w:val="24"/>
          <w:u w:val="single"/>
        </w:rPr>
        <w:t>konta veids un vai konts ir iepriekšpastāvējis konts vai jauns konts</w:t>
      </w:r>
      <w:r>
        <w:rPr>
          <w:rFonts w:ascii="Times New Roman" w:hAnsi="Times New Roman"/>
          <w:sz w:val="24"/>
        </w:rPr>
        <w:t>;</w:t>
      </w:r>
    </w:p>
    <w:p w14:paraId="0B50FCB3" w14:textId="77777777" w:rsidR="00F509BB" w:rsidRPr="005421A9" w:rsidRDefault="00F509BB" w:rsidP="00F509BB">
      <w:pPr>
        <w:widowControl w:val="0"/>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e) finanšu iestādes, kas sniedz ziņojumus, nosaukums un identifikācijas numurs (ja tāds ir) un</w:t>
      </w:r>
    </w:p>
    <w:p w14:paraId="3CFB1B58"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f) konta bilance vai vērtība (tostarp apdrošināšanas līguma ar naudas vērtību vai anuitātes līguma gadījumā – naudas vērtība vai līguma laušanas gadījumā – izmaksājamā summa) attiecīgā kalendārā gada vai cita attiecīga ziņošanas perioda beigās vai informācija par konta slēgšanu, ja konts ticis slēgts minētā gada vai perioda laikā.</w:t>
      </w:r>
    </w:p>
    <w:p w14:paraId="0854E147" w14:textId="77777777" w:rsidR="00F509BB" w:rsidRPr="005421A9" w:rsidRDefault="00F509BB" w:rsidP="00F509BB">
      <w:pPr>
        <w:widowControl w:val="0"/>
        <w:tabs>
          <w:tab w:val="left" w:pos="46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4. Turklāt jāsniedz šāda informācija:</w:t>
      </w:r>
    </w:p>
    <w:p w14:paraId="3B53204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7F09580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b bis) attiecībā uz vienību, kurai līdzdalības daļas tiek turētas ieguldījumu vienībā, kas ir juridisks veidojums, loma(-as), saskaņā ar kuru(-ām) persona, par kuru jāsniedz ziņojums, ir vienības līdzdalības daļu turētāja.</w:t>
      </w:r>
    </w:p>
    <w:p w14:paraId="2483968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sectPr w:rsidR="00F509BB" w:rsidRPr="005421A9" w:rsidSect="00F509BB">
          <w:headerReference w:type="default" r:id="rId28"/>
          <w:footerReference w:type="default" r:id="rId29"/>
          <w:headerReference w:type="first" r:id="rId30"/>
          <w:footerReference w:type="first" r:id="rId31"/>
          <w:pgSz w:w="11907" w:h="16840" w:code="9"/>
          <w:pgMar w:top="1134" w:right="1134" w:bottom="1134" w:left="1701" w:header="567" w:footer="567" w:gutter="0"/>
          <w:cols w:space="720"/>
          <w:titlePg/>
        </w:sectPr>
      </w:pPr>
    </w:p>
    <w:p w14:paraId="6733A97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lastRenderedPageBreak/>
        <w:t>(..)</w:t>
      </w:r>
    </w:p>
    <w:p w14:paraId="43F918F1" w14:textId="77777777" w:rsidR="00F509BB" w:rsidRPr="00E77535"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290" w:name="Subparagraph_A(1)_–_Role(s)_of_the_Contr"/>
      <w:bookmarkEnd w:id="290"/>
      <w:r>
        <w:rPr>
          <w:rFonts w:ascii="Times New Roman" w:hAnsi="Times New Roman"/>
          <w:b/>
          <w:i/>
          <w:sz w:val="26"/>
        </w:rPr>
        <w:t>A punkta 1. apakšpunkts. Kontrolējošās personas loma(-as)</w:t>
      </w:r>
    </w:p>
    <w:p w14:paraId="463E9FC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7.bis Ziņojumā jānorāda, kādu(-as) lomu(-as) ieņem persona, par kuru jāsniedz ziņojums un kura ir kontrolējošā persona attiecībā uz vienību. Prasības identificēt kontrolējošās personas, kā arī to lomu attiecībā uz vienību reglamentē AML/KYC procedūras, kā noteikts komentāra par VIII pantu 132. punktā un turpmākajos punktos. Ja persona, par kuru jāsniedz ziņojums, ir kontrolējošā persona, pamatojoties uz to, ka tai ir vairākas lomas attiecībā uz vienību, kas nav trasts vai līdzīgs juridisks veidojums, finanšu iestādei, kas sniedz ziņojumus, ir uzdots ziņot saskaņā ar lomu hierarhiju, kas norādīta komentāra par VIII pantu 133. punktā (t. i., līdzdalības daļas, kontrole, ko īsteno ar citiem līdzekļiem, augstākā vadība), ar nosacījumu, ka AML/KYC procedūrās ir prasīts identificēt šo lomu. To parāda turpmāk minētais piemērs.</w:t>
      </w:r>
    </w:p>
    <w:p w14:paraId="6B857BE6" w14:textId="77777777" w:rsidR="00F509BB" w:rsidRPr="005421A9" w:rsidRDefault="00F509BB" w:rsidP="00F509BB">
      <w:pPr>
        <w:widowControl w:val="0"/>
        <w:numPr>
          <w:ilvl w:val="0"/>
          <w:numId w:val="47"/>
        </w:numPr>
        <w:tabs>
          <w:tab w:val="left" w:pos="1235"/>
          <w:tab w:val="left" w:pos="1237"/>
        </w:tabs>
        <w:autoSpaceDE w:val="0"/>
        <w:autoSpaceDN w:val="0"/>
        <w:spacing w:before="120" w:after="120" w:line="240" w:lineRule="auto"/>
        <w:ind w:left="567" w:hanging="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Piemērs. Finanšu iestāde, kas sniedz ziņojumus, uztur finanšu kontu vienības vārdā, kas ir konta turētājs un ir sabiedrība. Finanšu iestāde, kas sniedz ziņojumus, konstatē, ka persona, par kuru jāsniedz ziņojums, ir persona, kura kontrolē šādu vienību, kas ir konta turētājs, jo tai pieder 51 % līdzdalības daļu un balsstiesību šajā vienībā, kā arī persona ir augstākās vadības amatpersona šajā vienībā. Finanšu iestādei, kas sniedz ziņojumus, ir prasīts tikai norādīt, ka persona, par kuru jāsniedz ziņojums, ir kontrolējošā persona, jo tai ir līdzdalības daļas, tā kā šī loma ir pirmā komentāra par I pantu 7.bis punktā norādītajā hierarhijā.</w:t>
      </w:r>
    </w:p>
    <w:p w14:paraId="7AEF0D2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7.ter Ja persona, par kuru jāsniedz ziņojums, ir persona, kura kontrolē trastu vai līdzīgu juridisku veidojumu, jo tai ir vairākas lomas, finanšu iestādei, kas sniedz ziņojumus, ir prasīts norādīt visas lomas, bet ar nosacījumu, ka AML/KYC procedūrās ir prasīts norādīt šīs lomas. Šī prasība norādīt lomas ir piemērojama arī attiecībā uz lomām, ko ieņem trasta vai līdzīga juridiska veidojuma vienība, kas ir līdzdalības daļu turētāja, kā norādīts A punkta 6.bis) apakšpunktā.</w:t>
      </w:r>
    </w:p>
    <w:p w14:paraId="3FD79E7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DE69E8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4"/>
          <w:szCs w:val="24"/>
          <w14:ligatures w14:val="none"/>
        </w:rPr>
      </w:pPr>
      <w:bookmarkStart w:id="291" w:name="Subparagraph_A(2)_–_Account_number,_type"/>
      <w:bookmarkEnd w:id="291"/>
      <w:r>
        <w:rPr>
          <w:rFonts w:ascii="Times New Roman" w:hAnsi="Times New Roman"/>
          <w:b/>
          <w:i/>
          <w:sz w:val="24"/>
        </w:rPr>
        <w:t>A punkta 2. apakšpunkts. Konta numurs, konta veids, iepriekšpastāvējis konts vai jauns konts</w:t>
      </w:r>
    </w:p>
    <w:p w14:paraId="235CB1C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8.bis Finanšu iestādei, kas sniedz ziņojumus, ir prasīts ziņot arī par to, vai konts ir iepriekšpastāvējis konts vai jauns konts, kā noteikts VIII panta C punkta attiecīgi 9. un 10. apakšpunktā.</w:t>
      </w:r>
    </w:p>
    <w:p w14:paraId="361E02F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8.ter Konta veids, kas jāziņo attiecībā uz kontu, ir finanšu konta veids, kuru finanšu iestāde, kas sniedz ziņojumus, uztur konta turētājam, kā aprakstīts VIII panta C punkta 1. apakšpunktā.</w:t>
      </w:r>
    </w:p>
    <w:p w14:paraId="3865142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18C3D6A5"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4"/>
          <w:szCs w:val="24"/>
          <w14:ligatures w14:val="none"/>
        </w:rPr>
      </w:pPr>
      <w:bookmarkStart w:id="292" w:name="Subparagraph_A(4)_–_Account_balance_or_v"/>
      <w:bookmarkEnd w:id="292"/>
      <w:r>
        <w:rPr>
          <w:rFonts w:ascii="Times New Roman" w:hAnsi="Times New Roman"/>
          <w:b/>
          <w:i/>
          <w:sz w:val="24"/>
        </w:rPr>
        <w:t>A punkta 4. apakšpunkts. Konta bilance vai vērtība</w:t>
      </w:r>
    </w:p>
    <w:p w14:paraId="2C0E38A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59542094" w14:textId="4B5B953E" w:rsidR="00F509BB" w:rsidRPr="005421A9" w:rsidRDefault="00F509BB" w:rsidP="00F82262">
      <w:pPr>
        <w:widowControl w:val="0"/>
        <w:tabs>
          <w:tab w:val="left" w:pos="586"/>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14. Konta slēgšanas gadījumā finanšu iestādei, kas sniedz ziņojumus, nav pienākuma sniegt informāciju par konta bilanci vai vērtību pirms konta slēgšanas vai konta slēgšanas brīdī, taču tai ir jāpaziņo, ka konts ir slēgts. To, kad konts ir “slēgts”, nosaka saskaņā ar attiecīgās jurisdikcijas piemērojamajiem tiesību aktiem. Ja piemērojamos tiesību aktos nav noteikts kontu slēgšanas jautājums, konts tiks uzskatīts par slēgtu saskaņā ar parastajām darbības procedūrām, ko finanšu iestādes, kas sniedz ziņojumus, konsekventi piemēro attiecībā uz visiem šādas iestādes uzturētajiem kontiem. Piemēram, līdzdalības daļas finanšu iestādes kapitālā vai parādkapitālā parasti tiks uzskatītas par slēdzamām izbeigšanas, pārveduma, atpirkuma, dzēšanas, atcelšanas vai likvidācijas dēļ. Tas, ka konta bilance vai vērtība ir vienāda ar nulli vai ir negatīva, nav pietiekams iemesls, lai uzskatītu, ka konts ir slēgts. </w:t>
      </w:r>
      <w:r>
        <w:rPr>
          <w:rFonts w:ascii="Times New Roman" w:hAnsi="Times New Roman"/>
          <w:i/>
          <w:sz w:val="24"/>
          <w:u w:val="single"/>
        </w:rPr>
        <w:t xml:space="preserve">Līdzīgi, ja diskrecionārais labuma guvējs trastā, kas ir finanšu iestāde, saņem sadali no trasta konkrētajā gadā, bet ne </w:t>
      </w:r>
      <w:r>
        <w:rPr>
          <w:rFonts w:ascii="Times New Roman" w:hAnsi="Times New Roman"/>
          <w:i/>
          <w:sz w:val="24"/>
          <w:u w:val="single"/>
        </w:rPr>
        <w:lastRenderedPageBreak/>
        <w:t>nākamajā</w:t>
      </w:r>
      <w:r w:rsidR="00F82262">
        <w:rPr>
          <w:rFonts w:ascii="Times New Roman" w:eastAsia="Arial" w:hAnsi="Times New Roman" w:cs="Arial"/>
          <w:i/>
          <w:noProof/>
          <w:kern w:val="0"/>
          <w:sz w:val="24"/>
          <w:szCs w:val="24"/>
          <w:u w:val="single"/>
          <w14:ligatures w14:val="none"/>
        </w:rPr>
        <w:t xml:space="preserve"> </w:t>
      </w:r>
      <w:r>
        <w:rPr>
          <w:rFonts w:ascii="Times New Roman" w:hAnsi="Times New Roman"/>
          <w:i/>
          <w:sz w:val="24"/>
          <w:u w:val="single"/>
        </w:rPr>
        <w:t>gadā, tas, ka sadale nav veikta, nenozīmē konta slēgšanu, kamēr vien labuma guvējs netiek pastāvīgi izslēgts no to personu loka, kas saņem nākamās sadales no trasta.</w:t>
      </w:r>
    </w:p>
    <w:p w14:paraId="0B72B65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ACAFD8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4"/>
          <w:szCs w:val="24"/>
          <w14:ligatures w14:val="none"/>
        </w:rPr>
      </w:pPr>
      <w:bookmarkStart w:id="293" w:name="Subparagraph_A(5)(b)_–_Gross_proceeds"/>
      <w:bookmarkEnd w:id="293"/>
      <w:r>
        <w:rPr>
          <w:rFonts w:ascii="Times New Roman" w:hAnsi="Times New Roman"/>
          <w:b/>
          <w:i/>
          <w:sz w:val="24"/>
        </w:rPr>
        <w:t>A punkta 5. apakšpunkta b) daļa. Bruto ieņēmumi</w:t>
      </w:r>
    </w:p>
    <w:p w14:paraId="686C110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17. Turētāja konta gadījumā sniedzamajā informācijā ietilpst kopējie bruto ieņēmumi no to finanšu aktīvu pārdošanas vai dzēšanas, kas iemaksāti kontā vai kreditēti uz </w:t>
      </w:r>
      <w:r>
        <w:rPr>
          <w:rFonts w:ascii="Times New Roman" w:hAnsi="Times New Roman"/>
          <w:i/>
          <w:iCs/>
          <w:sz w:val="24"/>
          <w:u w:val="single"/>
        </w:rPr>
        <w:t>vai attiecībā uz</w:t>
      </w:r>
      <w:r>
        <w:rPr>
          <w:rFonts w:ascii="Times New Roman" w:hAnsi="Times New Roman"/>
          <w:sz w:val="24"/>
        </w:rPr>
        <w:t xml:space="preserve"> kontu kalendārajā gadā vai citā attiecīgajā ziņošanas periodā, kurā finanšu iestāde, kas sniedz ziņojumus, rīkojās kā turētājiestāde, ieguldījumu iestāde, nominālais finanšu aktīvu turētājs vai citādi kā konta turētāja aģents. Termins “pārdošana vai dzēšana” nozīmē jebkuru finanšu aktīvu pārdošanu vai dzēšanu, kas noteikta, neņemot vērā to, vai šādu finanšu aktīvu īpašnieks tiek aplikts ar nodokli saistībā ar šādu pārdošanu vai dzēšanu.</w:t>
      </w:r>
    </w:p>
    <w:p w14:paraId="14D65193"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7D043CE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19. Ja mākleris veicis pārdošanu, kuras rezultātā tiek veikts bruto ieņēmumu maksājums, bruto ieņēmumi tiek uzskatīti par samaksātiem dienā, kad ieņēmumi no šādas pārdošanas tiek kreditēti uz kontu </w:t>
      </w:r>
      <w:r>
        <w:rPr>
          <w:rFonts w:ascii="Times New Roman" w:hAnsi="Times New Roman"/>
          <w:i/>
          <w:sz w:val="24"/>
          <w:u w:val="single"/>
        </w:rPr>
        <w:t>vai attiecībā uz kontu</w:t>
      </w:r>
      <w:r>
        <w:rPr>
          <w:rFonts w:ascii="Times New Roman" w:hAnsi="Times New Roman"/>
          <w:sz w:val="24"/>
        </w:rPr>
        <w:t xml:space="preserve"> vai citādi darīti pieejami personai, kurai ir tiesības uz šo maksājumu.</w:t>
      </w:r>
    </w:p>
    <w:p w14:paraId="26A2701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20. Kopējie bruto ieņēmumi no pārdošanas vai dzēšanas ir kopējā summa, kas iegūta no finanšu aktīvu pārdošanas vai dzēšanas. Gadījumā, ja pārdošanu īsteno mākleris, kopējie bruto ieņēmumi no pārdošanas vai dzēšanas ir kopējā summa, kas iemaksāta tās personas kontā vai kreditēta uz šādu kontu </w:t>
      </w:r>
      <w:r>
        <w:rPr>
          <w:rFonts w:ascii="Times New Roman" w:hAnsi="Times New Roman"/>
          <w:i/>
          <w:sz w:val="24"/>
          <w:u w:val="single"/>
        </w:rPr>
        <w:t>vai attiecībā uz šādu kontu</w:t>
      </w:r>
      <w:r>
        <w:rPr>
          <w:rFonts w:ascii="Times New Roman" w:hAnsi="Times New Roman"/>
          <w:sz w:val="24"/>
        </w:rPr>
        <w:t>, kurai ir tiesības uz šo maksājumu, pieskaitot tai jebkuru summu, kas nav samaksāta saistībā ar maržinālo aizdevumu atmaksāšanu; nosakot kopējos bruto ieņēmumus, mākleris var (bet viņam nav tāda pienākuma) ņemt vērā komisijas naudu par pārdošanas darījumu. Gadījumā, ja pārdod procentus saturošas parādsaistības, bruto ieņēmumos ietilpst visi procenti, kas uzkrāti starp procentu maksājuma datumiem.</w:t>
      </w:r>
    </w:p>
    <w:p w14:paraId="40B234E3"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0FA3B3D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4"/>
          <w:szCs w:val="24"/>
          <w14:ligatures w14:val="none"/>
        </w:rPr>
      </w:pPr>
      <w:bookmarkStart w:id="294" w:name="Paragraph_C_through_G_-_Exceptions"/>
      <w:bookmarkEnd w:id="294"/>
      <w:r>
        <w:rPr>
          <w:rFonts w:ascii="Times New Roman" w:hAnsi="Times New Roman"/>
          <w:b/>
          <w:i/>
          <w:sz w:val="24"/>
        </w:rPr>
        <w:t>C–</w:t>
      </w:r>
      <w:r>
        <w:rPr>
          <w:rFonts w:ascii="Times New Roman" w:hAnsi="Times New Roman"/>
          <w:b/>
          <w:i/>
          <w:sz w:val="24"/>
          <w:u w:val="single"/>
        </w:rPr>
        <w:t>G punkts. Izņēmumi</w:t>
      </w:r>
    </w:p>
    <w:p w14:paraId="163734F8"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r>
        <w:rPr>
          <w:rFonts w:ascii="Times New Roman" w:hAnsi="Times New Roman"/>
          <w:i/>
          <w:color w:val="616161"/>
          <w:sz w:val="24"/>
        </w:rPr>
        <w:t>Nodokļu maksātāja identifikācijas numurs un dzimšanas datums</w:t>
      </w:r>
      <w:bookmarkStart w:id="295" w:name="Taxpayer_Identification_Number_and_date_"/>
      <w:bookmarkEnd w:id="295"/>
    </w:p>
    <w:p w14:paraId="5EF7DD3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65EE7FFD" w14:textId="77777777" w:rsidR="00F509BB" w:rsidRPr="005421A9" w:rsidRDefault="00F509BB" w:rsidP="00F509BB">
      <w:pPr>
        <w:widowControl w:val="0"/>
        <w:tabs>
          <w:tab w:val="left" w:pos="579"/>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C punkta 25. apakšpunktā ir noteikts izņēmums attiecībā uz iepriekšpastāvējušiem kontiem – </w:t>
      </w:r>
      <w:r>
        <w:rPr>
          <w:rFonts w:ascii="Times New Roman" w:hAnsi="Times New Roman"/>
          <w:i/>
          <w:iCs/>
          <w:sz w:val="24"/>
        </w:rPr>
        <w:t>TIN</w:t>
      </w:r>
      <w:r>
        <w:rPr>
          <w:rFonts w:ascii="Times New Roman" w:hAnsi="Times New Roman"/>
          <w:sz w:val="24"/>
        </w:rPr>
        <w:t xml:space="preserve"> vai dzimšanas datums nav jāpaziņo, ja i) finanšu iestāde, kas sniedz ziņojumus, savos datos nav reģistrējusi </w:t>
      </w:r>
      <w:r>
        <w:rPr>
          <w:rFonts w:ascii="Times New Roman" w:hAnsi="Times New Roman"/>
          <w:i/>
          <w:iCs/>
          <w:sz w:val="24"/>
        </w:rPr>
        <w:t>TIN</w:t>
      </w:r>
      <w:r>
        <w:rPr>
          <w:rFonts w:ascii="Times New Roman" w:hAnsi="Times New Roman"/>
          <w:sz w:val="24"/>
        </w:rPr>
        <w:t xml:space="preserve"> vai dzimšanas datumu un ii) finanšu iestādei, kas sniedz ziņojumus, valsts tiesību aktos nav kā citādi noteikts pienākums vākt šādus </w:t>
      </w:r>
      <w:r>
        <w:rPr>
          <w:rFonts w:ascii="Times New Roman" w:hAnsi="Times New Roman"/>
          <w:i/>
          <w:iCs/>
          <w:sz w:val="24"/>
        </w:rPr>
        <w:t>TIN</w:t>
      </w:r>
      <w:r>
        <w:rPr>
          <w:rFonts w:ascii="Times New Roman" w:hAnsi="Times New Roman"/>
          <w:sz w:val="24"/>
        </w:rPr>
        <w:t xml:space="preserve"> vai dzimšanas datuma datus. Līdz ar to </w:t>
      </w:r>
      <w:r>
        <w:rPr>
          <w:rFonts w:ascii="Times New Roman" w:hAnsi="Times New Roman"/>
          <w:i/>
          <w:iCs/>
          <w:sz w:val="24"/>
        </w:rPr>
        <w:t>TIN</w:t>
      </w:r>
      <w:r>
        <w:rPr>
          <w:rFonts w:ascii="Times New Roman" w:hAnsi="Times New Roman"/>
          <w:sz w:val="24"/>
        </w:rPr>
        <w:t xml:space="preserve"> vai dzimšanas datums ir jāpaziņo, ja:</w:t>
      </w:r>
    </w:p>
    <w:p w14:paraId="09B0F42A" w14:textId="77777777" w:rsidR="00F509BB" w:rsidRPr="005421A9" w:rsidRDefault="00F509BB" w:rsidP="00F509BB">
      <w:pPr>
        <w:widowControl w:val="0"/>
        <w:numPr>
          <w:ilvl w:val="1"/>
          <w:numId w:val="46"/>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finanšu iestāde, kas sniedz ziņojumus, reģistrē </w:t>
      </w:r>
      <w:r>
        <w:rPr>
          <w:rFonts w:ascii="Times New Roman" w:hAnsi="Times New Roman"/>
          <w:i/>
          <w:iCs/>
          <w:sz w:val="24"/>
        </w:rPr>
        <w:t>TIN</w:t>
      </w:r>
      <w:r>
        <w:rPr>
          <w:rFonts w:ascii="Times New Roman" w:hAnsi="Times New Roman"/>
          <w:sz w:val="24"/>
        </w:rPr>
        <w:t xml:space="preserve"> vai dzimšanas datumu (neatkarīgi no tā, vai tai ir noteikts pienākums turēt šādus pierakstus) vai</w:t>
      </w:r>
    </w:p>
    <w:p w14:paraId="6493AE45" w14:textId="77777777" w:rsidR="00F509BB" w:rsidRPr="005421A9" w:rsidRDefault="00F509BB" w:rsidP="00F509BB">
      <w:pPr>
        <w:widowControl w:val="0"/>
        <w:numPr>
          <w:ilvl w:val="1"/>
          <w:numId w:val="46"/>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finanšu iestāde, kas sniedz ziņojumus, nereģistrē </w:t>
      </w:r>
      <w:r>
        <w:rPr>
          <w:rFonts w:ascii="Times New Roman" w:hAnsi="Times New Roman"/>
          <w:i/>
          <w:iCs/>
          <w:sz w:val="24"/>
        </w:rPr>
        <w:t>TIN</w:t>
      </w:r>
      <w:r>
        <w:rPr>
          <w:rFonts w:ascii="Times New Roman" w:hAnsi="Times New Roman"/>
          <w:sz w:val="24"/>
        </w:rPr>
        <w:t xml:space="preserve"> vai dzimšanas datumu, taču valsts tiesību aktos ir noteikts pienākums finanšu iestādei, kas sniedz ziņojumus, vākt šādus datus saistībā ar citām vajadzībām (piemēram,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w:t>
      </w:r>
    </w:p>
    <w:p w14:paraId="1091840E" w14:textId="77777777" w:rsidR="00F509BB" w:rsidRPr="005421A9" w:rsidRDefault="00F509BB" w:rsidP="00F82262">
      <w:pPr>
        <w:tabs>
          <w:tab w:val="left" w:pos="586"/>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26. “Reģistrētie dati”, ko uztur finanšu iestāde, kas sniedz ziņojumus, ietver klienta pamatdatni un elektroniski uzmeklējamo informāciju (skat. turpmāk 34. punktu). “Klienta pamatdatnē” ietilpst finanšu iestādes, kas sniedz ziņojumus, galvenās datnes, kas nepieciešamas konta turētāja informācijas uzturēšanai, piemēram, informācija, ko izmanto tam, lai sazinātos ar konta turētājiem un izpildītu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procedūras. Finanšu iestādēm, kas sniedz ziņojumus, parasti ir divus gadus ilgs laika posms pārbaudes procedūru pabeigšanai, lai no zemas vērtības kontu kopuma identificētu kontus, par kuriem jāsniedz ziņojums (skat. komentāra par III pantu </w:t>
      </w:r>
      <w:r>
        <w:rPr>
          <w:rFonts w:ascii="Times New Roman" w:hAnsi="Times New Roman"/>
          <w:sz w:val="24"/>
        </w:rPr>
        <w:lastRenderedPageBreak/>
        <w:t xml:space="preserve">51. punktu), līdz ar to tās vispirms var izskatīt savus elektroniskos datus (vai iegūt </w:t>
      </w:r>
      <w:r>
        <w:rPr>
          <w:rFonts w:ascii="Times New Roman" w:hAnsi="Times New Roman"/>
          <w:i/>
          <w:iCs/>
          <w:sz w:val="24"/>
        </w:rPr>
        <w:t>TIN</w:t>
      </w:r>
      <w:r>
        <w:rPr>
          <w:rFonts w:ascii="Times New Roman" w:hAnsi="Times New Roman"/>
          <w:sz w:val="24"/>
        </w:rPr>
        <w:t xml:space="preserve"> vai dzimšanas datumu no konta turētāja) un pēc tam izskatīt papīra dokumentus.</w:t>
      </w:r>
    </w:p>
    <w:p w14:paraId="3983D1A5" w14:textId="77777777" w:rsidR="00F509BB" w:rsidRPr="005421A9" w:rsidRDefault="00F509BB" w:rsidP="00F509BB">
      <w:pPr>
        <w:widowControl w:val="0"/>
        <w:tabs>
          <w:tab w:val="left" w:pos="58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27. Turklāt pat tad, ja finanšu iestādei, kas sniedz ziņojumus, tās reģistrētajos datos attiecībā uz iepriekšpastāvējušu kontu nav iekļauts </w:t>
      </w:r>
      <w:r>
        <w:rPr>
          <w:rFonts w:ascii="Times New Roman" w:hAnsi="Times New Roman"/>
          <w:i/>
          <w:iCs/>
          <w:sz w:val="24"/>
        </w:rPr>
        <w:t>TIN</w:t>
      </w:r>
      <w:r>
        <w:rPr>
          <w:rFonts w:ascii="Times New Roman" w:hAnsi="Times New Roman"/>
          <w:sz w:val="24"/>
        </w:rPr>
        <w:t xml:space="preserve"> vai dzimšanas datums un tiesību aktos tai arī nav noteikts pienākums vākt šādu informāciju saistībā ar citām vajadzībām, šai finanšu iestādei ir pienākums veikt pietiekamus pasākumus, lai iegūtu </w:t>
      </w:r>
      <w:r>
        <w:rPr>
          <w:rFonts w:ascii="Times New Roman" w:hAnsi="Times New Roman"/>
          <w:i/>
          <w:iCs/>
          <w:sz w:val="24"/>
        </w:rPr>
        <w:t>TIN</w:t>
      </w:r>
      <w:r>
        <w:rPr>
          <w:rFonts w:ascii="Times New Roman" w:hAnsi="Times New Roman"/>
          <w:sz w:val="24"/>
        </w:rPr>
        <w:t xml:space="preserve"> un dzimšanas datumu attiecībā uz iepriekšpastāvējušiem kontiem līdz otrā kalendārā gada beigām, kas seko gadam, kad šādi konti ir identificēti kā konti, par kuriem jāsniedz ziņojums, </w:t>
      </w:r>
      <w:r>
        <w:rPr>
          <w:rFonts w:ascii="Times New Roman" w:hAnsi="Times New Roman"/>
          <w:i/>
          <w:iCs/>
          <w:sz w:val="24"/>
          <w:u w:val="single"/>
        </w:rPr>
        <w:t>un tad, kad tai nepieciešams atjaunot  informāciju par iepriekšpastāvējušu kontu saskaņā ar valsts tiesību aktos noteiktajām</w:t>
      </w:r>
      <w:r>
        <w:rPr>
          <w:rFonts w:ascii="Times New Roman" w:hAnsi="Times New Roman"/>
          <w:sz w:val="24"/>
          <w:u w:val="single"/>
        </w:rPr>
        <w:t xml:space="preserve"> AML/KYC </w:t>
      </w:r>
      <w:r>
        <w:rPr>
          <w:rFonts w:ascii="Times New Roman" w:hAnsi="Times New Roman"/>
          <w:i/>
          <w:iCs/>
          <w:sz w:val="24"/>
          <w:u w:val="single"/>
        </w:rPr>
        <w:t>procedūrām</w:t>
      </w:r>
      <w:r>
        <w:rPr>
          <w:rFonts w:ascii="Times New Roman" w:hAnsi="Times New Roman"/>
          <w:sz w:val="24"/>
        </w:rPr>
        <w:t xml:space="preserve">, ja vien attiecībā uz </w:t>
      </w:r>
      <w:r>
        <w:rPr>
          <w:rFonts w:ascii="Times New Roman" w:hAnsi="Times New Roman"/>
          <w:i/>
          <w:iCs/>
          <w:sz w:val="24"/>
        </w:rPr>
        <w:t>TIN</w:t>
      </w:r>
      <w:r>
        <w:rPr>
          <w:rFonts w:ascii="Times New Roman" w:hAnsi="Times New Roman"/>
          <w:sz w:val="24"/>
        </w:rPr>
        <w:t xml:space="preserve"> nav piemērojams viens no D punktā noteiktajiem izņēmumiem un tas nav jāpaziņo.</w:t>
      </w:r>
    </w:p>
    <w:p w14:paraId="110E8880" w14:textId="77777777" w:rsidR="00F509BB" w:rsidRPr="005421A9" w:rsidRDefault="00F509BB" w:rsidP="00F509BB">
      <w:pPr>
        <w:widowControl w:val="0"/>
        <w:tabs>
          <w:tab w:val="left" w:pos="560"/>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28. “Pietiekami pasākumi” ir patiesi centieni noskaidrot attiecībā uz kontu, par kuru jāsniedz ziņojums, tā turētāja </w:t>
      </w:r>
      <w:r>
        <w:rPr>
          <w:rFonts w:ascii="Times New Roman" w:hAnsi="Times New Roman"/>
          <w:i/>
          <w:iCs/>
          <w:sz w:val="24"/>
        </w:rPr>
        <w:t>TIN</w:t>
      </w:r>
      <w:r>
        <w:rPr>
          <w:rFonts w:ascii="Times New Roman" w:hAnsi="Times New Roman"/>
          <w:sz w:val="24"/>
        </w:rPr>
        <w:t xml:space="preserve"> un dzimšanas datumu. Šādi pasākumi jāīsteno vismaz vienu reizi gadā, laika posmā starp brīdi, kad iepriekšpastāvējis konts tiek identificēts kā konts, par kuru jāsniedz ziņojums, un otrā kalendārā gada beigām, kas seko gadam, kad veikta minētā identifikācija, </w:t>
      </w:r>
      <w:r>
        <w:rPr>
          <w:rFonts w:ascii="Times New Roman" w:hAnsi="Times New Roman"/>
          <w:i/>
          <w:iCs/>
          <w:sz w:val="24"/>
          <w:u w:val="single"/>
        </w:rPr>
        <w:t>un tad, kad tai nepieciešams atjaunot informāciju par iepriekšpastāvējušu kontu saskaņā ar valsts tiesību aktos noteiktajām</w:t>
      </w:r>
      <w:r>
        <w:rPr>
          <w:rFonts w:ascii="Times New Roman" w:hAnsi="Times New Roman"/>
          <w:sz w:val="24"/>
          <w:u w:val="single"/>
        </w:rPr>
        <w:t xml:space="preserve"> AML/KYC </w:t>
      </w:r>
      <w:r>
        <w:rPr>
          <w:rFonts w:ascii="Times New Roman" w:hAnsi="Times New Roman"/>
          <w:i/>
          <w:iCs/>
          <w:sz w:val="24"/>
          <w:u w:val="single"/>
        </w:rPr>
        <w:t>procedūrām</w:t>
      </w:r>
      <w:r>
        <w:rPr>
          <w:rFonts w:ascii="Times New Roman" w:hAnsi="Times New Roman"/>
          <w:sz w:val="24"/>
        </w:rPr>
        <w:t xml:space="preserve">. Pietiekami pasākumi ir, piemēram, sazināšanās ar konta turētāju (pa pastu, personīgi, pa tālruni u. c.), tostarp pieprasījums, kas iekļauts citā dokumentācijā vai sniegts elektroniski (piemēram, izmantojot faksimilu vai elektronisko pastu), un finanšu iestādes, kas sniedz ziņojumus, saistītās vienības uzturētās elektroniski uzmeklējamās informācijas izskatīšana atbilstīgi VII panta C punktā noteiktajiem apkopošanas principiem. Tomēr pietiekami pasākumi nenozīmē to, ka konts ir jāslēdz, jābloķē vai jāveic pārskaitījums, ne arī to, ka jāpiemēro nosacījumi vai citādi jāierobežo tā izmantošana. Neatkarīgi no iepriekš minētā pietiekamus pasākumus var turpināt piemērot </w:t>
      </w:r>
      <w:r>
        <w:rPr>
          <w:rFonts w:ascii="Times New Roman" w:hAnsi="Times New Roman"/>
          <w:strike/>
          <w:sz w:val="24"/>
        </w:rPr>
        <w:t>arī pēc iepriekš minētā perioda beigām</w:t>
      </w:r>
      <w:r>
        <w:rPr>
          <w:rFonts w:ascii="Times New Roman" w:hAnsi="Times New Roman"/>
          <w:i/>
          <w:sz w:val="24"/>
          <w:u w:val="single"/>
        </w:rPr>
        <w:t>jebkurā laikā</w:t>
      </w:r>
      <w:r>
        <w:rPr>
          <w:rFonts w:ascii="Times New Roman" w:hAnsi="Times New Roman"/>
          <w:sz w:val="24"/>
        </w:rPr>
        <w:t>.</w:t>
      </w:r>
    </w:p>
    <w:p w14:paraId="75975D0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AD7ECA5"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296" w:name="Financial_Assets_subject_to_reporting_un"/>
      <w:bookmarkEnd w:id="296"/>
      <w:r>
        <w:rPr>
          <w:rFonts w:ascii="Times New Roman" w:hAnsi="Times New Roman"/>
          <w:i/>
          <w:color w:val="616161"/>
          <w:sz w:val="24"/>
        </w:rPr>
        <w:t>Finanšu aktīvi, par kuriem jāziņo saskaņā ar kriptoaktīvu ziņošanas sistēmu</w:t>
      </w:r>
    </w:p>
    <w:p w14:paraId="589E446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36. G punktā ir ietverts neobligāts izņēmums, ka finanšu iestādes, kas sniedz ziņojumus, var neziņot par bruto ieņēmumiem no finanšu aktīva pārdošanas vai dzēšanas, ciktāl par šādiem bruto ieņēmumiem no šāda finanšu aktīva pārdošanas vai dzēšanas finanšu iestāde, kas sniedz ziņojumus, ziņo saskaņā ar kriptoaktīvu ziņošanas sistēmu, kā to parāda turpmāk sniegtais piemērs.</w:t>
      </w:r>
    </w:p>
    <w:p w14:paraId="4AB290F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Fiziskai personai A ir turētāja konts kriptoaktīvu turētājbiržā C, kura ir finanšu iestāde, kas sniedz ziņojumus. Gada sākumā A tur C turētāja kontā vērtspapīru žetonu X (5 vienības). Gada laikā A iegādājas vēl 3 vienības un realizē 2 vienības šā žetona. C ziņo turētāja konta bilanci saskaņā ar A punkta 4. apakšpunktu. C ziņo par vērtspapīru žetona X iegādi un realizāciju saskaņā ar kriptoaktīvu ziņošanas sistēmu, tāpēc tai nav jāziņo bruto ieņēmumi no vērtspapīru žetona X realizācijas saskaņā ar A punkta 5. apakšpunkta b) daļu.</w:t>
      </w:r>
    </w:p>
    <w:p w14:paraId="3F70F986" w14:textId="77777777" w:rsidR="00F509BB"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6C216BA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592D08E4" w14:textId="77777777" w:rsidR="00F509BB" w:rsidRPr="00096E97" w:rsidRDefault="00F509BB" w:rsidP="00F509BB">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297" w:name="Commentary_on_Section_IV"/>
      <w:bookmarkStart w:id="298" w:name="_bookmark50"/>
      <w:bookmarkStart w:id="299" w:name="_Toc241753104"/>
      <w:bookmarkEnd w:id="297"/>
      <w:bookmarkEnd w:id="298"/>
      <w:r>
        <w:rPr>
          <w:rFonts w:ascii="Times New Roman" w:hAnsi="Times New Roman"/>
          <w:b/>
          <w:color w:val="0B769F" w:themeColor="accent4" w:themeShade="BF"/>
          <w:sz w:val="26"/>
        </w:rPr>
        <w:t>Komentārs par IV pantu</w:t>
      </w:r>
      <w:bookmarkEnd w:id="299"/>
    </w:p>
    <w:p w14:paraId="2FBAF775" w14:textId="77777777" w:rsidR="00F509BB" w:rsidRPr="005421A9" w:rsidRDefault="00F509BB" w:rsidP="00F509BB">
      <w:pPr>
        <w:widowControl w:val="0"/>
        <w:tabs>
          <w:tab w:val="left" w:pos="477"/>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 Šajā pantā ir noteiktas pienācīgas pārbaudes procedūras jauniem fizisku personu kontiem un ir paredzēta pašapliecinājumu vākšana (un to pamatotības apstiprināšana).</w:t>
      </w:r>
    </w:p>
    <w:p w14:paraId="32B41B2C" w14:textId="77777777" w:rsidR="00F509BB" w:rsidRPr="005421A9" w:rsidRDefault="00F509BB" w:rsidP="00F509BB">
      <w:pPr>
        <w:widowControl w:val="0"/>
        <w:tabs>
          <w:tab w:val="left" w:pos="46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2. Saskaņā ar A punktu finanšu iestādei, kas sniedz ziņojumus, saistībā ar konta atvēršanu ir:</w:t>
      </w:r>
    </w:p>
    <w:p w14:paraId="42832E64" w14:textId="77777777" w:rsidR="00F509BB" w:rsidRPr="005421A9" w:rsidRDefault="00F509BB" w:rsidP="00F509BB">
      <w:pPr>
        <w:widowControl w:val="0"/>
        <w:numPr>
          <w:ilvl w:val="1"/>
          <w:numId w:val="45"/>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jāiegūst pašapliecinājums (kas var ietilpt konta atvēršanas dokumentācijā), kuru finanšu iestāde, kas sniedz ziņojumus, var izmantot tam, lai noteiktu konta turētāja rezidenci(-es) </w:t>
      </w:r>
      <w:r>
        <w:rPr>
          <w:rFonts w:ascii="Times New Roman" w:hAnsi="Times New Roman"/>
          <w:sz w:val="24"/>
        </w:rPr>
        <w:lastRenderedPageBreak/>
        <w:t>nodokļu aprēķina vajadzībām, un</w:t>
      </w:r>
    </w:p>
    <w:p w14:paraId="3D979024" w14:textId="77777777" w:rsidR="00F509BB" w:rsidRPr="005421A9" w:rsidRDefault="00F509BB" w:rsidP="00F509BB">
      <w:pPr>
        <w:widowControl w:val="0"/>
        <w:numPr>
          <w:ilvl w:val="1"/>
          <w:numId w:val="45"/>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jāapstiprina šādu pašapliecinājumu pamatotība, pamatojoties uz informāciju, kuru finanšu iestāde, kas sniedz ziņojumus, ieguvusi saistībā ar konta atvēršanu, tostarp uz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savākto dokumentāciju.</w:t>
      </w:r>
    </w:p>
    <w:p w14:paraId="7A81786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2.bis Lai arī parasti pašapliecinājums jāiegūst konta atvēršanas dienā, retos gadījumos uzņēmējdarbības nozares specifikas dēļ nav iespējams iegūt pašapliecinājumu konta atvēršanas procesa “pirmajā dienā”. Piemēram, tas tā var būt, ja ar vienu personu noslēgts apdrošināšanas līgums tiek piešķirts citai personai, ja saskaņā ar tiesas rīkojumu mainās konta turētājs, ja jaundibināta sabiedrība ir TIN iegūšanas procesā vai ja ieguldītājs otrreizējā tirgū iegādājas ieguldījumu trasta akcijas. Turklāt jāatzīst, ka pat tad, ja pašapliecinājums ir iegūts konta atvēršanas laikā, tā validāciju ne vienmēr var pabeigt konta atvēršanas dienā (piemēram, ja validācijas procesu veic nodaļa, kura pilda atbalsta funkcijas finanšu iestādē, kas sniedz ziņojumus). Šādos apstākļos finanšu iestādei, kas sniedz ziņojumus, pašapliecinājums jāiegūst un tā derīgums jāpārbauda, cik drīz vien iespējams, un jebkurā gadījumā ne vēlāk kā 90 kalendāro dienu laikā, kā arī tādā termiņā, lai varētu izpildīt pienācīgas pārbaudes un ziņošanas pienākumus attiecībā uz ziņošanas periodu, kurā konts tika atvērts. Šajā saistībā ir paredzams, ka jurisdikcijas ir ieviesušas stingrus pasākumus, lai nodrošinātu, ka attiecībā uz jauniem kontiem vienmēr tiek iegūti derīgi pašapliecinājumi (kā norādīts komentāra par IX pantu 18. punktā).</w:t>
      </w:r>
    </w:p>
    <w:p w14:paraId="53F645D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29E22B5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4. Pašapliecinājumam jānodrošina iespēja noteikt konta turētāja rezidenci(-es) nodokļu aprēķina vajadzībām. Parasti fiziskai personai būs tikai viena rezidences jurisdikcija. Tomēr nodokļu aprēķina vajadzībām fiziska persona var būt rezidents divās vai vairākās jurisdikcijās saskaņā ar šo jurisdikciju valsts tiesību aktiem. </w:t>
      </w:r>
      <w:r>
        <w:rPr>
          <w:rFonts w:ascii="Times New Roman" w:hAnsi="Times New Roman"/>
          <w:i/>
          <w:sz w:val="24"/>
          <w:u w:val="single"/>
        </w:rPr>
        <w:t xml:space="preserve">Šādos apstākļos tiek gaidīts, ka pašapliecinājumā tiek norādītas visas rezidences jurisdikcijas un ka finanšu iestāde, kas sniedz ziņojumus, uzskata, ka tas ir konts, par kuru jāsniedz ziņojums, visās jurisdikcijās, par kurām jāsniedz ziņojums. </w:t>
      </w:r>
      <w:r>
        <w:rPr>
          <w:rFonts w:ascii="Times New Roman" w:hAnsi="Times New Roman"/>
          <w:sz w:val="24"/>
        </w:rPr>
        <w:t xml:space="preserve">Dažādu jurisdikciju tiesību aktos noteikti nosacījumi, kas jāizpilda, lai fizisku personu varētu uzskatīt par nodokļu “rezidentu”. Tie ietver dažādu formu piesaisti jurisdikcijai, kura valstu tiesību aktos noteikta kā pamats nodokļu vispārējai piemērošanai (pilna apjoma nodokļu saistības). Tie arī ietver gadījumus, kad saskaņā ar jurisdikcijas nodokļu tiesību aktiem fiziska persona tiek uzskatīta par šīs jurisdikcijas rezidentu (piemēram, diplomāti vai citas civildienestā strādājošas personas). </w:t>
      </w:r>
      <w:r>
        <w:rPr>
          <w:rFonts w:ascii="Times New Roman" w:hAnsi="Times New Roman"/>
          <w:strike/>
          <w:sz w:val="24"/>
        </w:rPr>
        <w:t xml:space="preserve">Lai risinātu dubultā rezidenta statusa gadījumus, nodokļu konvencijās iekļauti īpaši noteikumi, kas paredz, ka saistībā ar šīm konvencijām piesaiste vienai jurisdikcijai prevalē pār piesaisti otrai jurisdikcijai. Parasti fiziska persona nodokļu aprēķina vajadzībām būs jurisdikcijas rezidents, ja saskaņā ar šīs jurisdikcijas tiesību aktiem (tostarp nodokļu konvencijām) viņa maksā vai viņai ir jāmaksā šajā jurisdikcijā nodokļi tādēļ, ka šajā jurisdikcijā atrodas viņas pastāvīgā dzīvesvieta, mītnes vieta vai tiek izpildīts kāds līdzīga rakstura kritērijs, nevis vienīgi tādēļ, ka viņa šajā jurisdikcijā gūst ienākumus. </w:t>
      </w:r>
      <w:r>
        <w:rPr>
          <w:rFonts w:ascii="Times New Roman" w:hAnsi="Times New Roman"/>
          <w:sz w:val="24"/>
        </w:rPr>
        <w:t xml:space="preserve">Fiziskas personas ar dubulta rezidenta statusu var izmantot izšķirošos noteikumus, kas paredzēti nodokļu konvencijās (ja tie ir piemērojami), lai risinātu dubultā rezidenta statusa gadījumus un noteiktu, kurā jurisdikcijā persona ir rezidents nodokļu aprēķina vajadzībām (skat. turpmāk 23. punktu) </w:t>
      </w:r>
      <w:r>
        <w:rPr>
          <w:rFonts w:ascii="Times New Roman" w:hAnsi="Times New Roman"/>
          <w:i/>
          <w:iCs/>
          <w:sz w:val="24"/>
          <w:u w:val="single"/>
        </w:rPr>
        <w:t>līdz [pārskatītā</w:t>
      </w:r>
      <w:r>
        <w:rPr>
          <w:rFonts w:ascii="Times New Roman" w:hAnsi="Times New Roman"/>
          <w:sz w:val="24"/>
          <w:u w:val="single"/>
        </w:rPr>
        <w:t xml:space="preserve"> CRS </w:t>
      </w:r>
      <w:r>
        <w:rPr>
          <w:rFonts w:ascii="Times New Roman" w:hAnsi="Times New Roman"/>
          <w:i/>
          <w:iCs/>
          <w:sz w:val="24"/>
          <w:u w:val="single"/>
        </w:rPr>
        <w:t>spēkā stāšanās datums]</w:t>
      </w:r>
      <w:r>
        <w:rPr>
          <w:rFonts w:ascii="Times New Roman" w:hAnsi="Times New Roman"/>
          <w:sz w:val="24"/>
        </w:rPr>
        <w:t>.</w:t>
      </w:r>
      <w:r>
        <w:rPr>
          <w:rFonts w:ascii="Times New Roman" w:hAnsi="Times New Roman"/>
          <w:i/>
          <w:sz w:val="24"/>
          <w:u w:val="single"/>
        </w:rPr>
        <w:t xml:space="preserve"> Pēc </w:t>
      </w:r>
      <w:r>
        <w:rPr>
          <w:rFonts w:ascii="Times New Roman" w:hAnsi="Times New Roman"/>
          <w:i/>
          <w:iCs/>
          <w:sz w:val="24"/>
          <w:u w:val="single"/>
        </w:rPr>
        <w:t>[pārskatītā</w:t>
      </w:r>
      <w:r>
        <w:rPr>
          <w:rFonts w:ascii="Times New Roman" w:hAnsi="Times New Roman"/>
          <w:i/>
          <w:sz w:val="24"/>
          <w:u w:val="single"/>
        </w:rPr>
        <w:t xml:space="preserve"> CRS </w:t>
      </w:r>
      <w:r>
        <w:rPr>
          <w:rFonts w:ascii="Times New Roman" w:hAnsi="Times New Roman"/>
          <w:i/>
          <w:iCs/>
          <w:sz w:val="24"/>
          <w:u w:val="single"/>
        </w:rPr>
        <w:t>spēkā stāšanās datums]</w:t>
      </w:r>
      <w:r>
        <w:rPr>
          <w:rFonts w:ascii="Times New Roman" w:hAnsi="Times New Roman"/>
          <w:i/>
          <w:sz w:val="24"/>
          <w:u w:val="single"/>
        </w:rPr>
        <w:t xml:space="preserve"> fiziskās personas, kas ir dubultrezidenti un ir (atkārtoti) reģistrēti, nevarēs paļauties uz izšķirošajiem noteikumiem un tiem būs jādeklarē visas savas rezidences jurisdikcijas.</w:t>
      </w:r>
    </w:p>
    <w:p w14:paraId="64A5611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378AFAA3" w14:textId="77777777" w:rsidR="00F509BB" w:rsidRPr="00096E97"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00" w:name="Requirements_for_validity_of_self-certif"/>
      <w:bookmarkEnd w:id="300"/>
      <w:r>
        <w:rPr>
          <w:rFonts w:ascii="Times New Roman" w:hAnsi="Times New Roman"/>
          <w:b/>
          <w:i/>
          <w:sz w:val="26"/>
        </w:rPr>
        <w:t>Prasības attiecībā uz pašapliecinājuma derīgumu</w:t>
      </w:r>
    </w:p>
    <w:p w14:paraId="69BE1109" w14:textId="77777777" w:rsidR="00F509BB" w:rsidRPr="005421A9" w:rsidRDefault="00F509BB" w:rsidP="00F509BB">
      <w:pPr>
        <w:widowControl w:val="0"/>
        <w:tabs>
          <w:tab w:val="left" w:pos="46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7. “Pašapliecinājums” ir apliecinājums, ko sniedzis konta turētājs, kas iesniedz konta turētāja statusu un visu citu informāciju, kuru varētu pamatoti prasīt finanšu iestāde, kas sniedz ziņojumus, lai izpildītu savus ziņošanas un pienācīgas pārbaudes pienākumus, piemēram, vai </w:t>
      </w:r>
      <w:r>
        <w:rPr>
          <w:rFonts w:ascii="Times New Roman" w:hAnsi="Times New Roman"/>
          <w:sz w:val="24"/>
        </w:rPr>
        <w:lastRenderedPageBreak/>
        <w:t>konta turētājs ir rezidents nodokļu aprēķina vajadzībām jurisdikcijā, par kuru jāsniedz ziņojums. Attiecībā uz jauniem fizisko personu kontiem pašapliecinājums ir derīgs tikai tad, ja konta turētājs to ir parakstījis (vai kā citādi nepārprotami apstiprinājis), tā datums nav vēlāks par datumu, kurā tas saņemts, un tajā ir norādīts konta turētāja:</w:t>
      </w:r>
    </w:p>
    <w:p w14:paraId="3BA06D99" w14:textId="77777777" w:rsidR="00F509BB" w:rsidRPr="005421A9" w:rsidRDefault="00F509BB" w:rsidP="00071995">
      <w:pPr>
        <w:widowControl w:val="0"/>
        <w:tabs>
          <w:tab w:val="left" w:pos="1182"/>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a) vārds, uzvārds;</w:t>
      </w:r>
    </w:p>
    <w:p w14:paraId="14994C91" w14:textId="77777777" w:rsidR="00F509BB" w:rsidRPr="005421A9" w:rsidRDefault="00F509BB" w:rsidP="00071995">
      <w:pPr>
        <w:widowControl w:val="0"/>
        <w:tabs>
          <w:tab w:val="left" w:pos="1182"/>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b) dzīvesvietas adrese;</w:t>
      </w:r>
    </w:p>
    <w:p w14:paraId="581B232D" w14:textId="77777777" w:rsidR="00F509BB" w:rsidRPr="005421A9" w:rsidRDefault="00F509BB" w:rsidP="00071995">
      <w:pPr>
        <w:widowControl w:val="0"/>
        <w:tabs>
          <w:tab w:val="left" w:pos="1173"/>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c) rezidences jurisdikcija(-as) nodokļu aprēķina vajadzībām;</w:t>
      </w:r>
    </w:p>
    <w:p w14:paraId="242160A6" w14:textId="77777777" w:rsidR="00F509BB" w:rsidRPr="005421A9" w:rsidRDefault="00F509BB" w:rsidP="00071995">
      <w:pPr>
        <w:widowControl w:val="0"/>
        <w:tabs>
          <w:tab w:val="left" w:pos="1182"/>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d) MNIN attiecībā uz katru jurisdikciju, par kuru jāsniedz ziņojums (skat. turpmāk 8. punktu), un</w:t>
      </w:r>
    </w:p>
    <w:p w14:paraId="2F8577FA" w14:textId="77777777" w:rsidR="00F509BB" w:rsidRPr="005421A9" w:rsidRDefault="00F509BB" w:rsidP="00071995">
      <w:pPr>
        <w:widowControl w:val="0"/>
        <w:tabs>
          <w:tab w:val="left" w:pos="1182"/>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e) dzimšanas datums (skat. turpmāk 8. punktu).</w:t>
      </w:r>
    </w:p>
    <w:p w14:paraId="2E588A1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Pašapliecinājumu var būt iepriekš aizpildījusi finanšu iestāde, kas sniedz ziņojumus, norādot tajā konta turētāja informāciju no saviem reģistrētajiem datiem, izņemot rezidences jurisdikciju(-as) nodokļu aprēķina vajadzībām.</w:t>
      </w:r>
    </w:p>
    <w:p w14:paraId="15B646C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0CC649DD" w14:textId="77777777" w:rsidR="00F509BB" w:rsidRPr="005421A9" w:rsidRDefault="00F509BB" w:rsidP="00F509BB">
      <w:pPr>
        <w:widowControl w:val="0"/>
        <w:tabs>
          <w:tab w:val="left" w:pos="58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11. Pašapliecinājumu drīkst parakstīt (vai citādi nepārprotami apstiprināt) jebkura persona, kura saskaņā ar valsts tiesību aktiem ir pilnvarota parakstīties konta turētāja vārdā. Tiesības parakstīt pašapliecinājumu parasti ir tādām personām kā testamenta izpildītājs vai jebkurai līdzvērtīgai personai, kā arī jebkurai citai personai, kuru konta turētājs pilnvarojis parakstīt dokumentāciju viņa vārdā.</w:t>
      </w:r>
    </w:p>
    <w:p w14:paraId="2E0C69A5"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11.bis Pašapliecinājums ir kā citādi nepārprotami apstiprināts, ja persona, sniedzot pašapliecinājumu, iesniedz finanšu iestādei, kas sniedz ziņojumus, nepārprotamu apliecinājumu, ka tā piekrīt pašapliecinājumā sniegtajiem apstiprinājumiem. Paredzēts, ka nepārprotamo apstiprinājumu visos gadījumos finanšu iestāde, kas sniedz ziņojumus, saņem tādā veidā, ka var uzticami parādīt, ka pašapliecinājums bijis nepārprotami apstiprināts (piemēram, balss ieraksts, digitāls nospiedums utt.). Paredzēts, ka pieeja, ko finanšu iestāde, kas sniedz ziņojumus, izmanto, lai iegūtu pašapliecinājumu, saskan ar procedūrām, ko finanšu iestāde, kas sniedz ziņojumus, izmanto konta atvēršanai. Finanšu iestādei, kas sniedz ziņojumus, ir jāsaglabā ne tikai pats pašapliecinājums, bet jāuztur arī šā procesa pieraksts audita vajadzībām.</w:t>
      </w:r>
    </w:p>
    <w:p w14:paraId="2D3DA7E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315FDF6D" w14:textId="77777777" w:rsidR="00F509BB" w:rsidRPr="00096E97"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01" w:name="Reasonableness_of_self-certifications"/>
      <w:bookmarkEnd w:id="301"/>
      <w:r>
        <w:rPr>
          <w:rFonts w:ascii="Times New Roman" w:hAnsi="Times New Roman"/>
          <w:b/>
          <w:i/>
          <w:sz w:val="26"/>
        </w:rPr>
        <w:t>Pašapliecinājumu pamatotība</w:t>
      </w:r>
    </w:p>
    <w:p w14:paraId="460B388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378399E3" w14:textId="77777777" w:rsidR="00F509BB"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25. Ja pašapliecinājums sākotnēji neatbilstu pamatotības pārbaudes prasībām, finanšu iestādei, kas sniedz ziņojumus, konta atvēršanas procedūrās ir jāiegūst i) derīgs pašapliecinājums vai ii) pamatots paskaidrojums un dokumentācija (atbilstīgi vajadzībai), kas apliecina pašapliecinājuma pamatotību (un jāsaglabā šāda paskaidrojuma un dokumentācijas kopija vai notācija). Šāds “pamatots paskaidrojums” ir, piemēram, fiziskas personas paziņojums, ka persona 1) studē izglītības iestādē attiecīgajā jurisdikcijā un ir saņēmusi atbilstīgu vīzu (ja atbilstīgi); 2) ir pasniedzējs, māceklis vai praktikants izglītības iestādē attiecīgajā jurisdikcijā vai izglītības vai kultūras apmaiņas programmas dalībnieks un ir saņēmis atbilstīgu vīzu (ja atbilstīgi); 3) ir ārvalstnieks, kas norīkots darbā diplomātiskajā dienestā, konsulātā vai vēstniecībā attiecīgajā jurisdikcijā, vai 4) ir pierobežas darbinieks vai darbinieks, kura darba pienākumos ietilpst pārvietošanās no vienas jurisdikcijas uz otru jurisdikciju ar kravas automobili vai vilcienu. Turpmākajā piemērā atspoguļota šā punkta piemērošana. Finanšu iestāde, kas sniedz ziņojumus, konta atvēršanas procedūrā saņem konta turētāja pašapliecinājumu. Nodokļu aprēķina vajadzībām noteiktā rezidences jurisdikcija, kas norādīta </w:t>
      </w:r>
      <w:r>
        <w:rPr>
          <w:rFonts w:ascii="Times New Roman" w:hAnsi="Times New Roman"/>
          <w:sz w:val="24"/>
        </w:rPr>
        <w:lastRenderedPageBreak/>
        <w:t xml:space="preserve">pašapliecinājumā, nesakrīt ar dzīvesvietas adresi, kas norādīta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savāktajā dokumentācijā. Konta turētāja paskaidro, ka viņa ir diplomāte no konkrētas jurisdikcijas un ka tādēļ viņa ir šīs jurisdikcijas rezidents; viņa uzrāda arī savu diplomātisko pasi. Tā kā finanšu iestāde, kas sniedz ziņojumus, ir ieguvusi pamatotu paskaidrojumu un dokumentāciju, kas apliecina pašapliecinājuma pamatotību, pašapliecinājums atzīstams par pamatotu.</w:t>
      </w:r>
    </w:p>
    <w:p w14:paraId="4EB357F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25.bis Līdzīgi ir tad, ja fiziska persona, kas ir konta turētājs, norāda pašapliecinājumā, ka nav rezidents nodokļu aprēķināšanas vajadzībām, finanšu iestādei, kas sniedz ziņojumus, ir prasīts apstiprināt pašapliecinājuma pamatotību, pamatojoties uz citiem tās rīcībā esošiem dokumentiem, tostarp dokumentiem, kas ievākti AML/KYC procedūrās. Piemēram, ja pašapliecinājumā norādīts, ka konta turētājs nav rezidents nodokļu aprēķināšanas vajadzībām, bet citos lietas materiālu dokumentos ir sniegta adrese, tas ir iemesls apšaubīt pašapliecinājuma derīgumu. Šādos gadījumos finanšu iestādei, kas sniedz ziņojumus, ir jānodrošina, ka tā saņem pamatotu skaidrojumu un pēc nepieciešamības dokumentus, kas pamato pašapliecinājuma pamatotību. Ja finanšu iestāde, kas sniedz ziņojumus, neiegūst pamatotu skaidrojumu par pašapliecinājuma pamatotību, tā nedrīkst paļauties uz šo pašapliecinājumu un tai no konta turētāja jāiegūst jauns derīgs pašapliecinājums.</w:t>
      </w:r>
    </w:p>
    <w:p w14:paraId="5142183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6FA7B105"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0F3F121E" w14:textId="77777777" w:rsidR="00F509BB" w:rsidRPr="00096E97" w:rsidRDefault="00F509BB" w:rsidP="00F509BB">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302" w:name="Commentary_on_Section_V"/>
      <w:bookmarkStart w:id="303" w:name="_bookmark51"/>
      <w:bookmarkStart w:id="304" w:name="_Toc241753105"/>
      <w:bookmarkEnd w:id="302"/>
      <w:bookmarkEnd w:id="303"/>
      <w:r>
        <w:rPr>
          <w:rFonts w:ascii="Times New Roman" w:hAnsi="Times New Roman"/>
          <w:b/>
          <w:color w:val="0B769F" w:themeColor="accent4" w:themeShade="BF"/>
          <w:sz w:val="26"/>
        </w:rPr>
        <w:t>Komentārs par V pantu</w:t>
      </w:r>
      <w:bookmarkEnd w:id="304"/>
    </w:p>
    <w:p w14:paraId="01A6C1C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7564773C" w14:textId="77777777" w:rsidR="00F509BB" w:rsidRPr="00096E97"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05" w:name="Paragraph_D_–_Review_procedures"/>
      <w:bookmarkEnd w:id="305"/>
      <w:r>
        <w:rPr>
          <w:rFonts w:ascii="Times New Roman" w:hAnsi="Times New Roman"/>
          <w:b/>
          <w:i/>
          <w:sz w:val="26"/>
        </w:rPr>
        <w:t>D punkts. Pārskatīšanas procedūras</w:t>
      </w:r>
    </w:p>
    <w:p w14:paraId="2A3F1C6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523083B0"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06" w:name="Subparagraph_D2_–_Review_procedure_for_C"/>
      <w:bookmarkEnd w:id="306"/>
      <w:r>
        <w:rPr>
          <w:rFonts w:ascii="Times New Roman" w:hAnsi="Times New Roman"/>
          <w:i/>
          <w:color w:val="616161"/>
          <w:sz w:val="24"/>
        </w:rPr>
        <w:t>D punkta 2. apakšpunkts. Kontrolējošo personu pārskatīšanas procedūra</w:t>
      </w:r>
    </w:p>
    <w:p w14:paraId="2A38D79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61B3C83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20. Lai noteiktu, vai konta turētājs ir pasīva nefinanšu vienība atbilstīgi D punkta 2. apakšpunkta a) daļai, finanšu iestādei, kas sniedz ziņojumus, no konta turētāja jāiegūst pašapliecinājums, lai noteiktu tā statusu, izņemot, ja tās rīcībā ir informācija vai ir publiski pieejama informācija (skat. iepriekš 12. punktu), pamatojoties uz kuru tā var pamatoti noteikt, ka konta turētājs ir aktīva nefinanšu vienība vai finanšu iestāde, kas nav neiesaistīta, profesionāli pārvaldīta ieguldījumu vienība (piemēram, VIII panta A punkta 6. apakšpunkta b) daļā minētā ieguldījumu vienība, kas nav iesaistītās jurisdikcijas finanšu iestāde). Piemēram, finanšu iestāde, kas sniedz ziņojumus, var pamatoti noteikt, ka konta turētājs ir aktīva nefinanšu iestāde, ja konta turētājam ir ar likumu aizliegts veikt darbības vai operācijas vai turēt aktīvus pasīvo ienākumu radīšanai (skat. komentāra par VIII pantu 126. punktu). Pašapliecinājumam, kuru izmanto konta turētāja statusa noteikšanai, ir jāatbilst pašapliecinājuma derīguma prasībām attiecībā uz iepriekšpastāvējušu vienību kontiem (skat. iepriekš 13.–17. punktu). Ja finanšu iestāde, kas sniedz ziņojumus, nevar piešķirt konta turētājam aktīvas nefinanšu vienības statusu vai tādas finanšu iestādes statusu, kas nav neiesaistīta, profesionāli pārvaldīta ieguldījumu vienība, tai jāpieņem, ka konta turētājs ir pasīva nefinanšu vienība.</w:t>
      </w:r>
    </w:p>
    <w:p w14:paraId="4914082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14:ligatures w14:val="none"/>
        </w:rPr>
      </w:pPr>
      <w:r>
        <w:rPr>
          <w:rFonts w:ascii="Times New Roman" w:hAnsi="Times New Roman"/>
          <w:sz w:val="24"/>
        </w:rPr>
        <w:t xml:space="preserve">21. Lai noteiktu konta turētāju kontrolējošās personas atbilstīgi D punkta 2. apakšpunkta b) daļai, finanšu iestāde, kas sniedz ziņojumu, var paļauties uz informāciju, kas savākta un saglabāta saskaņā ar </w:t>
      </w:r>
      <w:r>
        <w:rPr>
          <w:rFonts w:ascii="Times New Roman" w:hAnsi="Times New Roman"/>
          <w:i/>
          <w:iCs/>
          <w:sz w:val="24"/>
        </w:rPr>
        <w:t>AML/KYC</w:t>
      </w:r>
      <w:r>
        <w:rPr>
          <w:rFonts w:ascii="Times New Roman" w:hAnsi="Times New Roman"/>
          <w:sz w:val="24"/>
        </w:rPr>
        <w:t xml:space="preserve"> procedūrām </w:t>
      </w:r>
      <w:r>
        <w:rPr>
          <w:rFonts w:ascii="Times New Roman" w:hAnsi="Times New Roman"/>
          <w:i/>
          <w:iCs/>
          <w:sz w:val="24"/>
          <w:u w:val="single"/>
        </w:rPr>
        <w:t>atbilstīgi</w:t>
      </w:r>
      <w:r>
        <w:rPr>
          <w:rFonts w:ascii="Times New Roman" w:hAnsi="Times New Roman"/>
          <w:sz w:val="24"/>
          <w:u w:val="single"/>
        </w:rPr>
        <w:t xml:space="preserve"> FATF </w:t>
      </w:r>
      <w:r>
        <w:rPr>
          <w:rFonts w:ascii="Times New Roman" w:hAnsi="Times New Roman"/>
          <w:i/>
          <w:iCs/>
          <w:sz w:val="24"/>
          <w:u w:val="single"/>
        </w:rPr>
        <w:t>10. ieteikumam, ja publiski kotēts uzņēmums kontrolē konta turētāju, kas ir pasīva nefinanšu vienība, vairs netiek prasīts noteikt šādu uzņēmumu kontrolējošās personas, ja šim uzņēmumam jau piemēro informācijas atklāšanas prasības, nodrošinot pienācīgu informācijas par patiesā labuma guvējiem pārredzamību</w:t>
      </w:r>
      <w:r>
        <w:rPr>
          <w:rFonts w:ascii="Times New Roman" w:hAnsi="Times New Roman"/>
          <w:sz w:val="24"/>
        </w:rPr>
        <w:t>.</w:t>
      </w:r>
    </w:p>
    <w:p w14:paraId="208A49F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lastRenderedPageBreak/>
        <w:t>(..)</w:t>
      </w:r>
    </w:p>
    <w:p w14:paraId="744360BD" w14:textId="77777777" w:rsidR="00F509BB" w:rsidRPr="009D65CE" w:rsidRDefault="00F509BB" w:rsidP="00F509BB">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307" w:name="Commentary_on_Section_VI"/>
      <w:bookmarkStart w:id="308" w:name="_bookmark52"/>
      <w:bookmarkStart w:id="309" w:name="_Toc241753106"/>
      <w:bookmarkEnd w:id="307"/>
      <w:bookmarkEnd w:id="308"/>
      <w:r>
        <w:rPr>
          <w:rFonts w:ascii="Times New Roman" w:hAnsi="Times New Roman"/>
          <w:b/>
          <w:color w:val="0B769F" w:themeColor="accent4" w:themeShade="BF"/>
          <w:sz w:val="26"/>
        </w:rPr>
        <w:t>Komentārs par VI pantu</w:t>
      </w:r>
      <w:bookmarkEnd w:id="309"/>
    </w:p>
    <w:p w14:paraId="57E329B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0C469C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4.bis Atsevišķos gadījumos, ja pašapliecinājumu nevar iegūt vai tā derīgumu nevar pārbaudīt konta atvēršanas laikā, finanšu iestādei, kas sniedz ziņojumus, pašapliecinājums jāiegūst un tā derīgums jāpārbauda, cik drīz vien iespējams, un jebkurā gadījumā ne vēlāk kā 90 kalendāro dienu laikā, kā arī tādā termiņā, lai varētu izpildīt pienācīgas pārbaudes un ziņošanas pienākumus attiecībā uz ziņošanas periodu, kurā konts tika atvērts (skat. komentāru par IV pantu 2.bis punktu).</w:t>
      </w:r>
    </w:p>
    <w:p w14:paraId="4A1C0E9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3169131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7. Pašapliecinājumam jānodrošina iespēja noteikt konta turētāja rezidenci(-es) nodokļu aprēķina vajadzībām. Praksē reti notiek tā, ka vienība tiks aplikta ar nodokli kā vairāku jurisdikciju rezidents, taču tas, protams, ir iespējams. </w:t>
      </w:r>
      <w:r>
        <w:rPr>
          <w:rFonts w:ascii="Times New Roman" w:hAnsi="Times New Roman"/>
          <w:i/>
          <w:sz w:val="24"/>
          <w:u w:val="single"/>
        </w:rPr>
        <w:t xml:space="preserve">Šādos apstākļos tiek gaidīts, ka pašapliecinājumā tiek norādītas visas rezidences jurisdikcijas un ka finanšu iestāde, kas sniedz ziņojumus, uzskata, ka tas ir konts, par kuru jāsniedz ziņojums, visās jurisdikcijās, par kurām jāsniedz ziņojums. </w:t>
      </w:r>
      <w:r>
        <w:rPr>
          <w:rFonts w:ascii="Times New Roman" w:hAnsi="Times New Roman"/>
          <w:sz w:val="24"/>
        </w:rPr>
        <w:t>Dažādu jurisdikciju tiesību aktos ir noteikti nosacījumi, saskaņā ar kuriem vienība ir uzskatāma par nodokļu “rezidentu”. Tajos ietverta dažādu formu piesaiste jurisdikcijai, kura valstu tiesību aktos noteikta kā pamats nodokļu vispārējai piemērošanai (pilna apjoma nodokļu saistības). Lai risinātu dubultā rezidenta statusa gadījumus, nodokļu konvencijās iekļauti īpaši noteikumi, kas paredz, ka saistībā ar šīm konvencijām piesaiste vienai jurisdikcijai prevalē pār piesaisti otrai jurisdikcijai. Parasti vienība būs jurisdikcijas rezidents nodokļu aprēķina vajadzībām, ja saskaņā ar šīs jurisdikcijas tiesību aktiem (tostarp nodokļu konvencijām) tā maksā vai tai ir jāmaksā nodokļi šajā jurisdikcijā tādēļ, ka šajā jurisdikcijā atrodas tās juridiskā adrese, mītnes vieta, vadības vieta vai reģistrācijas vieta vai tiek izpildīts kāds līdzīga veida kritērijs, nevis vienīgi tādēļ, ka šajā jurisdikcijā atrodas tās ienākumu avoti.</w:t>
      </w:r>
      <w:r>
        <w:rPr>
          <w:rFonts w:ascii="Times New Roman" w:hAnsi="Times New Roman"/>
          <w:b/>
          <w:sz w:val="24"/>
        </w:rPr>
        <w:t xml:space="preserve"> </w:t>
      </w:r>
      <w:r>
        <w:rPr>
          <w:rFonts w:ascii="Times New Roman" w:hAnsi="Times New Roman"/>
          <w:sz w:val="24"/>
        </w:rPr>
        <w:t xml:space="preserve">Vienības ar dubultā rezidenta statusu var izmantot izšķirošos noteikumus, kas paredzēti nodokļu konvencijās (ja tie ir piemērojami), lai risinātu dubultā rezidenta statusa gadījumus un noteiktu, kurā jurisdikcijā persona ir rezidents nodokļu aprēķina vajadzībām (skat. turpmāk 13. punktu) </w:t>
      </w:r>
      <w:r>
        <w:rPr>
          <w:rFonts w:ascii="Times New Roman" w:hAnsi="Times New Roman"/>
          <w:i/>
          <w:iCs/>
          <w:sz w:val="24"/>
          <w:u w:val="single"/>
        </w:rPr>
        <w:t>līdz [pārskatītā</w:t>
      </w:r>
      <w:r>
        <w:rPr>
          <w:rFonts w:ascii="Times New Roman" w:hAnsi="Times New Roman"/>
          <w:sz w:val="24"/>
          <w:u w:val="single"/>
        </w:rPr>
        <w:t xml:space="preserve"> CRS </w:t>
      </w:r>
      <w:r>
        <w:rPr>
          <w:rFonts w:ascii="Times New Roman" w:hAnsi="Times New Roman"/>
          <w:i/>
          <w:iCs/>
          <w:sz w:val="24"/>
          <w:u w:val="single"/>
        </w:rPr>
        <w:t>spēkā stāšanās datums]</w:t>
      </w:r>
      <w:r>
        <w:rPr>
          <w:rFonts w:ascii="Times New Roman" w:hAnsi="Times New Roman"/>
          <w:sz w:val="24"/>
        </w:rPr>
        <w:t>.</w:t>
      </w:r>
      <w:r>
        <w:rPr>
          <w:rFonts w:ascii="Times New Roman" w:hAnsi="Times New Roman"/>
          <w:i/>
          <w:sz w:val="24"/>
          <w:u w:val="single"/>
        </w:rPr>
        <w:t xml:space="preserve"> Pēc </w:t>
      </w:r>
      <w:r>
        <w:rPr>
          <w:rFonts w:ascii="Times New Roman" w:hAnsi="Times New Roman"/>
          <w:i/>
          <w:iCs/>
          <w:sz w:val="24"/>
          <w:u w:val="single"/>
        </w:rPr>
        <w:t>[pārskatītā</w:t>
      </w:r>
      <w:r>
        <w:rPr>
          <w:rFonts w:ascii="Times New Roman" w:hAnsi="Times New Roman"/>
          <w:i/>
          <w:sz w:val="24"/>
          <w:u w:val="single"/>
        </w:rPr>
        <w:t xml:space="preserve"> CRS </w:t>
      </w:r>
      <w:r>
        <w:rPr>
          <w:rFonts w:ascii="Times New Roman" w:hAnsi="Times New Roman"/>
          <w:i/>
          <w:iCs/>
          <w:sz w:val="24"/>
          <w:u w:val="single"/>
        </w:rPr>
        <w:t>spēkā stāšanās datums]</w:t>
      </w:r>
      <w:r>
        <w:rPr>
          <w:rFonts w:ascii="Times New Roman" w:hAnsi="Times New Roman"/>
          <w:i/>
          <w:sz w:val="24"/>
          <w:u w:val="single"/>
        </w:rPr>
        <w:t xml:space="preserve"> vienības, kas ir dubultrezidenti un ir (atkārtoti) reģistrētas, nevarēs paļauties uz izšķirošajiem noteikumiem un tām būs jādeklarē visas savas rezidences jurisdikcijas.</w:t>
      </w:r>
    </w:p>
    <w:p w14:paraId="270D6D5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9274C63" w14:textId="77777777" w:rsidR="00F509BB" w:rsidRPr="009D65CE"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10" w:name="Paragraph_A(2)_–_Review_procedure_for_Co"/>
      <w:bookmarkEnd w:id="310"/>
      <w:r>
        <w:rPr>
          <w:rFonts w:ascii="Times New Roman" w:hAnsi="Times New Roman"/>
          <w:b/>
          <w:i/>
          <w:sz w:val="26"/>
        </w:rPr>
        <w:t>A punkta 2. apakšpunkts. Kontrolējošo personu pārskatīšanas procedūra</w:t>
      </w:r>
    </w:p>
    <w:p w14:paraId="03AA3FE5"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3561E41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19. Lai noskaidrotu konta turētāju kontrolējošās personas saskaņā ar A punkta 2. apakšpunkta b) daļu, finanšu iestāde, kas sniedz ziņojumus, var paļauties uz informāciju, kura savākta un saglabāta </w:t>
      </w:r>
      <w:r>
        <w:rPr>
          <w:rFonts w:ascii="Times New Roman" w:hAnsi="Times New Roman"/>
          <w:i/>
          <w:iCs/>
          <w:sz w:val="24"/>
        </w:rPr>
        <w:t>AML</w:t>
      </w:r>
      <w:r>
        <w:rPr>
          <w:rFonts w:ascii="Times New Roman" w:hAnsi="Times New Roman"/>
          <w:sz w:val="24"/>
        </w:rPr>
        <w:t>/</w:t>
      </w:r>
      <w:r>
        <w:rPr>
          <w:rFonts w:ascii="Times New Roman" w:hAnsi="Times New Roman"/>
          <w:i/>
          <w:iCs/>
          <w:sz w:val="24"/>
        </w:rPr>
        <w:t>KYC</w:t>
      </w:r>
      <w:r>
        <w:rPr>
          <w:rFonts w:ascii="Times New Roman" w:hAnsi="Times New Roman"/>
          <w:sz w:val="24"/>
        </w:rPr>
        <w:t xml:space="preserve"> procedūrās, </w:t>
      </w:r>
      <w:r>
        <w:rPr>
          <w:rFonts w:ascii="Times New Roman" w:hAnsi="Times New Roman"/>
          <w:i/>
          <w:iCs/>
          <w:sz w:val="24"/>
          <w:u w:val="single"/>
        </w:rPr>
        <w:t>ar nosacījumu, ka šīs procedūras atbilst</w:t>
      </w:r>
      <w:r>
        <w:rPr>
          <w:rFonts w:ascii="Times New Roman" w:hAnsi="Times New Roman"/>
          <w:sz w:val="24"/>
          <w:u w:val="single"/>
        </w:rPr>
        <w:t xml:space="preserve"> FATF </w:t>
      </w:r>
      <w:r>
        <w:rPr>
          <w:rFonts w:ascii="Times New Roman" w:hAnsi="Times New Roman"/>
          <w:i/>
          <w:iCs/>
          <w:sz w:val="24"/>
          <w:u w:val="single"/>
        </w:rPr>
        <w:t>10. un 25. ieteikumam (kas pieņemti 2012. gada februārī)</w:t>
      </w:r>
      <w:r>
        <w:rPr>
          <w:rFonts w:ascii="Times New Roman" w:hAnsi="Times New Roman"/>
          <w:sz w:val="24"/>
        </w:rPr>
        <w:t>.</w:t>
      </w:r>
      <w:r>
        <w:rPr>
          <w:rFonts w:ascii="Times New Roman" w:hAnsi="Times New Roman"/>
          <w:i/>
          <w:sz w:val="24"/>
          <w:u w:val="single"/>
        </w:rPr>
        <w:t xml:space="preserve"> Ja finanšu iestādei, kas sniedz ziņojumus, nav juridiski noteikts pienākums piemērot AML/KYC procedūras, kas saskan ar FATF 2012. gada ieteikumiem, tai kontrolējošo personu noteikšanai jāpiemēro pēc būtības līdzīgas procedūras. Saskaņā ar FATF 10. ieteikumu, ja publiski kotēts uzņēmums kontrolē konta turētāju, kas ir pasīva nefinanšu vienība, vairs netiek prasīts noteikt šādu uzņēmumu kontrolējošās personas, ja šim uzņēmumam jau piemēro informācijas atklāšanas prasības, nodrošinot pienācīgu informācijas pārredzamību par patiesā labuma guvējiem.</w:t>
      </w:r>
    </w:p>
    <w:p w14:paraId="0777630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0A1DD663"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35B65035" w14:textId="77777777" w:rsidR="00F509BB" w:rsidRPr="009D65CE" w:rsidRDefault="00F509BB" w:rsidP="00F509BB">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311" w:name="Commentary_on_Section_VII"/>
      <w:bookmarkStart w:id="312" w:name="_bookmark53"/>
      <w:bookmarkStart w:id="313" w:name="_Toc241753107"/>
      <w:bookmarkEnd w:id="311"/>
      <w:bookmarkEnd w:id="312"/>
      <w:r>
        <w:rPr>
          <w:rFonts w:ascii="Times New Roman" w:hAnsi="Times New Roman"/>
          <w:b/>
          <w:color w:val="0B769F" w:themeColor="accent4" w:themeShade="BF"/>
          <w:sz w:val="26"/>
        </w:rPr>
        <w:lastRenderedPageBreak/>
        <w:t>Komentārs par VII pantu</w:t>
      </w:r>
      <w:bookmarkEnd w:id="313"/>
    </w:p>
    <w:p w14:paraId="2E2FDC9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7D2E76CD" w14:textId="77777777" w:rsidR="00F509BB" w:rsidRPr="00305B0F"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14" w:name="Paragraph_A_–_Reliance_on_Self-Certifica"/>
      <w:bookmarkEnd w:id="314"/>
      <w:r>
        <w:rPr>
          <w:rFonts w:ascii="Times New Roman" w:hAnsi="Times New Roman"/>
          <w:b/>
          <w:i/>
          <w:sz w:val="26"/>
        </w:rPr>
        <w:t>A punkts. Paļaušanās uz pašapliecinājumu un dokumentāriem pierādījumiem</w:t>
      </w:r>
    </w:p>
    <w:p w14:paraId="7A909087" w14:textId="77777777" w:rsidR="00F509BB" w:rsidRPr="005421A9" w:rsidRDefault="00F509BB" w:rsidP="00F509BB">
      <w:pPr>
        <w:widowControl w:val="0"/>
        <w:tabs>
          <w:tab w:val="left" w:pos="491"/>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2. A punktā ir noteikti zināšanu prasību standarti, kas piemērojami attiecībā uz pašapliecinājumu vai dokumentārajiem pierādījumiem. Tajā paredzēts, ka finanšu iestāde, kas sniedz ziņojumus, nevar paļauties uz pašapliecinājumu vai dokumentāriem pierādījumiem, ja tā zina (proti, tai ir faktiska informācija) vai tai ir pamats zināt, ka pašapliecinājums vai dokumentārie pierādījumi ir nepareizi vai neuzticami.</w:t>
      </w:r>
    </w:p>
    <w:p w14:paraId="17058734" w14:textId="77777777" w:rsidR="00F509BB" w:rsidRPr="005421A9" w:rsidRDefault="00F509BB" w:rsidP="00F509BB">
      <w:pPr>
        <w:widowControl w:val="0"/>
        <w:tabs>
          <w:tab w:val="left" w:pos="470"/>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3. Finanšu iestādei, kas sniedz ziņojumus, ir pamats zināt, ka pašapliecinājums vai dokumentārs pierādījums ir neuzticams vai nepareizs, ja tai zināmi tādi būtiski fakti vai informācija, kas sniegti pašapliecinājumā vai citā dokumentācijā, tostarp attiecīgajiem klientu apkalpošanas operatoriem zināmā informācija, ja tāda pastāv (skat. komentāra par III pantu 38.–42. punktu un 50. punktu), kura pietiekami apdomīgai personai finanšu iestādes, kas sniedz ziņojumus, situācijā liktu apšaubīt sniegto apgalvojumu patiesumu. Finanšu iestādei, kas sniedz ziņojumus, ir pamats zināt, ka pašapliecinājums vai dokumentārs pierādījums ir neuzticams vai nepareizs, ja dokumentācijā vai finanšu iestādes, kas sniedz ziņojumus, kontu datnēs ir iekļauta informācija, kas ir pretrunā ar personas apgalvojumiem par tās statusu.</w:t>
      </w:r>
    </w:p>
    <w:p w14:paraId="4A20889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3.bis Apstiprinot pašapliecinājuma pamatotību, finanšu iestāde, kas sniedz ziņojumus, var sastapties ar gadījumiem, kad konta turētājs vai kontrolējošā persona ir sniegusi dokumentus, kuri izdoti saskaņā ar shēmu, kas paredz pilsonības vai pastāvīgās uzturēšanās statusa iegūšanu apmaiņā pret ieguldījumiem (CBI/RBI shēma), proti, tā ļauj ārvalstu fiziskām personām iegūt pilsonību vai pagaidu vai pastāvīgas uzturēšanās tiesības, pamatojoties uz vietējiem ieguldījumiem vai par noteiktu maksu. Noteiktas augsta riska CBI/RBI shēmas, iespējams, var tikt ļaunprātīgi izmantotas, lai apietu ziņošanu saskaņā ar CRS. Potenciāli augsta riska CBI/RBI shēmas ir tās, kas dod nodokļu maksātājam iespēju izmantot zemu iedzīvotāju ienākuma nodokļa likmi par ārzonas finanšu aktīviem un neprasa būtisku fizisku klātbūtni jurisdikcijā, kas piedāvā šo CBI/RBI shēmu. OECD cenšas publicēt informāciju par šādām potenciāli augsta riska CBI/RBI shēmām savā tīmekļa vietnē. Finanšu iestādēm, kas sniedz ziņojumus, būtu jāpaļaujas uz OECD publicēto informāciju, nosakot, vai tām ir pamats uzskatīt, ka pašapliecinājums ir nepareizs vai neuzticams. Jo īpaši tad, ja finanšu iestādei, kas sniedz ziņojumus, ir šaubas par konta turētāja vai kontrolējošās personas nodokļu rezidenci(-ēm), jo šāda persona apgalvo, ka tai ir rezidence jurisdikcijā, kas piedāvā potenciāli augsta riska CBI/RBI shēmu, šī finanšu iestāde, kas sniedz ziņojumus, drīkst paļauties uz šādu pašapliecinājumu tikai tad, kad ir veikusi turpmākus pasākumus, lai noskaidrotu šo personu nodokļu rezidenci(-es), tostarp uzdodot papildu jautājumus. Jautājumi varētu būt, piemēram, šādi – vai konta turētājs 1) ir ieguvis rezidences tiesības saskaņā ar CBI/RBI shēmu, 2) vai tam ir rezidences tiesības kādā(-ās) citā(-ās) jurisdikcijā(-ās), 3) vai konta turētājs pagājušajā gadā ir pavadījis vairāk par 90 dienām kādā citā vienā vai vairākās jurisdikcijās, kā arī 4) kādās jurisdikcijās konta turētājs pagājušajā gadā ir iesniedzis iedzīvotāju ienākuma nodokļa deklarācijas. Atbildes uz šiem jautājumiem kopā ar attiecīgajiem apliecinošajiem dokumentiem, ja atbilstīgi, palīdzēs finanšu iestādei, kas sniedz ziņojumus, noskaidrot, vai pašapliecinājums ir pamatots.</w:t>
      </w:r>
    </w:p>
    <w:p w14:paraId="5D25EE1D"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15" w:name="Standards_of_knowledge_applicable_to_sel"/>
      <w:bookmarkEnd w:id="315"/>
      <w:r>
        <w:rPr>
          <w:rFonts w:ascii="Times New Roman" w:hAnsi="Times New Roman"/>
          <w:i/>
          <w:color w:val="616161"/>
          <w:sz w:val="24"/>
        </w:rPr>
        <w:t>Zināšanu prasību standarti attiecībā uz pašapliecinājumiem</w:t>
      </w:r>
    </w:p>
    <w:p w14:paraId="132CAAC6" w14:textId="77777777" w:rsidR="00F509BB" w:rsidRPr="005421A9" w:rsidRDefault="00F509BB" w:rsidP="00071995">
      <w:pPr>
        <w:tabs>
          <w:tab w:val="left" w:pos="48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4. Finanšu iestādei, kas sniedz ziņojumus, ir pamats uzskatīt, ka personas sniegtais pašapliecinājums ir neuzticams vai nepareizs, ja pašapliecinājumā trūkst kāda elementa, kas ir būtisks personas apgalvojumu patiesuma noskaidrošanai, pašapliecinājumā iekļauta informācija, kas ir pretrunā ar personas apgalvojumu, vai finanšu iestādei, kas sniedz ziņojumus, ir pieejama cita konta informācija, kas ir pretrunā ar personas apgalvojumu. Ja finanšu iestāde, kas sniedz ziņojumus, pašapliecinājumu pārbaudīšanai un uzturēšanai izmanto </w:t>
      </w:r>
      <w:r>
        <w:rPr>
          <w:rFonts w:ascii="Times New Roman" w:hAnsi="Times New Roman"/>
          <w:sz w:val="24"/>
        </w:rPr>
        <w:lastRenderedPageBreak/>
        <w:t>pakalpojuma sniedzēju, ir uzskatāms, ka tā zina pakalpojuma sniedzēja rīcībā esošo informāciju vai tai ir pamats šādu informāciju zināt.</w:t>
      </w:r>
    </w:p>
    <w:p w14:paraId="33A0386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4.bis Finanšu iestādei, kas sniedz ziņojumus, ir iemesls uzskatīt, ka pašapliecinājums ir neuzticams vai nepareizs, ja pašapliecinājumā nav iekļauts TIN un OECD izplatītajā informācijā ir norādīts, ka jurisdikcija, par kuru jāsniedz ziņojums, izdod TIN visiem nodokļu rezidentiem. Kopējā ziņošanas standartā netiek prasīts finanšu iestādei, kas sniedz ziņojumus, apstiprināt TIN formātu un citas specifikācijas ar informāciju, ko izplata OECD. Tomēr finanšu iestādes, kas sniedz ziņojumus, var tomēr to darīt, lai uzlabotu savāktās informācijas kvalitāti un mazinātu administratīvo slogu saistībā ar turpmāko uzraudzību attiecībā uz nepareiza TIN ziņošanu. Šajā gadījumā tās var izmantot arī reģionālas vai valsts tīmekļa vietnes, kurās sniegts TIN pārbaudes modulis, lai pārliecinātos par pašapliecinājumā sniegtā TIN precizitāti</w:t>
      </w:r>
    </w:p>
    <w:p w14:paraId="24A0DCC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4.ter Var būt gadījumi, ka mainās AML/KYC procedūras, ko piemēro finanšu iestādes, kas sniedz ziņojumus. Šajā saistībā VIII panta E punkta 2. apakšpunktā norādīts, ka “AML/KYC procedūras” ir klientu pienācīgas pārbaudes procedūras, kuras finanšu iestāde, kas sniedz ziņojumus, veic saskaņā ar prasībām par noziedzīgi iegūtu līdzekļu legalizācijas novēršanu vai līdzīgām prasībām, kuras jāievēro finanšu iestādei, kas sniedz ziņojumus. Attiecīgi, lai veiktu III–VII pantā noteiktās pienācīgas pārbaudes procedūras, piemērojamās AML/KYC procedūras ir tās, kuras finanšu iestādei, kas sniedz ziņojumus, ir piemērojamas konkrētajā brīdī, kamēr vien attiecībā uz jauniem kontiem šīs procedūras saskan ar FATF 2012. gada ieteikumiem. Ja piemērojamās AML/KYC procedūras ir grozītas (piemēram, kad jurisdikcija īsteno jaunus FATF ieteikumus), finanšu iestādēm, kas sniedz ziņojumus, šajā jurisdikcijā var tikt uzdots vākt un uzglabāt papildu informāciju AML/KYC nolūkos. Saistībā ar III–VII pantā noteiktajām pienācīgas pārbaudes procedūrām un saskaņā ar komentāra par III pantu 17. punktu papildu informācija, kas iegūta saskaņā ar šīm grozītajām AML/KYC procedūrām, ir jāizmanto, lai noteiktu, vai ir mainījušies apstākļi saistībā ar konta turētāju un/vai kontrolējošo personu identitāti un/vai ziņojamo statusu. Kā paskaidrots iepriekš 4. punktā, ja iegūtā papildu informācija nesaskan ar personas pašapliecinājumā sniegtajiem apgalvojumiem, ir notikusi apstākļu maiņa un finanšu iestādei, kas sniedz ziņojumus, ir iemesls uzskatīt, ka pašapliecinājums ir neuzticams vai nepareizs.</w:t>
      </w:r>
    </w:p>
    <w:p w14:paraId="4A418BF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FA350E1" w14:textId="77777777" w:rsidR="00F509BB" w:rsidRPr="00BF6B48"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16" w:name="Paragraph_Abis_–_Temporary_lack_of_Self-"/>
      <w:bookmarkEnd w:id="316"/>
      <w:r>
        <w:rPr>
          <w:rFonts w:ascii="Times New Roman" w:hAnsi="Times New Roman"/>
          <w:b/>
          <w:i/>
          <w:sz w:val="26"/>
        </w:rPr>
        <w:t>A bis punkts. Īslaicīgi nav pašapliecinājuma</w:t>
      </w:r>
    </w:p>
    <w:p w14:paraId="4762B2E3"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10.bis A bis punktā ir ietverta īpaša pienācīgas pārbaudes procedūra, kas īslaicīgi piemērojama izņēmuma apstākļos, ja finanšu iestāde, kas sniedz ziņojumus, nevar laikus iegūt pašapliecinājumu vai pārbaudīt tā derīgumu attiecībā uz jaunu kontu, lai izpildītu pienācīgas pārbaudes un ziņošanas pienākumus attiecībā uz ziņošanas periodu, kurā konts tika atvērts. Ja pašapliecinājumu nevar iegūt un tā derīgumu nevar pārbaudīt attiecībā uz jaunu fiziskas personas kontu, finanšu iestādei, kas sniedz ziņojumus, īslaicīgi jāpiemēro pienācīgas pārbaudes procedūras, kas piemērojamas iepriekšpastāvējušiem fiziskas personas kontiem saskaņā ar III pantu. Līdzīgi, ja pašapliecinājumu nevar iegūt un tā derīgumu nevar pārbaudīt attiecībā uz jaunu vienības kontu, finanšu iestādei, kas sniedz ziņojumus, īslaicīgi jāpiemēro pienācīgas pārbaudes procedūras, kas piemērojamas iepriekšpastāvējušiem vienības kontiem saskaņā ar V pantu.</w:t>
      </w:r>
    </w:p>
    <w:p w14:paraId="30757E9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10.ter Atkāpjoties no iepriekš minētā, saistībā ar I panta A punkta 2. apakšpunktu par šādiem kontiem jāziņo kā par jauniem kontiem.</w:t>
      </w:r>
    </w:p>
    <w:p w14:paraId="26853AD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602E625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6E7F1AC3" w14:textId="77777777" w:rsidR="00F509BB" w:rsidRPr="00BF6B48" w:rsidRDefault="00F509BB" w:rsidP="00F509BB">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317" w:name="Commentary_on_Section_VIII"/>
      <w:bookmarkStart w:id="318" w:name="_bookmark54"/>
      <w:bookmarkStart w:id="319" w:name="_Toc241753108"/>
      <w:bookmarkEnd w:id="317"/>
      <w:bookmarkEnd w:id="318"/>
      <w:r>
        <w:rPr>
          <w:rFonts w:ascii="Times New Roman" w:hAnsi="Times New Roman"/>
          <w:b/>
          <w:color w:val="0B769F" w:themeColor="accent4" w:themeShade="BF"/>
          <w:sz w:val="26"/>
        </w:rPr>
        <w:lastRenderedPageBreak/>
        <w:t>Komentārs par VIII pantu</w:t>
      </w:r>
      <w:bookmarkEnd w:id="319"/>
    </w:p>
    <w:p w14:paraId="1D329A6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395A7374" w14:textId="77777777" w:rsidR="00F509BB" w:rsidRPr="00BF6B48"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20" w:name="Paragraph_A_–_Reporting_Financial_Instit"/>
      <w:bookmarkEnd w:id="320"/>
      <w:r>
        <w:rPr>
          <w:rFonts w:ascii="Times New Roman" w:hAnsi="Times New Roman"/>
          <w:b/>
          <w:i/>
          <w:sz w:val="26"/>
        </w:rPr>
        <w:t>A punkts. Finanšu iestāde, kas sniedz ziņojumus</w:t>
      </w:r>
    </w:p>
    <w:p w14:paraId="5E0C03A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0DF507B2"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kern w:val="0"/>
          <w:sz w:val="24"/>
          <w:szCs w:val="24"/>
          <w14:ligatures w14:val="none"/>
        </w:rPr>
      </w:pPr>
      <w:bookmarkStart w:id="321" w:name="Subparagraph_A(3)_through_(811)_–_Financ"/>
      <w:bookmarkEnd w:id="321"/>
      <w:r>
        <w:rPr>
          <w:rFonts w:ascii="Times New Roman" w:hAnsi="Times New Roman"/>
          <w:i/>
          <w:color w:val="616161"/>
          <w:sz w:val="24"/>
        </w:rPr>
        <w:t>A punkta 3.–</w:t>
      </w:r>
      <w:r>
        <w:rPr>
          <w:rFonts w:ascii="Times New Roman" w:hAnsi="Times New Roman"/>
          <w:i/>
          <w:strike/>
          <w:color w:val="616161"/>
          <w:sz w:val="24"/>
        </w:rPr>
        <w:t>8</w:t>
      </w:r>
      <w:r>
        <w:rPr>
          <w:rFonts w:ascii="Times New Roman" w:hAnsi="Times New Roman"/>
          <w:i/>
          <w:color w:val="616161"/>
          <w:sz w:val="24"/>
          <w:u w:val="single" w:color="616161"/>
        </w:rPr>
        <w:t>11</w:t>
      </w:r>
      <w:r>
        <w:rPr>
          <w:rFonts w:ascii="Times New Roman" w:hAnsi="Times New Roman"/>
          <w:i/>
          <w:color w:val="616161"/>
          <w:sz w:val="24"/>
        </w:rPr>
        <w:t>. apakšpunkts. Finanšu iestāde</w:t>
      </w:r>
    </w:p>
    <w:p w14:paraId="0C34EBF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654D3453"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22" w:name="Custodial_Institution"/>
      <w:bookmarkEnd w:id="322"/>
      <w:r>
        <w:rPr>
          <w:rFonts w:ascii="Times New Roman" w:hAnsi="Times New Roman"/>
          <w:i/>
          <w:color w:val="616161"/>
          <w:sz w:val="24"/>
        </w:rPr>
        <w:t>Turētājiestāde</w:t>
      </w:r>
    </w:p>
    <w:p w14:paraId="5DDD4CEF" w14:textId="77777777" w:rsidR="00F509BB" w:rsidRPr="005421A9" w:rsidRDefault="00F509BB" w:rsidP="00F509BB">
      <w:pPr>
        <w:widowControl w:val="0"/>
        <w:tabs>
          <w:tab w:val="left" w:pos="48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9. A punkta 4. apakšpunktā termins “turētājiestāde” ir definēts kā vienība, kas tur</w:t>
      </w:r>
    </w:p>
    <w:p w14:paraId="0DDD658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finanšu aktīvus citu uzdevumā, šādai darbībai veidojot tās darījumdarbības būtisku daļu.</w:t>
      </w:r>
    </w:p>
    <w:p w14:paraId="018D0427" w14:textId="77777777" w:rsidR="00F509BB" w:rsidRPr="005421A9" w:rsidRDefault="00F509BB" w:rsidP="00F509BB">
      <w:pPr>
        <w:widowControl w:val="0"/>
        <w:tabs>
          <w:tab w:val="left" w:pos="579"/>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10. Papildus tajā noteikta arī “darījumdarbības būtiskas daļas” pārbaude. Finanšu aktīvu turēšana citu uzdevumā uzskatāma par vienības darījumdarbības būtisku daļu, ja vienības bruto ienākumi saistībā ar finanšu aktīvu turēšanu un saistītiem finanšu pakalpojumiem ir vismaz 20 % no vienības bruto ienākumiem vai nu</w:t>
      </w:r>
    </w:p>
    <w:p w14:paraId="19E4F54E" w14:textId="77777777" w:rsidR="00F509BB" w:rsidRPr="005421A9" w:rsidRDefault="00F509BB" w:rsidP="00F509BB">
      <w:pPr>
        <w:widowControl w:val="0"/>
        <w:numPr>
          <w:ilvl w:val="1"/>
          <w:numId w:val="44"/>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trīs gadu laika posmā, kurš beidzas 31. decembrī (vai arī tāda uzskaites perioda pēdējā dienā, kas nav kalendārais gads) pirms gada, kurā ir veikta noteikšana, vai</w:t>
      </w:r>
    </w:p>
    <w:p w14:paraId="7FA38075" w14:textId="77777777" w:rsidR="00F509BB" w:rsidRPr="005421A9" w:rsidRDefault="00F509BB" w:rsidP="00F509BB">
      <w:pPr>
        <w:widowControl w:val="0"/>
        <w:numPr>
          <w:ilvl w:val="1"/>
          <w:numId w:val="44"/>
        </w:numPr>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vienības pastāvēšanas laika posmā.</w:t>
      </w:r>
    </w:p>
    <w:p w14:paraId="3E840D0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“Ienākumi no finanšu aktīvu turēšanas un saistītiem finanšu pakalpojumiem” ir maksa par turēšanu, konta uzturēšanu un pārvedumiem; komisijas maksa un nodevas par vērtspapīru darījumu izpildi un vērtības noteikšanu attiecībā uz finanšu aktīviem, kas pieņemti turēšanā; ienākumi no kredīta piešķiršanas klientiem attiecībā uz finanšu aktīviem, kas pieņemti turēšanā (vai iegūti, piešķirot šādu kredītu); ienākumi no turēšanā pieņemto finanšu aktīvu piedāvātās cenas un pieprasītās cenas starpības; nodevas par finanšu konsultācijām attiecībā uz iestādes turēšanā pieņemtajiem (vai potenciāli pieņemtajiem) finanšu aktīviem; maksa par mijieskaita vai norēķinu pakalpojumiem.</w:t>
      </w:r>
    </w:p>
    <w:p w14:paraId="6AF4221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10.bis Ienākumi no saistītiem finanšu pakalpojumiem ietver arī komisijas maksas un nodevas par turēšanā pieņemto attiecīgo kriptoaktīvu turēšanu, nodošanu un apmaiņu.</w:t>
      </w:r>
    </w:p>
    <w:p w14:paraId="32CD1C8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10.ter Attiecībā uz bruto ienākumu kritēriju jāņem vērā visa atlīdzība par vienības attiecīgajām darbībām neatkarīgi no tā, vai šī atlīdzība ir samaksāta tieši vienībai, kurai piemēro šo kritēriju, vai kādai citai vienībai. Piemēram, noteiktos gadījumos profesionālā grāmatvedības vai juridiskā firma izveido trastu klientam un šajā procesā ieceļ uzņēmuma pilnvaroto personu. Klients tad maksā grāmatvedības vai juridiskajai firmai par visiem pakalpojumiem, kas sniegti saistībā ar trasta izveidi, tostarp par uzņēmuma pilnvarotā iecelšanu un citiem pilnvarotā pakalpojumiem. Tādējādi pats uzņēmuma pilnvarotais nesaņem tiešu atlīdzību par saviem pakalpojumiem, jo tie tiek samaksāti grāmatvedības vai juridiskajai firmai kā daļa no kopējās pakalpojumu paketes. Šis jautājums rodas arī saistībā ar vienībām, kas sniedz līdzekļu pārvaldīšanas pakalpojumus, ja maksas par šiem pakalpojumiem tiek maksātas citai vienībai. Abos gadījumos saistībā ar bruto ienākumu kritēriju šāda atlīdzība ir jāņem vērā.</w:t>
      </w:r>
    </w:p>
    <w:p w14:paraId="01CB71C9" w14:textId="77777777" w:rsidR="00F509BB" w:rsidRPr="005421A9" w:rsidRDefault="00F509BB" w:rsidP="00F509BB">
      <w:pPr>
        <w:widowControl w:val="0"/>
        <w:tabs>
          <w:tab w:val="left" w:pos="586"/>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noProof/>
          <w:sz w:val="24"/>
        </w:rPr>
        <mc:AlternateContent>
          <mc:Choice Requires="wps">
            <w:drawing>
              <wp:anchor distT="0" distB="0" distL="0" distR="0" simplePos="0" relativeHeight="251658249" behindDoc="1" locked="0" layoutInCell="1" allowOverlap="1" wp14:anchorId="1AB26342" wp14:editId="48969FFC">
                <wp:simplePos x="0" y="0"/>
                <wp:positionH relativeFrom="page">
                  <wp:posOffset>6264909</wp:posOffset>
                </wp:positionH>
                <wp:positionV relativeFrom="paragraph">
                  <wp:posOffset>211139</wp:posOffset>
                </wp:positionV>
                <wp:extent cx="43180" cy="9525"/>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9525"/>
                        </a:xfrm>
                        <a:custGeom>
                          <a:avLst/>
                          <a:gdLst/>
                          <a:ahLst/>
                          <a:cxnLst/>
                          <a:rect l="l" t="t" r="r" b="b"/>
                          <a:pathLst>
                            <a:path w="43180" h="9525">
                              <a:moveTo>
                                <a:pt x="42672" y="0"/>
                              </a:moveTo>
                              <a:lnTo>
                                <a:pt x="0" y="0"/>
                              </a:lnTo>
                              <a:lnTo>
                                <a:pt x="0" y="9144"/>
                              </a:lnTo>
                              <a:lnTo>
                                <a:pt x="42672" y="9144"/>
                              </a:lnTo>
                              <a:lnTo>
                                <a:pt x="426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7F9EA9" id="Graphic 65" o:spid="_x0000_s1026" style="position:absolute;margin-left:493.3pt;margin-top:16.65pt;width:3.4pt;height:.75pt;z-index:-251658231;visibility:visible;mso-wrap-style:square;mso-wrap-distance-left:0;mso-wrap-distance-top:0;mso-wrap-distance-right:0;mso-wrap-distance-bottom:0;mso-position-horizontal:absolute;mso-position-horizontal-relative:page;mso-position-vertical:absolute;mso-position-vertical-relative:text;v-text-anchor:top" coordsize="431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" path="m42672,l,,,9144r42672,l42672,xe" fillcolor="black" stroked="f">
                <v:path arrowok="t"/>
                <w10:wrap anchorx="page"/>
              </v:shape>
            </w:pict>
          </mc:Fallback>
        </mc:AlternateContent>
      </w:r>
      <w:r>
        <w:rPr>
          <w:rFonts w:ascii="Times New Roman" w:hAnsi="Times New Roman"/>
          <w:sz w:val="24"/>
        </w:rPr>
        <w:t>11. Iestādes, kas glabā finanšu aktīvus citu labā, piemēram, turētājbankas, mākleri un centrālie vērtspapīru depozitāriji, parasti tiks uzskatītas par turētājiestādēm. Iestādes, kas netur finanšu aktīvus citu labā, piemēram, apdrošināšanas brokeri, netiks uzskatītas par turētājiestādēm.</w:t>
      </w:r>
    </w:p>
    <w:p w14:paraId="74D8D53A" w14:textId="77777777" w:rsidR="00F509BB" w:rsidRPr="005421A9" w:rsidRDefault="00F509BB" w:rsidP="00071995">
      <w:pPr>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 xml:space="preserve">11.bis Attiecībā uz finanšu aktīviem, kas emitēti attiecīgo kriptoaktīvu veidā, ar “drošu glabāšanu” saprot arī tādu instrumentu drošu glabāšanu vai administrēšanu, kas nodrošina šo aktīvu kontroli (piemēram, privātās atslēgas), ciktāl šai vienībai ir spēja pārvaldīt, tirgot vai nodot trešajām personām pamatā esošos finanšu aktīvus lietotāja vārdā. Tādējādi vienība, kas </w:t>
      </w:r>
      <w:r>
        <w:rPr>
          <w:rFonts w:ascii="Times New Roman" w:hAnsi="Times New Roman"/>
          <w:i/>
          <w:sz w:val="24"/>
          <w:u w:val="single"/>
        </w:rPr>
        <w:lastRenderedPageBreak/>
        <w:t>attiecībā uz šādiem finanšu aktīviem piedāvā tikai privāto atslēgu uzglabāšanas vai drošības pakalpojumus, nav uzskatāma par turētājiestādi.</w:t>
      </w:r>
    </w:p>
    <w:p w14:paraId="3D790E87"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23" w:name="Depository_Institution"/>
      <w:bookmarkEnd w:id="323"/>
      <w:r>
        <w:rPr>
          <w:rFonts w:ascii="Times New Roman" w:hAnsi="Times New Roman"/>
          <w:i/>
          <w:color w:val="616161"/>
          <w:sz w:val="24"/>
        </w:rPr>
        <w:t>Noguldījumu iestāde</w:t>
      </w:r>
    </w:p>
    <w:p w14:paraId="682F3692" w14:textId="77777777" w:rsidR="00F509BB" w:rsidRPr="005421A9" w:rsidRDefault="00F509BB" w:rsidP="00F509BB">
      <w:pPr>
        <w:widowControl w:val="0"/>
        <w:tabs>
          <w:tab w:val="left" w:pos="581"/>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12. A punkta 5. apakšpunktā noteikts, ka “noguldījumu iestāde” ir jebkura vienība, kas a) pieņem noguldījumus parastā banku vai līdzīgas darījumdarbības gaitā </w:t>
      </w:r>
      <w:r>
        <w:rPr>
          <w:rFonts w:ascii="Times New Roman" w:hAnsi="Times New Roman"/>
          <w:i/>
          <w:iCs/>
          <w:sz w:val="24"/>
          <w:u w:val="single"/>
        </w:rPr>
        <w:t>vai b) tur noteiktos elektroniskās naudas produktus vai centrālās bankas digitālās valūtas klientu labā.</w:t>
      </w:r>
    </w:p>
    <w:p w14:paraId="764D5D98" w14:textId="77777777" w:rsidR="00F509BB" w:rsidRPr="005421A9" w:rsidRDefault="00F509BB" w:rsidP="00F509BB">
      <w:pPr>
        <w:widowControl w:val="0"/>
        <w:tabs>
          <w:tab w:val="left" w:pos="961"/>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13. Uzskatāms, ka vienība </w:t>
      </w:r>
      <w:r>
        <w:rPr>
          <w:rFonts w:ascii="Times New Roman" w:hAnsi="Times New Roman"/>
          <w:strike/>
          <w:sz w:val="24"/>
        </w:rPr>
        <w:t>veic</w:t>
      </w:r>
      <w:r>
        <w:rPr>
          <w:rFonts w:ascii="Times New Roman" w:hAnsi="Times New Roman"/>
          <w:sz w:val="24"/>
        </w:rPr>
        <w:t xml:space="preserve"> </w:t>
      </w:r>
      <w:r>
        <w:rPr>
          <w:rFonts w:ascii="Times New Roman" w:hAnsi="Times New Roman"/>
          <w:i/>
          <w:iCs/>
          <w:sz w:val="24"/>
          <w:u w:val="single"/>
        </w:rPr>
        <w:t>pieņem noguldījumus parastā</w:t>
      </w:r>
      <w:r>
        <w:rPr>
          <w:rFonts w:ascii="Times New Roman" w:hAnsi="Times New Roman"/>
          <w:sz w:val="24"/>
        </w:rPr>
        <w:t xml:space="preserve"> “banku vai līdzīgas darījumdarbības gaitā”, ja savā parastajā darbā ar klientiem vienība pieņem noguldījumus vai citus līdzīgus finanšu līdzekļu ieguldījumus un regulāri iesaistās </w:t>
      </w:r>
      <w:r>
        <w:rPr>
          <w:rFonts w:ascii="Times New Roman" w:hAnsi="Times New Roman"/>
          <w:i/>
          <w:iCs/>
          <w:sz w:val="24"/>
          <w:u w:val="single"/>
        </w:rPr>
        <w:t>vai tai ir licence iesaistīties</w:t>
      </w:r>
      <w:r>
        <w:rPr>
          <w:rFonts w:ascii="Times New Roman" w:hAnsi="Times New Roman"/>
          <w:sz w:val="24"/>
        </w:rPr>
        <w:t xml:space="preserve"> vienā vai vairākās šādās darbībās:</w:t>
      </w:r>
    </w:p>
    <w:p w14:paraId="110C9944"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a) izsniedz patēriņa aizdevumus, hipotekāros aizdevumus, aizdevumus uzņēmumiem un citus aizdevumus vai veic citus kredīta piešķīrumus;</w:t>
      </w:r>
    </w:p>
    <w:p w14:paraId="2B6081B9"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b) pērk, pārdod, diskontē vai inkasē debitoru parādus, iemaksu saistības, banknotes, maksāšanas orderus, čekus, vekseļus, pārvedu vekseļus vai citus parādsaistību apliecinājumus;</w:t>
      </w:r>
    </w:p>
    <w:p w14:paraId="305D5CA4" w14:textId="77777777" w:rsidR="00F509BB" w:rsidRPr="005421A9" w:rsidRDefault="00F509BB" w:rsidP="00F509BB">
      <w:pPr>
        <w:widowControl w:val="0"/>
        <w:tabs>
          <w:tab w:val="left" w:pos="1236"/>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c) izsniedz akreditīvus un inkasē no tiem izrietošos maksāšanas orderus;</w:t>
      </w:r>
    </w:p>
    <w:p w14:paraId="08B7CF88" w14:textId="77777777" w:rsidR="00F509BB" w:rsidRPr="005421A9" w:rsidRDefault="00F509BB" w:rsidP="00F509BB">
      <w:pPr>
        <w:widowControl w:val="0"/>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d) sniedz trasta vai uzticības personas pakalpojumus;</w:t>
      </w:r>
    </w:p>
    <w:p w14:paraId="0EA1409E" w14:textId="77777777" w:rsidR="00F509BB" w:rsidRPr="005421A9" w:rsidRDefault="00F509BB" w:rsidP="00F509BB">
      <w:pPr>
        <w:widowControl w:val="0"/>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e) finansē ārvalstu valūtas maiņas darījumus vai</w:t>
      </w:r>
    </w:p>
    <w:p w14:paraId="5B38A751" w14:textId="77777777" w:rsidR="00F509BB" w:rsidRPr="005421A9" w:rsidRDefault="00F509BB" w:rsidP="00F509BB">
      <w:pPr>
        <w:widowControl w:val="0"/>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f) slēdz vai pērk līgumus par finanšu izpirkumnomu vai izpirkumnomā nodotus aktīvus vai tos realizē.</w:t>
      </w:r>
    </w:p>
    <w:p w14:paraId="2777B7E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Ja vienība noguldījumus no personām pieņem tikai kā nodrošinājumu vai garantiju īpašuma pirkšanas vai izpirkumnomas gadījumā vai saskaņā ar līdzīgu finansēšanas vienošanos starp šādu vienību un personu, kura tur noguldījumu šajā vienībā, tad šādu vienību nevar uzskatīt par tādu, kas </w:t>
      </w:r>
      <w:r>
        <w:rPr>
          <w:rFonts w:ascii="Times New Roman" w:hAnsi="Times New Roman"/>
          <w:strike/>
          <w:sz w:val="24"/>
        </w:rPr>
        <w:t>veic</w:t>
      </w:r>
      <w:r>
        <w:rPr>
          <w:rFonts w:ascii="Times New Roman" w:hAnsi="Times New Roman"/>
          <w:i/>
          <w:iCs/>
          <w:sz w:val="24"/>
          <w:u w:val="single"/>
        </w:rPr>
        <w:t>pieņem noguldījumus parastā</w:t>
      </w:r>
      <w:r>
        <w:rPr>
          <w:rFonts w:ascii="Times New Roman" w:hAnsi="Times New Roman"/>
          <w:sz w:val="24"/>
        </w:rPr>
        <w:t xml:space="preserve"> banku vai līdzīgas darījumdarbības gaitā.</w:t>
      </w:r>
    </w:p>
    <w:p w14:paraId="36D7CF59" w14:textId="77777777" w:rsidR="00F509BB" w:rsidRPr="005421A9" w:rsidRDefault="00F509BB" w:rsidP="00F509BB">
      <w:pPr>
        <w:widowControl w:val="0"/>
        <w:tabs>
          <w:tab w:val="left" w:pos="517"/>
        </w:tabs>
        <w:autoSpaceDE w:val="0"/>
        <w:autoSpaceDN w:val="0"/>
        <w:spacing w:before="120" w:after="120" w:line="240" w:lineRule="auto"/>
        <w:jc w:val="both"/>
        <w:rPr>
          <w:rFonts w:ascii="Times New Roman" w:eastAsia="Arial" w:hAnsi="Times New Roman" w:cs="Arial"/>
          <w:strike/>
          <w:noProof/>
          <w:kern w:val="0"/>
          <w:sz w:val="24"/>
          <w:szCs w:val="24"/>
          <w14:ligatures w14:val="none"/>
        </w:rPr>
      </w:pPr>
      <w:r>
        <w:rPr>
          <w:rFonts w:ascii="Times New Roman" w:hAnsi="Times New Roman"/>
          <w:strike/>
          <w:sz w:val="24"/>
        </w:rPr>
        <w:t>14. Krājbankas, komercbankas un krājaizdevu sabiedrības parasti ir jāuzskata par Noguldījumu iestādēm. Tomēr tas, vai Iestāde veic banku darbību vai līdzīgu darījumdarbību, tiek noteikts, pamatojoties uz šādas Iestādes faktiskajām darbībām.</w:t>
      </w:r>
    </w:p>
    <w:p w14:paraId="103A516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14. Vienība ir uzskatāma par noguldījumu iestādi arī tad, ja tā tur noteiktos elektroniskās naudas produktus vai centrālās bankas digitālās valūtas klientu labā. Vairumā gadījumu šāda vienība būs noteikto elektroniskās naudas produktu vai centrālās bankas digitālo valūtu emitents. Attiecībā uz noteiktajiem elektroniskās naudas produktiem, kas emitēti kriptoaktīva veidā, noguldījumu iestāde, kas tur šādu produktu, parasti būs uzraugošs kriptoaktīvu maiņas vai maka pakalpojumu sniedzējs.</w:t>
      </w:r>
    </w:p>
    <w:p w14:paraId="28521F4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7187DE55"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24" w:name="Investment_Entity"/>
      <w:bookmarkEnd w:id="324"/>
      <w:r>
        <w:rPr>
          <w:rFonts w:ascii="Times New Roman" w:hAnsi="Times New Roman"/>
          <w:i/>
          <w:color w:val="616161"/>
          <w:sz w:val="24"/>
        </w:rPr>
        <w:t>Ieguldījumu vienība</w:t>
      </w:r>
    </w:p>
    <w:p w14:paraId="04694B6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567E973E" w14:textId="77777777" w:rsidR="00F509BB" w:rsidRPr="005421A9" w:rsidRDefault="00F509BB" w:rsidP="00F509BB">
      <w:pPr>
        <w:widowControl w:val="0"/>
        <w:tabs>
          <w:tab w:val="left" w:pos="572"/>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16. A punkta 6. apakšpunkta a) daļā pirmā veida “ieguldījumu vienība” ir definēta kā vienība, kuras darījumdarbība galvenokārt ir veikt vienu vai vairākas šādas darbības vai operācijas klienta uzdevumā vai vārdā:</w:t>
      </w:r>
    </w:p>
    <w:p w14:paraId="517D03C8" w14:textId="77777777" w:rsidR="00F509BB" w:rsidRPr="005421A9" w:rsidRDefault="00F509BB" w:rsidP="00F509BB">
      <w:pPr>
        <w:widowControl w:val="0"/>
        <w:tabs>
          <w:tab w:val="left" w:pos="119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a) tirdzniecība ar naudas tirgus instrumentiem (čekiem, vekseļiem, noguldījumu sertifikātiem, atvasinātiem instrumentiem u. c.); ārvalstu valūtu; valūtas kursa, procentu likmju un indeksu instrumentiem; pārvedamiem vērtspapīriem vai regulētā tirgū tirgotiem preču nākotnes līgumiem;</w:t>
      </w:r>
    </w:p>
    <w:p w14:paraId="4406FCD4" w14:textId="77777777" w:rsidR="00F509BB" w:rsidRPr="005421A9" w:rsidRDefault="00F509BB" w:rsidP="00F509BB">
      <w:pPr>
        <w:widowControl w:val="0"/>
        <w:tabs>
          <w:tab w:val="left" w:pos="1182"/>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b) individuāla un kolektīva portfeļa pārvaldība vai</w:t>
      </w:r>
    </w:p>
    <w:p w14:paraId="5B1E1D71" w14:textId="77777777" w:rsidR="00F509BB" w:rsidRPr="005421A9" w:rsidRDefault="00F509BB" w:rsidP="00F509BB">
      <w:pPr>
        <w:widowControl w:val="0"/>
        <w:tabs>
          <w:tab w:val="left" w:pos="1180"/>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lastRenderedPageBreak/>
        <w:t xml:space="preserve">c) citāda finanšu aktīvu, naudas </w:t>
      </w:r>
      <w:r>
        <w:rPr>
          <w:rFonts w:ascii="Times New Roman" w:hAnsi="Times New Roman"/>
          <w:i/>
          <w:iCs/>
          <w:sz w:val="24"/>
          <w:u w:val="single"/>
        </w:rPr>
        <w:t>(tostarp centrālās bankas digitālo valūtu) vai attiecīgo kriptoaktīvu</w:t>
      </w:r>
      <w:r>
        <w:rPr>
          <w:rFonts w:ascii="Times New Roman" w:hAnsi="Times New Roman"/>
          <w:sz w:val="24"/>
        </w:rPr>
        <w:t xml:space="preserve"> ieguldīšana, administrēšana vai pārvaldība citu personu vārdā.</w:t>
      </w:r>
    </w:p>
    <w:p w14:paraId="2D5C5C6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Par šādiem pasākumiem vai operācijām nav uzskatāma nesaistošu ieguldījumu konsultāciju sniegšana klientam. Attiecībā uz A punkta 6. apakšpunkta a) daļu</w:t>
      </w:r>
      <w:r>
        <w:rPr>
          <w:rFonts w:ascii="Times New Roman" w:hAnsi="Times New Roman"/>
          <w:i/>
          <w:iCs/>
          <w:sz w:val="24"/>
          <w:u w:val="single"/>
        </w:rPr>
        <w:t xml:space="preserve"> termins “klients” ietver kolektīvo ieguldījumu uzņēmuma līdzdalības daļas turētāju, ja uzskatāms, ka kolektīvo ieguldījumu uzņēmums veic darbības vai operācijas kā darījumdarbību.</w:t>
      </w:r>
      <w:r>
        <w:rPr>
          <w:rFonts w:ascii="Times New Roman" w:hAnsi="Times New Roman"/>
          <w:i/>
          <w:sz w:val="24"/>
          <w:u w:val="single"/>
        </w:rPr>
        <w:t xml:space="preserve"> Attiecībā uz A punkta 6. apakšpunkta a) daļas iii) punktu termins “ieguldīšana, administrēšana vai tirdzniecība” neietver maiņas darījumu izpildes pakalpojumu klientiem vai to vārdā.</w:t>
      </w:r>
    </w:p>
    <w:p w14:paraId="4B50D765" w14:textId="77777777" w:rsidR="00F509BB" w:rsidRPr="005421A9" w:rsidRDefault="00F509BB" w:rsidP="00F509BB">
      <w:pPr>
        <w:widowControl w:val="0"/>
        <w:tabs>
          <w:tab w:val="left" w:pos="581"/>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17. A punkta 6. apakšpunkta b) daļā otrā veida “ieguldījumu vienība” ir definēta kā vienība, kuras bruto ienākumi galvenokārt ir saistīti ar finanšu aktīvu </w:t>
      </w:r>
      <w:r>
        <w:rPr>
          <w:rFonts w:ascii="Times New Roman" w:hAnsi="Times New Roman"/>
          <w:i/>
          <w:iCs/>
          <w:sz w:val="24"/>
          <w:u w:val="single"/>
        </w:rPr>
        <w:t>vai attiecīgo kriptoaktīvu</w:t>
      </w:r>
      <w:r>
        <w:rPr>
          <w:rFonts w:ascii="Times New Roman" w:hAnsi="Times New Roman"/>
          <w:sz w:val="24"/>
        </w:rPr>
        <w:t xml:space="preserve"> ieguldīšanu, atkārtotu ieguldīšanu vai tirdzniecību, ja vienību pārvalda cita vienība, kas ir noguldījumu iestāde, turētājiestāde, specializētā apdrošināšanas sabiedrība vai ieguldījumu vienība, kas aprakstīta A punkta 6. apakšpunkta a) daļā. Vienību “pārvalda” cita vienība, ja pārvaldošā vienība tieši vai ar cita pakalpojuma sniedzēja starpniecību veic kādas A punkta 6. apakšpunkta a) daļā noteiktās darbības vai operācijas pārvaldītās vienības vārdā. Tomēr vienība nepārvalda citu vienību, ja tā nevar (pilnībā vai daļēji) pārvaldīt vienības aktīvus pēc saviem ieskatiem. Ja vienību pārvalda finanšu iestādes apvienojumā ar nefinanšu vienībām vai fiziskām personām, var uzskatīt, ka šo vienību pārvalda cita vienība, kas ir noguldījumu iestāde, turētājiestāde, specializētā apdrošināšanas sabiedrība vai ieguldījumu vienība, kura minēta A punkta 6. apakšpunkta a) daļā, ja kāda no pārvaldošajām vienībām ir šāda cita vienība. </w:t>
      </w:r>
      <w:r>
        <w:rPr>
          <w:rFonts w:ascii="Times New Roman" w:hAnsi="Times New Roman"/>
          <w:i/>
          <w:sz w:val="24"/>
          <w:u w:val="single"/>
        </w:rPr>
        <w:t>Piemēram, privāts trasta uzņēmums, kas rīkojas kā reģistrēts trasta birojs vai reģistrēts trasta aģents vai veic administratīvus pakalpojumus, kas nav saistīti ar trasta finanšu aktīviem, attiecīgiem kriptoaktīviem vai naudu, neveic A punkta 6. apakšpunkta a) daļā aprakstītās darbības un operācijas trasta vārdā, tādējādi trastu “nepārvalda” privātais trasta uzņēmums A punkta 6. apakšpunkta b) daļas izpratnē. Ja vienība visus savus aktīvus vai to daļu iegulda kopieguldījumu fondā, biržā tirgotā fondā vai līdzīgā instrumentā, uzskatāms arī tas, ka to “nepārvalda” kopieguldījumu fonds, biržā tirgots fonds vai līdzīgs instruments. Abos šajos piemēros ir jāprecizē, vai vienību pārvalda cita vienība, lai noskaidrotu, vai pirmā minētā vienība ietilpst A punkta 6. apakšpunkta b) daļā sniegtajā ieguldījumu vienības definīcijā.</w:t>
      </w:r>
    </w:p>
    <w:p w14:paraId="77641594" w14:textId="77777777" w:rsidR="00F509BB" w:rsidRPr="005421A9" w:rsidRDefault="00F509BB" w:rsidP="00F509BB">
      <w:pPr>
        <w:widowControl w:val="0"/>
        <w:tabs>
          <w:tab w:val="left" w:pos="589"/>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18. Uzskata, ka vienības darījumdarbība galvenokārt ir viena vai vairākas A punkta 6. apakšpunkta a) daļā aprakstītās darbības vai ka vienības bruto ienākumi galvenokārt ir saistīti ar finanšu aktīvu </w:t>
      </w:r>
      <w:r>
        <w:rPr>
          <w:rFonts w:ascii="Times New Roman" w:hAnsi="Times New Roman"/>
          <w:i/>
          <w:iCs/>
          <w:sz w:val="24"/>
          <w:u w:val="single"/>
        </w:rPr>
        <w:t>vai attiecīgo kriptoaktīvu</w:t>
      </w:r>
      <w:r>
        <w:rPr>
          <w:rFonts w:ascii="Times New Roman" w:hAnsi="Times New Roman"/>
          <w:sz w:val="24"/>
        </w:rPr>
        <w:t xml:space="preserve"> ieguldīšanu, atkārtotu ieguldīšanu vai tirdzniecību A punkta 6. apakšpunkta b) daļas vajadzībām, ja vienības bruto ienākumi, kas saistīti ar attiecīgajām darbībām, ir vismaz 50 % no vienības bruto ienākumiem vai nu:</w:t>
      </w:r>
    </w:p>
    <w:p w14:paraId="559CD171" w14:textId="77777777" w:rsidR="00F509BB" w:rsidRPr="005421A9" w:rsidRDefault="00F509BB" w:rsidP="00F509BB">
      <w:pPr>
        <w:widowControl w:val="0"/>
        <w:numPr>
          <w:ilvl w:val="0"/>
          <w:numId w:val="43"/>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pēdējo trīs gadu laikposmā, kurš beidzas 31. decembrī, kam seko gads, kurā veikta noteikšana, vai</w:t>
      </w:r>
    </w:p>
    <w:p w14:paraId="7C1BAD7F" w14:textId="77777777" w:rsidR="00F509BB" w:rsidRPr="005421A9" w:rsidRDefault="00F509BB" w:rsidP="00F509BB">
      <w:pPr>
        <w:widowControl w:val="0"/>
        <w:numPr>
          <w:ilvl w:val="0"/>
          <w:numId w:val="43"/>
        </w:numPr>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vienības pastāvēšanas laikposmā.</w:t>
      </w:r>
    </w:p>
    <w:p w14:paraId="4CDBCBF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Kā precizēts iepriekš 10.ter apakšpunktā, attiecībā uz bruto ienākumu kritēriju jāņem vērā visa atlīdzība par vienības attiecīgajām darbībām neatkarīgi no tā, vai šī atlīdzība ir samaksāta tieši vienībai, kurai piemēro šo kritēriju, vai kādai citai vienībai.</w:t>
      </w:r>
    </w:p>
    <w:p w14:paraId="272D5D49" w14:textId="77777777" w:rsidR="00F509BB" w:rsidRPr="005421A9" w:rsidRDefault="00F509BB" w:rsidP="00F509BB">
      <w:pPr>
        <w:widowControl w:val="0"/>
        <w:tabs>
          <w:tab w:val="left" w:pos="58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19. A punkta 6. apakšpunktā definētais termins “ieguldījumu vienība” neietver vienību, kas ir aktīva nefinanšu vienība, jo minētā vienība atbilst visiem D punkta 9. apakšpunkta d)–g) daļas kritērijiem (t. i., turētājas nefinanšu vienības un finanšu līdzekļu centri, kas ietilpst nefinanšu grupā, jaunuzņēmumi, kas ir nefinanšu vienības, un nefinanšu vienības, kas tiek likvidētas vai radītas bankrota procedūrā).</w:t>
      </w:r>
    </w:p>
    <w:p w14:paraId="12609216" w14:textId="77777777" w:rsidR="00F509BB" w:rsidRPr="005421A9" w:rsidRDefault="00F509BB" w:rsidP="00F509BB">
      <w:pPr>
        <w:widowControl w:val="0"/>
        <w:tabs>
          <w:tab w:val="left" w:pos="59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20. Parasti vienība tiek uzskatīta par ieguldījumu vienību, ja tā darbojas vai pasniedz sevi kā kolektīvu ieguldījumu uzņēmumu, kopieguldījumu fondu, biržā tirgotu fondu, privāta kapitāla fondu, riska ieguldījumu fondu, riska kapitāla fondu, fondu uzņēmumu iegādei, izmantojot </w:t>
      </w:r>
      <w:r>
        <w:rPr>
          <w:rFonts w:ascii="Times New Roman" w:hAnsi="Times New Roman"/>
          <w:sz w:val="24"/>
        </w:rPr>
        <w:lastRenderedPageBreak/>
        <w:t xml:space="preserve">aizdevumu, vai līdzīgu ieguldījumu instrumentu, kas izveidots, pamatojoties uz stratēģiju veikt ieguldījumus vai atkārtotus ieguldījumus finanšu aktīvos </w:t>
      </w:r>
      <w:r>
        <w:rPr>
          <w:rFonts w:ascii="Times New Roman" w:hAnsi="Times New Roman"/>
          <w:i/>
          <w:iCs/>
          <w:sz w:val="24"/>
          <w:u w:val="single"/>
        </w:rPr>
        <w:t>vai attiecīgajos kriptoaktīvos</w:t>
      </w:r>
      <w:r>
        <w:rPr>
          <w:rFonts w:ascii="Times New Roman" w:hAnsi="Times New Roman"/>
          <w:sz w:val="24"/>
        </w:rPr>
        <w:t xml:space="preserve"> vai tirgoties ar tiem. Par ieguldījumu vienību nav uzskatāma tāda vienība, kas galvenokārt nodarbojas ar tiešu un parādfinansējumu nesaistītu līdzdalības daļu ieguldīšanu nekustamā īpašumā, to administrēšanu un pārvaldīšanu citu personu vārdā, piemēram, nekustamā īpašuma ieguldījumu pārvaldījuma fondu.</w:t>
      </w:r>
    </w:p>
    <w:p w14:paraId="1DD1244B" w14:textId="77777777" w:rsidR="00F509BB"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bookmarkStart w:id="325" w:name="Financial_Asset"/>
      <w:bookmarkEnd w:id="325"/>
    </w:p>
    <w:p w14:paraId="7B6A23F7"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r>
        <w:rPr>
          <w:rFonts w:ascii="Times New Roman" w:hAnsi="Times New Roman"/>
          <w:i/>
          <w:color w:val="616161"/>
          <w:sz w:val="24"/>
        </w:rPr>
        <w:t>Finanšu aktīvs</w:t>
      </w:r>
    </w:p>
    <w:p w14:paraId="31F2A8F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548539C" w14:textId="77777777" w:rsidR="00F509BB" w:rsidRPr="005421A9" w:rsidRDefault="00F509BB" w:rsidP="00F509BB">
      <w:pPr>
        <w:widowControl w:val="0"/>
        <w:tabs>
          <w:tab w:val="left" w:pos="570"/>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24. Šajā saistībā A punkta 7. apakšpunktā ir noteikts, ka “finanšu aktīvs” ir vērtspapīri (piemēram, kapitāla daļas kapitālsabiedrībā, uzņēmējsabiedrības daļas vai faktisko īpašumtiesību daļas plaši turētā vai publiskā akciju sabiedrībā vai trastā, vekseļi, obligācijas, parādzīmes vai cita veida parādsaistību apliecinājumi), daļas uzņēmējsabiedrībā, preces, mijmaiņas līgumi (piemēram, procentu likmju mijmaiņas līgumi, valūtas mijmaiņas līgumi, bāzes mijmaiņas līgumi, procentu likmes maksimālo robežvērtības līgumi, procentu likmju minimālo robežvērtību līgumi, ar precēm saistīti mijmaiņas līgumi, akciju mijmaiņas līgumi, akciju indeksu mijmaiņas līgumi un līdzīgas vienošanās), apdrošināšanas līgumi vai anuitātes līgumi, vai jebkāda līdzdalība (tostarp regulētā tirgū tirgoti un regulētā tirgū netirgoti nākotnes līgumi vai iespējas līgumi) vērtspapīros, </w:t>
      </w:r>
      <w:r>
        <w:rPr>
          <w:rFonts w:ascii="Times New Roman" w:hAnsi="Times New Roman"/>
          <w:i/>
          <w:iCs/>
          <w:sz w:val="24"/>
          <w:u w:val="single"/>
        </w:rPr>
        <w:t>attiecīgajos kriptoaktīvos</w:t>
      </w:r>
      <w:r>
        <w:rPr>
          <w:rFonts w:ascii="Times New Roman" w:hAnsi="Times New Roman"/>
          <w:sz w:val="24"/>
        </w:rPr>
        <w:t>, uzņēmējsabiedrības daļās, preču līgumos, mijmaiņas līgumos, apdrošināšanas līgumos vai anuitātes līgumos. Tomēr termins “finanšu aktīvs” neietver ar parādfinansējumu nesaistītu, tiešu līdzdalību nekustamajā īpašumā vai fiziskas preces, piemēram, kviešus.</w:t>
      </w:r>
    </w:p>
    <w:p w14:paraId="02BC5FA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0FADD38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25.bis Katrā gadījumā to, vai aktīvs ir finanšu aktīvs, nosaka neatkarīgi no veida, kādā tas emitēts. Tāpēc, ja aktīvs emitēts kriptoaktīva veidā, tas vienlaikus var būt finanšu aktīvs.</w:t>
      </w:r>
    </w:p>
    <w:p w14:paraId="1A977C7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08EBD18"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26" w:name="Specified_Electronic_Money_Product"/>
      <w:bookmarkEnd w:id="326"/>
      <w:r>
        <w:rPr>
          <w:rFonts w:ascii="Times New Roman" w:hAnsi="Times New Roman"/>
          <w:i/>
          <w:color w:val="616161"/>
          <w:sz w:val="24"/>
        </w:rPr>
        <w:t>Noteikts elektroniskās naudas produkts</w:t>
      </w:r>
    </w:p>
    <w:p w14:paraId="3EF90FB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29.bis A punkta 9. apakšpunktā termins “noteikts elektroniskās naudas produkts” ir definēts kā jebkurš produkts, kas ir:</w:t>
      </w:r>
    </w:p>
    <w:p w14:paraId="73DCE30D" w14:textId="77777777" w:rsidR="00F509BB" w:rsidRPr="005421A9" w:rsidRDefault="00F509BB" w:rsidP="00F509BB">
      <w:pPr>
        <w:widowControl w:val="0"/>
        <w:tabs>
          <w:tab w:val="left" w:pos="1140"/>
        </w:tabs>
        <w:autoSpaceDE w:val="0"/>
        <w:autoSpaceDN w:val="0"/>
        <w:spacing w:before="120" w:after="120" w:line="240" w:lineRule="auto"/>
        <w:ind w:left="567" w:hanging="283"/>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a) vienotas bezseguma valūtas digitāls atveidojums;</w:t>
      </w:r>
    </w:p>
    <w:p w14:paraId="7BFF686C" w14:textId="77777777" w:rsidR="00F509BB" w:rsidRPr="005421A9" w:rsidRDefault="00F509BB" w:rsidP="00F509BB">
      <w:pPr>
        <w:widowControl w:val="0"/>
        <w:tabs>
          <w:tab w:val="left" w:pos="1140"/>
        </w:tabs>
        <w:autoSpaceDE w:val="0"/>
        <w:autoSpaceDN w:val="0"/>
        <w:spacing w:before="120" w:after="120" w:line="240" w:lineRule="auto"/>
        <w:ind w:left="567" w:hanging="283"/>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b) izdots, saņemot līdzekļus maksājumu darījumu veikšanai;</w:t>
      </w:r>
    </w:p>
    <w:p w14:paraId="1055FD6F" w14:textId="77777777" w:rsidR="00F509BB" w:rsidRPr="005421A9" w:rsidRDefault="00F509BB" w:rsidP="00F509BB">
      <w:pPr>
        <w:widowControl w:val="0"/>
        <w:tabs>
          <w:tab w:val="left" w:pos="1129"/>
        </w:tabs>
        <w:autoSpaceDE w:val="0"/>
        <w:autoSpaceDN w:val="0"/>
        <w:spacing w:before="120" w:after="120" w:line="240" w:lineRule="auto"/>
        <w:ind w:left="567" w:hanging="283"/>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c) pārstāvēts ar tajā pašā bezseguma valūtā denominētu prasījumu pret emitentu;</w:t>
      </w:r>
    </w:p>
    <w:p w14:paraId="4DE84B16" w14:textId="77777777" w:rsidR="00F509BB" w:rsidRPr="005421A9" w:rsidRDefault="00F509BB" w:rsidP="00F509BB">
      <w:pPr>
        <w:widowControl w:val="0"/>
        <w:tabs>
          <w:tab w:val="left" w:pos="1140"/>
        </w:tabs>
        <w:autoSpaceDE w:val="0"/>
        <w:autoSpaceDN w:val="0"/>
        <w:spacing w:before="120" w:after="120" w:line="240" w:lineRule="auto"/>
        <w:ind w:left="567" w:hanging="283"/>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d) saņemts kā maksājums, un to ir saņēmusi fiziska vai juridiska persona, kas nav emitents, un</w:t>
      </w:r>
    </w:p>
    <w:p w14:paraId="63957AEF" w14:textId="77777777" w:rsidR="00F509BB" w:rsidRPr="005421A9" w:rsidRDefault="00F509BB" w:rsidP="00F509BB">
      <w:pPr>
        <w:widowControl w:val="0"/>
        <w:tabs>
          <w:tab w:val="left" w:pos="1140"/>
        </w:tabs>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e) dzēšams pēc produkta turētāja pieprasījuma jebkurā laikā saskaņā ar emitentam izvirzītajām regulatīvajām prasībām un par tādu pašu bezseguma valūtas nominālvērtību.</w:t>
      </w:r>
    </w:p>
    <w:p w14:paraId="789A0AE6"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Termins “noteikts elektroniskās naudas produkts” neietver produktu, kas radīts vienīgi nolūkā atvieglot naudas līdzekļu pārvešanu no klienta citai personai saskaņā ar klienta norādījumiem. Produkts nav radīts vienīgi nolūkā atvieglot naudas līdzekļu pārvešanu, ja vienība, kas veic pārvedumu, parastajā darbībā ar šādu produktu saistītos līdzekļus tur ilgāk par 60 dienām pēc tam, kad saņemti norādījumi pārvešanas atvieglošanai vai arī, ja šādi norādījumi nav saņemti, ar šādu produktu saistītie līdzekļi tiek turēti ilgāk par 60 dienām pēc līdzekļu saņemšanas.</w:t>
      </w:r>
    </w:p>
    <w:p w14:paraId="48A0FED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 xml:space="preserve">29.ter A punkta 9. apakšpunkta a) daļā ir prasīts, ka produktam jābūt vienotas bezseguma valūtas digitālam atveidojumam, lai tas būtu noteikts elektroniskās naudas produkts. </w:t>
      </w:r>
      <w:r>
        <w:rPr>
          <w:rFonts w:ascii="Times New Roman" w:hAnsi="Times New Roman"/>
          <w:i/>
          <w:sz w:val="24"/>
          <w:u w:val="single"/>
        </w:rPr>
        <w:lastRenderedPageBreak/>
        <w:t>Uzskatāms, ka produkts digitāli atveido un attēlo tās bezseguma valūtas vērtību, kurā tas ir denominēts. Attiecīgi, ja produkts attēlo vairāku valūtu vai aktīvu vērtību, tas nav noteikts elektroniskās naudas produkts.</w:t>
      </w:r>
    </w:p>
    <w:p w14:paraId="635E0793" w14:textId="77777777" w:rsidR="00F509BB"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29.quater A punkta 9. apakšpunkta b) daļā paredzēts, ka produktu izdod, saņemot līdzekļus. Šī definīcijas daļa nozīmē, ka noteikts elektroniskās naudas produkts ir priekšapmaksas produkts. Darbība “izdošana” ir interpretējama plaši un iekļauj darbību, ar kuru tiek darīta pieejama apmaksāta saglabātā vērtība un maksāšanas līdzekļi apmaiņā pret līdzekļiem. Šajā saistībā “izdot” var gan elektroniski, gan magnētiski uzglabātus produktus, tostarp tiešsaistes maksājumu kontus un fiziskas kartes, kas izmanto magnētiskās joslas tehnoloģiju. Turklāt šajā apakšpunktā ir paredzēts, ka produktu izdod maksājumu darījumu veikšanai.</w:t>
      </w:r>
    </w:p>
    <w:p w14:paraId="29558173"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29.quinquies A punkta 9. apakšpunkta c) daļā ir prasīts –, lai produkts būtu noteikts elektroniskās naudas produkts, tam ir jābūt pārstāvētam ar tajā pašā bezseguma valūtā denominētu prasījumu pret emitentu. Šajā saistībā “prasījums” ir jebkāds naudas prasījums pret emitentu, kas ataino tās bezseguma valūtas vērtību, ko pārstāv klientam izdots elektroniskās naudas produkts.</w:t>
      </w:r>
    </w:p>
    <w:p w14:paraId="5053D39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29.sexies Saskaņā ar A punkta 9. apakšpunkta d) daļu tamdēļ, lai produkts būtu noteikts elektroniskās naudas produkts, jānodrošina, ka produktu ir saņēmusi fiziska vai juridiska persona, kas nav emitents, savukārt šīm trešajām personām ir jāatzīst elektroniskās naudas produkts kā maksāšanas līdzeklis. Tādējādi par noteiktiem elektroniskās naudas produktiem nav uzskatāma monetārā vērtība, kas glabājas konkrētos priekšapmaksas instrumentos, kuri paredzēti konkrētu vajadzību apmierināšanai un var tikt izmantoti ierobežotā veidā, jo tie ļauj elektroniskās naudas turētājam iegādāties preces vai pakalpojumus tikai elektroniskās naudas emitenta telpās vai ierobežotā pakalpojumu sniedzēju tīklā saskaņā ar tiešu komerclīgumu ar profesionālu emitentu, vai arī tos var izmantot tikai tam, lai iegādātos ierobežota klāsta preces vai pakalpojumus.</w:t>
      </w:r>
    </w:p>
    <w:p w14:paraId="3AE95E9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29.septies A punkta 9. apakšpunkta e) daļā paredzēts, ka produkta emitents ir jāuzrauga, lai nodrošinātu, ka produkts ir dzēšams pēc produkta turētāja pieprasījuma jebkurā laikā un par tādu pašu bezseguma valūtas nominālvērtību, lai tas būtu noteikts elektroniskās naudas produkts. Šajā saistībā formulējums “par tādu pašu” bezseguma valūtu attiecas uz bezseguma valūtu, kuras digitālais atveidojums ir elektroniskās naudas produkts. Kad veicama dzēšana, tiek atzīts, ka emitents var atskaitīt no dzēšanas summas jebkādas maksas vai darījuma izmaksas.</w:t>
      </w:r>
    </w:p>
    <w:p w14:paraId="25DF723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29.octies Šajā definīcijā neietilpst tādi produkti, kuri radīti vienīgi tāpēc, lai veicinātu līdzekļu pārvešanu saskaņā ar klienta norādījumiem, un kurus nevar izmantot vērtības saglabāšanai. Piemēram, šādus produktus var izmantot tamdēļ, lai darba devējs varētu pārskaitīt mēnešalgas saviem darbiniekiem vai lai migrējošs darba ņēmējs varētu pārskaitīt līdzekļus radiniekiem, kas dzīvo citā valstī. Produkts nav radīts vienīgi nolūkā atvieglot naudas līdzekļu pārvešanu, ja vienība, kas veic pārvedumu, parastajā darbībā ar šādu produktu saistītos līdzekļus tur ilgāk par 60 dienām pēc tam, kad saņemti norādījumi pārvešanas atvieglošanai vai arī, ja šādi norādījumi nav saņemti, ar šādu produktu saistītie līdzekļi tiek turēti ilgāk par 60 dienām pēc līdzekļu saņemšanas.</w:t>
      </w:r>
    </w:p>
    <w:p w14:paraId="082CB4B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14:ligatures w14:val="none"/>
        </w:rPr>
      </w:pPr>
      <w:r>
        <w:rPr>
          <w:rFonts w:ascii="Times New Roman" w:hAnsi="Times New Roman"/>
          <w:i/>
          <w:sz w:val="24"/>
        </w:rPr>
        <w:t>Centrālās bankas digitālā valūta, bezseguma valūta, kriptoaktīvs, attiecīgais kriptoaktīvs un maiņas darījums</w:t>
      </w:r>
    </w:p>
    <w:p w14:paraId="361EA8E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Termini “centrālās bankas digitālā valūta”, “bezseguma valūta”, “kriptoaktīvs”, “attiecīgais kriptoaktīvs” un “maiņas darījums” ir jāinterpretē saskanīgi ar komentāriem par kriptoaktīvu ziņošanas sistēmu.</w:t>
      </w:r>
    </w:p>
    <w:p w14:paraId="51436603"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21AD59BB" w14:textId="77777777" w:rsidR="00F509BB" w:rsidRPr="0029090F" w:rsidRDefault="00F509BB" w:rsidP="00253E43">
      <w:pPr>
        <w:keepNext/>
        <w:keepLines/>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27" w:name="Paragraph_B_–_Non-Reporting_Financial_In"/>
      <w:bookmarkEnd w:id="327"/>
      <w:r>
        <w:rPr>
          <w:rFonts w:ascii="Times New Roman" w:hAnsi="Times New Roman"/>
          <w:b/>
          <w:i/>
          <w:sz w:val="26"/>
        </w:rPr>
        <w:lastRenderedPageBreak/>
        <w:t>B punkts. Finanšu iestāde, kas nesniedz ziņojumus</w:t>
      </w:r>
    </w:p>
    <w:p w14:paraId="12583035" w14:textId="77777777" w:rsidR="00F509BB" w:rsidRPr="005421A9" w:rsidRDefault="00F509BB" w:rsidP="00253E43">
      <w:pPr>
        <w:keepNext/>
        <w:keepLines/>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5C3E097D" w14:textId="77777777" w:rsidR="00F509BB" w:rsidRPr="005421A9" w:rsidRDefault="00F509BB" w:rsidP="00253E43">
      <w:pPr>
        <w:keepNext/>
        <w:keepLines/>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28" w:name="Subparagraph_B(1)_–_In_general"/>
      <w:bookmarkEnd w:id="328"/>
      <w:r>
        <w:rPr>
          <w:rFonts w:ascii="Times New Roman" w:hAnsi="Times New Roman"/>
          <w:i/>
          <w:color w:val="616161"/>
          <w:sz w:val="24"/>
        </w:rPr>
        <w:t>B punkta 1. apakšpunkts. Vispārīga informācija</w:t>
      </w:r>
    </w:p>
    <w:p w14:paraId="52FEEF01" w14:textId="77777777" w:rsidR="00F509BB" w:rsidRPr="005421A9" w:rsidRDefault="00F509BB" w:rsidP="00F509BB">
      <w:pPr>
        <w:widowControl w:val="0"/>
        <w:tabs>
          <w:tab w:val="left" w:pos="630"/>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30. B punkta 1. apakšpunktā noteiktas dažādu kategoriju finanšu iestādes, kas nesniedz ziņojumus (t. i., finanšu iestādes, kuras ir atbrīvotas no pienākuma sniegt ziņojumus). “Finanšu iestāde, kas nesniedz ziņojumus” ir jebkura finanšu iestāde, kas ir:</w:t>
      </w:r>
    </w:p>
    <w:p w14:paraId="1923D71A" w14:textId="77777777" w:rsidR="00F509BB" w:rsidRPr="005421A9" w:rsidRDefault="00F509BB" w:rsidP="00F509BB">
      <w:pPr>
        <w:widowControl w:val="0"/>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a) valdības iestāde, starptautiska organizācija vai centrālā banka, izņemot:</w:t>
      </w:r>
    </w:p>
    <w:p w14:paraId="0EFFBCD7" w14:textId="77777777" w:rsidR="00F509BB" w:rsidRPr="005421A9" w:rsidRDefault="00F509BB" w:rsidP="00F509BB">
      <w:pPr>
        <w:widowControl w:val="0"/>
        <w:tabs>
          <w:tab w:val="left" w:pos="1803"/>
        </w:tabs>
        <w:autoSpaceDE w:val="0"/>
        <w:autoSpaceDN w:val="0"/>
        <w:spacing w:before="120" w:after="120" w:line="240" w:lineRule="auto"/>
        <w:ind w:left="851" w:hanging="283"/>
        <w:jc w:val="both"/>
        <w:rPr>
          <w:rFonts w:ascii="Times New Roman" w:eastAsia="Arial" w:hAnsi="Times New Roman" w:cs="Arial"/>
          <w:i/>
          <w:noProof/>
          <w:kern w:val="0"/>
          <w:sz w:val="24"/>
          <w:szCs w:val="24"/>
          <w14:ligatures w14:val="none"/>
        </w:rPr>
      </w:pPr>
      <w:r>
        <w:rPr>
          <w:rFonts w:ascii="Times New Roman" w:hAnsi="Times New Roman"/>
          <w:sz w:val="24"/>
        </w:rPr>
        <w:t xml:space="preserve">i) attiecībā uz maksājumu, kas rodas tādu saistību rezultātā, kuras izriet no tādas komerciālas finanšu darbības, kas atbilst specializētās apdrošināšanas sabiedrības, turētājiestādes vai noguldījumu iestādes veiktām darbībām, </w:t>
      </w:r>
      <w:r>
        <w:rPr>
          <w:rFonts w:ascii="Times New Roman" w:hAnsi="Times New Roman"/>
          <w:i/>
          <w:sz w:val="24"/>
          <w:u w:val="single"/>
        </w:rPr>
        <w:t>vai</w:t>
      </w:r>
    </w:p>
    <w:p w14:paraId="03FC4705" w14:textId="77777777" w:rsidR="00F509BB" w:rsidRPr="005421A9" w:rsidRDefault="00F509BB" w:rsidP="00F509BB">
      <w:pPr>
        <w:widowControl w:val="0"/>
        <w:tabs>
          <w:tab w:val="left" w:pos="1801"/>
          <w:tab w:val="left" w:pos="1803"/>
        </w:tabs>
        <w:autoSpaceDE w:val="0"/>
        <w:autoSpaceDN w:val="0"/>
        <w:spacing w:before="120" w:after="120" w:line="240" w:lineRule="auto"/>
        <w:ind w:left="851" w:hanging="283"/>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ii) </w:t>
      </w:r>
      <w:r>
        <w:rPr>
          <w:rFonts w:ascii="Times New Roman" w:hAnsi="Times New Roman"/>
          <w:i/>
          <w:iCs/>
          <w:sz w:val="24"/>
          <w:u w:val="single"/>
        </w:rPr>
        <w:t>attiecībā uz centrālās bankas digitālo valūtu uzturēšanu tādiem konta turētājiem, kuri nav finanšu iestādes, valdības vienības, starptautiskas organizācijas vai centrālās bankas.</w:t>
      </w:r>
    </w:p>
    <w:p w14:paraId="003D462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9B96757"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29" w:name="Subparagraphs_B(2)_through_(4)_–_Governm"/>
      <w:bookmarkEnd w:id="329"/>
      <w:r>
        <w:rPr>
          <w:rFonts w:ascii="Times New Roman" w:hAnsi="Times New Roman"/>
          <w:i/>
          <w:color w:val="616161"/>
          <w:sz w:val="24"/>
        </w:rPr>
        <w:t>B punkta 2.–4. apakšpunkts. Valdības iestāde, starptautiska organizācija un centrālā banka</w:t>
      </w:r>
    </w:p>
    <w:p w14:paraId="68BE4348" w14:textId="77777777" w:rsidR="00F509BB" w:rsidRPr="005421A9" w:rsidRDefault="00F509BB" w:rsidP="00F509BB">
      <w:pPr>
        <w:widowControl w:val="0"/>
        <w:tabs>
          <w:tab w:val="left" w:pos="589"/>
        </w:tabs>
        <w:autoSpaceDE w:val="0"/>
        <w:autoSpaceDN w:val="0"/>
        <w:spacing w:before="120" w:after="120" w:line="240" w:lineRule="auto"/>
        <w:jc w:val="both"/>
        <w:rPr>
          <w:rFonts w:ascii="Times New Roman" w:eastAsia="Arial" w:hAnsi="Times New Roman" w:cs="Arial"/>
          <w:i/>
          <w:noProof/>
          <w:kern w:val="0"/>
          <w:sz w:val="24"/>
          <w:szCs w:val="24"/>
          <w14:ligatures w14:val="none"/>
        </w:rPr>
      </w:pPr>
      <w:r>
        <w:rPr>
          <w:rFonts w:ascii="Times New Roman" w:hAnsi="Times New Roman"/>
          <w:sz w:val="24"/>
        </w:rPr>
        <w:t xml:space="preserve">31. </w:t>
      </w:r>
      <w:r>
        <w:rPr>
          <w:rFonts w:ascii="Times New Roman" w:hAnsi="Times New Roman"/>
          <w:strike/>
          <w:sz w:val="24"/>
        </w:rPr>
        <w:t xml:space="preserve">Finanšu iestāde, kas ir valdības iestāde, starptautiska organizācija vai centrālā banka, ir finanšu iestāde, kas nesniedz ziņojumus, atbilstīgi B punkta 1. apakšpunkta a) daļai, izņemot attiecībā uz maksājumu, kas rodas tādu saistību rezultātā, kuras izriet no tādas komerciālas darbības, kas atbilst specializētās apdrošināšanas sabiedrības, turētājiestādes vai noguldījumu iestādes veiktām darbībām. </w:t>
      </w:r>
      <w:r>
        <w:rPr>
          <w:rFonts w:ascii="Times New Roman" w:hAnsi="Times New Roman"/>
          <w:i/>
          <w:sz w:val="24"/>
          <w:u w:val="single"/>
        </w:rPr>
        <w:t xml:space="preserve">Saskaņā ar B punkta 1. apakšpunkta a) daļu finanšu iestāde, kas ir valdības iestāde, starptautiska organizācija vai centrālā banka, ir finanšu iestāde, kas nesniedz ziņojumus. Tomēr saskaņā ar B punkta 1. apakšpunkta a) daļas i) punktu izņēmumu nepiemēro attiecībā uz maksājumu, kas rodas tādu saistību rezultātā, kuras izriet no tādas finanšu darbības, kas atbilst specializētās apdrošināšanas sabiedrības, turētājiestādes vai noguldījumu iestādes veiktām darbībām. Tieši tāpat saskaņā ar B punkta 1. apakšpunkta a) daļas ii) punktu izņēmumu nepiemēro attiecībā uz centrālās bankas digitālo valūtu uzturēšanu tādiem konta turētājiem, kuri nav finanšu iestādes, valdības vienības, starptautiskas organizācijas vai centrālās bankas. </w:t>
      </w:r>
      <w:r>
        <w:rPr>
          <w:rFonts w:ascii="Times New Roman" w:hAnsi="Times New Roman"/>
          <w:sz w:val="24"/>
        </w:rPr>
        <w:t xml:space="preserve">Tādējādi, piemēram, centrālā banka, kas veic finanšu darbību, piemēram, darbojas kā starpnieks personu vārdā, kas neietilpst centrālās bankas funkcijās, nav B punkta 1. apakšpunkta a) daļas i) punktā noteiktā finanšu iestāde, kas nesniedz ziņojumus, attiecībā uz maksājumiem, kas saņemti saistībā ar kontu, kurš tiek turēts saistībā ar šādu darbību. </w:t>
      </w:r>
      <w:r>
        <w:rPr>
          <w:rFonts w:ascii="Times New Roman" w:hAnsi="Times New Roman"/>
          <w:i/>
          <w:sz w:val="24"/>
          <w:u w:val="single"/>
        </w:rPr>
        <w:t>Tieši tāpat saskaņā ar B punkta 1. apakšpunkta a) daļas ii) punktu centrālās bankas digitālo valūtu uzturēšana tādiem konta turētājiem, kuri nav finanšu iestādes, valdības vienības, starptautiskas organizācijas vai centrālās bankas, ir darbība, attiecībā uz kuru centrālā banka nav finanšu iestāde, kas nesniedz ziņojumus.</w:t>
      </w:r>
    </w:p>
    <w:p w14:paraId="6627FEB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276493D8"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30" w:name="Subparagraphs_B(5)_through_(7)_-_Funds"/>
      <w:bookmarkEnd w:id="330"/>
      <w:r>
        <w:rPr>
          <w:rFonts w:ascii="Times New Roman" w:hAnsi="Times New Roman"/>
          <w:i/>
          <w:color w:val="616161"/>
          <w:sz w:val="24"/>
        </w:rPr>
        <w:t>B punkta 5.–7. apakšpunkts. Fondi</w:t>
      </w:r>
    </w:p>
    <w:p w14:paraId="5888909F" w14:textId="77777777" w:rsidR="00F509BB" w:rsidRPr="005421A9" w:rsidRDefault="00F509BB" w:rsidP="00F509BB">
      <w:pPr>
        <w:widowControl w:val="0"/>
        <w:tabs>
          <w:tab w:val="left" w:pos="586"/>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36. B punkta 5. apakšpunktā termins “plašas līdzdalības pensiju fonds” ir definēts kā fonds, kas nodibināts, lai sniegtu pensiju un invaliditātes pabalstus, kā arī pabalstus nāves gadījumā vai jebkādu to kombināciju, labuma guvējiem, kas ir vai ir bijuši viena vai vairāku darba devēju darba ņēmēji (vai ir šādu darba ņēmēju norādītās personas), kā atlīdzinājumu par sniegtajiem pakalpojumiem, bet ar nosacījumu, ka:</w:t>
      </w:r>
    </w:p>
    <w:p w14:paraId="0A2104B9" w14:textId="77777777" w:rsidR="00F509BB" w:rsidRPr="005421A9" w:rsidRDefault="00F509BB" w:rsidP="00F509BB">
      <w:pPr>
        <w:widowControl w:val="0"/>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a) fondam nav neviena labuma guvēja, kuram ir tiesības uz vairāk nekā 5 % no fonda aktīviem;</w:t>
      </w:r>
    </w:p>
    <w:p w14:paraId="2FBEE255" w14:textId="77777777" w:rsidR="00F509BB" w:rsidRPr="005421A9" w:rsidRDefault="00F509BB" w:rsidP="00F509BB">
      <w:pPr>
        <w:widowControl w:val="0"/>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b) fonds ir pakļauts regulējumam un sniedz ziņojumus nodokļu iestādēm;</w:t>
      </w:r>
    </w:p>
    <w:p w14:paraId="48FDA867" w14:textId="77777777" w:rsidR="00F509BB" w:rsidRPr="005421A9" w:rsidRDefault="00F509BB" w:rsidP="00F509BB">
      <w:pPr>
        <w:widowControl w:val="0"/>
        <w:tabs>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lastRenderedPageBreak/>
        <w:t>c) fonds atbilst vismaz vienai no četrām B punkta 5. apakšpunkta c) daļā minētajām prasībām (t. i., attiecībā uz fondu tiek piemēroti nodokļu atvieglojumi; lielākā daļa maksājumu tiek saņemti no finansējošajiem darba devējiem; līdzekļu izmaksāšana vai izņemšana ir atļauta vienīgi noteiktajos gadījumos un ir ierobežots darba ņēmēju veikto iemaksu apmērs).</w:t>
      </w:r>
    </w:p>
    <w:p w14:paraId="463242D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36.bis VIII panta B punkta 5. apakšpunkta a) daļā prasīts –, lai finanšu iestāde būtu kvalificējama kā finanšu iestāde, kas nesniedz ziņojumus, kategorijā “plašas līdzdalības pensiju fonds”, finanšu iestādei tostarp jānodrošina, ka tai nav neviena labuma guvēja, kuram ir tiesības uz vairāk nekā 5 % no fonda aktīviem. Gadījumā, ja fonds ir sadalīts apakšfondos, kas praksē darbojas kā nodalīti pensijas produkti, tostarp nošķirot aktīvus, riskus un ienākumus, kas attiecināmi uz šādiem apakšfondiem, pārbaude, vai nevienam labuma guvējam nav tiesību uz vairāk par 5 % fonda aktīvu, ir jāveic katra apakšfonda līmenī.</w:t>
      </w:r>
    </w:p>
    <w:p w14:paraId="113C3B7B"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31" w:name="Qualified_Non-Profit_Entity"/>
      <w:bookmarkEnd w:id="331"/>
      <w:r>
        <w:rPr>
          <w:rFonts w:ascii="Times New Roman" w:hAnsi="Times New Roman"/>
          <w:i/>
          <w:color w:val="616161"/>
          <w:sz w:val="24"/>
        </w:rPr>
        <w:t>Kvalificēta bezpeļņas vienība</w:t>
      </w:r>
    </w:p>
    <w:p w14:paraId="4EC2A8B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36.ter B punkta 2.–9. apakšpunktā ir norādītas kategorijas, kādās iedala finanšu iestādes, kas nesniedz ziņojumus: “valdības iestāde”, “starptautiska organizācija”, “centrālā banka”, “plašas līdzdalības pensiju fonds”, “ierobežotas līdzdalības pensiju fonds”, “valdības iestādes pensiju fonds”, “starptautiska organizācija vai centrālā banka”, “kvalificēts kredītkaršu izdevējs” un “atbrīvota kolektīvo ieguldījumu sabiedrība”.</w:t>
      </w:r>
    </w:p>
    <w:p w14:paraId="1CCE3AF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36.quater Papildus šīm kategorijām jurisdikcijas par finanšu iestādēm var uzskatīt arī kvalificētas bezpeļņas vienības, kas nesniedz ziņojumus. Jurisdikcijā, kas pieņem šo fakultatīvo noteikumu, jābūt ieviestiem atbilstošiem tiesiskiem un administratīviem mehānismiem, lai nodrošinātu, ka vienību, kas pretendē uz kvalificētas bezpeļņas vienības statusu, var uzskatīt par finanšu iestādi, kas nesniedz ziņojumus, tikai tad, kad ir saņemts apstiprinājums, ka tās izpilda VIII panta D punkta 9. apakšpunkta h) daļā noteiktos nosacījumus.</w:t>
      </w:r>
    </w:p>
    <w:p w14:paraId="2EB8ACB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36.quinquies Atbilstoši mehānismi ir, piemēram, sīki izstrādāts regulatīvais režīms, kas norāda, ar kādiem nosacījumiem vienību var uzskatīt par kvalificētu bezpeļņas vienību, ja valsts iestāde ir pārbaudījusi, ka vienība izpilda šos nosacījumus. Mehānisms varētu būt atbilstīgs arī tad, ja kvalificētai bezpeļņas vienībai jāsaņem labvēlīgs valdības vai tiesu iestādes nolēmums par to, vai vienība ir kvalificēta bezpeļņas vienība. Līdzīgi, biržas kotācijas mehānisms varētu būt prasība, ka kvalificētām bezpeļņas vienībām ir jāpieprasa tikt iekļautām valsts reģistrā (piemēram, lai vienība valsts līmenī tiktu kvalificēta kā vienība, kas atbrīvota no aplikšanas ar nodokli, vai lai apstiprinātu nodokļu atskaitāmību no ziedojumiem labdarībai). Katrā ziņā vispirms ir jāiegūst apstiprinājums saskaņā ar šādu mehānismu, ka vienība izpilda VIII panta D punkta 9. apakšpunkta h) daļas nosacījumus, lai vienību varētu uzskatīt par kvalificētu bezpeļņas vienību un tātad par finanšu iestādi, kas nesniedz ziņojumus.</w:t>
      </w:r>
    </w:p>
    <w:p w14:paraId="7DC7791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36.sexies Ja īstenošanas jurisdikcija vēlas iekļaut kvalificētas bezpeļņas vienības kategoriju un tai ir ieviesti vai plānots, ka būs ieviesti, prasītie atbilstošie tiesiskie un administratīvie verificēšanas mehānismi, šāda jurisdikcija var pārveidot pantu par finanšu iestādēm, kas nesniedz ziņojumus, B punkta 1. apakšpunkta f) daļā un B punkta 10. apakšpunktā pievienojot papildu terminu “kvalificēta bezpeļņas vienība”, kas ietver B punkta 10. apakšpunkta nosacījumiem atbilstošu vietējo vienību kategoriju sarakstu vai kas kopumā izskaidro nosacījumus, kā minēts turpmāk.</w:t>
      </w:r>
    </w:p>
    <w:p w14:paraId="687C7A08" w14:textId="77777777" w:rsidR="00F509BB" w:rsidRPr="005421A9" w:rsidRDefault="00F509BB" w:rsidP="00F509BB">
      <w:pPr>
        <w:widowControl w:val="0"/>
        <w:tabs>
          <w:tab w:val="left" w:pos="1150"/>
        </w:tabs>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B. Finanšu iestāde, kas nesniedz ziņojumus</w:t>
      </w:r>
    </w:p>
    <w:p w14:paraId="0A6284AA" w14:textId="77777777" w:rsidR="00F509BB" w:rsidRPr="005421A9" w:rsidRDefault="00F509BB" w:rsidP="00F509BB">
      <w:pPr>
        <w:widowControl w:val="0"/>
        <w:tabs>
          <w:tab w:val="left" w:pos="1129"/>
        </w:tabs>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 “Finanšu iestāde, kas nesniedz ziņojumus” ir jebkura finanšu iestāde, kas ir: (..)</w:t>
      </w:r>
    </w:p>
    <w:p w14:paraId="008815A0" w14:textId="77777777" w:rsidR="00F509BB" w:rsidRPr="005421A9" w:rsidRDefault="00F509BB" w:rsidP="00F509BB">
      <w:pPr>
        <w:widowControl w:val="0"/>
        <w:tabs>
          <w:tab w:val="left" w:pos="1641"/>
        </w:tabs>
        <w:autoSpaceDE w:val="0"/>
        <w:autoSpaceDN w:val="0"/>
        <w:spacing w:before="120" w:after="120" w:line="240" w:lineRule="auto"/>
        <w:ind w:left="567"/>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f) kvalificēta bezpeļņas vienība.</w:t>
      </w:r>
    </w:p>
    <w:p w14:paraId="7FB24083"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w:t>
      </w:r>
    </w:p>
    <w:p w14:paraId="7461D3EE" w14:textId="77777777" w:rsidR="00F509BB" w:rsidRPr="005421A9" w:rsidRDefault="00F509BB" w:rsidP="00253E43">
      <w:pPr>
        <w:keepNext/>
        <w:keepLines/>
        <w:widowControl w:val="0"/>
        <w:tabs>
          <w:tab w:val="left" w:pos="1237"/>
        </w:tabs>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lastRenderedPageBreak/>
        <w:t>10. “Kvalificēta bezpeļņas vienība” ir vienība, kas ir rezidents [jurisdikcijā] un ir ieguvusi [jurisdikcijas] nodokļu administrācijas [vai citas valdības vienības] apstiprinājumu, ka tā atbilst visiem šādiem nosacījumiem:</w:t>
      </w:r>
    </w:p>
    <w:p w14:paraId="680C3DE1" w14:textId="77777777" w:rsidR="00F509BB" w:rsidRPr="005421A9" w:rsidRDefault="00F509BB" w:rsidP="002145B1">
      <w:pPr>
        <w:keepNext/>
        <w:keepLines/>
        <w:widowControl w:val="0"/>
        <w:tabs>
          <w:tab w:val="left" w:pos="1628"/>
        </w:tabs>
        <w:autoSpaceDE w:val="0"/>
        <w:autoSpaceDN w:val="0"/>
        <w:spacing w:before="120" w:after="120" w:line="240" w:lineRule="auto"/>
        <w:ind w:left="709" w:hanging="142"/>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i) tā ir izveidota un darbojas [jurisdikcijā] vienīgi ar reliģiju, labdarību, zinātni, mākslu, kultūru, sportu vai izglītību saistītiem mērķiem vai tā ir izveidota un darbojas [jurisdikcijā] un ir profesionāla organizācija, biznesa savienība, tirdzniecības kamera, arodorganizācija, lauksaimniecības vai dārzkopības organizācija, pilsoniska savienība vai organizācija, kas darbojas vienīgi sociālās labklājības veicināšanai;</w:t>
      </w:r>
    </w:p>
    <w:p w14:paraId="38AEDAA6" w14:textId="77777777" w:rsidR="00F509BB" w:rsidRPr="005421A9" w:rsidRDefault="00F509BB" w:rsidP="002145B1">
      <w:pPr>
        <w:widowControl w:val="0"/>
        <w:tabs>
          <w:tab w:val="left" w:pos="1670"/>
        </w:tabs>
        <w:autoSpaceDE w:val="0"/>
        <w:autoSpaceDN w:val="0"/>
        <w:spacing w:before="120" w:after="120" w:line="240" w:lineRule="auto"/>
        <w:ind w:left="709" w:hanging="142"/>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ii) tā ir atbrīvota no ienākuma nodokļa [jurisdikcijā];</w:t>
      </w:r>
    </w:p>
    <w:p w14:paraId="2706DA16" w14:textId="77777777" w:rsidR="00F509BB" w:rsidRPr="005421A9" w:rsidRDefault="00F509BB" w:rsidP="002145B1">
      <w:pPr>
        <w:widowControl w:val="0"/>
        <w:tabs>
          <w:tab w:val="left" w:pos="1716"/>
        </w:tabs>
        <w:autoSpaceDE w:val="0"/>
        <w:autoSpaceDN w:val="0"/>
        <w:spacing w:before="120" w:after="120" w:line="240" w:lineRule="auto"/>
        <w:ind w:left="851" w:hanging="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iii) tai nav akcionāru vai dalībnieku, kam būtu īpašumtiesības vai labuma gūšanas intereses attiecībā uz tās ienākumiem vai aktīviem;</w:t>
      </w:r>
    </w:p>
    <w:p w14:paraId="4CE95848" w14:textId="77777777" w:rsidR="00F509BB" w:rsidRPr="005421A9" w:rsidRDefault="00F509BB" w:rsidP="002145B1">
      <w:pPr>
        <w:widowControl w:val="0"/>
        <w:tabs>
          <w:tab w:val="left" w:pos="1729"/>
        </w:tabs>
        <w:autoSpaceDE w:val="0"/>
        <w:autoSpaceDN w:val="0"/>
        <w:spacing w:before="120" w:after="120" w:line="240" w:lineRule="auto"/>
        <w:ind w:left="851" w:hanging="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iv) saskaņā ar [jurisdikcijas] piemērojamiem tiesību aktiem vai vienības dibināšanas dokumentiem vienības ienākumus vai aktīvus nedrīkst sadalīt vai izmantot par labu privātpersonai vai vienībai, kas nav labdarības organizācija, ja šāda sadalīšana vai izmantošana nav saistīta ar vienības veiktajām labdarības darbībām, vai izmantot, lai veiktu pamatotas kompensācijas maksājumu par saņemtajiem pakalpojumiem vai maksājumu, kas atbilst vienības iegādāta īpašuma patiesai tirgus vērtībai, un</w:t>
      </w:r>
    </w:p>
    <w:p w14:paraId="2EEC9747" w14:textId="77777777" w:rsidR="00F509BB" w:rsidRPr="005421A9" w:rsidRDefault="00F509BB" w:rsidP="002145B1">
      <w:pPr>
        <w:widowControl w:val="0"/>
        <w:tabs>
          <w:tab w:val="left" w:pos="1686"/>
        </w:tabs>
        <w:autoSpaceDE w:val="0"/>
        <w:autoSpaceDN w:val="0"/>
        <w:spacing w:before="120" w:after="120" w:line="240" w:lineRule="auto"/>
        <w:ind w:left="851" w:hanging="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v) saskaņā ar [jurisdikcijas] piemērojamiem tiesību aktiem vai vienības dibināšanas dokumentiem tad, ja vienība tiek likvidēta vai beidz pastāvēt, visi tās aktīvi tiek sadalīti valdības vienībai vai citai vienībai, kas atbilst i)–v) punkta nosacījumiem, vai pāriet [jurisdikcijas] valdības vai kāda tās administratīvi teritoriālā veidojuma īpašumā.</w:t>
      </w:r>
    </w:p>
    <w:p w14:paraId="45743F75" w14:textId="77777777" w:rsidR="00F509BB" w:rsidRPr="0029090F"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32" w:name="Paragraph_C_–_Financial_Account"/>
      <w:bookmarkEnd w:id="332"/>
      <w:r>
        <w:rPr>
          <w:rFonts w:ascii="Times New Roman" w:hAnsi="Times New Roman"/>
          <w:b/>
          <w:i/>
          <w:sz w:val="26"/>
        </w:rPr>
        <w:t>C punkts. Finanšu konts</w:t>
      </w:r>
    </w:p>
    <w:p w14:paraId="17B33BF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5210C2CE"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33" w:name="Subparagraph_C(2)_–_Depository_Account"/>
      <w:bookmarkEnd w:id="333"/>
      <w:r>
        <w:rPr>
          <w:rFonts w:ascii="Times New Roman" w:hAnsi="Times New Roman"/>
          <w:i/>
          <w:color w:val="616161"/>
          <w:sz w:val="24"/>
        </w:rPr>
        <w:t>C punkta 2. apakšpunkts. Noguldījumu konts</w:t>
      </w:r>
    </w:p>
    <w:p w14:paraId="680E42A2" w14:textId="77777777" w:rsidR="00F509BB" w:rsidRPr="005421A9" w:rsidRDefault="00F509BB" w:rsidP="00F509BB">
      <w:pPr>
        <w:widowControl w:val="0"/>
        <w:tabs>
          <w:tab w:val="left" w:pos="570"/>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66. “Noguldījumu konts” ir jebkurš komerckonts, norēķinu konts, krājkonts, termiņa konts vai krājaizdevuma konts, vai konts, kuru apliecina noguldījuma sertifikāts, krājaizdevuma sertifikāts, ieguldījuma sertifikāts, parāda sertifikāts vai cits līdzīgs instruments un kuru uztur </w:t>
      </w:r>
      <w:r>
        <w:rPr>
          <w:rFonts w:ascii="Times New Roman" w:hAnsi="Times New Roman"/>
          <w:i/>
          <w:iCs/>
          <w:sz w:val="24"/>
          <w:u w:val="single"/>
        </w:rPr>
        <w:t>noguldījumu iestāde</w:t>
      </w:r>
      <w:r>
        <w:rPr>
          <w:rFonts w:ascii="Times New Roman" w:hAnsi="Times New Roman"/>
          <w:strike/>
          <w:sz w:val="24"/>
        </w:rPr>
        <w:t>Finanšu iestāde, veicot parastu bankas darbību vai līdzīgu darījumdarbību</w:t>
      </w:r>
      <w:r>
        <w:rPr>
          <w:rFonts w:ascii="Times New Roman" w:hAnsi="Times New Roman"/>
          <w:sz w:val="24"/>
        </w:rPr>
        <w:t>.</w:t>
      </w:r>
      <w:r>
        <w:rPr>
          <w:rFonts w:ascii="Times New Roman" w:hAnsi="Times New Roman"/>
          <w:i/>
          <w:sz w:val="24"/>
          <w:u w:val="single"/>
        </w:rPr>
        <w:t xml:space="preserve"> </w:t>
      </w:r>
      <w:r>
        <w:rPr>
          <w:rFonts w:ascii="Times New Roman" w:hAnsi="Times New Roman"/>
          <w:sz w:val="24"/>
        </w:rPr>
        <w:t>Noguldījumu konts ir arī:</w:t>
      </w:r>
    </w:p>
    <w:p w14:paraId="061F2CFA" w14:textId="77777777" w:rsidR="00F509BB" w:rsidRPr="005421A9" w:rsidRDefault="00F509BB" w:rsidP="00F509BB">
      <w:pPr>
        <w:widowControl w:val="0"/>
        <w:tabs>
          <w:tab w:val="left" w:pos="1216"/>
        </w:tabs>
        <w:autoSpaceDE w:val="0"/>
        <w:autoSpaceDN w:val="0"/>
        <w:spacing w:before="120" w:after="120" w:line="240" w:lineRule="auto"/>
        <w:ind w:left="284"/>
        <w:jc w:val="both"/>
        <w:rPr>
          <w:rFonts w:ascii="Times New Roman" w:eastAsia="Arial" w:hAnsi="Times New Roman" w:cs="Arial"/>
          <w:i/>
          <w:noProof/>
          <w:kern w:val="0"/>
          <w:sz w:val="24"/>
          <w:szCs w:val="24"/>
          <w14:ligatures w14:val="none"/>
        </w:rPr>
      </w:pPr>
      <w:r>
        <w:rPr>
          <w:rFonts w:ascii="Times New Roman" w:hAnsi="Times New Roman"/>
          <w:sz w:val="24"/>
          <w:u w:val="single"/>
        </w:rPr>
        <w:t>a)</w:t>
      </w:r>
      <w:r>
        <w:rPr>
          <w:rFonts w:ascii="Times New Roman" w:hAnsi="Times New Roman"/>
          <w:sz w:val="24"/>
        </w:rPr>
        <w:t xml:space="preserve"> summa, kuru tur apdrošināšanas sabiedrība saskaņā ar garantētu ieguldījumu līgumu vai līdzīgu līgumu, lai iemaksātu vai ieskaitītu tajā par šo summu pienākošos procentus</w:t>
      </w:r>
      <w:r>
        <w:rPr>
          <w:rFonts w:ascii="Times New Roman" w:hAnsi="Times New Roman"/>
          <w:sz w:val="24"/>
          <w:u w:val="single"/>
        </w:rPr>
        <w:t>;</w:t>
      </w:r>
    </w:p>
    <w:p w14:paraId="750D2A6A" w14:textId="77777777" w:rsidR="00F509BB" w:rsidRPr="005421A9" w:rsidRDefault="00F509BB" w:rsidP="00F509BB">
      <w:pPr>
        <w:widowControl w:val="0"/>
        <w:tabs>
          <w:tab w:val="left" w:pos="1140"/>
        </w:tabs>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b) konts vai nosacīts konts, kas pārstāv visus noteiktos elektroniskās naudas produktus, kuri tiek turēti klienta labā, un</w:t>
      </w:r>
    </w:p>
    <w:p w14:paraId="15211C2C" w14:textId="77777777" w:rsidR="00F509BB" w:rsidRPr="005421A9" w:rsidRDefault="00F509BB" w:rsidP="00F509BB">
      <w:pPr>
        <w:widowControl w:val="0"/>
        <w:tabs>
          <w:tab w:val="left" w:pos="1129"/>
        </w:tabs>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c) konts, kurā tur vienu vai vairākas centrālās bankas digitālās valūtas klientu labā.</w:t>
      </w:r>
    </w:p>
    <w:p w14:paraId="32427A9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3B66761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67.bis Visi noteiktie elektroniskās naudas produkti, ko vienība tur klienta labā, kopā ir uzskatāmi par šā klienta noguldījumu kontu. Lai noteiktu šāda noguldījumu konta vērtību, finanšu iestādei, kas sniedz ziņojumus, ir jāsummē visu to noteikto elektroniskās naudas produktu vērtība, kurus konta turētājs tur finanšu iestādē, kas sniedz ziņojumus. Līdzīgi, par noguldījumu kontu uzskatāms jebkāds veidojums, ar kura starpniecību vienība tur centrālās bankas digitālo valūtu klienta labā. Ja noteiktais elektroniskās naudas produkts vai centrālās bankas digitālā valūta ir emitēti kā kriptoaktīvs, uzskatāms, ka vienība tur šādu aktīvu klienta labā, ciktāl tā droši glabā vai administrē instrumentus, kas nodrošina aktīva kontroli (piemēram, privātās atslēgas), un vienība spēj pārvaldīt, tirgot vai nodot trešajām personām pamatā esošo aktīvu šāda klienta vārdā.</w:t>
      </w:r>
    </w:p>
    <w:p w14:paraId="64CDD5E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lastRenderedPageBreak/>
        <w:t>(..)</w:t>
      </w:r>
    </w:p>
    <w:p w14:paraId="4794E96C"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34" w:name="Subparagraph_C(3)_–_Custodial_Account"/>
      <w:bookmarkEnd w:id="334"/>
      <w:r>
        <w:rPr>
          <w:rFonts w:ascii="Times New Roman" w:hAnsi="Times New Roman"/>
          <w:i/>
          <w:color w:val="616161"/>
          <w:sz w:val="24"/>
        </w:rPr>
        <w:t>C punkta 3. apakšpunkts. Turētāja konts</w:t>
      </w:r>
    </w:p>
    <w:p w14:paraId="36CBA588" w14:textId="77777777" w:rsidR="00F509BB" w:rsidRPr="005421A9" w:rsidRDefault="00F509BB" w:rsidP="00F509BB">
      <w:pPr>
        <w:widowControl w:val="0"/>
        <w:tabs>
          <w:tab w:val="left" w:pos="60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68. C punkta 3. apakšpunktā noteikts, ka “turētāja konts” ir konts (kas nav apdrošināšanas līgums vai anuitātes līgums), kurā par labu citai personai tiek turēts viens vai vairāki finanšu aktīvi.</w:t>
      </w:r>
    </w:p>
    <w:p w14:paraId="3D9A2F5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68.bis Veidojums, kas paredzēts, lai droši turētu un administrētu instrumentu, kurš nodrošina kontroli pār finanšu aktīviem, kas izdoti kriptoaktīva veidā citas personas labā, arī ir turētāja konts, ciktāl vienība spēj pārvaldīt, tirgot vai nodot trešajām personām pamatā esošos aktīvus šāda klienta vārdā.</w:t>
      </w:r>
    </w:p>
    <w:p w14:paraId="5F161941"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35" w:name="Subparagraph_C(4)_–_Equity_Interest"/>
      <w:bookmarkEnd w:id="335"/>
      <w:r>
        <w:rPr>
          <w:rFonts w:ascii="Times New Roman" w:hAnsi="Times New Roman"/>
          <w:i/>
          <w:color w:val="616161"/>
          <w:sz w:val="24"/>
        </w:rPr>
        <w:t>C punkta 4. apakšpunkts. Līdzdalības daļa kapitālā</w:t>
      </w:r>
    </w:p>
    <w:p w14:paraId="6DD3C2DA" w14:textId="77777777" w:rsidR="00F509BB" w:rsidRPr="005421A9" w:rsidRDefault="00F509BB" w:rsidP="00F509BB">
      <w:pPr>
        <w:widowControl w:val="0"/>
        <w:tabs>
          <w:tab w:val="left" w:pos="579"/>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69. Termins “līdzdalības daļa kapitālā” īpaši attiecas uz līdzdalības daļām personālsabiedrībās un trastos. Attiecībā uz personālsabiedrību, kas ir finanšu iestāde, “līdzdalības daļa kapitālā” ir līdzdalības daļa personālsabiedrības kapitālā vai peļņā. Attiecībā uz trastu, kas ir finanšu iestāde, tiek uzskatīts, ka “līdzdalības daļu kapitālā” tur jebkura persona, kas tiek uzskatīta par dibinātāju vai labuma guvēju saistībā ar visu trastu vai tā daļu, vai cita fiziskā persona, kas īsteno galīgo faktisko kontroli pār trastu. Tāpat kā attiecībā uz trastu, kas ir finanšu iestāde, to pašu var attiecināt uz trastam līdzvērtīgu vai līdzīgu juridisku veidojumu vai uz fondu, kas ir finanšu iestāde.</w:t>
      </w:r>
    </w:p>
    <w:p w14:paraId="6FE72924" w14:textId="77777777" w:rsidR="00F509BB" w:rsidRPr="005421A9" w:rsidRDefault="00F509BB" w:rsidP="00F509BB">
      <w:pPr>
        <w:widowControl w:val="0"/>
        <w:tabs>
          <w:tab w:val="left" w:pos="572"/>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70. Atbilstīgi C punkta 4. apakšpunktam persona, par kuru jāsniedz ziņojums, uzskatāma par trasta labuma guvēju, ja šādai personai, par kuru jāsniedz ziņojums, ir tiesības tieši vai netieši (piemēram, ar nominālā finanšu aktīvu turētāja starpniecību) saņemt obligātās peļņas sadales daļu vai ja šāda persona no trasta var tieši vai netieši saņemt peļņas daļu diskrecionārajā sadalē. </w:t>
      </w:r>
      <w:r>
        <w:rPr>
          <w:rFonts w:ascii="Times New Roman" w:hAnsi="Times New Roman"/>
          <w:i/>
          <w:sz w:val="24"/>
          <w:u w:val="single"/>
        </w:rPr>
        <w:t xml:space="preserve">Netieša sadale, ko veic trasts, var notikt tad, ja trasts veic maksājumus trešajai personai citas personas labā. Piemēram, par netiešu sadali, ko veic trasts, ir uzskatāmi gadījumi, kad trasts samaksā mācību maksas vai atmaksā aizdevumu, ko paņēmusi cita persona. Netieša sadale ir arī gadījumi, kad trasts piešķir aizdevumu bez procentiem vai ar procentu likmi, kas ir mazāka par tirgus procentu likmi, vai uz citiem nosacījumiem, kas neatbilst nesaistītu pušu darījuma principam. Turklāt netieša sadale ir arī tad, kad trasts noraksta savam labuma guvējam piešķirto aizdevumu, un šī sadale attiecināma uz gadu, kurā aizdevums ir norakstīts. Visos minētajos gadījumos persona, par kuru jāsniedz ziņojums, ir persona, kas ir trasta labuma guvējs un saņem netiešo sadali (t. i., minētajos piemēros mācību maksu debitors vai uz labvēlīgiem nosacījumiem piešķirta aizdevuma saņēmējs). </w:t>
      </w:r>
      <w:r>
        <w:rPr>
          <w:rFonts w:ascii="Times New Roman" w:hAnsi="Times New Roman"/>
          <w:strike/>
          <w:sz w:val="24"/>
        </w:rPr>
        <w:t>Šajā saistībā</w:t>
      </w:r>
      <w:r>
        <w:rPr>
          <w:rFonts w:ascii="Times New Roman" w:hAnsi="Times New Roman"/>
          <w:sz w:val="24"/>
        </w:rPr>
        <w:t xml:space="preserve"> </w:t>
      </w:r>
      <w:r>
        <w:rPr>
          <w:rFonts w:ascii="Times New Roman" w:hAnsi="Times New Roman"/>
          <w:i/>
          <w:sz w:val="24"/>
          <w:u w:val="single"/>
        </w:rPr>
        <w:t>L</w:t>
      </w:r>
      <w:r>
        <w:rPr>
          <w:rFonts w:ascii="Times New Roman" w:hAnsi="Times New Roman"/>
          <w:sz w:val="24"/>
        </w:rPr>
        <w:t>abuma guvējs, kurš var saņemt maksājumu diskrecionārajā peļņas sadalē no trasta, tiks uzskatīts par trasta labuma guvēju tikai tad, ja šāda persona saņem peļņas daļu kalendārajā gadā vai citā attiecīgā ziņošanas periodā (t. i., peļņas daļa ir izmaksāta vai padarīta izmaksājama). Tas attiecas arī uz gadījumiem, kad persona, par kuru jāsniedz ziņojums, tiek uzskatīta par trastam līdzvērtīga vai līdzīga juridiska veidojuma labuma guvēju vai fonda labuma guvēju.</w:t>
      </w:r>
    </w:p>
    <w:p w14:paraId="12224557" w14:textId="77777777" w:rsidR="00F509BB" w:rsidRPr="005421A9" w:rsidRDefault="00F509BB" w:rsidP="00F509BB">
      <w:pPr>
        <w:widowControl w:val="0"/>
        <w:tabs>
          <w:tab w:val="left" w:pos="572"/>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71. Ja līdzdalības daļas kapitālā ir turētas ar turētājiestādes starpniecību, tad par informācijas sniegšanu ir atbildīga nevis ieguldījumu sabiedrība, bet turētājiestāde. Turpmākajā piemērā atspoguļots tas, kā jāsniedz šāda informācija. Persona A, par kuru jāsniedz ziņojums, tur daļas ieguldījuma fondā L. A daļas tur turētājs Y. Ieguldījumu fonds L ir ieguldījumu vienība, un no tās skatpunkta tās daļas ir finanšu konti (t. i., līdzdalības daļas ieguldījumu vienības kapitālā). L jāuzskata, ka turētājs Y ir tā konta turētājs. Tā kā Y ir finanšu iestāde (t. i., turētājiestāde) un finanšu iestādes nav personas, par kurām jāsniedz ziņojums, tad ieguldījumu fondam L nav jāsniedz ziņojums par šādām daļām. Turētājam Y personai A turētās daļas ir finanšu aktīvi, kas tiek turēti turētāja kontā. Turētājam Y kā turētājiestādei ir pienākums sniegt informāciju par daļām, ko tas tur personas A vārdā.</w:t>
      </w:r>
    </w:p>
    <w:p w14:paraId="47CAC67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92B9A7E"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36" w:name="Subparagraphs_C(9)_through_(16)_–_Preexi"/>
      <w:bookmarkEnd w:id="336"/>
      <w:r>
        <w:rPr>
          <w:rFonts w:ascii="Times New Roman" w:hAnsi="Times New Roman"/>
          <w:i/>
          <w:color w:val="616161"/>
          <w:sz w:val="24"/>
        </w:rPr>
        <w:lastRenderedPageBreak/>
        <w:t>C punkta 9.–16. apakšpunkts. Iepriekšpastāvējuši un jauni fizisko personu un vienību konti</w:t>
      </w:r>
    </w:p>
    <w:p w14:paraId="28D2AB84" w14:textId="77777777" w:rsidR="00F509BB" w:rsidRPr="005421A9" w:rsidRDefault="00F509BB" w:rsidP="00F509BB">
      <w:pPr>
        <w:widowControl w:val="0"/>
        <w:tabs>
          <w:tab w:val="left" w:pos="589"/>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81. C punkta 9.–16. apakšpunktā noteiktas dažādas finanšu kontu kategorijas, kas klasificētas, pamatojoties uz konta atvēršanas datumu, konta turētāju un bilanci vai vērtību: “iepriekšpastāvējis konts”, “jauns konts”, “iepriekšpastāvējis fiziskas personas konts”, “jauns fiziskas personas konts”, “iepriekšpastāvējis vienības konts”, “zemākas vērtības konts”, “lielas vērtības konts” un “jauns vienības konts”.</w:t>
      </w:r>
    </w:p>
    <w:p w14:paraId="350AB554" w14:textId="77777777" w:rsidR="00F509BB" w:rsidRPr="005421A9" w:rsidRDefault="00F509BB" w:rsidP="00F509BB">
      <w:pPr>
        <w:widowControl w:val="0"/>
        <w:tabs>
          <w:tab w:val="left" w:pos="58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82. Pirmkārt, finanšu konts tiek klasificēts, pamatojoties uz tā atvēršanas datumu. Tādējādi finanšu konts var būt “iepriekšpastāvējis konts” vai “jauns konts”. C punkta 9. un 10. apakšpunktā šie termini ir definēti kā finanšu konts, kuru finanšu iestāde, kas sniedz ziņojumus, uzturējusi [xx.xx.xxxx] un kurš ir atvērts, sākot no [xx.xx.xxxx], </w:t>
      </w:r>
      <w:r>
        <w:rPr>
          <w:rFonts w:ascii="Times New Roman" w:hAnsi="Times New Roman"/>
          <w:i/>
          <w:iCs/>
          <w:sz w:val="24"/>
          <w:u w:val="single"/>
        </w:rPr>
        <w:t>vai, ja kontu uzskata par finanšu kontu, tikai pamatojoties uz Kopējā ziņošanas standarta grozījumiem,  konts, ko tā uzturējusi [pārskatītā  CRS spēkā stāšanās datums mīnus viena diena] vai tas atvērts, sākot no [pārskatītā  CRS spēkā stāšanās datums].</w:t>
      </w:r>
      <w:r>
        <w:rPr>
          <w:rFonts w:ascii="Times New Roman" w:hAnsi="Times New Roman"/>
          <w:sz w:val="24"/>
        </w:rPr>
        <w:t xml:space="preserve"> Tomēr, ieviešot Kopējo ziņošanas standartu, jurisdikcijām ir tiesības grozīt C punkta 9. apakšpunktu, lai iekļautu arī atsevišķus jaunus iepriekšpastāvējušu klientu kontus. Šādā gadījumā C punkta 9. apakšpunkta redakcija jāaizstāj ar turpmāko redakciju.</w:t>
      </w:r>
    </w:p>
    <w:p w14:paraId="76DB3134" w14:textId="77777777" w:rsidR="00F509BB" w:rsidRPr="005421A9" w:rsidRDefault="00F509BB" w:rsidP="00F509BB">
      <w:pPr>
        <w:widowControl w:val="0"/>
        <w:tabs>
          <w:tab w:val="left" w:pos="463"/>
        </w:tabs>
        <w:autoSpaceDE w:val="0"/>
        <w:autoSpaceDN w:val="0"/>
        <w:spacing w:before="120" w:after="120" w:line="240" w:lineRule="auto"/>
        <w:jc w:val="both"/>
        <w:rPr>
          <w:rFonts w:ascii="Times New Roman" w:eastAsia="Arial" w:hAnsi="Times New Roman" w:cs="Arial"/>
          <w:i/>
          <w:noProof/>
          <w:kern w:val="0"/>
          <w:sz w:val="24"/>
          <w:szCs w:val="24"/>
          <w14:ligatures w14:val="none"/>
        </w:rPr>
      </w:pPr>
      <w:r>
        <w:rPr>
          <w:rFonts w:ascii="Times New Roman" w:hAnsi="Times New Roman"/>
          <w:i/>
          <w:sz w:val="24"/>
        </w:rPr>
        <w:t>9. “Iepriekšpastāvējis konts” ir:</w:t>
      </w:r>
    </w:p>
    <w:p w14:paraId="51FB81FD"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i/>
          <w:noProof/>
          <w:kern w:val="0"/>
          <w:sz w:val="24"/>
          <w:szCs w:val="24"/>
          <w14:ligatures w14:val="none"/>
        </w:rPr>
      </w:pPr>
      <w:r>
        <w:rPr>
          <w:rFonts w:ascii="Times New Roman" w:hAnsi="Times New Roman"/>
          <w:i/>
          <w:sz w:val="24"/>
        </w:rPr>
        <w:t xml:space="preserve">a) finanšu konts, kuru finanšu iestāde, kas sniedz ziņojumus, uzturējusi [xx.xx.xxxx], </w:t>
      </w:r>
      <w:r>
        <w:rPr>
          <w:rFonts w:ascii="Times New Roman" w:hAnsi="Times New Roman"/>
          <w:i/>
          <w:iCs/>
          <w:sz w:val="24"/>
          <w:u w:val="single"/>
        </w:rPr>
        <w:t xml:space="preserve">vai, ja kontu uzskata par finanšu kontu, tikai pamatojoties uz Kopējā ziņošanas standarta grozījumiem, konts, ko tā uzturējusi [pārskatītā </w:t>
      </w:r>
      <w:r>
        <w:rPr>
          <w:rFonts w:ascii="Times New Roman" w:hAnsi="Times New Roman"/>
          <w:i/>
          <w:sz w:val="24"/>
          <w:u w:val="single"/>
        </w:rPr>
        <w:t>CRS</w:t>
      </w:r>
      <w:r>
        <w:rPr>
          <w:rFonts w:ascii="Times New Roman" w:hAnsi="Times New Roman"/>
          <w:i/>
          <w:iCs/>
          <w:sz w:val="24"/>
          <w:u w:val="single"/>
        </w:rPr>
        <w:t xml:space="preserve"> spēkā stāšanās datums mīnus viena diena];</w:t>
      </w:r>
    </w:p>
    <w:p w14:paraId="38B6A88B"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i/>
          <w:noProof/>
          <w:kern w:val="0"/>
          <w:sz w:val="24"/>
          <w:szCs w:val="24"/>
          <w14:ligatures w14:val="none"/>
        </w:rPr>
      </w:pPr>
      <w:r>
        <w:rPr>
          <w:rFonts w:ascii="Times New Roman" w:hAnsi="Times New Roman"/>
          <w:i/>
          <w:sz w:val="24"/>
        </w:rPr>
        <w:t>b) jebkurš konta turētāja finanšu konts neatkarīgi no šāda finanšu konta atvēršanas datuma, ja:</w:t>
      </w:r>
    </w:p>
    <w:p w14:paraId="526CA9F9" w14:textId="77777777" w:rsidR="00F509BB" w:rsidRPr="005421A9" w:rsidRDefault="00F509BB" w:rsidP="00F509BB">
      <w:pPr>
        <w:widowControl w:val="0"/>
        <w:tabs>
          <w:tab w:val="left" w:pos="1803"/>
        </w:tabs>
        <w:autoSpaceDE w:val="0"/>
        <w:autoSpaceDN w:val="0"/>
        <w:spacing w:before="120" w:after="120" w:line="240" w:lineRule="auto"/>
        <w:ind w:left="851" w:hanging="283"/>
        <w:jc w:val="both"/>
        <w:rPr>
          <w:rFonts w:ascii="Times New Roman" w:eastAsia="Arial" w:hAnsi="Times New Roman" w:cs="Arial"/>
          <w:i/>
          <w:noProof/>
          <w:kern w:val="0"/>
          <w:sz w:val="24"/>
          <w:szCs w:val="24"/>
          <w14:ligatures w14:val="none"/>
        </w:rPr>
      </w:pPr>
      <w:r>
        <w:rPr>
          <w:rFonts w:ascii="Times New Roman" w:hAnsi="Times New Roman"/>
          <w:i/>
          <w:sz w:val="24"/>
        </w:rPr>
        <w:t>i) konta turētājs finanšu iestādē, kas sniedz ziņojumus (vai saistītajā uzņēmumā tajā pašā jurisdikcijā, kurā atrodas finanšu iestāde, kas sniedz ziņojumus), tur arī finanšu kontu, kas saskaņā ar C punkta 9. apakšpunkta a) daļu ir iepriekšpastāvējis konts;</w:t>
      </w:r>
    </w:p>
    <w:p w14:paraId="2DC18841" w14:textId="77777777" w:rsidR="00F509BB" w:rsidRPr="005421A9" w:rsidRDefault="00F509BB" w:rsidP="00F509BB">
      <w:pPr>
        <w:widowControl w:val="0"/>
        <w:tabs>
          <w:tab w:val="left" w:pos="1801"/>
          <w:tab w:val="left" w:pos="1803"/>
        </w:tabs>
        <w:autoSpaceDE w:val="0"/>
        <w:autoSpaceDN w:val="0"/>
        <w:spacing w:before="120" w:after="120" w:line="240" w:lineRule="auto"/>
        <w:ind w:left="851" w:hanging="283"/>
        <w:jc w:val="both"/>
        <w:rPr>
          <w:rFonts w:ascii="Times New Roman" w:eastAsia="Arial" w:hAnsi="Times New Roman" w:cs="Arial"/>
          <w:i/>
          <w:noProof/>
          <w:kern w:val="0"/>
          <w:sz w:val="24"/>
          <w:szCs w:val="24"/>
          <w14:ligatures w14:val="none"/>
        </w:rPr>
      </w:pPr>
      <w:r>
        <w:rPr>
          <w:rFonts w:ascii="Times New Roman" w:hAnsi="Times New Roman"/>
          <w:i/>
          <w:sz w:val="24"/>
        </w:rPr>
        <w:t>ii) finanšu iestāde, kas sniedz ziņojumus (un atbilstoši nepieciešamībai – saistītais uzņēmums tajā pašā jurisdikcijā, kurā atrodas finanšu iestāde, kas sniedz ziņojumus), abus iepriekš minētos finanšu kontus un jebkādus citus konta turētāja finanšu kontus, kas saskaņā ar C punkta 9. apakšpunkta b) daļu tiek uzskatīti par iepriekšpastāvējušiem kontiem, uzskata par vienu finanšu kontu saistībā ar VII panta A punktā izklāstīto zināšanu prasību standartu izpildi un saistībā ar bilances vai vērtības noteikšanu jebkuram no finanšu kontiem, piemērojot kādas konta robežvērtības;</w:t>
      </w:r>
    </w:p>
    <w:p w14:paraId="7494F46F" w14:textId="77777777" w:rsidR="00F509BB" w:rsidRPr="005421A9" w:rsidRDefault="00F509BB" w:rsidP="00F509BB">
      <w:pPr>
        <w:widowControl w:val="0"/>
        <w:tabs>
          <w:tab w:val="left" w:pos="1799"/>
          <w:tab w:val="left" w:pos="1803"/>
        </w:tabs>
        <w:autoSpaceDE w:val="0"/>
        <w:autoSpaceDN w:val="0"/>
        <w:spacing w:before="120" w:after="120" w:line="240" w:lineRule="auto"/>
        <w:ind w:left="851" w:hanging="283"/>
        <w:jc w:val="both"/>
        <w:rPr>
          <w:rFonts w:ascii="Times New Roman" w:eastAsia="Arial" w:hAnsi="Times New Roman" w:cs="Arial"/>
          <w:i/>
          <w:noProof/>
          <w:kern w:val="0"/>
          <w:sz w:val="24"/>
          <w:szCs w:val="24"/>
          <w14:ligatures w14:val="none"/>
        </w:rPr>
      </w:pPr>
      <w:r>
        <w:rPr>
          <w:rFonts w:ascii="Times New Roman" w:hAnsi="Times New Roman"/>
          <w:i/>
          <w:sz w:val="24"/>
        </w:rPr>
        <w:t>iii) attiecībā uz finanšu kontu, uz kuru attiecas AML/KYC procedūras, finanšu iestādei, kas sniedz ziņojumus, ir atļauts izpildīt šādas finanšu kontam piemērojamas AML/KYC procedūras, pamatojoties uz AML/KYC procedūrām, kuras tiek piemērotas C punkta 9. apakšpunkta a) daļā noteiktajiem iepriekšpastāvējušiem kontiem, un,</w:t>
      </w:r>
    </w:p>
    <w:p w14:paraId="117249D4" w14:textId="77777777" w:rsidR="00F509BB" w:rsidRPr="005421A9" w:rsidRDefault="00F509BB" w:rsidP="00F509BB">
      <w:pPr>
        <w:widowControl w:val="0"/>
        <w:tabs>
          <w:tab w:val="left" w:pos="1801"/>
          <w:tab w:val="left" w:pos="1803"/>
        </w:tabs>
        <w:autoSpaceDE w:val="0"/>
        <w:autoSpaceDN w:val="0"/>
        <w:spacing w:before="120" w:after="120" w:line="240" w:lineRule="auto"/>
        <w:ind w:left="851" w:hanging="283"/>
        <w:jc w:val="both"/>
        <w:rPr>
          <w:rFonts w:ascii="Times New Roman" w:eastAsia="Arial" w:hAnsi="Times New Roman" w:cs="Arial"/>
          <w:i/>
          <w:noProof/>
          <w:kern w:val="0"/>
          <w:sz w:val="24"/>
          <w:szCs w:val="24"/>
          <w14:ligatures w14:val="none"/>
        </w:rPr>
      </w:pPr>
      <w:r>
        <w:rPr>
          <w:rFonts w:ascii="Times New Roman" w:hAnsi="Times New Roman"/>
          <w:i/>
          <w:sz w:val="24"/>
        </w:rPr>
        <w:t>iv) lai atvērtu finanšu kontu, konta turētajam nav jāsniedz jauna, papildu vai grozīta klienta informācija, izņemot informāciju, kas nepieciešama Kopējā ziņošanas standarta vajadzībām.</w:t>
      </w:r>
    </w:p>
    <w:p w14:paraId="6886F519"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37" w:name="Subparagraph_C(17)_–_Excluded_Account"/>
      <w:bookmarkEnd w:id="337"/>
      <w:r>
        <w:rPr>
          <w:rFonts w:ascii="Times New Roman" w:hAnsi="Times New Roman"/>
          <w:i/>
          <w:color w:val="616161"/>
          <w:sz w:val="24"/>
        </w:rPr>
        <w:t>C punkta 17. apakšpunkts. Izslēgtais konts</w:t>
      </w:r>
    </w:p>
    <w:p w14:paraId="1C75AAEF" w14:textId="77777777" w:rsidR="00F509BB" w:rsidRPr="005421A9" w:rsidRDefault="00F509BB" w:rsidP="00F509BB">
      <w:pPr>
        <w:widowControl w:val="0"/>
        <w:tabs>
          <w:tab w:val="left" w:pos="577"/>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86. C punkta 17. apakšpunktā noteiktas dažādas izslēgtu kontu kategorijas (t. i., konti, kuri nav finanšu konti un par kuriem tādēļ nav jāsniedz informācija):</w:t>
      </w:r>
    </w:p>
    <w:p w14:paraId="692B470C" w14:textId="77777777" w:rsidR="00F509BB" w:rsidRPr="005421A9" w:rsidRDefault="00F509BB" w:rsidP="00F509BB">
      <w:pPr>
        <w:widowControl w:val="0"/>
        <w:tabs>
          <w:tab w:val="left" w:pos="1182"/>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a) atvaļināšanas un pensiju konti;</w:t>
      </w:r>
    </w:p>
    <w:p w14:paraId="3C51885A" w14:textId="77777777" w:rsidR="00F509BB" w:rsidRPr="005421A9" w:rsidRDefault="00F509BB" w:rsidP="00F509BB">
      <w:pPr>
        <w:widowControl w:val="0"/>
        <w:tabs>
          <w:tab w:val="left" w:pos="1182"/>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b) ar atvaļināšanu nesaistīti konti, attiecībā uz kuriem tiek piemēroti nodokļu atvieglojumi;</w:t>
      </w:r>
    </w:p>
    <w:p w14:paraId="1EE8BB3D" w14:textId="77777777" w:rsidR="00F509BB" w:rsidRPr="005421A9" w:rsidRDefault="00F509BB" w:rsidP="00F509BB">
      <w:pPr>
        <w:widowControl w:val="0"/>
        <w:tabs>
          <w:tab w:val="left" w:pos="1173"/>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lastRenderedPageBreak/>
        <w:t>c) terminēti dzīvības apdrošināšanas līgumi;</w:t>
      </w:r>
    </w:p>
    <w:p w14:paraId="6163E521" w14:textId="77777777" w:rsidR="00F509BB" w:rsidRPr="005421A9" w:rsidRDefault="00F509BB" w:rsidP="00F509BB">
      <w:pPr>
        <w:widowControl w:val="0"/>
        <w:tabs>
          <w:tab w:val="left" w:pos="1182"/>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d) mantojuma konti;</w:t>
      </w:r>
    </w:p>
    <w:p w14:paraId="505A1840" w14:textId="77777777" w:rsidR="00F509BB" w:rsidRPr="005421A9" w:rsidRDefault="00F509BB" w:rsidP="00F509BB">
      <w:pPr>
        <w:widowControl w:val="0"/>
        <w:tabs>
          <w:tab w:val="left" w:pos="1182"/>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e) darījuma konti;</w:t>
      </w:r>
    </w:p>
    <w:p w14:paraId="2B61335B"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e bis) zemas vērtības noteikti elektroniskās naudas produkti;</w:t>
      </w:r>
    </w:p>
    <w:p w14:paraId="4AFBF74F" w14:textId="77777777" w:rsidR="00F509BB" w:rsidRPr="005421A9" w:rsidRDefault="00F509BB" w:rsidP="00F509BB">
      <w:pPr>
        <w:widowControl w:val="0"/>
        <w:tabs>
          <w:tab w:val="left" w:pos="1128"/>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f) noguldījumu konti, kas pastāv neatmaksātas pārmaksas dēļ, un</w:t>
      </w:r>
    </w:p>
    <w:p w14:paraId="3F4B75F4" w14:textId="77777777" w:rsidR="00F509BB" w:rsidRPr="005421A9" w:rsidRDefault="00F509BB" w:rsidP="00F509BB">
      <w:pPr>
        <w:widowControl w:val="0"/>
        <w:tabs>
          <w:tab w:val="left" w:pos="1182"/>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g) zema riska izslēgtie konti.</w:t>
      </w:r>
    </w:p>
    <w:p w14:paraId="4CF8ECD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04A25D08" w14:textId="77777777" w:rsidR="00F509BB" w:rsidRPr="005421A9" w:rsidRDefault="00F509BB" w:rsidP="00F509BB">
      <w:pPr>
        <w:widowControl w:val="0"/>
        <w:tabs>
          <w:tab w:val="left" w:pos="57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93. C punkta 17. apakšpunkta e) daļa galvenokārt attiecas uz kontiem, kuros </w:t>
      </w:r>
      <w:r>
        <w:rPr>
          <w:rFonts w:ascii="Times New Roman" w:hAnsi="Times New Roman"/>
          <w:strike/>
          <w:sz w:val="24"/>
        </w:rPr>
        <w:t>trešās personas</w:t>
      </w:r>
      <w:r>
        <w:rPr>
          <w:rFonts w:ascii="Times New Roman" w:hAnsi="Times New Roman"/>
          <w:sz w:val="24"/>
        </w:rPr>
        <w:t xml:space="preserve"> tur naudu darījumā iesaistīto pušu vārdā (t. i., darījuma konti). Konti var būt izslēgtie konti, ja tie ir izveidoti saistībā ar:</w:t>
      </w:r>
    </w:p>
    <w:p w14:paraId="63D7B17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64C090A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e) uzņēmuma nodibināšanu vai tā kapitāla palielināšanu ar nosacījumu, ka konts atbilst visām prasībām, kas uzskaitītas C punkta 17. apakšpunkta e) daļas v) punktā.</w:t>
      </w:r>
    </w:p>
    <w:p w14:paraId="4A7A2FC2" w14:textId="77777777" w:rsidR="00F509BB" w:rsidRPr="005421A9" w:rsidRDefault="00F509BB" w:rsidP="00F509BB">
      <w:pPr>
        <w:widowControl w:val="0"/>
        <w:tabs>
          <w:tab w:val="left" w:pos="586"/>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94. Atbilstīgi tam, kā noteikts C punkta 17. apakšpunkta e) daļas ii) punktā, izslēgtajam kontam jābūt izveidotam saistībā ar nekustamā īpašuma vai personīgās mantas pārdošanu, apmaiņu vai iznomāšanu. Nosakot nekustamā īpašuma vai personīgās mantas jēdziena nozīmi, pamatojoties uz tās jurisdikcijas tiesību aktiem, kurā konts tiek uzturēts, ir iespējams izvairīties no interpretācijas sarežģījumiem jautājumā par to, vai aktīvs vai tiesības ir uzskatāmas par nekustamo īpašumu (t. i., par nekustamo mantu), personisko mantu vai nevienu no tiem.</w:t>
      </w:r>
    </w:p>
    <w:p w14:paraId="4C86FE3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94.bis “Neatkarīgs apstiprinājums” saistībā ar C punkta 17. apakšpunkta e) daļas v) punkta ii) ievilkumu ir rakstisks apstiprinājums, kas apliecina uzņēmuma dibināšanu vai kapitāla palielinājumu, piemēram, izraksts no komercreģistra vai apstiprinājums, ko sniedzis advokāts, notārs vai cits pakalpojuma sniedzējs, kurš sekmē darījuma izpildi saskaņā ar attiecīgo tiesību aktu.</w:t>
      </w:r>
    </w:p>
    <w:p w14:paraId="71D27A0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94.ter C punkta 17. apakšpunkta e) daļas v) punkta iv) ievilkumā ir atzīts, ka dažos gadījumos, ja uzņēmums netiek nodibināts, šim nolūkam izveidoto kontu var izmantot arī tamdēļ, lai veiktu maksājumus uzņēmuma reģistrēšanas procesā iesaistītajiem pakalpojuma sniedzējiem. Tādējādi personām, kas iemaksājušas summas, tās var atmaksāt, no iemaksātās summas atrēķinot pakalpojuma sniedzēja un līdzīgas maksas, kas saistībā ar C punkta 17. apakšpunkta e) daļas v) punkta iv) ievilkumu ir summas, kas samaksātas advokātiem, notāriem, uzņēmuma reģistratoriem, kā arī citi maksājumi, kas nepieciešami, lai sekmētu uzņēmuma reģistrēšanu vai kapitālieguldījumus.</w:t>
      </w:r>
    </w:p>
    <w:p w14:paraId="32A09C1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Zemas vērtības noteikti elektroniskās naudas produkti</w:t>
      </w:r>
    </w:p>
    <w:p w14:paraId="5691CD4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94.quater C punkta 17. apakšpunkta e.bis daļā ir paredzēts, ka noguldījumu konts, kas pārstāv visus noteiktos elektroniskās naudas produktus, kuri tiek turēti turētāja kontā, ja apkopotās konta bilances vai vērtības slīdošais vidējais rādītājs dienas beigās jebkurā 90 secīgu dienu periodā nepārsniedz 10 000 USD jebkurā dienā kalendārajā gadā vai citā atbilstošā pārskata periodā, ir izslēgtais konts. Konta bilances vai vērtības 90 dienu slīdošais vidējais rādītājs dienas beigās jebkurā 90 secīgu dienu periodā ir jānosaka katrai dienai, un to iegūst par katru konkrētu dienu, pieskaitot katras dienas konta bilanci dienas beigās pēdējo 90 secīgu dienu periodā, tad iegūto summu dalot ar 90, kā parādīts turpmākajā piemērā.</w:t>
      </w:r>
    </w:p>
    <w:p w14:paraId="327D7809" w14:textId="77777777" w:rsidR="00F509BB" w:rsidRPr="005421A9" w:rsidRDefault="00F509BB" w:rsidP="00F509BB">
      <w:pPr>
        <w:widowControl w:val="0"/>
        <w:numPr>
          <w:ilvl w:val="1"/>
          <w:numId w:val="42"/>
        </w:numPr>
        <w:tabs>
          <w:tab w:val="left" w:pos="1235"/>
          <w:tab w:val="left" w:pos="1237"/>
        </w:tabs>
        <w:autoSpaceDE w:val="0"/>
        <w:autoSpaceDN w:val="0"/>
        <w:spacing w:before="120" w:after="120" w:line="240" w:lineRule="auto"/>
        <w:ind w:left="567" w:hanging="283"/>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 xml:space="preserve">Noguldījuma konts, kas pārstāv visus noteiktos elektroniskās naudas produktus, ko tur konta turētājs, ir izveidots N gada 12. oktobrī. Konta bilance vai vērtība dienas beigās pēdējo N gada 81 dienas periodā (t. i., no 12. oktobra līdz 31. decembrim) ir 10 USD, un N+1 gada pirmajās 9 dienās (t. i., no 1. janvāra līdz 9. janvārim) ir 100 000 USD, tātad </w:t>
      </w:r>
      <w:r>
        <w:rPr>
          <w:rFonts w:ascii="Times New Roman" w:hAnsi="Times New Roman"/>
          <w:i/>
          <w:sz w:val="24"/>
          <w:u w:val="single"/>
        </w:rPr>
        <w:lastRenderedPageBreak/>
        <w:t>konta bilances vai vērtības 90 dienu slīdošais vidējais rādītājs dienas beigās 90 secīgu dienu periodā ir (10*81)+(100 000*9)=900 810/90, t. i., 10 009 USD. Tāpēc N+1 gada 9. janvārī robežvērtība ir pārsniegta, un, sākot no tās dienas, noguldījumu konts nav izslēgtais konts. Tāpēc attiecībā uz N+1 gadu tam piemērojamas CRS ziņošanas prasības. Attiecībā uz N gadu noguldījumu konts ir izslēgtais konts.</w:t>
      </w:r>
    </w:p>
    <w:p w14:paraId="1272B72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55EA253E"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38" w:name="Low-risk_Excluded_Accounts"/>
      <w:bookmarkEnd w:id="338"/>
      <w:r>
        <w:rPr>
          <w:rFonts w:ascii="Times New Roman" w:hAnsi="Times New Roman"/>
          <w:i/>
          <w:color w:val="616161"/>
          <w:sz w:val="24"/>
        </w:rPr>
        <w:t>Zema riska izslēgtie konti</w:t>
      </w:r>
    </w:p>
    <w:p w14:paraId="12A3AAF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2BE1BD3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103. Turpmākajos piemēros atspoguļota C punkta 17. apakšpunkta g) daļas piemērošana.</w:t>
      </w:r>
    </w:p>
    <w:p w14:paraId="0E249C6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2D9108D1" w14:textId="77777777" w:rsidR="00F509BB" w:rsidRPr="005E19D4" w:rsidRDefault="00F509BB" w:rsidP="00F509BB">
      <w:pPr>
        <w:widowControl w:val="0"/>
        <w:numPr>
          <w:ilvl w:val="1"/>
          <w:numId w:val="42"/>
        </w:numPr>
        <w:tabs>
          <w:tab w:val="left" w:pos="1235"/>
          <w:tab w:val="left" w:pos="1237"/>
        </w:tabs>
        <w:autoSpaceDE w:val="0"/>
        <w:autoSpaceDN w:val="0"/>
        <w:spacing w:before="120" w:after="120" w:line="240" w:lineRule="auto"/>
        <w:ind w:left="567" w:hanging="283"/>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7. piemērs (dzīvokļu kooperatīva konts) – tāda veida konts, ko tur īpašnieku grupa vai kas tiek turēts tās vārdā, vai ko tur kondomīnijs, lai maksātu kondomīnija vai dzīvokļu kooperatīva izdevumus, un kas atbilst šādām prasībām: i) konts valsts tiesību aktos tiek reglamentēts kā īpašs konts kondomīnija vai dzīvokļu kooperatīva izmaksu segšanai, ii) kontam vai summām, kas iemaksātas un/vai turētas kontā, piemēro labvēlīgu nodokļu režīmu, iii) kontā esošās summas drīkst izmantot tikai kondomīnija vai dzīvokļu kooperatīva izdevumu apmaksai un iv) neviens īpašnieks nedrīkst iemaksāt summu, kas gadā pārsniedz 50 000 USD. Ja kādas no minētajām prasībām (piemēram, labvēlīga nodokļu režīma piemērošana finanšu kontam vai iemaksu ierobežojums līdz 50 000 USD) netiek izpildītas, var izvērtēt citus raksturlielumus vai ierobežojumus, kas nodrošina līdzvērtīgi zemu riska līmeni, ņemot vērā vietējo specifiku. Varētu iekļaut tādas iezīmes kā, piemēram: i) vienai personai ir attiecināmi ne vairāk par 20 % no ikgadējām un kopējām iemaksām, kas maksājamas gadā, ii) kontu darbina neatkarīgs speciālists, iii) par iemaksu summām un naudas izlietojumu īpašnieki lemj, vienojoties saskaņā ar kondomīnija vai dzīvokļu kooperatīva izveides dokumentiem, vai iv) līdzekļus no konta var izņemt tikai kondomīnija vai dzīvokļu kooperatīvu izdevumu segšanai. Tā kā pastāv vispārējas, alternatīvas prasības, kas nodrošina līdzvērtīgu pārliecību, ka saistībā ar kontu pastāv zems izvairīšanās no nodokļu maksāšanas risks, valsts tiesību aktos var noteikt, ka šāda veida konti ir izslēgtie konti.</w:t>
      </w:r>
    </w:p>
    <w:p w14:paraId="300BF4E5" w14:textId="77777777" w:rsidR="00F509BB" w:rsidRPr="005E19D4"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39" w:name="Paragraph_D_–_Reportable_Account"/>
      <w:bookmarkEnd w:id="339"/>
      <w:r>
        <w:rPr>
          <w:rFonts w:ascii="Times New Roman" w:hAnsi="Times New Roman"/>
          <w:b/>
          <w:i/>
          <w:sz w:val="26"/>
        </w:rPr>
        <w:t>D punkts. Konts, par kuru jāsniedz ziņojums</w:t>
      </w:r>
    </w:p>
    <w:p w14:paraId="55BECD2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13D15AD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6195AAE3"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40" w:name="Subparagraph_D(2)_and_(3)_–_Reportable_P"/>
      <w:bookmarkEnd w:id="340"/>
      <w:r>
        <w:rPr>
          <w:rFonts w:ascii="Times New Roman" w:hAnsi="Times New Roman"/>
          <w:i/>
          <w:color w:val="616161"/>
          <w:sz w:val="24"/>
        </w:rPr>
        <w:t>D punkta 2. un 3. apakšpunkts. Persona, par kuru jāsniedz ziņojums, un persona jurisdikcijā, par kuru jāsniedz ziņojums</w:t>
      </w:r>
    </w:p>
    <w:p w14:paraId="45C9B1B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65B2840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0C7EF6C1"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41" w:name="Reportable_Person"/>
      <w:bookmarkEnd w:id="341"/>
      <w:r>
        <w:rPr>
          <w:rFonts w:ascii="Times New Roman" w:hAnsi="Times New Roman"/>
          <w:i/>
          <w:color w:val="616161"/>
          <w:sz w:val="24"/>
        </w:rPr>
        <w:t>Persona, par kuru jāsniedz ziņojums</w:t>
      </w:r>
    </w:p>
    <w:p w14:paraId="7DCCFC2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3BF2BDFC" w14:textId="77777777" w:rsidR="00F509BB" w:rsidRPr="005421A9" w:rsidRDefault="00F509BB" w:rsidP="00F509BB">
      <w:pPr>
        <w:widowControl w:val="0"/>
        <w:tabs>
          <w:tab w:val="left" w:pos="689"/>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111. D punkta 2. apakšpunktā noteikts, ka “persona, par kuru jāsniedz ziņojums” ir persona jurisdikcijā, par kuru jāsniedz ziņojums,</w:t>
      </w:r>
    </w:p>
    <w:p w14:paraId="6A6F4795"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izņemot</w:t>
      </w:r>
    </w:p>
    <w:p w14:paraId="4A1A1391" w14:textId="77777777" w:rsidR="00F509BB" w:rsidRPr="005421A9" w:rsidRDefault="00F509BB" w:rsidP="00F509BB">
      <w:pPr>
        <w:widowControl w:val="0"/>
        <w:tabs>
          <w:tab w:val="left" w:pos="1173"/>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 xml:space="preserve">a) </w:t>
      </w:r>
      <w:r>
        <w:rPr>
          <w:rFonts w:ascii="Times New Roman" w:hAnsi="Times New Roman"/>
          <w:i/>
          <w:sz w:val="24"/>
          <w:u w:val="single"/>
        </w:rPr>
        <w:t>vienību</w:t>
      </w:r>
      <w:r>
        <w:rPr>
          <w:rFonts w:ascii="Times New Roman" w:hAnsi="Times New Roman"/>
          <w:strike/>
          <w:sz w:val="24"/>
        </w:rPr>
        <w:t>sabiedrību</w:t>
      </w:r>
      <w:r>
        <w:rPr>
          <w:rFonts w:ascii="Times New Roman" w:hAnsi="Times New Roman"/>
          <w:sz w:val="24"/>
        </w:rPr>
        <w:t>, kuras kapitāla daļas tiek regulāri tirgotas vienā vai vairākos vispāratzītos vērtspapīru tirgos;</w:t>
      </w:r>
    </w:p>
    <w:p w14:paraId="656D85DA" w14:textId="77777777" w:rsidR="00F509BB" w:rsidRPr="005421A9" w:rsidRDefault="00F509BB" w:rsidP="00F509BB">
      <w:pPr>
        <w:widowControl w:val="0"/>
        <w:tabs>
          <w:tab w:val="left" w:pos="1182"/>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 xml:space="preserve">b) jebkādu </w:t>
      </w:r>
      <w:r>
        <w:rPr>
          <w:rFonts w:ascii="Times New Roman" w:hAnsi="Times New Roman"/>
          <w:i/>
          <w:sz w:val="24"/>
          <w:u w:val="single"/>
        </w:rPr>
        <w:t>vienību</w:t>
      </w:r>
      <w:r>
        <w:rPr>
          <w:rFonts w:ascii="Times New Roman" w:hAnsi="Times New Roman"/>
          <w:strike/>
          <w:sz w:val="24"/>
        </w:rPr>
        <w:t>sabiedrību</w:t>
      </w:r>
      <w:r>
        <w:rPr>
          <w:rFonts w:ascii="Times New Roman" w:hAnsi="Times New Roman"/>
          <w:sz w:val="24"/>
        </w:rPr>
        <w:t xml:space="preserve">, kas ir iepriekš minētās </w:t>
      </w:r>
      <w:r>
        <w:rPr>
          <w:rFonts w:ascii="Times New Roman" w:hAnsi="Times New Roman"/>
          <w:strike/>
          <w:sz w:val="24"/>
        </w:rPr>
        <w:t>sabiedrības</w:t>
      </w:r>
      <w:r>
        <w:rPr>
          <w:rFonts w:ascii="Times New Roman" w:hAnsi="Times New Roman"/>
          <w:i/>
          <w:sz w:val="24"/>
          <w:u w:val="single"/>
        </w:rPr>
        <w:t>vienības</w:t>
      </w:r>
      <w:r>
        <w:rPr>
          <w:rFonts w:ascii="Times New Roman" w:hAnsi="Times New Roman"/>
          <w:sz w:val="24"/>
        </w:rPr>
        <w:t xml:space="preserve"> saistītā vienība;</w:t>
      </w:r>
    </w:p>
    <w:p w14:paraId="35B4F6C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lastRenderedPageBreak/>
        <w:t>(..)</w:t>
      </w:r>
    </w:p>
    <w:p w14:paraId="7A6C106C" w14:textId="77777777" w:rsidR="00F509BB" w:rsidRPr="005421A9" w:rsidRDefault="00F509BB" w:rsidP="00F509BB">
      <w:pPr>
        <w:widowControl w:val="0"/>
        <w:tabs>
          <w:tab w:val="left" w:pos="670"/>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112. Tas, vai </w:t>
      </w:r>
      <w:r>
        <w:rPr>
          <w:rFonts w:ascii="Times New Roman" w:hAnsi="Times New Roman"/>
          <w:i/>
          <w:sz w:val="24"/>
          <w:u w:val="single"/>
        </w:rPr>
        <w:t>vienība, kura ir</w:t>
      </w:r>
      <w:r>
        <w:rPr>
          <w:rFonts w:ascii="Times New Roman" w:hAnsi="Times New Roman"/>
          <w:sz w:val="24"/>
        </w:rPr>
        <w:t xml:space="preserve"> sabiedrība, kas ir persona jurisdikcijā, par kuru jāsniedz ziņojums, ir D punkta 2. apakšpunkta i) daļā minētā persona, par kuru jāsniedz ziņojums, var būt atkarīgs no šīs sabiedrības akcijām, kas tiek regulāri tirgotas vienā vai vairākos vispāratzītos vērtspapīru tirgos. Akcijas tiek “regulāri tirgotas”, ja pastāv ievērojama apjoma tirdzniecība ar akcijām, un “vispāratzīts vērtspapīru tirgus” ir birža, kuru oficiāli atzinusi un uzrauga valdības iestāde, kas atbild par jurisdikciju, kurā atrodas tirgus, un kam ir ievērojama biržā tirgoto akciju gada vērtība.</w:t>
      </w:r>
    </w:p>
    <w:p w14:paraId="1EBF012A" w14:textId="77777777" w:rsidR="00F509BB" w:rsidRPr="005421A9" w:rsidRDefault="00F509BB" w:rsidP="00F509BB">
      <w:pPr>
        <w:widowControl w:val="0"/>
        <w:tabs>
          <w:tab w:val="left" w:pos="685"/>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113. Attiecībā uz katru sabiedrības akciju klasi “ievērojama apjoma tirdzniecība ar akcijām pastāv” tad, ja i) katrā šādā klasē vismaz 60 darba dienas iepriekšējā kalendārā gada laikā ir veikta tirgošanās, kuras apjomi pārsniedz minimālus daudzumus, vienā vai vairākos vispāratzītos vērtspapīru tirgos un ii) ja akciju kopējais skaits katrā šādā klasē, kas tikusi tirgota šādā tirgū vai tirgos iepriekšējā gada laikā, ir vismaz 10 % no vidējā akciju skaita, kas ir apgrozībā attiecīgajā klasē iepriekšējā kalendārā gada laikā. </w:t>
      </w:r>
      <w:r>
        <w:rPr>
          <w:rFonts w:ascii="Times New Roman" w:hAnsi="Times New Roman"/>
          <w:i/>
          <w:sz w:val="24"/>
          <w:u w:val="single"/>
        </w:rPr>
        <w:t>Šajā standartā “katra sabiedrības akciju klase” ir vienā vai vairākās klasēs iedalītas sabiedrības akcijas, kas i) tika kotētas vienā vai vairākos atzītos vērtspapīru tirgos iepriekšējā kalendārajā gadā un ii) summāri ir vairāk par 50 % no a) šādas balsstiesīgas sabiedrības visu klašu akciju kopējām kombinētajām balsstiesībām un b) šādas sabiedrības akciju kopējās vērtības.</w:t>
      </w:r>
    </w:p>
    <w:p w14:paraId="209C5A8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294A0F0A"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42" w:name="Subparagraphs_D(6)_through_(9)_–_NFE_and"/>
      <w:bookmarkEnd w:id="342"/>
      <w:r>
        <w:rPr>
          <w:rFonts w:ascii="Times New Roman" w:hAnsi="Times New Roman"/>
          <w:i/>
          <w:color w:val="616161"/>
          <w:sz w:val="24"/>
        </w:rPr>
        <w:t>D punkta 6.–9. apakšpunkts. Nefinanšu vienība un kontrolējošās personas</w:t>
      </w:r>
    </w:p>
    <w:p w14:paraId="192FC13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5814E307" w14:textId="77777777" w:rsidR="00F509BB" w:rsidRPr="005421A9" w:rsidRDefault="00F509BB" w:rsidP="00F509BB">
      <w:pPr>
        <w:widowControl w:val="0"/>
        <w:tabs>
          <w:tab w:val="left" w:pos="685"/>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125. D punkta 9. apakšpunkta a) daļā aprakstīts šāds kritērijs, kas nosaka, vai vienība kvalificējas “aktīvas vienības statusam ienākumu un aktīvu dēļ”, – mazāk nekā 50 % no vienības bruto ienākumiem iepriekšējā kalendārajā gadā vai citā atbilstīgā pārskata periodā ir pasīvi ienākumi un mazāk nekā 50 % no vienības turētiem aktīviem iepriekšējā kalendārajā gadā vai citā atbilstīgā pārskata periodā ir aktīvi, kuri tiek turēti pasīvu ienākumu gūšanai. </w:t>
      </w:r>
      <w:r>
        <w:rPr>
          <w:rFonts w:ascii="Times New Roman" w:hAnsi="Times New Roman"/>
          <w:i/>
          <w:sz w:val="24"/>
          <w:u w:val="single"/>
        </w:rPr>
        <w:t>Pārbaudē, vai aktīvs tiek turēts pasīvu ienākumu gūšanai, netiek prasīts, lai attiecīgajā periodā pasīvie ienākumi tiktu gūti faktiski. Bet tiek prasīts, ka aktīviem ir jābūt tāda veida aktīviem, ar kuriem var gūt vai tiek gūti pasīvie ienākumi. Piemēram, nauda ir jāskata kā līdzeklis, ar ko gūst pasīvus ienākumus (procentus) vai kas tiek turēts pasīvu ienākumu gūšanai, pat ja faktiski šādi ienākumi netiek gūti.</w:t>
      </w:r>
    </w:p>
    <w:p w14:paraId="34566148" w14:textId="77777777" w:rsidR="00F509BB" w:rsidRPr="005421A9" w:rsidRDefault="00F509BB" w:rsidP="00F509BB">
      <w:pPr>
        <w:widowControl w:val="0"/>
        <w:tabs>
          <w:tab w:val="left" w:pos="706"/>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126. Tas, kas tiek apzīmēts ar terminu “pasīvi ienākumi”, tiek noteikts, pamatojoties uz katras jurisdikcijas noteikumiem. Parasti par pasīviem ienākumiem tiek uzskatīta to bruto ienākumu daļa, ko veido:</w:t>
      </w:r>
    </w:p>
    <w:p w14:paraId="70DEC38C" w14:textId="77777777" w:rsidR="00F509BB" w:rsidRPr="005421A9" w:rsidRDefault="00F509BB" w:rsidP="00F509BB">
      <w:pPr>
        <w:widowControl w:val="0"/>
        <w:tabs>
          <w:tab w:val="left" w:pos="1194"/>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a) dividendes;</w:t>
      </w:r>
    </w:p>
    <w:p w14:paraId="2D00BB23" w14:textId="77777777" w:rsidR="00F509BB" w:rsidRPr="005421A9" w:rsidRDefault="00F509BB" w:rsidP="00F509BB">
      <w:pPr>
        <w:widowControl w:val="0"/>
        <w:tabs>
          <w:tab w:val="left" w:pos="1194"/>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b) procenti;</w:t>
      </w:r>
    </w:p>
    <w:p w14:paraId="1017E923" w14:textId="77777777" w:rsidR="00F509BB" w:rsidRPr="005421A9" w:rsidRDefault="00F509BB" w:rsidP="00F509BB">
      <w:pPr>
        <w:widowControl w:val="0"/>
        <w:tabs>
          <w:tab w:val="left" w:pos="1185"/>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c) ienākums, kas līdzvērtīgs procentiem vai dividendēm;</w:t>
      </w:r>
    </w:p>
    <w:p w14:paraId="005798C5" w14:textId="77777777" w:rsidR="00F509BB" w:rsidRPr="005421A9" w:rsidRDefault="00F509BB" w:rsidP="00F509BB">
      <w:pPr>
        <w:widowControl w:val="0"/>
        <w:tabs>
          <w:tab w:val="left" w:pos="1206"/>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d) nomas maksa un honorāri, izņemot nomas maksu un honorārus, kuri iegūti aktīvā darījumdarbībā, ko vismaz daļēji veic vienības darbinieki;</w:t>
      </w:r>
    </w:p>
    <w:p w14:paraId="3B8C61C2" w14:textId="77777777" w:rsidR="00F509BB" w:rsidRPr="005421A9" w:rsidRDefault="00F509BB" w:rsidP="00F509BB">
      <w:pPr>
        <w:widowControl w:val="0"/>
        <w:tabs>
          <w:tab w:val="left" w:pos="1194"/>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e) anuitātes;</w:t>
      </w:r>
    </w:p>
    <w:p w14:paraId="138F1F0E" w14:textId="77777777" w:rsidR="00F509BB" w:rsidRPr="005421A9" w:rsidRDefault="00F509BB" w:rsidP="00F509BB">
      <w:pPr>
        <w:widowControl w:val="0"/>
        <w:tabs>
          <w:tab w:val="left" w:pos="1084"/>
        </w:tabs>
        <w:autoSpaceDE w:val="0"/>
        <w:autoSpaceDN w:val="0"/>
        <w:spacing w:before="120" w:after="120" w:line="240" w:lineRule="auto"/>
        <w:ind w:left="284"/>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f) ienākumi no attiecīgajiem kriptoaktīviem;</w:t>
      </w:r>
    </w:p>
    <w:p w14:paraId="74A71A33"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i/>
          <w:strike/>
          <w:sz w:val="24"/>
          <w:u w:val="single"/>
        </w:rPr>
        <w:t>f</w:t>
      </w:r>
      <w:r>
        <w:rPr>
          <w:rFonts w:ascii="Times New Roman" w:hAnsi="Times New Roman"/>
          <w:i/>
          <w:sz w:val="24"/>
          <w:u w:val="single"/>
        </w:rPr>
        <w:t>g</w:t>
      </w:r>
      <w:r>
        <w:rPr>
          <w:rFonts w:ascii="Times New Roman" w:hAnsi="Times New Roman"/>
          <w:sz w:val="24"/>
        </w:rPr>
        <w:t xml:space="preserve">) ieņēmumu pārsvars pār zaudējumiem no finanšu aktīvu </w:t>
      </w:r>
      <w:r>
        <w:rPr>
          <w:rFonts w:ascii="Times New Roman" w:hAnsi="Times New Roman"/>
          <w:i/>
          <w:iCs/>
          <w:sz w:val="24"/>
          <w:u w:val="single"/>
        </w:rPr>
        <w:t>vai attiecīgo kriptoaktīvu</w:t>
      </w:r>
      <w:r>
        <w:rPr>
          <w:rFonts w:ascii="Times New Roman" w:hAnsi="Times New Roman"/>
          <w:sz w:val="24"/>
        </w:rPr>
        <w:t xml:space="preserve"> pārdošanas vai apmaiņas;</w:t>
      </w:r>
    </w:p>
    <w:p w14:paraId="49A5069F" w14:textId="77777777" w:rsidR="00F509BB" w:rsidRPr="005421A9" w:rsidRDefault="00F509BB" w:rsidP="000D63C9">
      <w:pPr>
        <w:keepNext/>
        <w:keepLines/>
        <w:widowControl w:val="0"/>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i/>
          <w:strike/>
          <w:sz w:val="24"/>
          <w:u w:val="single"/>
        </w:rPr>
        <w:lastRenderedPageBreak/>
        <w:t>g</w:t>
      </w:r>
      <w:r>
        <w:rPr>
          <w:rFonts w:ascii="Times New Roman" w:hAnsi="Times New Roman"/>
          <w:i/>
          <w:sz w:val="24"/>
          <w:u w:val="single"/>
        </w:rPr>
        <w:t>h</w:t>
      </w:r>
      <w:r>
        <w:rPr>
          <w:rFonts w:ascii="Times New Roman" w:hAnsi="Times New Roman"/>
          <w:sz w:val="24"/>
        </w:rPr>
        <w:t xml:space="preserve">) darījumos ar finanšu aktīviem </w:t>
      </w:r>
      <w:r>
        <w:rPr>
          <w:rFonts w:ascii="Times New Roman" w:hAnsi="Times New Roman"/>
          <w:i/>
          <w:iCs/>
          <w:sz w:val="24"/>
          <w:u w:val="single"/>
        </w:rPr>
        <w:t>vai attiecīgajiem kriptoaktīviem</w:t>
      </w:r>
      <w:r>
        <w:rPr>
          <w:rFonts w:ascii="Times New Roman" w:hAnsi="Times New Roman"/>
          <w:sz w:val="24"/>
        </w:rPr>
        <w:t xml:space="preserve"> (tostarp standartizētajos un nestandartizētajos nākotnes darījumos, iespējas darījumos un līdzīgos darījumos) gūto ieņēmumu pārsvars pār zaudējumiem;</w:t>
      </w:r>
    </w:p>
    <w:p w14:paraId="5AFBD169"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i/>
          <w:strike/>
          <w:sz w:val="24"/>
          <w:u w:val="single"/>
        </w:rPr>
        <w:t>h</w:t>
      </w:r>
      <w:r>
        <w:rPr>
          <w:rFonts w:ascii="Times New Roman" w:hAnsi="Times New Roman"/>
          <w:i/>
          <w:sz w:val="24"/>
          <w:u w:val="single"/>
        </w:rPr>
        <w:t>i</w:t>
      </w:r>
      <w:r>
        <w:rPr>
          <w:rFonts w:ascii="Times New Roman" w:hAnsi="Times New Roman"/>
          <w:sz w:val="24"/>
        </w:rPr>
        <w:t>) ārvalstu valūtas ieņēmumu pārsvars pār ārvalstu valūtas zaudējumiem;</w:t>
      </w:r>
    </w:p>
    <w:p w14:paraId="099D8636"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i/>
          <w:strike/>
          <w:noProof/>
          <w:sz w:val="24"/>
          <w:u w:val="single"/>
        </w:rPr>
        <mc:AlternateContent>
          <mc:Choice Requires="wps">
            <w:drawing>
              <wp:anchor distT="0" distB="0" distL="0" distR="0" simplePos="0" relativeHeight="251658250" behindDoc="1" locked="0" layoutInCell="1" allowOverlap="1" wp14:anchorId="55846B8D" wp14:editId="541ED45E">
                <wp:simplePos x="0" y="0"/>
                <wp:positionH relativeFrom="page">
                  <wp:posOffset>1284986</wp:posOffset>
                </wp:positionH>
                <wp:positionV relativeFrom="paragraph">
                  <wp:posOffset>145636</wp:posOffset>
                </wp:positionV>
                <wp:extent cx="27940" cy="635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 cy="6350"/>
                        </a:xfrm>
                        <a:custGeom>
                          <a:avLst/>
                          <a:gdLst/>
                          <a:ahLst/>
                          <a:cxnLst/>
                          <a:rect l="l" t="t" r="r" b="b"/>
                          <a:pathLst>
                            <a:path w="27940" h="6350">
                              <a:moveTo>
                                <a:pt x="27431" y="0"/>
                              </a:moveTo>
                              <a:lnTo>
                                <a:pt x="0" y="0"/>
                              </a:lnTo>
                              <a:lnTo>
                                <a:pt x="0" y="6096"/>
                              </a:lnTo>
                              <a:lnTo>
                                <a:pt x="27431" y="6096"/>
                              </a:lnTo>
                              <a:lnTo>
                                <a:pt x="274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AB96F2" id="Graphic 69" o:spid="_x0000_s1026" style="position:absolute;margin-left:101.2pt;margin-top:11.45pt;width:2.2pt;height:.5pt;z-index:-251658230;visibility:visible;mso-wrap-style:square;mso-wrap-distance-left:0;mso-wrap-distance-top:0;mso-wrap-distance-right:0;mso-wrap-distance-bottom:0;mso-position-horizontal:absolute;mso-position-horizontal-relative:page;mso-position-vertical:absolute;mso-position-vertical-relative:text;v-text-anchor:top" coordsize="279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" path="m27431,l,,,6096r27431,l27431,xe" fillcolor="black" stroked="f">
                <v:path arrowok="t"/>
                <w10:wrap anchorx="page"/>
              </v:shape>
            </w:pict>
          </mc:Fallback>
        </mc:AlternateContent>
      </w:r>
      <w:r>
        <w:rPr>
          <w:rFonts w:ascii="Times New Roman" w:hAnsi="Times New Roman"/>
          <w:i/>
          <w:strike/>
          <w:sz w:val="24"/>
          <w:u w:val="single"/>
        </w:rPr>
        <w:t>i</w:t>
      </w:r>
      <w:r>
        <w:rPr>
          <w:rFonts w:ascii="Times New Roman" w:hAnsi="Times New Roman"/>
          <w:i/>
          <w:sz w:val="24"/>
          <w:u w:val="single"/>
        </w:rPr>
        <w:t>j</w:t>
      </w:r>
      <w:r>
        <w:rPr>
          <w:rFonts w:ascii="Times New Roman" w:hAnsi="Times New Roman"/>
          <w:sz w:val="24"/>
        </w:rPr>
        <w:t>) tīrie ienākumi no mijmaiņas darījumiem vai</w:t>
      </w:r>
    </w:p>
    <w:p w14:paraId="7B3269A8"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i/>
          <w:strike/>
          <w:noProof/>
          <w:sz w:val="24"/>
          <w:u w:val="single"/>
        </w:rPr>
        <mc:AlternateContent>
          <mc:Choice Requires="wps">
            <w:drawing>
              <wp:anchor distT="0" distB="0" distL="0" distR="0" simplePos="0" relativeHeight="251658251" behindDoc="1" locked="0" layoutInCell="1" allowOverlap="1" wp14:anchorId="3DC5F350" wp14:editId="6E1423BE">
                <wp:simplePos x="0" y="0"/>
                <wp:positionH relativeFrom="page">
                  <wp:posOffset>1284986</wp:posOffset>
                </wp:positionH>
                <wp:positionV relativeFrom="paragraph">
                  <wp:posOffset>143871</wp:posOffset>
                </wp:positionV>
                <wp:extent cx="27940" cy="635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 cy="6350"/>
                        </a:xfrm>
                        <a:custGeom>
                          <a:avLst/>
                          <a:gdLst/>
                          <a:ahLst/>
                          <a:cxnLst/>
                          <a:rect l="l" t="t" r="r" b="b"/>
                          <a:pathLst>
                            <a:path w="27940" h="6350">
                              <a:moveTo>
                                <a:pt x="27431" y="0"/>
                              </a:moveTo>
                              <a:lnTo>
                                <a:pt x="0" y="0"/>
                              </a:lnTo>
                              <a:lnTo>
                                <a:pt x="0" y="6096"/>
                              </a:lnTo>
                              <a:lnTo>
                                <a:pt x="27431" y="6096"/>
                              </a:lnTo>
                              <a:lnTo>
                                <a:pt x="274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F8BFA2" id="Graphic 70" o:spid="_x0000_s1026" style="position:absolute;margin-left:101.2pt;margin-top:11.35pt;width:2.2pt;height:.5pt;z-index:-251658229;visibility:visible;mso-wrap-style:square;mso-wrap-distance-left:0;mso-wrap-distance-top:0;mso-wrap-distance-right:0;mso-wrap-distance-bottom:0;mso-position-horizontal:absolute;mso-position-horizontal-relative:page;mso-position-vertical:absolute;mso-position-vertical-relative:text;v-text-anchor:top" coordsize="279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" path="m27431,l,,,6096r27431,l27431,xe" fillcolor="black" stroked="f">
                <v:path arrowok="t"/>
                <w10:wrap anchorx="page"/>
              </v:shape>
            </w:pict>
          </mc:Fallback>
        </mc:AlternateContent>
      </w:r>
      <w:r>
        <w:rPr>
          <w:rFonts w:ascii="Times New Roman" w:hAnsi="Times New Roman"/>
          <w:i/>
          <w:strike/>
          <w:sz w:val="24"/>
          <w:u w:val="single"/>
        </w:rPr>
        <w:t>j</w:t>
      </w:r>
      <w:r>
        <w:rPr>
          <w:rFonts w:ascii="Times New Roman" w:hAnsi="Times New Roman"/>
          <w:i/>
          <w:sz w:val="24"/>
          <w:u w:val="single"/>
        </w:rPr>
        <w:t>k</w:t>
      </w:r>
      <w:r>
        <w:rPr>
          <w:rFonts w:ascii="Times New Roman" w:hAnsi="Times New Roman"/>
          <w:sz w:val="24"/>
        </w:rPr>
        <w:t>) summas, kas saņemtas saskaņā ar apdrošināšanas līgumu ar naudas vērtību.</w:t>
      </w:r>
    </w:p>
    <w:p w14:paraId="580C3A0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Atkāpjoties no iepriekš minētā, gadījumos, kad nefinanšu vienība regulāri darbojas kā finanšu aktīvu </w:t>
      </w:r>
      <w:r>
        <w:rPr>
          <w:rFonts w:ascii="Times New Roman" w:hAnsi="Times New Roman"/>
          <w:i/>
          <w:iCs/>
          <w:sz w:val="24"/>
          <w:u w:val="single"/>
        </w:rPr>
        <w:t>vai attiecīgo kriptoaktīvu</w:t>
      </w:r>
      <w:r>
        <w:rPr>
          <w:rFonts w:ascii="Times New Roman" w:hAnsi="Times New Roman"/>
          <w:sz w:val="24"/>
        </w:rPr>
        <w:t xml:space="preserve"> dīleris, pasīvos ienākumos netiek ietverti ienākumi no darījumiem, kas veikti šāda dīlera statusā tā parastajā darījumdarbībā. Turklāt ienākumus, kas gūti no aktīviem, lai tos ieguldītu apdrošināšanas uzņēmējdarbības kapitālā, var uzskatīt par aktīviem ienākumiem.</w:t>
      </w:r>
    </w:p>
    <w:p w14:paraId="681B233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126.bis Lai veicinātu standarta efektīvu īstenošanu, jurisdikcijas definīcijai attiecībā uz terminu “pasīvie ienākumi” būtībā jāsaskan ar 126. punktā sniegto uzskaitījumu. Katra jurisdikcija savos konkrētajos noteikumos var definēt pasīvo ienākumu uzskaitījumā iekļautos elementus (piemēram, ienākumi, kas līdzvērtīgi procentiem un dividendēm) saskaņā ar valsts noteikumiem.</w:t>
      </w:r>
    </w:p>
    <w:p w14:paraId="7423CF4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1CD48548" w14:textId="77777777" w:rsidR="00F509BB" w:rsidRPr="00056AA8"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bookmarkStart w:id="343" w:name="Paragraph_E_–_Miscellaneous"/>
      <w:bookmarkEnd w:id="343"/>
      <w:r>
        <w:rPr>
          <w:rFonts w:ascii="Times New Roman" w:hAnsi="Times New Roman"/>
          <w:b/>
          <w:i/>
          <w:sz w:val="26"/>
        </w:rPr>
        <w:t>E punkts. Dažādi</w:t>
      </w:r>
    </w:p>
    <w:p w14:paraId="2009D993"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44" w:name="Subparagraph_E(1)_–_Account_Holder"/>
      <w:bookmarkEnd w:id="344"/>
      <w:r>
        <w:rPr>
          <w:rFonts w:ascii="Times New Roman" w:hAnsi="Times New Roman"/>
          <w:i/>
          <w:color w:val="616161"/>
          <w:sz w:val="24"/>
        </w:rPr>
        <w:t>E punkta 1. apakšpunkts. Konta turētājs</w:t>
      </w:r>
    </w:p>
    <w:p w14:paraId="34EC9BA5" w14:textId="77777777" w:rsidR="00F509BB" w:rsidRPr="005421A9" w:rsidRDefault="00F509BB" w:rsidP="00F509BB">
      <w:pPr>
        <w:widowControl w:val="0"/>
        <w:tabs>
          <w:tab w:val="left" w:pos="685"/>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140. Attiecībā uz kopīgi turētu kontu katrs šāda konta turētājs tiek uzskatīts par konta turētāju saistībā ar nepieciešamību noteikt, vai konts ir konts, par kuru jāsniedz ziņojums. Tādējādi konts ir tāds konts, par kuru jāsniedz ziņojums, ja jebkurš no konta turētājiem ir persona, par kuru jāsniedz ziņojums, vai pasīva nefinanšu vienība, kuru kontrolē viena vai vairākas personas, par ko jāsniedz ziņojums. Ja vairākas personas, par kurām jāsniedz ziņojums, ir kopīgā konta turētāji, tad katra persona, par kuru jāsniedz ziņojums, tiek uzskatīta par konta turētāju un tai tiek piedēvēta visu kopīgi turētā konta bilance, tostarp saistībā ar VII panta C punkta 1.–3. apakšpunktā izklāstīto apkopošanas noteikumu piemērošanu. </w:t>
      </w:r>
      <w:r>
        <w:rPr>
          <w:rFonts w:ascii="Times New Roman" w:hAnsi="Times New Roman"/>
          <w:i/>
          <w:sz w:val="24"/>
          <w:u w:val="single"/>
        </w:rPr>
        <w:t>Gadījumā, ja konta īpašumtiesības ir gan īpašniekam bez lietošanas tiesībām, gan lietotājam, pienācīgas pārbaudes un ziņošanas nolūkos abus var uzskatīt par kopīgā konta turētājiem vai kā trastu kontrolējošās personas.</w:t>
      </w:r>
    </w:p>
    <w:p w14:paraId="741BC81A" w14:textId="77777777" w:rsidR="00F509BB" w:rsidRPr="005421A9" w:rsidRDefault="00F509BB" w:rsidP="00F509BB">
      <w:pPr>
        <w:widowControl w:val="0"/>
        <w:tabs>
          <w:tab w:val="left" w:pos="695"/>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141. Apdrošināšanas līguma ar naudas vērtību vai anuitātes līguma gadījumā konta turētājs ir jebkura persona, kurai ir tiesības piekļūt naudas vērtībai vai mainīt līguma labuma guvēju. Ja neviena persona nevar piekļūt naudas vērtībai vai mainīt labuma guvēju, tad konta turētājs ir jebkura persona, kura norādīta līgumā kā īpašnieks, un jebkura persona, kurai ir tiesības saņemt maksājumu saskaņā ar līguma noteikumiem. Kad tiek sasniegts apdrošināšanas līguma ar naudas vērtību vai anuitātes līguma maksājuma termiņš (t. i., kad saskaņā ar līgumu ir jāizpilda pienākums izmaksāt summu), par konta turētāju tiek uzskatīta katra persona, kurai ir tiesības saņemt maksājumu saskaņā ar attiecīgo līgumu. </w:t>
      </w:r>
      <w:r>
        <w:rPr>
          <w:rFonts w:ascii="Times New Roman" w:hAnsi="Times New Roman"/>
          <w:i/>
          <w:sz w:val="24"/>
          <w:u w:val="single"/>
        </w:rPr>
        <w:t>Personas, kas ir tiesīgas piekļūt naudas vērtībai vai tiesīgas mainīt līguma labuma guvējus, visos gadījumos ir uzskatāmas par konta turētājiem attiecībā uz apdrošināšanas līgumu ar naudas vērtību, ja vien tās galīgi, pilnībā un neatgriezeniski neatsakās gan no tiesībām piekļūt naudas vērtībai, gan no tiesībām mainīt apdrošināšanas līguma ar naudas vērtību labuma guvējus.</w:t>
      </w:r>
    </w:p>
    <w:p w14:paraId="68D8925E" w14:textId="77777777" w:rsidR="00F509BB" w:rsidRPr="005421A9" w:rsidRDefault="00F509BB" w:rsidP="00F509BB">
      <w:pPr>
        <w:widowControl w:val="0"/>
        <w:tabs>
          <w:tab w:val="left" w:pos="68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142. Turpmākajos piemēros atspoguļota E punkta 1. apakšpunkta piemērošana.</w:t>
      </w:r>
    </w:p>
    <w:p w14:paraId="577402FA" w14:textId="77777777" w:rsidR="00F509BB" w:rsidRPr="005421A9" w:rsidRDefault="00F509BB" w:rsidP="00F509BB">
      <w:pPr>
        <w:widowControl w:val="0"/>
        <w:numPr>
          <w:ilvl w:val="1"/>
          <w:numId w:val="41"/>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1. piemērs (kontu tur aģents). F ir saņēmis pilnvaru no U, kas ir persona, par kuru jāsniedz ziņojums, un tā pilnvaro F atvērt un turēt noguldījumu kontu U vārdā, veikt noguldījumus šajā kontā un izņemt finanšu līdzekļus no tā. Konta bilance kalendārajā gadā ir 100 000 USD. Finanšu iestādē, kas sniedz ziņojumus, F ir norādīts kā noguldījumu konta </w:t>
      </w:r>
      <w:r>
        <w:rPr>
          <w:rFonts w:ascii="Times New Roman" w:hAnsi="Times New Roman"/>
          <w:sz w:val="24"/>
        </w:rPr>
        <w:lastRenderedPageBreak/>
        <w:t>turētājs, taču, ņemot vērā, ka F tur kontu U vārdā kā tā aģents, F nav galīgās tiesības uz kontā esošajiem finanšu līdzekļiem. Tā kā tiek uzskatīts, ka noguldījumu konta turētājs ir U, kas ir persona, par kuru jāsniedz ziņojums, tad arī šis konts ir konts, par kuru jāsniedz ziņojums.</w:t>
      </w:r>
    </w:p>
    <w:p w14:paraId="18A32111" w14:textId="77777777" w:rsidR="00F509BB" w:rsidRPr="005421A9" w:rsidRDefault="00F509BB" w:rsidP="00F509BB">
      <w:pPr>
        <w:widowControl w:val="0"/>
        <w:numPr>
          <w:ilvl w:val="1"/>
          <w:numId w:val="41"/>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2. piemērs (kopīgi turēti konti). U, kas ir persona, par kuru jāsniedz ziņojums, tur noguldījumu kontu finanšu iestādē, kas sniedz ziņojumus. Konta bilance kalendārajā gadā ir 100 000 USD. Konts tiek turēts kopā ar A – privātpersonu, kas nav persona, par kuru jāsniedz ziņojums. Tā kā viens no kopīgā konta turētājiem ir persona, par kuru jāsniedz ziņojums, tad konts ir konts, par kuru jāsniedz ziņojums.</w:t>
      </w:r>
    </w:p>
    <w:p w14:paraId="45384066" w14:textId="77777777" w:rsidR="00F509BB" w:rsidRPr="005421A9" w:rsidRDefault="00F509BB" w:rsidP="00F509BB">
      <w:pPr>
        <w:widowControl w:val="0"/>
        <w:numPr>
          <w:ilvl w:val="1"/>
          <w:numId w:val="41"/>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3. piemērs (kopīgi turēti konti). U un Q ir personas, par kurām jāsniedz ziņojums, un tās tur noguldījumu kontu finanšu iestādē, kas sniedz ziņojumus. Konta bilance kalendārajā gadā ir 100 000 USD. Konts ir konts, par kuru jāsniedz ziņojums, un U un Q ir uzskatāmi par konta turētājiem.</w:t>
      </w:r>
    </w:p>
    <w:p w14:paraId="1A0B5DE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11D2587"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45" w:name="Subparagraphs_E(3)_and_(4)_–_Entity_and_"/>
      <w:bookmarkEnd w:id="345"/>
      <w:r>
        <w:rPr>
          <w:rFonts w:ascii="Times New Roman" w:hAnsi="Times New Roman"/>
          <w:i/>
          <w:color w:val="616161"/>
          <w:sz w:val="24"/>
        </w:rPr>
        <w:t>E punkta 3. un 4. apakšpunkts. Vienība un saistītā vienība</w:t>
      </w:r>
    </w:p>
    <w:p w14:paraId="16358D01" w14:textId="77777777" w:rsidR="00F509BB" w:rsidRPr="005421A9" w:rsidRDefault="00F509BB" w:rsidP="00F509BB">
      <w:pPr>
        <w:widowControl w:val="0"/>
        <w:tabs>
          <w:tab w:val="left" w:pos="69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144. E punkta 3. apakšpunktā noteikts, ka “vienība” ir juridiska persona vai juridisks veidojums. Papildus jebkuram juridiskam veidojumam šis termins ietver jebkuru personu, kas nav privātpersona (t. i., fiziska persona). Tādējādi termins “vienība” ietver, piemēram, korporāciju, personālsabiedrību, trastu, </w:t>
      </w:r>
      <w:r>
        <w:rPr>
          <w:rFonts w:ascii="Times New Roman" w:hAnsi="Times New Roman"/>
          <w:i/>
          <w:iCs/>
          <w:sz w:val="24"/>
        </w:rPr>
        <w:t>fideicomiso</w:t>
      </w:r>
      <w:r>
        <w:rPr>
          <w:rFonts w:ascii="Times New Roman" w:hAnsi="Times New Roman"/>
          <w:sz w:val="24"/>
        </w:rPr>
        <w:t>, fondu (</w:t>
      </w:r>
      <w:r>
        <w:rPr>
          <w:rFonts w:ascii="Times New Roman" w:hAnsi="Times New Roman"/>
          <w:i/>
          <w:iCs/>
          <w:sz w:val="24"/>
        </w:rPr>
        <w:t>fondation</w:t>
      </w:r>
      <w:r>
        <w:rPr>
          <w:rFonts w:ascii="Times New Roman" w:hAnsi="Times New Roman"/>
          <w:sz w:val="24"/>
        </w:rPr>
        <w:t xml:space="preserve">, </w:t>
      </w:r>
      <w:r>
        <w:rPr>
          <w:rFonts w:ascii="Times New Roman" w:hAnsi="Times New Roman"/>
          <w:i/>
          <w:iCs/>
          <w:sz w:val="24"/>
        </w:rPr>
        <w:t>Stiftung</w:t>
      </w:r>
      <w:r>
        <w:rPr>
          <w:rFonts w:ascii="Times New Roman" w:hAnsi="Times New Roman"/>
          <w:sz w:val="24"/>
        </w:rPr>
        <w:t xml:space="preserve">), sabiedrību, kooperatīvu, apvienību vai </w:t>
      </w:r>
      <w:r>
        <w:rPr>
          <w:rFonts w:ascii="Times New Roman" w:hAnsi="Times New Roman"/>
          <w:i/>
          <w:iCs/>
          <w:sz w:val="24"/>
        </w:rPr>
        <w:t>asociación en participación</w:t>
      </w:r>
      <w:r>
        <w:rPr>
          <w:rFonts w:ascii="Times New Roman" w:hAnsi="Times New Roman"/>
          <w:sz w:val="24"/>
        </w:rPr>
        <w:t>.</w:t>
      </w:r>
    </w:p>
    <w:p w14:paraId="1F6F147D" w14:textId="77777777" w:rsidR="00F509BB" w:rsidRPr="005421A9" w:rsidRDefault="00F509BB" w:rsidP="00F509BB">
      <w:pPr>
        <w:widowControl w:val="0"/>
        <w:tabs>
          <w:tab w:val="left" w:pos="711"/>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145. Saskaņā ar E punkta 4. apakšpunkta definīciju vienība ir citas vienības “saistītā vienība”, ja viena vienība kontrolē otru vienību vai ja abas vienības tiek kontrolētas kopīgi. Šajā nolūkā kontrole nozīmē tiešas vai netiešas īpašumtiesības uz vairāk nekā 50 % no vienības balsstiesībām vai vērtības. </w:t>
      </w:r>
      <w:r>
        <w:rPr>
          <w:rFonts w:ascii="Times New Roman" w:hAnsi="Times New Roman"/>
          <w:i/>
          <w:sz w:val="24"/>
          <w:u w:val="single"/>
        </w:rPr>
        <w:t>Šajā saistībā vienības tiek uzskatītas par saistītajām vienībām, ja tās ar vienu vai vairākām īpašumtiesību ķēdēm saista kopīga mātesvienība un ja šai kopīgajai mātesvienībai tieši pieder vairāk par 50 % akciju vai citas līdzdalības pašu kapitālā vismaz vienā no šīm citām vienībām. Ar īpašumtiesību ķēdi saprot vienas vai vairāku vienību īpašumtiesības uz vismaz 50 % vienības akciju kopējām balsstiesībām un vismaz 50 % vienības akciju kopvērtību, kā parādīts turpmāk sniegtajā piemērā.</w:t>
      </w:r>
    </w:p>
    <w:p w14:paraId="0371D0F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Vienībai A pieder 51 % no vienības B kopējām balsstiesībām un 51 % akciju kopvērtības. Vienībai B savukārt pieder 51 % no vienības C kopējām balsstiesībām un 51 % akciju kopvērtības. Uzskatāms, ka vienība A un vienība C ir “saistītās vienības” saskaņā ar VIII panta E punkta 4. apakšpunktu, jo vienībai A tieši pieder vairāk par 50 % no vienības B kopējām balsstiesībām un vairāk par 50 % akciju kopvērtības, savukārt vienībai B tieši pieder vairāk par 50 % no vienības C kopējām balsstiesībām un vairāk par 50 % akciju kopvērtības. Tādējādi vienība A un vienība C ir saistītas ar īpašumtiesību ķēdēm. Neatkarīgi no tā, ka vienībai A proporcionāli pieder tikai 26 % no vienības C akciju kopvērtības un balsstiesībām, vienība A un vienība C ir saistītās vienības.</w:t>
      </w:r>
    </w:p>
    <w:p w14:paraId="40692C4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Tam, vai vienība ir citas vienības saistītā vienība, ir būtiska nozīme saistībā ar konta bilances apkopošanas noteikumiem, kas izklāstīti VII panta C punktā, attiecībā uz D punkta 2. apakšpunkta ii) daļā noteiktā termina “persona, par kuru jāsniedz ziņojums” tvērumu un D punkta 9. apakšpunkta b) daļā izklāstīto kritēriju, kas nefinanšu vienībai jāizpilda, lai to varētu uzskatīt par aktīvu nefinanšu vienību.</w:t>
      </w:r>
    </w:p>
    <w:p w14:paraId="1DD47643"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46" w:name="Subparagraph_E(5)_–_Taxpayer_Identificat"/>
      <w:bookmarkEnd w:id="346"/>
      <w:r>
        <w:rPr>
          <w:rFonts w:ascii="Times New Roman" w:hAnsi="Times New Roman"/>
          <w:i/>
          <w:color w:val="616161"/>
          <w:sz w:val="24"/>
        </w:rPr>
        <w:t>E punkta 5. apakšpunkts. Nodokļu maksātāja identifikācijas numurs</w:t>
      </w:r>
    </w:p>
    <w:p w14:paraId="7AC9B357" w14:textId="77777777" w:rsidR="00F509BB" w:rsidRPr="005421A9" w:rsidRDefault="00F509BB" w:rsidP="000D63C9">
      <w:pPr>
        <w:tabs>
          <w:tab w:val="left" w:pos="68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146. Saskaņā ar E punkta 5. apakšpunktu </w:t>
      </w:r>
      <w:r>
        <w:rPr>
          <w:rFonts w:ascii="Times New Roman" w:hAnsi="Times New Roman"/>
          <w:i/>
          <w:iCs/>
          <w:sz w:val="24"/>
        </w:rPr>
        <w:t>TIN</w:t>
      </w:r>
      <w:r>
        <w:rPr>
          <w:rFonts w:ascii="Times New Roman" w:hAnsi="Times New Roman"/>
          <w:sz w:val="24"/>
        </w:rPr>
        <w:t xml:space="preserve"> ir nodokļu maksātāja identifikācijas numurs (vai funkcionālais ekvivalents, ja nav nodokļa maksātāja identifikācijas numura). Nodokļu maksātāja identifikācijas numurs ir unikāla burtu un ciparu kombinācija, ko jurisdikcija piešķir </w:t>
      </w:r>
      <w:r>
        <w:rPr>
          <w:rFonts w:ascii="Times New Roman" w:hAnsi="Times New Roman"/>
          <w:sz w:val="24"/>
        </w:rPr>
        <w:lastRenderedPageBreak/>
        <w:t>privātpersonai vai vienībai un izmanto, lai identificētu privātpersonu vai vienību ar šīs jurisdikcijas nodokļu tiesību aktu administrēšanu saistītām vajadzībām.</w:t>
      </w:r>
    </w:p>
    <w:p w14:paraId="26F209FE" w14:textId="77777777" w:rsidR="00F509BB" w:rsidRPr="005421A9" w:rsidRDefault="00F509BB" w:rsidP="00F509BB">
      <w:pPr>
        <w:widowControl w:val="0"/>
        <w:tabs>
          <w:tab w:val="left" w:pos="68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147. </w:t>
      </w:r>
      <w:r>
        <w:rPr>
          <w:rFonts w:ascii="Times New Roman" w:hAnsi="Times New Roman"/>
          <w:i/>
          <w:iCs/>
          <w:sz w:val="24"/>
        </w:rPr>
        <w:t>TIN</w:t>
      </w:r>
      <w:r>
        <w:rPr>
          <w:rFonts w:ascii="Times New Roman" w:hAnsi="Times New Roman"/>
          <w:sz w:val="24"/>
        </w:rPr>
        <w:t xml:space="preserve"> var arī izmantot tādu nodokļu maksātāju identificēšanai, kas veic ieguldījumus citās jurisdikcijās. </w:t>
      </w:r>
      <w:r>
        <w:rPr>
          <w:rFonts w:ascii="Times New Roman" w:hAnsi="Times New Roman"/>
          <w:i/>
          <w:iCs/>
          <w:sz w:val="24"/>
        </w:rPr>
        <w:t>TIN</w:t>
      </w:r>
      <w:r>
        <w:rPr>
          <w:rFonts w:ascii="Times New Roman" w:hAnsi="Times New Roman"/>
          <w:sz w:val="24"/>
        </w:rPr>
        <w:t xml:space="preserve"> specifikācijas (t. i., struktūru, sintaksi u. c.) nosaka katras jurisdikcijas nodokļu administrācija. Dažās jurisdikcijās pat tiek izmantota atšķirīga </w:t>
      </w:r>
      <w:r>
        <w:rPr>
          <w:rFonts w:ascii="Times New Roman" w:hAnsi="Times New Roman"/>
          <w:i/>
          <w:iCs/>
          <w:sz w:val="24"/>
        </w:rPr>
        <w:t>TIN</w:t>
      </w:r>
      <w:r>
        <w:rPr>
          <w:rFonts w:ascii="Times New Roman" w:hAnsi="Times New Roman"/>
          <w:sz w:val="24"/>
        </w:rPr>
        <w:t xml:space="preserve"> struktūra attiecībā uz dažādiem nodokļiem vai dažādām nodokļu maksātāju kategorijām (piemēram, attiecībā uz rezidentiem un nerezidentiem).</w:t>
      </w:r>
    </w:p>
    <w:p w14:paraId="2E7612A4" w14:textId="77777777" w:rsidR="00F509BB" w:rsidRPr="005421A9" w:rsidRDefault="00F509BB" w:rsidP="00F509BB">
      <w:pPr>
        <w:widowControl w:val="0"/>
        <w:tabs>
          <w:tab w:val="left" w:pos="685"/>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148. Lai arī daudzas jurisdikcijas izmanto </w:t>
      </w:r>
      <w:r>
        <w:rPr>
          <w:rFonts w:ascii="Times New Roman" w:hAnsi="Times New Roman"/>
          <w:i/>
          <w:iCs/>
          <w:sz w:val="24"/>
        </w:rPr>
        <w:t>TIN</w:t>
      </w:r>
      <w:r>
        <w:rPr>
          <w:rFonts w:ascii="Times New Roman" w:hAnsi="Times New Roman"/>
          <w:sz w:val="24"/>
        </w:rPr>
        <w:t xml:space="preserve"> vajadzībām, kas saistītas ar personu vai uzņēmumu aplikšanu ar nodokļiem, dažas jurisdikcijas neizdod </w:t>
      </w:r>
      <w:r>
        <w:rPr>
          <w:rFonts w:ascii="Times New Roman" w:hAnsi="Times New Roman"/>
          <w:i/>
          <w:iCs/>
          <w:sz w:val="24"/>
        </w:rPr>
        <w:t>TIN</w:t>
      </w:r>
      <w:r>
        <w:rPr>
          <w:rFonts w:ascii="Times New Roman" w:hAnsi="Times New Roman"/>
          <w:sz w:val="24"/>
        </w:rPr>
        <w:t xml:space="preserve">. Tomēr šīs jurisdikcijas bieži izmanto kādu citu augstas integritātes numuru, kas nodrošina līdzvērtīgu identifikācijas līmeni (“funkcionālais ekvivalents”). Šādi numuri attiecībā uz privātpersonām ir, piemēram, sociālā nodrošinājuma/apdrošināšanas numurs, iedzīvotāja/personas identifikācijas/pakalpojuma kods/numurs un rezidenta reģistrācijas numurs; attiecībā uz vienībām – uzņēmuma/sabiedrības reģistrācijas kods/numurs. </w:t>
      </w:r>
      <w:r>
        <w:rPr>
          <w:rFonts w:ascii="Times New Roman" w:hAnsi="Times New Roman"/>
          <w:i/>
          <w:sz w:val="24"/>
          <w:u w:val="single"/>
        </w:rPr>
        <w:t>Turklāt dažas jurisdikcijas var arī piedāvāt valdības sniegtus verifikācijas pakalpojumus, ko izmanto, lai noskaidrotu konta turētāja vai kontrolējošās personas identitāti un nodokļu rezidenci. Šajā saistībā unikālais atsauces numurs, kods vai cits apstiprinājums, kuru saņēmusi finanšu iestāde, kas sniedz ziņojumus, attiecībā uz konta turētāju vai kontrolējošo personu, izmantojot valdības sniegtu verifikācijas pakalpojumu, ir arī TIN funkcionālais ekvivalents.</w:t>
      </w:r>
    </w:p>
    <w:p w14:paraId="02B5EE5B" w14:textId="77777777" w:rsidR="00F509BB" w:rsidRPr="005421A9" w:rsidRDefault="00F509BB" w:rsidP="00F509BB">
      <w:pPr>
        <w:widowControl w:val="0"/>
        <w:tabs>
          <w:tab w:val="left" w:pos="70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149. Iesaistītajām jurisdikcijām būtu jāsniedz finanšu iestādēm, kas sniedz ziņojumus, informācija par nodokļu maksātāju identifikācijas numuru izdošanu, apkopošanu un, ciktāl tas praktiski iespējams, par to struktūru, citām specifikācijām un to funkcionālajiem ekvivalentiem </w:t>
      </w:r>
      <w:r>
        <w:rPr>
          <w:rFonts w:ascii="Times New Roman" w:hAnsi="Times New Roman"/>
          <w:i/>
          <w:iCs/>
          <w:sz w:val="24"/>
        </w:rPr>
        <w:t>CRS</w:t>
      </w:r>
      <w:r>
        <w:rPr>
          <w:rFonts w:ascii="Times New Roman" w:hAnsi="Times New Roman"/>
          <w:sz w:val="24"/>
        </w:rPr>
        <w:t xml:space="preserve"> vajadzībām.</w:t>
      </w:r>
      <w:r>
        <w:rPr>
          <w:rFonts w:ascii="Times New Roman" w:hAnsi="Times New Roman"/>
          <w:i/>
          <w:sz w:val="24"/>
          <w:u w:val="single"/>
        </w:rPr>
        <w:t xml:space="preserve"> </w:t>
      </w:r>
      <w:r>
        <w:rPr>
          <w:rFonts w:ascii="Times New Roman" w:hAnsi="Times New Roman"/>
          <w:i/>
          <w:iCs/>
          <w:sz w:val="24"/>
        </w:rPr>
        <w:t>OECD</w:t>
      </w:r>
      <w:r>
        <w:rPr>
          <w:rFonts w:ascii="Times New Roman" w:hAnsi="Times New Roman"/>
          <w:sz w:val="24"/>
        </w:rPr>
        <w:t xml:space="preserve"> centīsies veicināt šādas informācijas izplatīšanu. Šāda informācija palīdzēs finanšu iestādēm, kas sniedz ziņojumus, vākt pareizus </w:t>
      </w:r>
      <w:r>
        <w:rPr>
          <w:rFonts w:ascii="Times New Roman" w:hAnsi="Times New Roman"/>
          <w:i/>
          <w:iCs/>
          <w:sz w:val="24"/>
        </w:rPr>
        <w:t>TIN</w:t>
      </w:r>
      <w:r>
        <w:rPr>
          <w:rFonts w:ascii="Times New Roman" w:hAnsi="Times New Roman"/>
          <w:sz w:val="24"/>
        </w:rPr>
        <w:t>.</w:t>
      </w:r>
    </w:p>
    <w:p w14:paraId="1885C53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5EEAC21E" w14:textId="77777777" w:rsidR="00F509BB" w:rsidRPr="005421A9" w:rsidRDefault="00F509BB" w:rsidP="00F509BB">
      <w:pPr>
        <w:widowControl w:val="0"/>
        <w:autoSpaceDE w:val="0"/>
        <w:autoSpaceDN w:val="0"/>
        <w:spacing w:before="120" w:after="120" w:line="240" w:lineRule="auto"/>
        <w:ind w:left="284"/>
        <w:jc w:val="both"/>
        <w:rPr>
          <w:rFonts w:ascii="Times New Roman" w:eastAsia="Arial" w:hAnsi="Times New Roman" w:cs="Arial"/>
          <w:i/>
          <w:iCs/>
          <w:noProof/>
          <w:color w:val="616161"/>
          <w:kern w:val="0"/>
          <w:sz w:val="24"/>
          <w:szCs w:val="24"/>
          <w14:ligatures w14:val="none"/>
        </w:rPr>
      </w:pPr>
      <w:bookmarkStart w:id="347" w:name="Subparagraph_E(7)_–_Government_Verificat"/>
      <w:bookmarkEnd w:id="347"/>
      <w:r>
        <w:rPr>
          <w:rFonts w:ascii="Times New Roman" w:hAnsi="Times New Roman"/>
          <w:i/>
          <w:color w:val="616161"/>
          <w:sz w:val="24"/>
        </w:rPr>
        <w:t>E punkta 7. apakšpunkts. Valdības verifikācijas pakalpojums</w:t>
      </w:r>
    </w:p>
    <w:p w14:paraId="6F25D728" w14:textId="77777777" w:rsidR="00F509BB" w:rsidRDefault="00F509BB" w:rsidP="00F509BB">
      <w:pPr>
        <w:widowControl w:val="0"/>
        <w:tabs>
          <w:tab w:val="left" w:pos="628"/>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163. E punkta 7. apakšpunktā “valdības verifikācijas pakalpojums” ir definēts kā elektronisks process, ko jurisdikcija, par kuru jāsniedz ziņojums, dara pieejamu finanšu iestādei, kas sniedz ziņojumus, lai pārliecinātos par konta turētāja vai kontrolējošās personas identitāti un rezidenci nodokļu vajadzībām.</w:t>
      </w:r>
    </w:p>
    <w:p w14:paraId="19BC06B4" w14:textId="77777777" w:rsidR="00F509BB" w:rsidRPr="005421A9" w:rsidRDefault="00F509BB" w:rsidP="00F509BB">
      <w:pPr>
        <w:widowControl w:val="0"/>
        <w:tabs>
          <w:tab w:val="left" w:pos="628"/>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164. Šādi pakalpojumi var būt lietojumprogrammas saskarnes (API) lietojums un citi risinājumi, kurus atļāvusi valdība un kuri ļauj finanšu iestādei, kas sniedz ziņojumus, apstiprināt konta turētāja vai kontrolējošās personas identitāti un nodokļu rezidenci.</w:t>
      </w:r>
    </w:p>
    <w:p w14:paraId="5D59F3E4" w14:textId="77777777" w:rsidR="00F509BB" w:rsidRPr="005421A9" w:rsidRDefault="00F509BB" w:rsidP="00F509BB">
      <w:pPr>
        <w:widowControl w:val="0"/>
        <w:tabs>
          <w:tab w:val="left" w:pos="628"/>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165. Ja nodokļu administrācija izvēlas identificēt konta turētājus vai kontrolējošās personas, pamatojoties uz lietojumprogrammas saskarnes (</w:t>
      </w:r>
      <w:r>
        <w:rPr>
          <w:rFonts w:ascii="Times New Roman" w:hAnsi="Times New Roman"/>
          <w:i/>
          <w:iCs/>
          <w:sz w:val="24"/>
          <w:u w:val="single"/>
        </w:rPr>
        <w:t>API</w:t>
      </w:r>
      <w:r>
        <w:rPr>
          <w:rFonts w:ascii="Times New Roman" w:hAnsi="Times New Roman"/>
          <w:i/>
          <w:sz w:val="24"/>
          <w:u w:val="single"/>
        </w:rPr>
        <w:t xml:space="preserve">) risinājumu, parasti tā nodrošina finanšu iestādēm, kas sniedz ziņojumus, piekļuvi </w:t>
      </w:r>
      <w:r>
        <w:rPr>
          <w:rFonts w:ascii="Times New Roman" w:hAnsi="Times New Roman"/>
          <w:i/>
          <w:iCs/>
          <w:sz w:val="24"/>
          <w:u w:val="single"/>
        </w:rPr>
        <w:t>API</w:t>
      </w:r>
      <w:r>
        <w:rPr>
          <w:rFonts w:ascii="Times New Roman" w:hAnsi="Times New Roman"/>
          <w:i/>
          <w:sz w:val="24"/>
          <w:u w:val="single"/>
        </w:rPr>
        <w:t xml:space="preserve"> portālam. Pēc tam, ja konta turētāja vai kontrolējošās personas pašapliecinājumā ir norādīta rezidence tajā jurisdikcijā, finanšu iestāde, kas sniedz ziņojumus, var virzīt konta turētāju vai kontrolējošo personu uz </w:t>
      </w:r>
      <w:r>
        <w:rPr>
          <w:rFonts w:ascii="Times New Roman" w:hAnsi="Times New Roman"/>
          <w:i/>
          <w:iCs/>
          <w:sz w:val="24"/>
          <w:u w:val="single"/>
        </w:rPr>
        <w:t>API</w:t>
      </w:r>
      <w:r>
        <w:rPr>
          <w:rFonts w:ascii="Times New Roman" w:hAnsi="Times New Roman"/>
          <w:i/>
          <w:sz w:val="24"/>
          <w:u w:val="single"/>
        </w:rPr>
        <w:t xml:space="preserve"> portālu, kas varētu ļaut jurisdikcijai identificēt šo konta turētāju vai kontrolējošo personu, pamatojoties uz valsts iekšējām nodokļu maksātāju identifikācijas prasībām (piemēram, valdības izdotu ID vai lietotājvārdu). Tiklīdz konta turētājs vai kontrolējošā persona ir sekmīgi identificēta kā šīs jurisdikcijas nodokļu maksātājs, jurisdikcija, izmantojot </w:t>
      </w:r>
      <w:r>
        <w:rPr>
          <w:rFonts w:ascii="Times New Roman" w:hAnsi="Times New Roman"/>
          <w:i/>
          <w:iCs/>
          <w:sz w:val="24"/>
          <w:u w:val="single"/>
        </w:rPr>
        <w:t>API</w:t>
      </w:r>
      <w:r>
        <w:rPr>
          <w:rFonts w:ascii="Times New Roman" w:hAnsi="Times New Roman"/>
          <w:i/>
          <w:sz w:val="24"/>
          <w:u w:val="single"/>
        </w:rPr>
        <w:t xml:space="preserve"> portālu, sniedz finanšu iestādei, kas sniedz ziņojumus, unikālu atsauces numuru vai kodu, kas ļauj jurisdikcijai noteikt konta turētāja vai kontrolējošās personas atbilsmi nodokļu maksātājam savā datubāzē. Ja finanšu iestāde, kas sniedz ziņojumus, pēc tam sniedz ziņas par šo konta turētāju vai kontrolējošo personu, tā iekļauj unikālo atsauces numuru vai kodu, kurš ļautu jurisdikcijai, kas saņem šo informāciju, noteikt šā konta turētāja vai kontrolējošās personas atbilsmi.</w:t>
      </w:r>
    </w:p>
    <w:p w14:paraId="5EEE5D20" w14:textId="77777777" w:rsidR="00F509BB" w:rsidRPr="005421A9" w:rsidRDefault="00F509BB" w:rsidP="000D63C9">
      <w:pPr>
        <w:keepNext/>
        <w:keepLines/>
        <w:widowControl w:val="0"/>
        <w:tabs>
          <w:tab w:val="left" w:pos="628"/>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lastRenderedPageBreak/>
        <w:t>166. Saistībā ar E punkta 5. apakšpunktu unikālais atsauces numurs, kods vai cits apstiprinājums, ko saņēmusi finanšu iestāde, kas sniedz ziņojumus, attiecībā uz konta turētāju vai kontrolējošo personu, izmantojot valdības sniegtu verifikācijas pakalpojumu, ir TIN ekvivalents.</w:t>
      </w:r>
    </w:p>
    <w:p w14:paraId="797772A8" w14:textId="77777777" w:rsidR="00F509BB" w:rsidRPr="005421A9" w:rsidRDefault="00F509BB" w:rsidP="00F509BB">
      <w:pPr>
        <w:widowControl w:val="0"/>
        <w:tabs>
          <w:tab w:val="left" w:pos="628"/>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 xml:space="preserve">167. Iesaistītajām jurisdikcijām būtu jāsniedz finanšu iestādēm, kas sniedz ziņojumus, informācija par valdības sniegtiem verifikācijas pakalpojumiem, kas šīm jurisdikcijām ir darīti pieejami. </w:t>
      </w:r>
      <w:r>
        <w:rPr>
          <w:rFonts w:ascii="Times New Roman" w:hAnsi="Times New Roman"/>
          <w:i/>
          <w:iCs/>
          <w:sz w:val="24"/>
          <w:u w:val="single"/>
        </w:rPr>
        <w:t>OECD</w:t>
      </w:r>
      <w:r>
        <w:rPr>
          <w:rFonts w:ascii="Times New Roman" w:hAnsi="Times New Roman"/>
          <w:i/>
          <w:sz w:val="24"/>
          <w:u w:val="single"/>
        </w:rPr>
        <w:t xml:space="preserve"> centīsies veicināt šādas informācijas izplatīšanu.</w:t>
      </w:r>
    </w:p>
    <w:p w14:paraId="767695A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14:ligatures w14:val="none"/>
        </w:rPr>
      </w:pPr>
    </w:p>
    <w:p w14:paraId="3E584D56" w14:textId="77777777" w:rsidR="00F509BB" w:rsidRPr="00550668" w:rsidRDefault="00F509BB" w:rsidP="00F509BB">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348" w:name="Commentary_on_Section_IX"/>
      <w:bookmarkStart w:id="349" w:name="_bookmark55"/>
      <w:bookmarkStart w:id="350" w:name="_Toc241753109"/>
      <w:bookmarkEnd w:id="348"/>
      <w:bookmarkEnd w:id="349"/>
      <w:r>
        <w:rPr>
          <w:rFonts w:ascii="Times New Roman" w:hAnsi="Times New Roman"/>
          <w:b/>
          <w:color w:val="0B769F" w:themeColor="accent4" w:themeShade="BF"/>
          <w:sz w:val="26"/>
        </w:rPr>
        <w:t>Komentārs par IX pantu</w:t>
      </w:r>
      <w:bookmarkEnd w:id="350"/>
    </w:p>
    <w:p w14:paraId="5C9BA71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5A662F2A" w14:textId="77777777" w:rsidR="00F509BB" w:rsidRPr="005421A9" w:rsidRDefault="00F509BB" w:rsidP="00F509BB">
      <w:pPr>
        <w:widowControl w:val="0"/>
        <w:tabs>
          <w:tab w:val="left" w:pos="471"/>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sz w:val="24"/>
        </w:rPr>
        <w:t xml:space="preserve">2. Saskaņā ar IX pantu jurisdikcijā jābūt ieviestiem noteikumiem un administratīvajām procedūrām, ar ko tiek nodrošināta Kopējā ziņošanas standartā noteikto ziņošanas un pienācīgas pārbaudes procedūru efektīva īstenošana un ievērošana. Standarts nav uzskatāms par efektīvi ieviestu, kamēr tas nav godprātīgi pieņemts, ievērojot komentārus, kas sniegti ar mērķi veicināt tā saskanīgu piemērošanu visās jurisdikcijās. </w:t>
      </w:r>
      <w:r>
        <w:rPr>
          <w:rFonts w:ascii="Times New Roman" w:hAnsi="Times New Roman"/>
          <w:i/>
          <w:sz w:val="24"/>
          <w:u w:val="single"/>
        </w:rPr>
        <w:t>Tāpēc tiek atzīts, ka tamdēļ, lai efektīvi ieviestu Kopējo ziņošanas standartu, dažos gadījumos ir nepieciešams saistošajos noteikumos atainot arī komentāru daļas.</w:t>
      </w:r>
      <w:r>
        <w:rPr>
          <w:rFonts w:ascii="Times New Roman" w:hAnsi="Times New Roman"/>
          <w:i/>
          <w:sz w:val="24"/>
        </w:rPr>
        <w:t xml:space="preserve"> </w:t>
      </w:r>
      <w:r>
        <w:rPr>
          <w:rFonts w:ascii="Times New Roman" w:hAnsi="Times New Roman"/>
          <w:sz w:val="24"/>
        </w:rPr>
        <w:t xml:space="preserve">Tā kā </w:t>
      </w:r>
      <w:r>
        <w:rPr>
          <w:rFonts w:ascii="Times New Roman" w:hAnsi="Times New Roman"/>
          <w:i/>
          <w:iCs/>
          <w:sz w:val="24"/>
        </w:rPr>
        <w:t>CRS</w:t>
      </w:r>
      <w:r>
        <w:rPr>
          <w:rFonts w:ascii="Times New Roman" w:hAnsi="Times New Roman"/>
          <w:sz w:val="24"/>
        </w:rPr>
        <w:t xml:space="preserve"> tiek piemērots, pārņemot to valsts tiesību aktos, tad katrā valstī tas var būt īstenots atšķirīgi. Tāpēc pārrobežu kontekstā jāņem vērā īstenojošās jurisdikcijas tiesību akti. Piemēram, var rasties jautājums, vai konkrēta vienība, kas ir iesaistītās jurisdikcijas rezidents un kam ir finanšu konts citā iesaistītajā jurisdikcijā, atbilst termina “finanšu iestāde” definīcijai. Šī vienība var atbilst “būtiskas daļas” kritērijam, kas jāizpilda, lai to varētu uzskatīt par turētājiestādi vienā iesaistītajā jurisdikcijā, taču atšķirīgu bruto ienākumu mērīšanas paņēmienu dēļ citā iesaistītajā jurisdikcijā šī vienība var neatbilst minētajam kritērijam. Šādā gadījumā vienība jāklasificē, pamatojoties uz tās iesaistītās jurisdikcijas tiesību aktiem, kurā vienībai ir rezidenta statuss. </w:t>
      </w:r>
      <w:r>
        <w:rPr>
          <w:rFonts w:ascii="Times New Roman" w:hAnsi="Times New Roman"/>
          <w:i/>
          <w:sz w:val="24"/>
          <w:u w:val="single"/>
        </w:rPr>
        <w:t>Ja vienība ir rezidents jurisdikcijā, kas nav ieviesusi Kopējo ziņošanas standartu, tās statusu, proti, vai vienība ir finanšu iestāde, kas sniedz ziņojumus, vai nefinanšu vienība, nosaka tās jurisdikcijas noteikumi, kurā tiek uzturēts konts, jo citi noteikumi nav pieejami. Turklāt, kad nosaka, vai vienība ir aktīva vienība vai pasīva vienība, vienības statusu nosaka tās jurisdikcijas noteikumi, kurā tiek uzturēts konts. Tomēr jurisdikcija, kurā tiek uzturēts konts, var ļaut (piemēram, valsts norādījumos par standarta ieviešanu) noteikt vienības statusu – aktīva nefinanšu vienība vai pasīva nefinanšu vienība – saskaņā ar tās jurisdikcijas noteikumiem, kurā vienība ir rezidents, ar nosacījumu, ka jurisdikcija, kurā vienība ir rezidents, ir ieviesusi Kopējo ziņošanas standartu.</w:t>
      </w:r>
    </w:p>
    <w:p w14:paraId="1D2C4A3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w:t>
      </w:r>
    </w:p>
    <w:p w14:paraId="47288975"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18. A punkta 5. apakšpunktā ir noteikts, ka jurisdikcijā jābūt spēkā izpildes noteikumiem neatbilstības gadījumu risināšanai. Dažos gadījumos A punkta 1. apakšpunktā minētais izvairīšanās novēršanas noteikums var būt pietiekami plašs, lai nodrošinātu pamatu izpildei. Citos gadījumos tie var būt atsevišķi vai konkrētāki noteikumi, kas paredzēti noteiktu izpildes jautājumu risināšanai. Piemēram, jurisdikcijā var būt spēkā noteikumi, kas paredz sodu piemērošanu vai citas sankcijas tad, kad persona nesniedz nodokļu iestādes pieprasīto informāciju. Turklāt, ņemot vērā to, ka pašapliecinājuma iegūšanai attiecībā uz jaunu kontu ir būtiska nozīme, lai nodrošinātu </w:t>
      </w:r>
      <w:r>
        <w:rPr>
          <w:rFonts w:ascii="Times New Roman" w:hAnsi="Times New Roman"/>
          <w:i/>
          <w:iCs/>
          <w:sz w:val="24"/>
        </w:rPr>
        <w:t>CRS</w:t>
      </w:r>
      <w:r>
        <w:rPr>
          <w:rFonts w:ascii="Times New Roman" w:hAnsi="Times New Roman"/>
          <w:sz w:val="24"/>
        </w:rPr>
        <w:t xml:space="preserve"> efektivitāti, ir paredzams, ka jurisdikcijas būs ieviesušas stingrus pasākumus, lai nodrošinātu, ka attiecībā uz jauniem kontiem vienmēr tiek iegūti derīgi pašapliecinājumi, </w:t>
      </w:r>
      <w:r>
        <w:rPr>
          <w:rFonts w:ascii="Times New Roman" w:hAnsi="Times New Roman"/>
          <w:i/>
          <w:iCs/>
          <w:sz w:val="24"/>
          <w:u w:val="single"/>
        </w:rPr>
        <w:t>tostarp attiecībā uz jauniem kontiem, kas dokumentēti, pamatojoties uz VII panta A bis punktu</w:t>
      </w:r>
      <w:r>
        <w:rPr>
          <w:rFonts w:ascii="Times New Roman" w:hAnsi="Times New Roman"/>
          <w:sz w:val="24"/>
        </w:rPr>
        <w:t>.</w:t>
      </w:r>
      <w:r>
        <w:rPr>
          <w:rFonts w:ascii="Times New Roman" w:hAnsi="Times New Roman"/>
          <w:i/>
          <w:sz w:val="24"/>
          <w:u w:val="single"/>
        </w:rPr>
        <w:t xml:space="preserve"> Šajā kontekstā katrā jurisdikcijā var būt sava izpratne par to, kas ir “stingrs pasākums”, un tas jānovērtē, ņemot vērā pasākuma faktiskos rezultātus. Lai noteiktu, kādus pasākumus var kvalificēt kā “stingrus pasākumus”, izšķirīgs kritērijs ir tas, vai pasākumi pietiekami spēcīgi ietekmē konta turētājus un/vai finanšu iestādes, kas sniedz ziņojumus, lai </w:t>
      </w:r>
      <w:r>
        <w:rPr>
          <w:rFonts w:ascii="Times New Roman" w:hAnsi="Times New Roman"/>
          <w:i/>
          <w:sz w:val="24"/>
          <w:u w:val="single"/>
        </w:rPr>
        <w:lastRenderedPageBreak/>
        <w:t xml:space="preserve">faktiski nodrošinātu, ka tiek iegūti pašapliecinājumi un ka tiek pārbaudīts to derīgums saskaņā ar Kopējā ziņošanas standarta noteikumiem. </w:t>
      </w:r>
      <w:r>
        <w:rPr>
          <w:rFonts w:ascii="Times New Roman" w:hAnsi="Times New Roman"/>
          <w:sz w:val="24"/>
        </w:rPr>
        <w:t>Efektīvs paņēmiens, kā sasniegt šo mērķi, ir tiesību aktos noteikt, ka konta atvēršanas procedūrās, lai atvērtu jaunu kontu, ir jāsaņem derīgs pašapliecinājums. Citas jurisdikcijas var izvēlēties citas metodes, ņemot vērā savus valsts tiesību aktus. Piemēram, tās var piemērot ievērojamus sodus attiecībā uz konta turētājiem, kas nesniedz pašapliecinājumu, vai attiecībā uz finanšu iestādēm, kas sniedz ziņojumus un kas neveic atbilstīgus pasākumus, lai iegūtu pašapliecinājumu konta atvēršanas laikā, vai slēgt vai iesaldēt kontu pēc 90 dienu termiņa paiešanas.</w:t>
      </w:r>
    </w:p>
    <w:p w14:paraId="792E270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7A9CAD28" w14:textId="77777777" w:rsidR="00F509BB" w:rsidRPr="00533E64" w:rsidRDefault="00F509BB" w:rsidP="00F509BB">
      <w:pPr>
        <w:pStyle w:val="Heading1"/>
        <w:spacing w:before="240" w:after="120" w:line="240" w:lineRule="auto"/>
        <w:rPr>
          <w:rFonts w:ascii="Times New Roman" w:eastAsia="Arial" w:hAnsi="Times New Roman" w:cs="Times New Roman"/>
          <w:b/>
          <w:bCs/>
          <w:noProof/>
          <w:color w:val="0B769F" w:themeColor="accent4" w:themeShade="BF"/>
          <w:sz w:val="26"/>
          <w:szCs w:val="26"/>
        </w:rPr>
      </w:pPr>
      <w:bookmarkStart w:id="351" w:name="Commentary_on_Section_X"/>
      <w:bookmarkStart w:id="352" w:name="_bookmark56"/>
      <w:bookmarkStart w:id="353" w:name="_Toc241753110"/>
      <w:bookmarkEnd w:id="351"/>
      <w:bookmarkEnd w:id="352"/>
      <w:r>
        <w:rPr>
          <w:rFonts w:ascii="Times New Roman" w:hAnsi="Times New Roman"/>
          <w:b/>
          <w:color w:val="0B769F" w:themeColor="accent4" w:themeShade="BF"/>
          <w:sz w:val="26"/>
        </w:rPr>
        <w:t>Komentārs par X pantu</w:t>
      </w:r>
      <w:bookmarkEnd w:id="353"/>
    </w:p>
    <w:p w14:paraId="67ABC18D" w14:textId="77777777" w:rsidR="00F509BB" w:rsidRPr="005421A9" w:rsidRDefault="00F509BB" w:rsidP="00F509BB">
      <w:pPr>
        <w:widowControl w:val="0"/>
        <w:tabs>
          <w:tab w:val="left" w:pos="409"/>
        </w:tabs>
        <w:autoSpaceDE w:val="0"/>
        <w:autoSpaceDN w:val="0"/>
        <w:spacing w:before="120" w:after="120" w:line="240" w:lineRule="auto"/>
        <w:jc w:val="both"/>
        <w:rPr>
          <w:rFonts w:ascii="Times New Roman" w:eastAsia="Arial" w:hAnsi="Times New Roman" w:cs="Arial"/>
          <w:i/>
          <w:noProof/>
          <w:kern w:val="0"/>
          <w:sz w:val="24"/>
          <w:szCs w:val="24"/>
          <w:u w:val="single"/>
          <w14:ligatures w14:val="none"/>
        </w:rPr>
      </w:pPr>
      <w:r>
        <w:rPr>
          <w:rFonts w:ascii="Times New Roman" w:hAnsi="Times New Roman"/>
          <w:i/>
          <w:sz w:val="24"/>
          <w:u w:val="single"/>
        </w:rPr>
        <w:t>1. X panta A punktā ir ietverts vispārīgs Kopējā ziņošanas standarta grozījumu spēkā stāšanās datums, t. i., [xx.xx.xxxx].</w:t>
      </w:r>
    </w:p>
    <w:p w14:paraId="432D3F53" w14:textId="77777777" w:rsidR="00F509BB" w:rsidRPr="005421A9" w:rsidRDefault="00F509BB" w:rsidP="00F509BB">
      <w:pPr>
        <w:widowControl w:val="0"/>
        <w:tabs>
          <w:tab w:val="left" w:pos="409"/>
        </w:tabs>
        <w:autoSpaceDE w:val="0"/>
        <w:autoSpaceDN w:val="0"/>
        <w:spacing w:before="120" w:after="120" w:line="240" w:lineRule="auto"/>
        <w:jc w:val="both"/>
        <w:rPr>
          <w:rFonts w:ascii="Times New Roman" w:eastAsia="Arial" w:hAnsi="Times New Roman" w:cs="Arial"/>
          <w:i/>
          <w:noProof/>
          <w:kern w:val="0"/>
          <w:sz w:val="24"/>
          <w:szCs w:val="24"/>
          <w14:ligatures w14:val="none"/>
        </w:rPr>
      </w:pPr>
      <w:r>
        <w:rPr>
          <w:rFonts w:ascii="Times New Roman" w:hAnsi="Times New Roman"/>
          <w:i/>
          <w:sz w:val="24"/>
          <w:u w:val="single"/>
        </w:rPr>
        <w:t>2. B punktā ir norādīts ierobežots izņēmums, kad nepiemēro vispārīgo spēkā stāšanās datumu attiecībā uz ziņošanu par lomu(-ām), uz kuras(-u) pamata katra persona, par ko jāsniedz ziņojums, ir kontrolējošā persona vai vienība, kura ir vienības līdzdalības daļu turētāja, saistībā ar finanšu kontiem, kas atvērti pirms pārskatītā Kopējā ziņošanas standarta spēkā stāšanās datuma – attiecībā uz pārskata periodiem, kas beidzas līdz otrā kalendārā gada beigām pēc pārskatītā CRS spēkā stāšanās dienas, finanšu iestādei ir jāsniedz šī informācija tikai tad, ja tā ir pieejama tās elektroniski uzmeklējamos datos.</w:t>
      </w:r>
    </w:p>
    <w:p w14:paraId="39E32BB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noProof/>
          <w:sz w:val="24"/>
        </w:rPr>
        <mc:AlternateContent>
          <mc:Choice Requires="wpg">
            <w:drawing>
              <wp:inline distT="0" distB="0" distL="0" distR="0" wp14:anchorId="15AC2E81" wp14:editId="0980D5B8">
                <wp:extent cx="5851525" cy="76200"/>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1525" cy="76200"/>
                          <a:chOff x="0" y="0"/>
                          <a:chExt cx="5851525" cy="76200"/>
                        </a:xfrm>
                      </wpg:grpSpPr>
                      <wps:wsp>
                        <wps:cNvPr id="72" name="Graphic 72"/>
                        <wps:cNvSpPr/>
                        <wps:spPr>
                          <a:xfrm>
                            <a:off x="0" y="0"/>
                            <a:ext cx="5851525" cy="76200"/>
                          </a:xfrm>
                          <a:custGeom>
                            <a:avLst/>
                            <a:gdLst/>
                            <a:ahLst/>
                            <a:cxnLst/>
                            <a:rect l="l" t="t" r="r" b="b"/>
                            <a:pathLst>
                              <a:path w="5851525" h="76200">
                                <a:moveTo>
                                  <a:pt x="5851525" y="0"/>
                                </a:moveTo>
                                <a:lnTo>
                                  <a:pt x="0" y="0"/>
                                </a:lnTo>
                                <a:lnTo>
                                  <a:pt x="0" y="76200"/>
                                </a:lnTo>
                                <a:lnTo>
                                  <a:pt x="5851525" y="76200"/>
                                </a:lnTo>
                                <a:lnTo>
                                  <a:pt x="5851525"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6E9704D6" id="Group 71" o:spid="_x0000_s1026" style="width:460.75pt;height:6pt;mso-position-horizontal-relative:char;mso-position-vertical-relative:line" coordsize="58515,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">
                <v:shape id="Graphic 72" o:spid="_x0000_s1027" style="position:absolute;width:58515;height:762;visibility:visible;mso-wrap-style:square;v-text-anchor:top" coordsize="58515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" path="m5851525,l,,,76200r5851525,l5851525,xe" stroked="f">
                  <v:path arrowok="t"/>
                </v:shape>
                <w10:anchorlock/>
              </v:group>
            </w:pict>
          </mc:Fallback>
        </mc:AlternateContent>
      </w:r>
    </w:p>
    <w:p w14:paraId="5B110024" w14:textId="77777777" w:rsidR="00F509BB" w:rsidRDefault="00F509BB" w:rsidP="00F509BB">
      <w:pPr>
        <w:rPr>
          <w:rFonts w:ascii="Times New Roman" w:eastAsia="Arial" w:hAnsi="Times New Roman" w:cs="Times New Roman"/>
          <w:b/>
          <w:bCs/>
          <w:noProof/>
          <w:color w:val="0B769F" w:themeColor="accent4" w:themeShade="BF"/>
          <w:sz w:val="72"/>
          <w:szCs w:val="72"/>
          <w:u w:val="single"/>
        </w:rPr>
      </w:pPr>
      <w:bookmarkStart w:id="354" w:name="4_Addendum_to_the_Multilateral_Competent"/>
      <w:bookmarkStart w:id="355" w:name="_bookmark57"/>
      <w:bookmarkEnd w:id="354"/>
      <w:bookmarkEnd w:id="355"/>
      <w:r>
        <w:br w:type="page"/>
      </w:r>
    </w:p>
    <w:p w14:paraId="363F5E2A" w14:textId="77777777" w:rsidR="00F509BB" w:rsidRPr="00AB6242" w:rsidRDefault="00F509BB" w:rsidP="00F509BB">
      <w:pPr>
        <w:widowControl w:val="0"/>
        <w:autoSpaceDE w:val="0"/>
        <w:autoSpaceDN w:val="0"/>
        <w:spacing w:before="120" w:after="120" w:line="240" w:lineRule="auto"/>
        <w:ind w:left="567" w:hanging="567"/>
        <w:rPr>
          <w:rFonts w:ascii="Times New Roman" w:eastAsia="Arial" w:hAnsi="Times New Roman" w:cs="Times New Roman"/>
          <w:b/>
          <w:bCs/>
          <w:noProof/>
          <w:color w:val="0B769F" w:themeColor="accent4" w:themeShade="BF"/>
          <w:sz w:val="72"/>
          <w:szCs w:val="72"/>
          <w:u w:val="single"/>
        </w:rPr>
      </w:pPr>
      <w:r>
        <w:rPr>
          <w:rFonts w:ascii="Times New Roman" w:hAnsi="Times New Roman"/>
          <w:b/>
          <w:color w:val="0B769F" w:themeColor="accent4" w:themeShade="BF"/>
          <w:sz w:val="72"/>
          <w:u w:val="single"/>
        </w:rPr>
        <w:lastRenderedPageBreak/>
        <w:t>4.</w:t>
      </w:r>
      <w:r>
        <w:rPr>
          <w:rFonts w:ascii="Times New Roman" w:hAnsi="Times New Roman"/>
          <w:b/>
          <w:color w:val="0B769F" w:themeColor="accent4" w:themeShade="BF"/>
          <w:sz w:val="72"/>
        </w:rPr>
        <w:t xml:space="preserve"> </w:t>
      </w:r>
      <w:r>
        <w:rPr>
          <w:rFonts w:ascii="Times New Roman" w:hAnsi="Times New Roman"/>
          <w:b/>
          <w:color w:val="0B769F" w:themeColor="accent4" w:themeShade="BF"/>
          <w:sz w:val="48"/>
        </w:rPr>
        <w:t>Papildinājums Kompetento iestāžu daudzpusējam nolīgumam par finanšu kontu informācijas automātisku apmaiņu</w:t>
      </w:r>
    </w:p>
    <w:p w14:paraId="380C391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noProof/>
          <w:kern w:val="0"/>
          <w:sz w:val="24"/>
          <w:szCs w:val="24"/>
          <w14:ligatures w14:val="none"/>
        </w:rPr>
      </w:pPr>
    </w:p>
    <w:p w14:paraId="47F7EEC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noProof/>
          <w:kern w:val="0"/>
          <w:sz w:val="24"/>
          <w:szCs w:val="24"/>
          <w14:ligatures w14:val="none"/>
        </w:rPr>
      </w:pPr>
    </w:p>
    <w:p w14:paraId="0D90B2BF" w14:textId="77777777" w:rsidR="00F509BB" w:rsidRPr="003314DE" w:rsidRDefault="00F509BB" w:rsidP="00F509BB">
      <w:pPr>
        <w:pStyle w:val="Heading1"/>
        <w:spacing w:before="240" w:after="120" w:line="240" w:lineRule="auto"/>
        <w:jc w:val="center"/>
        <w:rPr>
          <w:rFonts w:ascii="Times New Roman" w:eastAsia="Arial" w:hAnsi="Times New Roman" w:cs="Times New Roman"/>
          <w:b/>
          <w:bCs/>
          <w:noProof/>
          <w:color w:val="0B769F" w:themeColor="accent4" w:themeShade="BF"/>
          <w:sz w:val="26"/>
          <w:szCs w:val="26"/>
        </w:rPr>
      </w:pPr>
      <w:bookmarkStart w:id="356" w:name="_Toc241753111"/>
      <w:r>
        <w:rPr>
          <w:rFonts w:ascii="Times New Roman" w:hAnsi="Times New Roman"/>
          <w:b/>
          <w:color w:val="0B769F" w:themeColor="accent4" w:themeShade="BF"/>
          <w:sz w:val="26"/>
        </w:rPr>
        <w:t>DEKLARĀCIJA</w:t>
      </w:r>
      <w:bookmarkEnd w:id="356"/>
    </w:p>
    <w:p w14:paraId="03260A6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noProof/>
          <w:kern w:val="0"/>
          <w:sz w:val="24"/>
          <w:szCs w:val="24"/>
          <w14:ligatures w14:val="none"/>
        </w:rPr>
      </w:pPr>
    </w:p>
    <w:p w14:paraId="656AC48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noProof/>
          <w:kern w:val="0"/>
          <w:sz w:val="24"/>
          <w:szCs w:val="24"/>
          <w14:ligatures w14:val="none"/>
        </w:rPr>
      </w:pPr>
    </w:p>
    <w:p w14:paraId="4C031D9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Es, [VĀRDS, UZVĀRDS un AMATS], [JURISDIKCIJAS] kompetentās iestādes vārdā apliecinu, ka piekrītu izpildīt noteikumus, kas izklāstīti šai deklarācijai pievienotajā</w:t>
      </w:r>
    </w:p>
    <w:p w14:paraId="2E939F9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705F6835" w14:textId="77777777" w:rsidR="00F509BB" w:rsidRPr="005421A9" w:rsidRDefault="00F509BB" w:rsidP="00F509BB">
      <w:pPr>
        <w:widowControl w:val="0"/>
        <w:autoSpaceDE w:val="0"/>
        <w:autoSpaceDN w:val="0"/>
        <w:spacing w:before="120" w:after="120" w:line="240" w:lineRule="auto"/>
        <w:jc w:val="center"/>
        <w:rPr>
          <w:rFonts w:ascii="Times New Roman" w:eastAsia="Arial" w:hAnsi="Times New Roman" w:cs="Arial"/>
          <w:i/>
          <w:noProof/>
          <w:kern w:val="0"/>
          <w:sz w:val="24"/>
          <w:szCs w:val="24"/>
          <w14:ligatures w14:val="none"/>
        </w:rPr>
      </w:pPr>
      <w:r>
        <w:rPr>
          <w:rFonts w:ascii="Times New Roman" w:hAnsi="Times New Roman"/>
          <w:i/>
          <w:sz w:val="24"/>
        </w:rPr>
        <w:t>Papildinājumā Kompetento iestāžu daudzpusējam nolīgumam par finanšu kontu informācijas automātisku apmaiņu,</w:t>
      </w:r>
    </w:p>
    <w:p w14:paraId="172DA41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i/>
          <w:noProof/>
          <w:kern w:val="0"/>
          <w:sz w:val="24"/>
          <w:szCs w:val="24"/>
          <w14:ligatures w14:val="none"/>
        </w:rPr>
      </w:pPr>
    </w:p>
    <w:p w14:paraId="4CFD542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turpmāk tekstā – “papildinājums”, kas pievienots šai deklarācijai.</w:t>
      </w:r>
    </w:p>
    <w:p w14:paraId="2D9367A4"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0AFBCCE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78EFA675"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[JURISDIKCIJAS] kompetentā iestāde ar šo deklarāciju ir uzskatāma par šā papildinājuma parakstītāju no [DATUMS]. Papildinājums stāsies spēkā attiecībā uz [JURISDIKCIJAS] kompetento iestādi saskaņā ar tā 2. panta 1. punktu.</w:t>
      </w:r>
    </w:p>
    <w:p w14:paraId="1CD1C4B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3674CE8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3A245C1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1FEE0E5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Parakstīts [VIETA, DATUMS].</w:t>
      </w:r>
    </w:p>
    <w:p w14:paraId="0AA9D31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sectPr w:rsidR="00F509BB" w:rsidRPr="005421A9" w:rsidSect="00F509BB">
          <w:pgSz w:w="11907" w:h="16840" w:code="9"/>
          <w:pgMar w:top="1134" w:right="1134" w:bottom="1134" w:left="1701" w:header="567" w:footer="567" w:gutter="0"/>
          <w:cols w:space="720"/>
          <w:titlePg/>
        </w:sectPr>
      </w:pPr>
    </w:p>
    <w:p w14:paraId="3014C465" w14:textId="77777777" w:rsidR="00F509BB" w:rsidRPr="00F633E6" w:rsidRDefault="00F509BB" w:rsidP="00F509BB">
      <w:pPr>
        <w:pStyle w:val="Heading1"/>
        <w:spacing w:before="240" w:after="120" w:line="240" w:lineRule="auto"/>
        <w:jc w:val="center"/>
        <w:rPr>
          <w:rFonts w:ascii="Times New Roman" w:eastAsia="Arial" w:hAnsi="Times New Roman" w:cs="Times New Roman"/>
          <w:b/>
          <w:bCs/>
          <w:noProof/>
          <w:color w:val="0B769F" w:themeColor="accent4" w:themeShade="BF"/>
          <w:sz w:val="26"/>
          <w:szCs w:val="26"/>
        </w:rPr>
      </w:pPr>
      <w:bookmarkStart w:id="357" w:name="_Toc241753112"/>
      <w:r>
        <w:rPr>
          <w:rFonts w:ascii="Times New Roman" w:hAnsi="Times New Roman"/>
          <w:b/>
          <w:color w:val="0B769F" w:themeColor="accent4" w:themeShade="BF"/>
          <w:sz w:val="26"/>
        </w:rPr>
        <w:lastRenderedPageBreak/>
        <w:t>PAPILDINĀJUMS KOMPETENTO IESTĀŽU DAUDZPUSĒJAM NOLĪGUMAM PAR FINANŠU KONTU INFORMĀCIJAS AUTOMĀTISKU APMAIŅU</w:t>
      </w:r>
      <w:bookmarkEnd w:id="357"/>
    </w:p>
    <w:p w14:paraId="27BF2DC3"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noProof/>
          <w:kern w:val="0"/>
          <w:sz w:val="24"/>
          <w:szCs w:val="24"/>
          <w14:ligatures w14:val="none"/>
        </w:rPr>
      </w:pPr>
    </w:p>
    <w:p w14:paraId="6C4B47DC" w14:textId="77777777" w:rsidR="00F509BB" w:rsidRPr="005421A9" w:rsidRDefault="00F509BB" w:rsidP="00F509BB">
      <w:pPr>
        <w:widowControl w:val="0"/>
        <w:autoSpaceDE w:val="0"/>
        <w:autoSpaceDN w:val="0"/>
        <w:spacing w:before="120" w:after="120" w:line="240" w:lineRule="auto"/>
        <w:ind w:firstLine="284"/>
        <w:jc w:val="both"/>
        <w:rPr>
          <w:rFonts w:ascii="Times New Roman" w:eastAsia="Arial" w:hAnsi="Times New Roman" w:cs="Arial"/>
          <w:noProof/>
          <w:kern w:val="0"/>
          <w:sz w:val="24"/>
          <w:szCs w:val="24"/>
          <w14:ligatures w14:val="none"/>
        </w:rPr>
      </w:pPr>
      <w:r>
        <w:rPr>
          <w:rFonts w:ascii="Times New Roman" w:hAnsi="Times New Roman"/>
          <w:sz w:val="24"/>
        </w:rPr>
        <w:t>Tā kā kompetentās iestādes ir Kompetento iestāžu daudzpusējā</w:t>
      </w:r>
    </w:p>
    <w:p w14:paraId="1F10C1B4" w14:textId="77777777" w:rsidR="00F509BB" w:rsidRPr="005421A9" w:rsidRDefault="00F509BB" w:rsidP="00F509BB">
      <w:pPr>
        <w:widowControl w:val="0"/>
        <w:autoSpaceDE w:val="0"/>
        <w:autoSpaceDN w:val="0"/>
        <w:spacing w:before="120" w:after="120" w:line="240" w:lineRule="auto"/>
        <w:ind w:firstLine="284"/>
        <w:jc w:val="both"/>
        <w:rPr>
          <w:rFonts w:ascii="Times New Roman" w:eastAsia="Arial" w:hAnsi="Times New Roman" w:cs="Arial"/>
          <w:noProof/>
          <w:kern w:val="0"/>
          <w:sz w:val="24"/>
          <w:szCs w:val="24"/>
          <w14:ligatures w14:val="none"/>
        </w:rPr>
      </w:pPr>
      <w:r>
        <w:rPr>
          <w:rFonts w:ascii="Times New Roman" w:hAnsi="Times New Roman"/>
          <w:sz w:val="24"/>
        </w:rPr>
        <w:t>nolīguma par finanšu kontu informācijas automātisku apmaiņu (turpmāk tekstā – “</w:t>
      </w:r>
      <w:r>
        <w:rPr>
          <w:rFonts w:ascii="Times New Roman" w:hAnsi="Times New Roman"/>
          <w:i/>
          <w:iCs/>
          <w:sz w:val="24"/>
        </w:rPr>
        <w:t>CRS MCAA</w:t>
      </w:r>
      <w:r>
        <w:rPr>
          <w:rFonts w:ascii="Times New Roman" w:hAnsi="Times New Roman"/>
          <w:sz w:val="24"/>
        </w:rPr>
        <w:t>”) parakstītājas;</w:t>
      </w:r>
    </w:p>
    <w:p w14:paraId="60E3D6C1" w14:textId="77777777" w:rsidR="00F509BB" w:rsidRPr="005421A9" w:rsidRDefault="00F509BB" w:rsidP="00F509BB">
      <w:pPr>
        <w:widowControl w:val="0"/>
        <w:autoSpaceDE w:val="0"/>
        <w:autoSpaceDN w:val="0"/>
        <w:spacing w:before="120" w:after="120" w:line="240" w:lineRule="auto"/>
        <w:ind w:firstLine="284"/>
        <w:jc w:val="both"/>
        <w:rPr>
          <w:rFonts w:ascii="Times New Roman" w:eastAsia="Arial" w:hAnsi="Times New Roman" w:cs="Arial"/>
          <w:noProof/>
          <w:kern w:val="0"/>
          <w:sz w:val="24"/>
          <w:szCs w:val="24"/>
          <w14:ligatures w14:val="none"/>
        </w:rPr>
      </w:pPr>
      <w:r>
        <w:rPr>
          <w:rFonts w:ascii="Times New Roman" w:hAnsi="Times New Roman"/>
          <w:sz w:val="24"/>
        </w:rPr>
        <w:t xml:space="preserve">tā kā kompetentās iestādes paredz pastāvīgi uzlabot nodokļu saistību izpildi starptautiskā līmenī, turpinot pilnveidot savas attiecības saistībā ar savstarpējo palīdzību nodokļu jautājumos, kā tas notiek esošajā informācijas automātiskajā apmaiņā saskaņā ar </w:t>
      </w:r>
      <w:r>
        <w:rPr>
          <w:rFonts w:ascii="Times New Roman" w:hAnsi="Times New Roman"/>
          <w:i/>
          <w:iCs/>
          <w:sz w:val="24"/>
        </w:rPr>
        <w:t>CRS MCAA</w:t>
      </w:r>
      <w:r>
        <w:rPr>
          <w:rFonts w:ascii="Times New Roman" w:hAnsi="Times New Roman"/>
          <w:sz w:val="24"/>
        </w:rPr>
        <w:t>;</w:t>
      </w:r>
    </w:p>
    <w:p w14:paraId="1FB28514" w14:textId="77777777" w:rsidR="00F509BB" w:rsidRPr="005421A9" w:rsidRDefault="00F509BB" w:rsidP="00F509BB">
      <w:pPr>
        <w:widowControl w:val="0"/>
        <w:autoSpaceDE w:val="0"/>
        <w:autoSpaceDN w:val="0"/>
        <w:spacing w:before="120" w:after="120" w:line="240" w:lineRule="auto"/>
        <w:ind w:firstLine="284"/>
        <w:jc w:val="both"/>
        <w:rPr>
          <w:rFonts w:ascii="Times New Roman" w:eastAsia="Arial" w:hAnsi="Times New Roman" w:cs="Arial"/>
          <w:noProof/>
          <w:kern w:val="0"/>
          <w:sz w:val="24"/>
          <w:szCs w:val="24"/>
          <w14:ligatures w14:val="none"/>
        </w:rPr>
      </w:pPr>
      <w:r>
        <w:rPr>
          <w:rFonts w:ascii="Times New Roman" w:hAnsi="Times New Roman"/>
          <w:sz w:val="24"/>
        </w:rPr>
        <w:t xml:space="preserve">tā kā </w:t>
      </w:r>
      <w:r>
        <w:rPr>
          <w:rFonts w:ascii="Times New Roman" w:hAnsi="Times New Roman"/>
          <w:i/>
          <w:iCs/>
          <w:sz w:val="24"/>
        </w:rPr>
        <w:t>CRS MCAA</w:t>
      </w:r>
      <w:r>
        <w:rPr>
          <w:rFonts w:ascii="Times New Roman" w:hAnsi="Times New Roman"/>
          <w:sz w:val="24"/>
        </w:rPr>
        <w:t xml:space="preserve"> paredz, ka jurisdikciju tiesību akti laiku pa laikam tiks grozīti, lai atspoguļotu Kopējā ziņošanas standarta atjauninājumus, un ka pēc tam, kad jurisdikcijas būs ieviesušas šīs Kopējā ziņošanas standarta izmaiņas, tiks uzskatīts, ka </w:t>
      </w:r>
      <w:r>
        <w:rPr>
          <w:rFonts w:ascii="Times New Roman" w:hAnsi="Times New Roman"/>
          <w:i/>
          <w:iCs/>
          <w:sz w:val="24"/>
        </w:rPr>
        <w:t>CRS MCAA</w:t>
      </w:r>
      <w:r>
        <w:rPr>
          <w:rFonts w:ascii="Times New Roman" w:hAnsi="Times New Roman"/>
          <w:sz w:val="24"/>
        </w:rPr>
        <w:t xml:space="preserve"> attiecīgajā jurisdikcijā attiecas uz šādu atjaunināto redakciju;</w:t>
      </w:r>
    </w:p>
    <w:p w14:paraId="1EA81760" w14:textId="77777777" w:rsidR="00F509BB" w:rsidRPr="005421A9" w:rsidRDefault="00F509BB" w:rsidP="00F509BB">
      <w:pPr>
        <w:widowControl w:val="0"/>
        <w:autoSpaceDE w:val="0"/>
        <w:autoSpaceDN w:val="0"/>
        <w:spacing w:before="120" w:after="120" w:line="240" w:lineRule="auto"/>
        <w:ind w:firstLine="284"/>
        <w:jc w:val="both"/>
        <w:rPr>
          <w:rFonts w:ascii="Times New Roman" w:eastAsia="Arial" w:hAnsi="Times New Roman" w:cs="Arial"/>
          <w:noProof/>
          <w:kern w:val="0"/>
          <w:sz w:val="24"/>
          <w:szCs w:val="24"/>
          <w14:ligatures w14:val="none"/>
        </w:rPr>
      </w:pPr>
      <w:r>
        <w:rPr>
          <w:rFonts w:ascii="Times New Roman" w:hAnsi="Times New Roman"/>
          <w:sz w:val="24"/>
        </w:rPr>
        <w:t>tā kā Kopējais ziņošanas standarts 2023. gadā tika atjaunināts, lai grozītu tā tvērumu un uzlabotu ziņošanas prasības un pienācīgas pārbaudes procedūras;</w:t>
      </w:r>
    </w:p>
    <w:p w14:paraId="31957FD0" w14:textId="77777777" w:rsidR="00F509BB" w:rsidRPr="005421A9" w:rsidRDefault="00F509BB" w:rsidP="00F509BB">
      <w:pPr>
        <w:widowControl w:val="0"/>
        <w:autoSpaceDE w:val="0"/>
        <w:autoSpaceDN w:val="0"/>
        <w:spacing w:before="120" w:after="120" w:line="240" w:lineRule="auto"/>
        <w:ind w:firstLine="284"/>
        <w:jc w:val="both"/>
        <w:rPr>
          <w:rFonts w:ascii="Times New Roman" w:eastAsia="Arial" w:hAnsi="Times New Roman" w:cs="Arial"/>
          <w:noProof/>
          <w:kern w:val="0"/>
          <w:sz w:val="24"/>
          <w:szCs w:val="24"/>
          <w14:ligatures w14:val="none"/>
        </w:rPr>
      </w:pPr>
      <w:r>
        <w:rPr>
          <w:rFonts w:ascii="Times New Roman" w:hAnsi="Times New Roman"/>
          <w:sz w:val="24"/>
        </w:rPr>
        <w:t xml:space="preserve">tā kā ar šo papildinājumu ir paredzēts pievienot noteiktus informācijas elementus, ar kuriem jāapmainās saskaņā ar </w:t>
      </w:r>
      <w:r>
        <w:rPr>
          <w:rFonts w:ascii="Times New Roman" w:hAnsi="Times New Roman"/>
          <w:i/>
          <w:iCs/>
          <w:sz w:val="24"/>
        </w:rPr>
        <w:t>CRS MCAA</w:t>
      </w:r>
      <w:r>
        <w:rPr>
          <w:rFonts w:ascii="Times New Roman" w:hAnsi="Times New Roman"/>
          <w:sz w:val="24"/>
        </w:rPr>
        <w:t>, lai atainotu papildu ziņošanas prasības, kas ieviestas ar Kopējā ziņošanas standarta 2023. gada atjauninājumu;</w:t>
      </w:r>
    </w:p>
    <w:p w14:paraId="4F552268"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305D397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ņemot vērā iepriekš minēto, kompetentās iestādes ir vienojušās par turpmāko.</w:t>
      </w:r>
    </w:p>
    <w:p w14:paraId="03736D65"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7E386E44" w14:textId="77777777" w:rsidR="00F509BB" w:rsidRPr="00F633E6" w:rsidRDefault="00F509BB" w:rsidP="00F509BB">
      <w:pPr>
        <w:pStyle w:val="Heading1"/>
        <w:spacing w:before="240" w:after="120" w:line="240" w:lineRule="auto"/>
        <w:jc w:val="center"/>
        <w:rPr>
          <w:rFonts w:ascii="Times New Roman" w:eastAsia="Arial" w:hAnsi="Times New Roman" w:cs="Times New Roman"/>
          <w:b/>
          <w:bCs/>
          <w:noProof/>
          <w:color w:val="0B769F" w:themeColor="accent4" w:themeShade="BF"/>
          <w:sz w:val="26"/>
          <w:szCs w:val="26"/>
        </w:rPr>
      </w:pPr>
      <w:bookmarkStart w:id="358" w:name="_Toc241753113"/>
      <w:r>
        <w:rPr>
          <w:rFonts w:ascii="Times New Roman" w:hAnsi="Times New Roman"/>
          <w:b/>
          <w:color w:val="0B769F" w:themeColor="accent4" w:themeShade="BF"/>
          <w:sz w:val="26"/>
        </w:rPr>
        <w:t>1. PANTS</w:t>
      </w:r>
      <w:bookmarkEnd w:id="358"/>
    </w:p>
    <w:p w14:paraId="55EB17D8" w14:textId="77777777" w:rsidR="00F509BB" w:rsidRPr="00F633E6" w:rsidRDefault="00F509BB" w:rsidP="00F509BB">
      <w:pPr>
        <w:widowControl w:val="0"/>
        <w:autoSpaceDE w:val="0"/>
        <w:autoSpaceDN w:val="0"/>
        <w:spacing w:before="120" w:after="120" w:line="240" w:lineRule="auto"/>
        <w:jc w:val="both"/>
        <w:rPr>
          <w:rFonts w:ascii="Times New Roman" w:eastAsia="Arial" w:hAnsi="Times New Roman" w:cs="Arial"/>
          <w:b/>
          <w:bCs/>
          <w:i/>
          <w:iCs/>
          <w:noProof/>
          <w:kern w:val="0"/>
          <w:sz w:val="26"/>
          <w:szCs w:val="26"/>
          <w14:ligatures w14:val="none"/>
        </w:rPr>
      </w:pPr>
      <w:r>
        <w:rPr>
          <w:rFonts w:ascii="Times New Roman" w:hAnsi="Times New Roman"/>
          <w:b/>
          <w:i/>
          <w:sz w:val="26"/>
        </w:rPr>
        <w:t>Papildu informācija, ar ko jāapmainās attiecībā uz kontiem, par kuriem jāsniedz ziņojums</w:t>
      </w:r>
    </w:p>
    <w:p w14:paraId="36FE9E1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i/>
          <w:noProof/>
          <w:kern w:val="0"/>
          <w:sz w:val="24"/>
          <w:szCs w:val="24"/>
          <w14:ligatures w14:val="none"/>
        </w:rPr>
      </w:pPr>
    </w:p>
    <w:p w14:paraId="6103FCB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i/>
          <w:noProof/>
          <w:kern w:val="0"/>
          <w:sz w:val="24"/>
          <w:szCs w:val="24"/>
          <w14:ligatures w14:val="none"/>
        </w:rPr>
      </w:pPr>
    </w:p>
    <w:p w14:paraId="7104192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Ņemot vērā paziņojumu saskaņā ar šā papildinājuma 2. panta 2. punkta a) apakšpunkta i) daļu, papildu informācija, ar ko apmainās saskaņā ar </w:t>
      </w:r>
      <w:r>
        <w:rPr>
          <w:rFonts w:ascii="Times New Roman" w:hAnsi="Times New Roman"/>
          <w:i/>
          <w:iCs/>
          <w:sz w:val="24"/>
        </w:rPr>
        <w:t>CRS MCAA</w:t>
      </w:r>
      <w:r>
        <w:rPr>
          <w:rFonts w:ascii="Times New Roman" w:hAnsi="Times New Roman"/>
          <w:sz w:val="24"/>
        </w:rPr>
        <w:t xml:space="preserve"> 2. panta 2. punktu attiecībā uz katru citas jurisdikcijas kontu, par kuru jāsniedz ziņojums, ir:</w:t>
      </w:r>
    </w:p>
    <w:p w14:paraId="4545F157" w14:textId="77777777" w:rsidR="00F509BB" w:rsidRPr="005421A9" w:rsidRDefault="00F509BB" w:rsidP="00F509BB">
      <w:pPr>
        <w:widowControl w:val="0"/>
        <w:tabs>
          <w:tab w:val="left" w:pos="1235"/>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1) vai par katru konta turētāju ir sniegts derīgs pašapliecinājums;</w:t>
      </w:r>
    </w:p>
    <w:p w14:paraId="27488055" w14:textId="77777777" w:rsidR="00F509BB" w:rsidRPr="005421A9" w:rsidRDefault="00F509BB" w:rsidP="00F509BB">
      <w:pPr>
        <w:widowControl w:val="0"/>
        <w:tabs>
          <w:tab w:val="left" w:pos="1235"/>
          <w:tab w:val="left" w:pos="1237"/>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2) loma(-as), uz kuras(-u) pamata persona, par kuru jāsniedz ziņojums un kura kontrolē vienību, kas ir konta turētājs, ir šo vienību kontrolējošā persona un vai par katru šādu personu, par kuru jāsniedz ziņojums, ir iesniegts derīgs pašapliecinājums;</w:t>
      </w:r>
    </w:p>
    <w:p w14:paraId="236FFBAC" w14:textId="77777777" w:rsidR="00F509BB" w:rsidRPr="005421A9" w:rsidRDefault="00F509BB" w:rsidP="00F509BB">
      <w:pPr>
        <w:widowControl w:val="0"/>
        <w:tabs>
          <w:tab w:val="left" w:pos="1235"/>
          <w:tab w:val="left" w:pos="1237"/>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3) konta veids, proti, vai konts ir iepriekšpastāvējis konts vai jauns konts un vai konts ir kopīgs konts, tostarp kopīgā konta turētāju skaits, un</w:t>
      </w:r>
    </w:p>
    <w:p w14:paraId="1A16B134" w14:textId="77777777" w:rsidR="00F509BB" w:rsidRPr="005421A9" w:rsidRDefault="00F509BB" w:rsidP="00F509BB">
      <w:pPr>
        <w:widowControl w:val="0"/>
        <w:tabs>
          <w:tab w:val="left" w:pos="1235"/>
          <w:tab w:val="left" w:pos="1237"/>
        </w:tabs>
        <w:autoSpaceDE w:val="0"/>
        <w:autoSpaceDN w:val="0"/>
        <w:spacing w:before="120" w:after="120" w:line="240" w:lineRule="auto"/>
        <w:ind w:left="284"/>
        <w:jc w:val="both"/>
        <w:rPr>
          <w:rFonts w:ascii="Times New Roman" w:eastAsia="Arial" w:hAnsi="Times New Roman" w:cs="Arial"/>
          <w:noProof/>
          <w:kern w:val="0"/>
          <w:sz w:val="24"/>
          <w:szCs w:val="24"/>
          <w14:ligatures w14:val="none"/>
        </w:rPr>
      </w:pPr>
      <w:r>
        <w:rPr>
          <w:rFonts w:ascii="Times New Roman" w:hAnsi="Times New Roman"/>
          <w:sz w:val="24"/>
        </w:rPr>
        <w:t>4) attiecībā uz vienību, kurai līdzdalības daļas tiek turētas ieguldījumu vienībā, kas ir juridisks veidojums, loma(-as), saskaņā ar kuru(-ām) persona, par ko jāsniedz ziņojums, ir vienības līdzdalības daļu turētāja.</w:t>
      </w:r>
    </w:p>
    <w:p w14:paraId="7398E8CF" w14:textId="77777777" w:rsidR="00F509BB" w:rsidRDefault="00F509BB" w:rsidP="00F509BB">
      <w:pPr>
        <w:rPr>
          <w:rFonts w:ascii="Times New Roman" w:eastAsia="Arial" w:hAnsi="Times New Roman" w:cs="Arial"/>
          <w:b/>
          <w:bCs/>
          <w:noProof/>
          <w:color w:val="4E81BD"/>
          <w:kern w:val="0"/>
          <w:sz w:val="24"/>
          <w:szCs w:val="24"/>
          <w14:ligatures w14:val="none"/>
        </w:rPr>
      </w:pPr>
    </w:p>
    <w:p w14:paraId="4C2853FF" w14:textId="77777777" w:rsidR="00F509BB" w:rsidRPr="00F633E6" w:rsidRDefault="00F509BB" w:rsidP="00F509BB">
      <w:pPr>
        <w:pStyle w:val="Heading1"/>
        <w:spacing w:before="240" w:after="120" w:line="240" w:lineRule="auto"/>
        <w:jc w:val="center"/>
        <w:rPr>
          <w:rFonts w:ascii="Times New Roman" w:eastAsia="Arial" w:hAnsi="Times New Roman" w:cs="Times New Roman"/>
          <w:b/>
          <w:bCs/>
          <w:noProof/>
          <w:color w:val="0B769F" w:themeColor="accent4" w:themeShade="BF"/>
          <w:sz w:val="26"/>
          <w:szCs w:val="26"/>
        </w:rPr>
      </w:pPr>
      <w:bookmarkStart w:id="359" w:name="_Toc241753114"/>
      <w:r>
        <w:rPr>
          <w:rFonts w:ascii="Times New Roman" w:hAnsi="Times New Roman"/>
          <w:b/>
          <w:color w:val="0B769F" w:themeColor="accent4" w:themeShade="BF"/>
          <w:sz w:val="26"/>
        </w:rPr>
        <w:lastRenderedPageBreak/>
        <w:t>2. PANTS</w:t>
      </w:r>
      <w:bookmarkEnd w:id="359"/>
    </w:p>
    <w:p w14:paraId="422B2EC9" w14:textId="77777777" w:rsidR="00F509BB" w:rsidRPr="00F633E6" w:rsidRDefault="00F509BB" w:rsidP="00F509BB">
      <w:pPr>
        <w:widowControl w:val="0"/>
        <w:autoSpaceDE w:val="0"/>
        <w:autoSpaceDN w:val="0"/>
        <w:spacing w:before="120" w:after="120" w:line="240" w:lineRule="auto"/>
        <w:jc w:val="center"/>
        <w:rPr>
          <w:rFonts w:ascii="Times New Roman" w:eastAsia="Arial" w:hAnsi="Times New Roman" w:cs="Arial"/>
          <w:b/>
          <w:bCs/>
          <w:i/>
          <w:iCs/>
          <w:noProof/>
          <w:kern w:val="0"/>
          <w:sz w:val="26"/>
          <w:szCs w:val="26"/>
          <w14:ligatures w14:val="none"/>
        </w:rPr>
      </w:pPr>
      <w:r>
        <w:rPr>
          <w:rFonts w:ascii="Times New Roman" w:hAnsi="Times New Roman"/>
          <w:b/>
          <w:i/>
          <w:sz w:val="26"/>
        </w:rPr>
        <w:t>Vispārīgi noteikumi</w:t>
      </w:r>
    </w:p>
    <w:p w14:paraId="0DAEA3F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i/>
          <w:noProof/>
          <w:kern w:val="0"/>
          <w:sz w:val="24"/>
          <w:szCs w:val="24"/>
          <w14:ligatures w14:val="none"/>
        </w:rPr>
      </w:pPr>
    </w:p>
    <w:p w14:paraId="7FD63258" w14:textId="77777777" w:rsidR="00F509BB" w:rsidRPr="005421A9" w:rsidRDefault="00F509BB" w:rsidP="00F509BB">
      <w:pPr>
        <w:widowControl w:val="0"/>
        <w:tabs>
          <w:tab w:val="left" w:pos="961"/>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 Šis papildinājums būs spēkā attiecībā uz kompetentajām iestādēm, kas ir arī šā papildinājuma parakstītājas. Tas būs </w:t>
      </w:r>
      <w:r>
        <w:rPr>
          <w:rFonts w:ascii="Times New Roman" w:hAnsi="Times New Roman"/>
          <w:i/>
          <w:iCs/>
          <w:sz w:val="24"/>
        </w:rPr>
        <w:t>CRS MCAA</w:t>
      </w:r>
      <w:r>
        <w:rPr>
          <w:rFonts w:ascii="Times New Roman" w:hAnsi="Times New Roman"/>
          <w:sz w:val="24"/>
        </w:rPr>
        <w:t xml:space="preserve"> neatņemama daļa, un </w:t>
      </w:r>
      <w:r>
        <w:rPr>
          <w:rFonts w:ascii="Times New Roman" w:hAnsi="Times New Roman"/>
          <w:i/>
          <w:iCs/>
          <w:sz w:val="24"/>
        </w:rPr>
        <w:t>CRS MCAA</w:t>
      </w:r>
      <w:r>
        <w:rPr>
          <w:rFonts w:ascii="Times New Roman" w:hAnsi="Times New Roman"/>
          <w:sz w:val="24"/>
        </w:rPr>
        <w:t xml:space="preserve"> tiesību normas tiks </w:t>
      </w:r>
      <w:r>
        <w:rPr>
          <w:rFonts w:ascii="Times New Roman" w:hAnsi="Times New Roman"/>
          <w:i/>
          <w:iCs/>
          <w:sz w:val="24"/>
        </w:rPr>
        <w:t>mutatis mutandis</w:t>
      </w:r>
      <w:r>
        <w:rPr>
          <w:rFonts w:ascii="Times New Roman" w:hAnsi="Times New Roman"/>
          <w:sz w:val="24"/>
        </w:rPr>
        <w:t xml:space="preserve"> piemērotas šim papildinājumam.</w:t>
      </w:r>
    </w:p>
    <w:p w14:paraId="57564976" w14:textId="77777777" w:rsidR="00F509BB" w:rsidRPr="005421A9" w:rsidRDefault="00F509BB" w:rsidP="00F509BB">
      <w:pPr>
        <w:widowControl w:val="0"/>
        <w:tabs>
          <w:tab w:val="left" w:pos="961"/>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2. Kompetentajai iestādei, parakstot šo papildinājumu vai iespējami drīz pēc tā parakstīšanas, ir jāiesniedz koordinējošās institūcijas sekretariātam:</w:t>
      </w:r>
    </w:p>
    <w:p w14:paraId="244D187F" w14:textId="77777777" w:rsidR="00F509BB" w:rsidRPr="005421A9" w:rsidRDefault="00F509BB" w:rsidP="00F509BB">
      <w:pPr>
        <w:widowControl w:val="0"/>
        <w:tabs>
          <w:tab w:val="left" w:pos="1235"/>
        </w:tabs>
        <w:autoSpaceDE w:val="0"/>
        <w:autoSpaceDN w:val="0"/>
        <w:spacing w:before="120" w:after="120" w:line="240" w:lineRule="auto"/>
        <w:ind w:left="567" w:hanging="284"/>
        <w:jc w:val="both"/>
        <w:rPr>
          <w:rFonts w:ascii="Times New Roman" w:eastAsia="Arial" w:hAnsi="Times New Roman" w:cs="Arial"/>
          <w:noProof/>
          <w:kern w:val="0"/>
          <w:sz w:val="24"/>
          <w:szCs w:val="24"/>
          <w14:ligatures w14:val="none"/>
        </w:rPr>
      </w:pPr>
      <w:r>
        <w:rPr>
          <w:rFonts w:ascii="Times New Roman" w:hAnsi="Times New Roman"/>
          <w:sz w:val="24"/>
        </w:rPr>
        <w:t xml:space="preserve">a) atjaunināts paziņojums saskaņā ar </w:t>
      </w:r>
      <w:r>
        <w:rPr>
          <w:rFonts w:ascii="Times New Roman" w:hAnsi="Times New Roman"/>
          <w:i/>
          <w:iCs/>
          <w:sz w:val="24"/>
        </w:rPr>
        <w:t>CRS MCAA</w:t>
      </w:r>
      <w:r>
        <w:rPr>
          <w:rFonts w:ascii="Times New Roman" w:hAnsi="Times New Roman"/>
          <w:sz w:val="24"/>
        </w:rPr>
        <w:t xml:space="preserve"> 7. panta 1. punkta a) apakšpunktu:</w:t>
      </w:r>
    </w:p>
    <w:p w14:paraId="3CB197CE" w14:textId="77777777" w:rsidR="00F509BB" w:rsidRPr="005421A9" w:rsidRDefault="00F509BB" w:rsidP="00F509BB">
      <w:pPr>
        <w:widowControl w:val="0"/>
        <w:tabs>
          <w:tab w:val="left" w:pos="1800"/>
          <w:tab w:val="left" w:pos="1803"/>
        </w:tabs>
        <w:autoSpaceDE w:val="0"/>
        <w:autoSpaceDN w:val="0"/>
        <w:spacing w:before="120" w:after="120" w:line="240" w:lineRule="auto"/>
        <w:ind w:left="851" w:hanging="284"/>
        <w:jc w:val="both"/>
        <w:rPr>
          <w:rFonts w:ascii="Times New Roman" w:eastAsia="Arial" w:hAnsi="Times New Roman" w:cs="Arial"/>
          <w:noProof/>
          <w:kern w:val="0"/>
          <w:sz w:val="24"/>
          <w:szCs w:val="24"/>
          <w14:ligatures w14:val="none"/>
        </w:rPr>
      </w:pPr>
      <w:r>
        <w:rPr>
          <w:rFonts w:ascii="Times New Roman" w:hAnsi="Times New Roman"/>
          <w:sz w:val="24"/>
        </w:rPr>
        <w:t>i) kurā apstiprināts, ka kompetentās iestādes jurisdikcijā ir pieņemti visi nepieciešamie tiesību akti, lai ieviestu Kopējā ziņošanas standarta 2023. gada atjauninājumu, un norādīti attiecīgie spēkā stāšanās datumi attiecībā uz šā papildinājuma 1. pantu un uzlaboto ziņošanas un pienācīgas pārbaudes procedūru piemērošanu vai pabeigšanu, vai norādīts periods, kurā šo papildinājumu piemēro provizoriski, līdz tiek pieņemtas valsts tiesību aktos noteiktās procedūras (ja tādas ir), vai</w:t>
      </w:r>
    </w:p>
    <w:p w14:paraId="0419813F" w14:textId="77777777" w:rsidR="00F509BB" w:rsidRPr="005421A9" w:rsidRDefault="00F509BB" w:rsidP="00F509BB">
      <w:pPr>
        <w:widowControl w:val="0"/>
        <w:tabs>
          <w:tab w:val="left" w:pos="1799"/>
          <w:tab w:val="left" w:pos="1803"/>
        </w:tabs>
        <w:autoSpaceDE w:val="0"/>
        <w:autoSpaceDN w:val="0"/>
        <w:spacing w:before="120" w:after="120" w:line="240" w:lineRule="auto"/>
        <w:ind w:left="851" w:hanging="284"/>
        <w:jc w:val="both"/>
        <w:rPr>
          <w:rFonts w:ascii="Times New Roman" w:eastAsia="Arial" w:hAnsi="Times New Roman" w:cs="Arial"/>
          <w:noProof/>
          <w:kern w:val="0"/>
          <w:sz w:val="24"/>
          <w:szCs w:val="24"/>
          <w14:ligatures w14:val="none"/>
        </w:rPr>
      </w:pPr>
      <w:r>
        <w:rPr>
          <w:rFonts w:ascii="Times New Roman" w:hAnsi="Times New Roman"/>
          <w:sz w:val="24"/>
        </w:rPr>
        <w:t>ii) kurā norādīts, ka kompetentās iestādes jurisdikcijā vēl nav pieņemti nepieciešamie tiesību akti, lai ieviestu Kopējā ziņošanas standarta 2023. gada atjauninājumu, tāpēc tiek lūgta piekrišana noteiktā pārejas periodā turpināt sūtīt informāciju, nepiemērojot un nepabeidzot Kopējā ziņošanas standarta 2023. gada atjauninājumā noteiktās uzlabotās ziņošanas un pienācīgas pārbaudes procedūras, un</w:t>
      </w:r>
    </w:p>
    <w:p w14:paraId="61800555"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4"/>
        <w:jc w:val="both"/>
        <w:rPr>
          <w:rFonts w:ascii="Times New Roman" w:eastAsia="Arial" w:hAnsi="Times New Roman" w:cs="Arial"/>
          <w:noProof/>
          <w:kern w:val="0"/>
          <w:sz w:val="24"/>
          <w:szCs w:val="24"/>
          <w14:ligatures w14:val="none"/>
        </w:rPr>
      </w:pPr>
      <w:r>
        <w:rPr>
          <w:rFonts w:ascii="Times New Roman" w:hAnsi="Times New Roman"/>
          <w:sz w:val="24"/>
        </w:rPr>
        <w:t xml:space="preserve">b) atjaunināts paziņojums saskaņā ar </w:t>
      </w:r>
      <w:r>
        <w:rPr>
          <w:rFonts w:ascii="Times New Roman" w:hAnsi="Times New Roman"/>
          <w:i/>
          <w:iCs/>
          <w:sz w:val="24"/>
        </w:rPr>
        <w:t>CRS MCAA</w:t>
      </w:r>
      <w:r>
        <w:rPr>
          <w:rFonts w:ascii="Times New Roman" w:hAnsi="Times New Roman"/>
          <w:sz w:val="24"/>
        </w:rPr>
        <w:t xml:space="preserve"> 7. panta 1. punkta f) apakšpunktu, kurā norādītas kompetento iestāžu jurisdikcijas, attiecībā uz kurām kompetentā iestāde pieņem to lūgumus, kas norādīti šā papildinājuma 2. punkta a) apakšpunkta ii) daļā sniegtajā paziņojumā.</w:t>
      </w:r>
    </w:p>
    <w:p w14:paraId="0759779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0E4E341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6931852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Sagatavots angļu un franču valodā, abām redakcijām esot vienlīdz autentiskām.</w:t>
      </w:r>
    </w:p>
    <w:p w14:paraId="2BCE6D2F" w14:textId="77777777" w:rsidR="00F509BB" w:rsidRDefault="00F509BB" w:rsidP="00F509BB">
      <w:pPr>
        <w:rPr>
          <w:rFonts w:ascii="Times New Roman" w:eastAsia="Arial" w:hAnsi="Times New Roman" w:cs="Arial"/>
          <w:noProof/>
          <w:kern w:val="0"/>
          <w:sz w:val="24"/>
          <w:szCs w:val="24"/>
          <w14:ligatures w14:val="none"/>
        </w:rPr>
      </w:pPr>
      <w:r>
        <w:br w:type="page"/>
      </w:r>
    </w:p>
    <w:p w14:paraId="779AC9F5" w14:textId="77777777" w:rsidR="00F509BB" w:rsidRPr="00F633E6" w:rsidRDefault="00F509BB" w:rsidP="00F509BB">
      <w:pPr>
        <w:widowControl w:val="0"/>
        <w:tabs>
          <w:tab w:val="left" w:pos="1423"/>
        </w:tabs>
        <w:autoSpaceDE w:val="0"/>
        <w:autoSpaceDN w:val="0"/>
        <w:spacing w:before="120" w:after="120" w:line="240" w:lineRule="auto"/>
        <w:ind w:left="142"/>
        <w:jc w:val="both"/>
        <w:rPr>
          <w:rFonts w:ascii="Times New Roman" w:eastAsia="Arial" w:hAnsi="Times New Roman" w:cs="Times New Roman"/>
          <w:b/>
          <w:bCs/>
          <w:noProof/>
          <w:color w:val="0B769F" w:themeColor="accent4" w:themeShade="BF"/>
          <w:sz w:val="48"/>
          <w:szCs w:val="48"/>
        </w:rPr>
      </w:pPr>
      <w:bookmarkStart w:id="360" w:name="5_Commentary_to_Addendum"/>
      <w:bookmarkStart w:id="361" w:name="_bookmark58"/>
      <w:bookmarkEnd w:id="360"/>
      <w:bookmarkEnd w:id="361"/>
      <w:r>
        <w:rPr>
          <w:rFonts w:ascii="Times New Roman" w:hAnsi="Times New Roman"/>
          <w:b/>
          <w:color w:val="0B769F" w:themeColor="accent4" w:themeShade="BF"/>
          <w:sz w:val="72"/>
          <w:u w:val="single"/>
        </w:rPr>
        <w:lastRenderedPageBreak/>
        <w:t>5.</w:t>
      </w:r>
      <w:r w:rsidRPr="008E7984">
        <w:rPr>
          <w:rFonts w:ascii="Times New Roman" w:hAnsi="Times New Roman"/>
          <w:b/>
          <w:color w:val="0B769F" w:themeColor="accent4" w:themeShade="BF"/>
          <w:sz w:val="72"/>
        </w:rPr>
        <w:t xml:space="preserve"> </w:t>
      </w:r>
      <w:r>
        <w:rPr>
          <w:rFonts w:ascii="Times New Roman" w:hAnsi="Times New Roman"/>
          <w:b/>
          <w:color w:val="0B769F" w:themeColor="accent4" w:themeShade="BF"/>
          <w:sz w:val="48"/>
        </w:rPr>
        <w:t>Komentāri papildinājumam</w:t>
      </w:r>
    </w:p>
    <w:p w14:paraId="0842AB47"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noProof/>
          <w:kern w:val="0"/>
          <w:sz w:val="24"/>
          <w:szCs w:val="24"/>
          <w14:ligatures w14:val="none"/>
        </w:rPr>
      </w:pPr>
    </w:p>
    <w:p w14:paraId="00B16C3C" w14:textId="77777777" w:rsidR="00F509BB" w:rsidRPr="005421A9" w:rsidRDefault="00F509BB" w:rsidP="00F509BB">
      <w:pPr>
        <w:widowControl w:val="0"/>
        <w:tabs>
          <w:tab w:val="left" w:pos="961"/>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1. Papildinājumā Kompetento iestāžu daudzpusējam nolīgumam par finanšu kontu informācijas automātisku apmaiņu (turpmāk – papildinājums) ir ietverta:</w:t>
      </w:r>
    </w:p>
    <w:p w14:paraId="3191D812" w14:textId="77777777" w:rsidR="00F509BB" w:rsidRPr="005421A9" w:rsidRDefault="00F509BB" w:rsidP="00F509BB">
      <w:pPr>
        <w:widowControl w:val="0"/>
        <w:numPr>
          <w:ilvl w:val="1"/>
          <w:numId w:val="40"/>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deklarācija, kas jāparaksta </w:t>
      </w:r>
      <w:r>
        <w:rPr>
          <w:rFonts w:ascii="Times New Roman" w:hAnsi="Times New Roman"/>
          <w:i/>
          <w:iCs/>
          <w:sz w:val="24"/>
        </w:rPr>
        <w:t>CRS MCAA</w:t>
      </w:r>
      <w:r>
        <w:rPr>
          <w:rFonts w:ascii="Times New Roman" w:hAnsi="Times New Roman"/>
          <w:sz w:val="24"/>
        </w:rPr>
        <w:t xml:space="preserve"> parakstītājiem, tādējādi norādot nodomu ieviest pārskatīto </w:t>
      </w:r>
      <w:r>
        <w:rPr>
          <w:rFonts w:ascii="Times New Roman" w:hAnsi="Times New Roman"/>
          <w:i/>
          <w:iCs/>
          <w:sz w:val="24"/>
        </w:rPr>
        <w:t>CRS</w:t>
      </w:r>
      <w:r>
        <w:rPr>
          <w:rFonts w:ascii="Times New Roman" w:hAnsi="Times New Roman"/>
          <w:sz w:val="24"/>
        </w:rPr>
        <w:t xml:space="preserve"> un informācijas apmaiņu, pamatojoties uz paplašinātajām ziņošanas prasībām. Lai kļūtu par papildinājuma parakstītāju, jurisdikcijas kompetentajai iestādei vai tās ieceltam aģentam jāparaksta deklarācija un kopā ar papildinājuma tekstu tā jāiesniedz koordinējošās institūcijas sekretariātam;</w:t>
      </w:r>
    </w:p>
    <w:p w14:paraId="431AECB4" w14:textId="77777777" w:rsidR="00F509BB" w:rsidRPr="005421A9" w:rsidRDefault="00F509BB" w:rsidP="00F509BB">
      <w:pPr>
        <w:widowControl w:val="0"/>
        <w:numPr>
          <w:ilvl w:val="1"/>
          <w:numId w:val="40"/>
        </w:numPr>
        <w:tabs>
          <w:tab w:val="left" w:pos="1235"/>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preambula, kas paskaidro papildinājuma mērķi, un</w:t>
      </w:r>
    </w:p>
    <w:p w14:paraId="7AF78346" w14:textId="77777777" w:rsidR="00F509BB" w:rsidRPr="005421A9" w:rsidRDefault="00F509BB" w:rsidP="00F509BB">
      <w:pPr>
        <w:widowControl w:val="0"/>
        <w:numPr>
          <w:ilvl w:val="1"/>
          <w:numId w:val="40"/>
        </w:numPr>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 xml:space="preserve">divi panti, kuros iekļauti papildinājuma saskaņotie noteikumi. Papildinājuma 1. pantā norādīti papildu informācijas elementi, kuru apmaiņa notiek pārskatītā </w:t>
      </w:r>
      <w:r>
        <w:rPr>
          <w:rFonts w:ascii="Times New Roman" w:hAnsi="Times New Roman"/>
          <w:i/>
          <w:iCs/>
          <w:sz w:val="24"/>
        </w:rPr>
        <w:t>CRS</w:t>
      </w:r>
      <w:r>
        <w:rPr>
          <w:rFonts w:ascii="Times New Roman" w:hAnsi="Times New Roman"/>
          <w:sz w:val="24"/>
        </w:rPr>
        <w:t xml:space="preserve"> rezultātā. Papildinājuma 2. panta 1. punktā ir precizēts, ka papildinājums būs spēkā papildinājumu parakstītājvalstīs, ka tas būs </w:t>
      </w:r>
      <w:r>
        <w:rPr>
          <w:rFonts w:ascii="Times New Roman" w:hAnsi="Times New Roman"/>
          <w:i/>
          <w:iCs/>
          <w:sz w:val="24"/>
        </w:rPr>
        <w:t>CRS MCAA</w:t>
      </w:r>
      <w:r>
        <w:rPr>
          <w:rFonts w:ascii="Times New Roman" w:hAnsi="Times New Roman"/>
          <w:sz w:val="24"/>
        </w:rPr>
        <w:t xml:space="preserve"> neatņemama daļa un ka </w:t>
      </w:r>
      <w:r>
        <w:rPr>
          <w:rFonts w:ascii="Times New Roman" w:hAnsi="Times New Roman"/>
          <w:i/>
          <w:iCs/>
          <w:sz w:val="24"/>
        </w:rPr>
        <w:t>CRS MCAA</w:t>
      </w:r>
      <w:r>
        <w:rPr>
          <w:rFonts w:ascii="Times New Roman" w:hAnsi="Times New Roman"/>
          <w:sz w:val="24"/>
        </w:rPr>
        <w:t xml:space="preserve"> tiesību normas piemērojamas </w:t>
      </w:r>
      <w:r>
        <w:rPr>
          <w:rFonts w:ascii="Times New Roman" w:hAnsi="Times New Roman"/>
          <w:i/>
          <w:iCs/>
          <w:sz w:val="24"/>
        </w:rPr>
        <w:t>mutatis mutandis</w:t>
      </w:r>
      <w:r>
        <w:rPr>
          <w:rFonts w:ascii="Times New Roman" w:hAnsi="Times New Roman"/>
          <w:sz w:val="24"/>
        </w:rPr>
        <w:t xml:space="preserve"> papildinājumam. Papildinājuma 2. panta 2. punktā sniegta paziņošanas procedūra kompetentajām iestādēm saskaņā ar šo papildinājumu, kas sīkāk izklāstīta turpmāk.</w:t>
      </w:r>
    </w:p>
    <w:p w14:paraId="047420B3" w14:textId="77777777" w:rsidR="00F509BB" w:rsidRPr="005421A9" w:rsidRDefault="00F509BB" w:rsidP="00F509BB">
      <w:pPr>
        <w:widowControl w:val="0"/>
        <w:tabs>
          <w:tab w:val="left" w:pos="961"/>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2. 2. punkta a) apakšpunkta i) daļā noteikts paziņojums, ar kura starpniecību kompetentās iestādes informē cita citu par to, ka to attiecīgā jurisdikcija ir pieņēmusi papildinājuma ieviešanai nepieciešamos tiesību aktus, t. i., iesniedzot atjauninātu paziņojumu saskaņā ar </w:t>
      </w:r>
      <w:r>
        <w:rPr>
          <w:rFonts w:ascii="Times New Roman" w:hAnsi="Times New Roman"/>
          <w:i/>
          <w:iCs/>
          <w:sz w:val="24"/>
        </w:rPr>
        <w:t>CRS MCAA</w:t>
      </w:r>
      <w:r>
        <w:rPr>
          <w:rFonts w:ascii="Times New Roman" w:hAnsi="Times New Roman"/>
          <w:sz w:val="24"/>
        </w:rPr>
        <w:t xml:space="preserve"> 7. panta 1. punkta a) apakšpunktu šā papildinājuma parakstīšanas brīdī vai iespējami drīz pēc parakstīšanas un norādot attiecīgos spēkā stāšanās datumus. Tajā var būt norādīti valsts likumdošanas procedūrās ietverti nosacījumi, kas paredz nepieciešamību pagaidu kārtībā piemērot papildinājumu ierobežotu laiku.</w:t>
      </w:r>
    </w:p>
    <w:p w14:paraId="761727B3" w14:textId="77777777" w:rsidR="00F509BB" w:rsidRPr="005421A9" w:rsidRDefault="00F509BB" w:rsidP="00F509BB">
      <w:pPr>
        <w:widowControl w:val="0"/>
        <w:tabs>
          <w:tab w:val="left" w:pos="961"/>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3. Tiek atzīts, ka dažās jurisdikcijās, jo īpaši tajās, kas tikai nesen ir ieviesušas vai ievieš Kopējo ziņošanas standartu, ne vienmēr ir iespējams tajā pašā datumā īstenot papildinājuma 1. pantā noteiktās ziņošanas papildu prasības. Šādos gadījumos 2. punkta a) apakšpunkta ii) daļā minētajā paziņojumā kompetentā iestāde var norādīt, ka tās jurisdikcijā vēl nav pieņemti nepieciešamie tiesību akti, lai ieviestu Kopējā ziņošanas standarta 2023. gada atjauninājumu, tāpēc tiek lūgta piekrišana noteiktā pārejas periodā turpināt sūtīt informāciju, nepiemērojot un nepabeidzot Kopējā ziņošanas standarta 2023. gada atjauninājumā noteiktās uzlabotās ziņošanas un pienācīgas pārbaudes procedūras. Kā ekvivalents 2. punkta a) apakšpunkta ii) daļā minētajam paziņojumam 2. punkta b) apakšpunktā minētais paziņojums ļauj kompetentajām iestādēm pieņemt citu kompetento iestāžu lūgumus piemērot pagaidu periodus, kas noteikti saskaņā ar 2. punkta a) apakšpunkta ii) daļu iesniegtajos paziņojumos, iesniedzot atjauninātu paziņojumu saskaņā ar </w:t>
      </w:r>
      <w:r>
        <w:rPr>
          <w:rFonts w:ascii="Times New Roman" w:hAnsi="Times New Roman"/>
          <w:i/>
          <w:iCs/>
          <w:sz w:val="24"/>
        </w:rPr>
        <w:t>CRS MCAA</w:t>
      </w:r>
      <w:r>
        <w:rPr>
          <w:rFonts w:ascii="Times New Roman" w:hAnsi="Times New Roman"/>
          <w:sz w:val="24"/>
        </w:rPr>
        <w:t xml:space="preserve"> 7. panta 1. punkta f) apakšpunktu.</w:t>
      </w:r>
    </w:p>
    <w:p w14:paraId="715AF277" w14:textId="77777777" w:rsidR="00F509BB" w:rsidRPr="005421A9" w:rsidRDefault="00F509BB" w:rsidP="00F509BB">
      <w:pPr>
        <w:widowControl w:val="0"/>
        <w:tabs>
          <w:tab w:val="left" w:pos="1018"/>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4. Gadījumos, kad pārejas periodam netiek dota piekrišana saskaņā ar minēto mehānismu vai šis pārejas periods ir beidzies, kompetentā iestāde, kuras jurisdikcijā ir pieņemti nepieciešamie tiesību akti, lai ieviestu Kopējā ziņošanas standarta 2023. gada atjauninājumu, var attiecīgi un piemērojot šā papildinājuma 2. panta 1. punktu paļauties uz spēkā esošajām tiesību normām, kas sniegtas </w:t>
      </w:r>
      <w:r>
        <w:rPr>
          <w:rFonts w:ascii="Times New Roman" w:hAnsi="Times New Roman"/>
          <w:i/>
          <w:iCs/>
          <w:sz w:val="24"/>
        </w:rPr>
        <w:t>CRS MCAA</w:t>
      </w:r>
      <w:r>
        <w:rPr>
          <w:rFonts w:ascii="Times New Roman" w:hAnsi="Times New Roman"/>
          <w:sz w:val="24"/>
        </w:rPr>
        <w:t xml:space="preserve"> 3. panta 3. punktā un 7. panta 3. un 4. punktā, lai vairs nesūtītu informāciju citai kompetentajai iestādei, kas nav ieviesusi Kopējā ziņošanas standarta 2023. gada atjauninājumu, vai arī apturēt vai pārtraukt informācijas apmaiņas attiecības ar šo kompetento iestādi.</w:t>
      </w:r>
    </w:p>
    <w:p w14:paraId="4914A38F" w14:textId="77777777" w:rsidR="00F509BB" w:rsidRDefault="00F509BB" w:rsidP="00F509BB">
      <w:pPr>
        <w:rPr>
          <w:rFonts w:ascii="Times New Roman" w:eastAsia="Arial" w:hAnsi="Times New Roman" w:cs="Arial"/>
          <w:b/>
          <w:noProof/>
          <w:color w:val="4E81BD"/>
          <w:kern w:val="0"/>
          <w:sz w:val="24"/>
          <w:szCs w:val="24"/>
          <w14:ligatures w14:val="none"/>
        </w:rPr>
      </w:pPr>
      <w:bookmarkStart w:id="362" w:name="Annex_A._Revised_Recommendation_of_the_C"/>
      <w:bookmarkStart w:id="363" w:name="_bookmark59"/>
      <w:bookmarkEnd w:id="362"/>
      <w:bookmarkEnd w:id="363"/>
      <w:r>
        <w:br w:type="page"/>
      </w:r>
    </w:p>
    <w:p w14:paraId="37D3872E" w14:textId="77777777" w:rsidR="00F509BB" w:rsidRPr="00895A4F" w:rsidRDefault="00F509BB" w:rsidP="008E7984">
      <w:pPr>
        <w:widowControl w:val="0"/>
        <w:autoSpaceDE w:val="0"/>
        <w:autoSpaceDN w:val="0"/>
        <w:spacing w:before="120" w:after="120" w:line="240" w:lineRule="auto"/>
        <w:rPr>
          <w:rFonts w:ascii="Times New Roman" w:eastAsia="Arial" w:hAnsi="Times New Roman" w:cs="Times New Roman"/>
          <w:b/>
          <w:bCs/>
          <w:noProof/>
          <w:color w:val="0B769F" w:themeColor="accent4" w:themeShade="BF"/>
          <w:sz w:val="46"/>
          <w:szCs w:val="46"/>
        </w:rPr>
      </w:pPr>
      <w:r w:rsidRPr="00895A4F">
        <w:rPr>
          <w:rFonts w:ascii="Times New Roman" w:hAnsi="Times New Roman"/>
          <w:b/>
          <w:color w:val="0B769F" w:themeColor="accent4" w:themeShade="BF"/>
          <w:sz w:val="46"/>
          <w:szCs w:val="46"/>
        </w:rPr>
        <w:lastRenderedPageBreak/>
        <w:t>A pielikums. Padomes pārskatītais ieteikums par starptautiskajiem standartiem informācijas automātiskai apmaiņai nodokļu jomā</w:t>
      </w:r>
      <w:r w:rsidRPr="00895A4F">
        <w:rPr>
          <w:rFonts w:ascii="Times New Roman" w:hAnsi="Times New Roman"/>
          <w:b/>
          <w:color w:val="0B769F" w:themeColor="accent4" w:themeShade="BF"/>
          <w:sz w:val="46"/>
          <w:szCs w:val="46"/>
          <w:vertAlign w:val="superscript"/>
        </w:rPr>
        <w:t>1</w:t>
      </w:r>
      <w:r w:rsidRPr="00895A4F">
        <w:rPr>
          <w:rFonts w:ascii="Times New Roman" w:hAnsi="Times New Roman"/>
          <w:b/>
          <w:color w:val="0B769F" w:themeColor="accent4" w:themeShade="BF"/>
          <w:sz w:val="46"/>
          <w:szCs w:val="46"/>
        </w:rPr>
        <w:t xml:space="preserve"> (pieņemts 2023. gada 8. jūnijā)</w:t>
      </w:r>
    </w:p>
    <w:p w14:paraId="19028F3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noProof/>
          <w:kern w:val="0"/>
          <w:sz w:val="24"/>
          <w:szCs w:val="24"/>
          <w14:ligatures w14:val="none"/>
        </w:rPr>
      </w:pPr>
    </w:p>
    <w:p w14:paraId="123D9C42"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noProof/>
          <w:kern w:val="0"/>
          <w:sz w:val="24"/>
          <w:szCs w:val="24"/>
          <w14:ligatures w14:val="none"/>
        </w:rPr>
      </w:pPr>
      <w:r>
        <w:rPr>
          <w:rFonts w:ascii="Times New Roman" w:hAnsi="Times New Roman"/>
          <w:b/>
          <w:sz w:val="24"/>
        </w:rPr>
        <w:t>PADOME,</w:t>
      </w:r>
    </w:p>
    <w:p w14:paraId="60A050F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bCs/>
          <w:sz w:val="24"/>
        </w:rPr>
        <w:t>ŅEMOT VĒRĀ</w:t>
      </w:r>
      <w:r>
        <w:rPr>
          <w:rFonts w:ascii="Times New Roman" w:hAnsi="Times New Roman"/>
          <w:sz w:val="24"/>
        </w:rPr>
        <w:t xml:space="preserve"> 1960. gada 14. decembra Konvencijas par Ekonomiskās sadarbības un attīstības organizāciju 5. panta b) apakšpunktu;</w:t>
      </w:r>
    </w:p>
    <w:p w14:paraId="014DF38A"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bCs/>
          <w:sz w:val="24"/>
        </w:rPr>
        <w:t>ŅEMOT VĒRĀ</w:t>
      </w:r>
      <w:r>
        <w:rPr>
          <w:rFonts w:ascii="Times New Roman" w:hAnsi="Times New Roman"/>
          <w:sz w:val="24"/>
        </w:rPr>
        <w:t xml:space="preserve"> standartus, ko </w:t>
      </w:r>
      <w:r>
        <w:rPr>
          <w:rFonts w:ascii="Times New Roman" w:hAnsi="Times New Roman"/>
          <w:i/>
          <w:iCs/>
          <w:sz w:val="24"/>
        </w:rPr>
        <w:t>OECD</w:t>
      </w:r>
      <w:r>
        <w:rPr>
          <w:rFonts w:ascii="Times New Roman" w:hAnsi="Times New Roman"/>
          <w:sz w:val="24"/>
        </w:rPr>
        <w:t xml:space="preserve"> izstrādājusi tādās jomās kā savstarpēja administratīva palīdzība nodokļu jomā, informācijas automātiska apmaiņa nodokļu jomā, nodokļu nemaksāšanas un izvairīšanās no nodokļu maksāšanas apkarošana, nodokļa identifikācijas numuru izmantošana starptautiskā kontekstā un vienlaicīgu nodokļu pārbaužu veikšana;</w:t>
      </w:r>
    </w:p>
    <w:p w14:paraId="26849B4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bCs/>
          <w:sz w:val="24"/>
        </w:rPr>
        <w:t>IEVĒROJOT</w:t>
      </w:r>
      <w:r>
        <w:rPr>
          <w:rFonts w:ascii="Times New Roman" w:hAnsi="Times New Roman"/>
          <w:sz w:val="24"/>
        </w:rPr>
        <w:t xml:space="preserve"> iespaidīgo progresu, ko sasniedzis Pasaules forums par pārredzamības un informācijas apmaiņas jautājumiem nodokļu jomā (</w:t>
      </w:r>
      <w:r>
        <w:rPr>
          <w:rFonts w:ascii="Times New Roman" w:hAnsi="Times New Roman"/>
          <w:i/>
          <w:iCs/>
          <w:sz w:val="24"/>
        </w:rPr>
        <w:t>GFTEI</w:t>
      </w:r>
      <w:r>
        <w:rPr>
          <w:rFonts w:ascii="Times New Roman" w:hAnsi="Times New Roman"/>
          <w:sz w:val="24"/>
        </w:rPr>
        <w:t>), nodrošinot, ka visā pasaulē tiek pilnībā ieviests starptautiskais standarts attiecībā uz pārredzamību un informācijas apmaiņu pēc pieprasījuma un Standarts finanšu konta informācijas automātiskajai apmaiņai nodokļu jomā;</w:t>
      </w:r>
    </w:p>
    <w:p w14:paraId="4845915D"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bCs/>
          <w:sz w:val="24"/>
        </w:rPr>
        <w:t>ŅEMOT VĒRĀ</w:t>
      </w:r>
      <w:r>
        <w:rPr>
          <w:rFonts w:ascii="Times New Roman" w:hAnsi="Times New Roman"/>
          <w:sz w:val="24"/>
        </w:rPr>
        <w:t>, ka starptautiskai sadarbībai ir būtiska nozīme cīņā pret krāpšanu nodokļu jomā un izvairīšanos no nodokļu maksāšanas un nozīme nodokļu saistību izpildē un ka šādas sadarbības būtisks aspekts ir efektīva informācijas automātiska apmaiņa, piemērojot atbilstīgus aizsardzības pasākumus;</w:t>
      </w:r>
    </w:p>
    <w:p w14:paraId="2FE68653"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bCs/>
          <w:sz w:val="24"/>
        </w:rPr>
        <w:t>ŅEMOT VĒRĀ</w:t>
      </w:r>
      <w:r>
        <w:rPr>
          <w:rFonts w:ascii="Times New Roman" w:hAnsi="Times New Roman"/>
          <w:sz w:val="24"/>
        </w:rPr>
        <w:t>, ka starptautiska standarta īstenošana attiecībā uz finanšu kontu informācijas automātisku apmaiņu nodokļu jomā ir novērsusi dažādu valsts un reģionālu standartu skaita pieaugumu, kas palielinātu sarežģītību un izmaksas gan valdībām, gan finanšu iestādēm;</w:t>
      </w:r>
    </w:p>
    <w:p w14:paraId="39BBDEB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sz w:val="24"/>
        </w:rPr>
        <w:t>ŅEMOT VĒRĀ</w:t>
      </w:r>
      <w:r>
        <w:rPr>
          <w:rFonts w:ascii="Times New Roman" w:hAnsi="Times New Roman"/>
          <w:sz w:val="24"/>
        </w:rPr>
        <w:t>, ka starptautiski standarti, ko visas attiecīgās jurisdikcijas īsteno uz savstarpīguma principa pamata, nodrošina līdzvērtīgus konkurences apstākļus, atzīmējot, ka tās var balstīties uz daudzpusējiem vai divpusējiem nolīgumiem, lai šādi standarti stātos spēkā;</w:t>
      </w:r>
    </w:p>
    <w:p w14:paraId="775CE88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bCs/>
          <w:sz w:val="24"/>
        </w:rPr>
        <w:t>ŅEMOT VĒRĀ</w:t>
      </w:r>
      <w:r>
        <w:rPr>
          <w:rFonts w:ascii="Times New Roman" w:hAnsi="Times New Roman"/>
          <w:sz w:val="24"/>
        </w:rPr>
        <w:t xml:space="preserve"> nepieciešamību veicināt valstīs starptautisku standartu konsekventu piemērošanu un interpretāciju;</w:t>
      </w:r>
    </w:p>
    <w:p w14:paraId="4251642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bCs/>
          <w:sz w:val="24"/>
        </w:rPr>
        <w:t>ATZĪSTOT</w:t>
      </w:r>
      <w:r>
        <w:rPr>
          <w:rFonts w:ascii="Times New Roman" w:hAnsi="Times New Roman"/>
          <w:sz w:val="24"/>
        </w:rPr>
        <w:t>, ka ir jāpārskata Standarts finanšu konta informācijas automātiskajai apmaiņai nodokļu jomā, ņemot vērā gūto pieredzi, finanšu tirgu attīstību un digitalizāciju un jaunu ieguldījumu un maksājumu ieražu rašanos, tostarp attiecībā uz kriptoaktīviem;</w:t>
      </w:r>
    </w:p>
    <w:p w14:paraId="477BEF3B"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sz w:val="24"/>
        </w:rPr>
        <w:t>ŅEMOT VĒRĀ</w:t>
      </w:r>
      <w:r>
        <w:rPr>
          <w:rFonts w:ascii="Times New Roman" w:hAnsi="Times New Roman"/>
          <w:sz w:val="24"/>
        </w:rPr>
        <w:t>, ka kriptoaktīvu tirgi ir globāli un tāpēc ir atbilstoši nodrošināt, ka visas jurisdikcijas, kas mitina kriptoaktīvu pakalpojumu sniedzējus, visaptveroši un saskanīgi ievieš kriptoaktīvu ziņošanas sistēmu kā starptautisku standartu;</w:t>
      </w:r>
    </w:p>
    <w:p w14:paraId="789573B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sz w:val="24"/>
        </w:rPr>
        <w:t>ŅEMOT VĒRĀ</w:t>
      </w:r>
      <w:r>
        <w:rPr>
          <w:rFonts w:ascii="Times New Roman" w:hAnsi="Times New Roman"/>
          <w:sz w:val="24"/>
        </w:rPr>
        <w:t>, ka starptautiskajos standartos informācijas automātiskai apmaiņai nodokļu jomā ietilpst i) Kopējais ziņošanas standarts, Kompetento iestāžu nolīguma paraugs, saistītie komentāri, kā arī vadlīnijas par kopējiem tehniskajiem risinājumiem un ii) kriptoaktīvu ziņošanas sistēma, Kompetento iestāžu daudzpusējais nolīgums (vai kompetento iestāžu divpusējie nolīgumi vai vienošanās), saistītie komentāri, kā arī vadlīnijas par kopējiem tehniskajiem risinājumiem, un ka tos atbilstīgi var grozīt Fiskālo lietu komiteja;</w:t>
      </w:r>
    </w:p>
    <w:p w14:paraId="7543240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b/>
          <w:bCs/>
          <w:noProof/>
          <w:kern w:val="0"/>
          <w:sz w:val="24"/>
          <w:szCs w:val="24"/>
          <w14:ligatures w14:val="none"/>
        </w:rPr>
      </w:pPr>
      <w:r>
        <w:rPr>
          <w:rFonts w:ascii="Times New Roman" w:hAnsi="Times New Roman"/>
          <w:b/>
          <w:sz w:val="24"/>
        </w:rPr>
        <w:t>pamatojoties uz Fiskālo lietu komitejas priekšlikumu:</w:t>
      </w:r>
    </w:p>
    <w:p w14:paraId="2BC9F331" w14:textId="77777777" w:rsidR="00F509BB" w:rsidRPr="005421A9" w:rsidRDefault="00F509BB" w:rsidP="00895A4F">
      <w:pPr>
        <w:keepNext/>
        <w:keepLines/>
        <w:widowControl w:val="0"/>
        <w:tabs>
          <w:tab w:val="left" w:pos="96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sz w:val="24"/>
        </w:rPr>
        <w:lastRenderedPageBreak/>
        <w:t>I. IESAKA</w:t>
      </w:r>
      <w:r>
        <w:rPr>
          <w:rFonts w:ascii="Times New Roman" w:hAnsi="Times New Roman"/>
          <w:sz w:val="24"/>
        </w:rPr>
        <w:t xml:space="preserve"> šo ieteikumu ievērojošajām dalībvalstīm un valstīm, kam nav dalībvalsts statusa (turpmāk kopā – “Puses”), atbilstīgi savstarpīguma principam ātri ieviest šos starptautiskos standartus informācijas automātiskai apmaiņai nodokļu jomā.</w:t>
      </w:r>
    </w:p>
    <w:p w14:paraId="7D835FC3" w14:textId="77777777" w:rsidR="00F509BB" w:rsidRPr="005421A9" w:rsidRDefault="00F509BB" w:rsidP="00895A4F">
      <w:pPr>
        <w:keepNext/>
        <w:keepLines/>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Šajā saistībā Pusēm:</w:t>
      </w:r>
    </w:p>
    <w:p w14:paraId="33FDA830"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a) valsts tiesību aktos jātransponē starptautiskie standarti informācijas automātiskai apmaiņai nodokļu jomā, kas laiku pa laikam var tikt grozīti;</w:t>
      </w:r>
    </w:p>
    <w:p w14:paraId="252A0617"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b) piemērojot un interpretējot attiecīgās valsts tiesību aktu tiesību normas, jāievēro jaunākie komentāri un</w:t>
      </w:r>
    </w:p>
    <w:p w14:paraId="5838733A" w14:textId="77777777" w:rsidR="00F509BB" w:rsidRPr="005421A9" w:rsidRDefault="00F509BB" w:rsidP="00F509BB">
      <w:pPr>
        <w:widowControl w:val="0"/>
        <w:tabs>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c) jānodrošina, ka ir pieņemti atbilstīgi aizsardzības pasākumi, lai aizsargātu nodotās/saņemtās informācijas konfidencialitāti un izpildītu prasību, kas paredz, ka informāciju drīkst izmantot vienīgi tām vajadzībām, kas noteiktas juridiskajā instrumentā, saskaņā ar kuru informācijas apmaiņa tiek veikta;</w:t>
      </w:r>
    </w:p>
    <w:p w14:paraId="08A94DDE" w14:textId="77777777" w:rsidR="00F509BB" w:rsidRPr="005421A9" w:rsidRDefault="00F509BB" w:rsidP="00F509BB">
      <w:pPr>
        <w:widowControl w:val="0"/>
        <w:tabs>
          <w:tab w:val="left" w:pos="905"/>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sz w:val="24"/>
        </w:rPr>
        <w:t xml:space="preserve">II. </w:t>
      </w:r>
      <w:r>
        <w:rPr>
          <w:rFonts w:ascii="Times New Roman" w:hAnsi="Times New Roman"/>
          <w:b/>
          <w:bCs/>
          <w:sz w:val="24"/>
        </w:rPr>
        <w:t>AICINA</w:t>
      </w:r>
      <w:r>
        <w:rPr>
          <w:rFonts w:ascii="Times New Roman" w:hAnsi="Times New Roman"/>
          <w:sz w:val="24"/>
        </w:rPr>
        <w:t xml:space="preserve"> Puses un ģenerālsekretāru izplatīt šo ieteikumu;</w:t>
      </w:r>
    </w:p>
    <w:p w14:paraId="621CF04C" w14:textId="77777777" w:rsidR="00F509BB" w:rsidRPr="005421A9" w:rsidRDefault="00F509BB" w:rsidP="00F509BB">
      <w:pPr>
        <w:widowControl w:val="0"/>
        <w:tabs>
          <w:tab w:val="left" w:pos="904"/>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sz w:val="24"/>
        </w:rPr>
        <w:t xml:space="preserve">III. </w:t>
      </w:r>
      <w:r>
        <w:rPr>
          <w:rFonts w:ascii="Times New Roman" w:hAnsi="Times New Roman"/>
          <w:b/>
          <w:bCs/>
          <w:sz w:val="24"/>
        </w:rPr>
        <w:t>AICINA</w:t>
      </w:r>
      <w:r>
        <w:rPr>
          <w:rFonts w:ascii="Times New Roman" w:hAnsi="Times New Roman"/>
          <w:sz w:val="24"/>
        </w:rPr>
        <w:t xml:space="preserve"> valstīs, kam nav dalībvalsts statusa, ieviest starptautiskos standartus informācijas automātiskai apmaiņai nodokļu jomā;</w:t>
      </w:r>
    </w:p>
    <w:p w14:paraId="0B3B8BB9" w14:textId="77777777" w:rsidR="00F509BB" w:rsidRPr="005421A9" w:rsidRDefault="00F509BB" w:rsidP="00F509BB">
      <w:pPr>
        <w:widowControl w:val="0"/>
        <w:tabs>
          <w:tab w:val="left" w:pos="929"/>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sz w:val="24"/>
        </w:rPr>
        <w:t xml:space="preserve">IV. </w:t>
      </w:r>
      <w:r>
        <w:rPr>
          <w:rFonts w:ascii="Times New Roman" w:hAnsi="Times New Roman"/>
          <w:b/>
          <w:bCs/>
          <w:sz w:val="24"/>
        </w:rPr>
        <w:t>AICINA</w:t>
      </w:r>
      <w:r>
        <w:rPr>
          <w:rFonts w:ascii="Times New Roman" w:hAnsi="Times New Roman"/>
          <w:sz w:val="24"/>
        </w:rPr>
        <w:t xml:space="preserve"> Puses atbalstīt spēju palielināšanas un palīdzības pasākumus attiecībā uz attīstības valstīm, lai tās spētu piedalīties un gūt labumu no šādas sadarbības formas;</w:t>
      </w:r>
    </w:p>
    <w:p w14:paraId="066BF235" w14:textId="77777777" w:rsidR="00F509BB" w:rsidRPr="005421A9" w:rsidRDefault="00F509BB" w:rsidP="00F509BB">
      <w:pPr>
        <w:widowControl w:val="0"/>
        <w:tabs>
          <w:tab w:val="left" w:pos="87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sz w:val="24"/>
        </w:rPr>
        <w:t xml:space="preserve">V. </w:t>
      </w:r>
      <w:r>
        <w:rPr>
          <w:rFonts w:ascii="Times New Roman" w:hAnsi="Times New Roman"/>
          <w:b/>
          <w:bCs/>
          <w:sz w:val="24"/>
        </w:rPr>
        <w:t>AICINA</w:t>
      </w:r>
      <w:r>
        <w:rPr>
          <w:rFonts w:ascii="Times New Roman" w:hAnsi="Times New Roman"/>
          <w:sz w:val="24"/>
        </w:rPr>
        <w:t xml:space="preserve"> </w:t>
      </w:r>
      <w:r>
        <w:rPr>
          <w:rFonts w:ascii="Times New Roman" w:hAnsi="Times New Roman"/>
          <w:i/>
          <w:iCs/>
          <w:sz w:val="24"/>
        </w:rPr>
        <w:t>GFTEI</w:t>
      </w:r>
      <w:r>
        <w:rPr>
          <w:rFonts w:ascii="Times New Roman" w:hAnsi="Times New Roman"/>
          <w:sz w:val="24"/>
        </w:rPr>
        <w:t>:</w:t>
      </w:r>
    </w:p>
    <w:p w14:paraId="76377EFE"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a) turpināt uzraudzīt starptautisko standartu informācijas ieviešanu automātiskai apmaiņai nodokļu jomā un</w:t>
      </w:r>
    </w:p>
    <w:p w14:paraId="4A0FC8C3"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b) attiecīgi identificēt jurisdikcijas, ar kurām kriptoaktīvu pakalpojumu sniedzējiem ir saikne, lai plaši un saskanīgi ieviestu kriptoaktīvu ziņošanas sistēmu, un noteikt, kuras no Pusēm ir ieinteresētās atbilstošās jurisdikcijas informācijas saņemšanai saskaņā ar kriptoaktīvu ziņošanas sistēmu, kuru primārais šādas informācijas saņemšanas mērķis ir nodokļu administrēšana un kuras pienācīgi ņem vērā konfidencialitātes un datu drošības pasākumu prasības;</w:t>
      </w:r>
    </w:p>
    <w:p w14:paraId="5A95CFA8" w14:textId="77777777" w:rsidR="00F509BB" w:rsidRPr="005421A9" w:rsidRDefault="00F509BB" w:rsidP="00F509BB">
      <w:pPr>
        <w:widowControl w:val="0"/>
        <w:tabs>
          <w:tab w:val="left" w:pos="873"/>
        </w:tabs>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b/>
          <w:bCs/>
          <w:sz w:val="24"/>
        </w:rPr>
        <w:t>VI.</w:t>
      </w:r>
      <w:r>
        <w:rPr>
          <w:rFonts w:ascii="Times New Roman" w:hAnsi="Times New Roman"/>
          <w:sz w:val="24"/>
        </w:rPr>
        <w:t xml:space="preserve"> </w:t>
      </w:r>
      <w:r>
        <w:rPr>
          <w:rFonts w:ascii="Times New Roman" w:hAnsi="Times New Roman"/>
          <w:b/>
          <w:bCs/>
          <w:sz w:val="24"/>
        </w:rPr>
        <w:t>UZDOD</w:t>
      </w:r>
      <w:r>
        <w:rPr>
          <w:rFonts w:ascii="Times New Roman" w:hAnsi="Times New Roman"/>
          <w:sz w:val="24"/>
        </w:rPr>
        <w:t xml:space="preserve"> Fiskālo lietu komitejai:</w:t>
      </w:r>
    </w:p>
    <w:p w14:paraId="404C52AC"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a) pārskatīt starptautiskos standartus informācijas automātiskai apmaiņai nodokļu jomā, ņemot vērā pieredzi, ko guvušas Puses un kas gūta apspriedēs ar ieinteresētajām personām, un</w:t>
      </w:r>
    </w:p>
    <w:p w14:paraId="4B0C66E0" w14:textId="77777777" w:rsidR="00F509BB" w:rsidRPr="005421A9" w:rsidRDefault="00F509BB" w:rsidP="00F509BB">
      <w:pPr>
        <w:widowControl w:val="0"/>
        <w:tabs>
          <w:tab w:val="left" w:pos="1235"/>
          <w:tab w:val="left" w:pos="1237"/>
        </w:tabs>
        <w:autoSpaceDE w:val="0"/>
        <w:autoSpaceDN w:val="0"/>
        <w:spacing w:before="120" w:after="120" w:line="240" w:lineRule="auto"/>
        <w:ind w:left="567" w:hanging="283"/>
        <w:jc w:val="both"/>
        <w:rPr>
          <w:rFonts w:ascii="Times New Roman" w:eastAsia="Arial" w:hAnsi="Times New Roman" w:cs="Arial"/>
          <w:noProof/>
          <w:kern w:val="0"/>
          <w:sz w:val="24"/>
          <w:szCs w:val="24"/>
          <w14:ligatures w14:val="none"/>
        </w:rPr>
      </w:pPr>
      <w:r>
        <w:rPr>
          <w:rFonts w:ascii="Times New Roman" w:hAnsi="Times New Roman"/>
          <w:sz w:val="24"/>
        </w:rPr>
        <w:t>b) laika gaitā atjaunināt starptautiskos standartus informācijas automātiskai apmaiņai nodokļu jomā, lai nodrošinātu to atbilstīgumu.</w:t>
      </w:r>
    </w:p>
    <w:p w14:paraId="35D389C6"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6F2EBDE4" w14:textId="58C83A63" w:rsidR="00F509BB" w:rsidRPr="005421A9" w:rsidRDefault="00F509BB" w:rsidP="00895A4F">
      <w:pPr>
        <w:pStyle w:val="Heading1"/>
        <w:spacing w:before="240" w:after="120" w:line="240" w:lineRule="auto"/>
        <w:rPr>
          <w:rFonts w:ascii="Times New Roman" w:eastAsia="Arial" w:hAnsi="Times New Roman" w:cs="Arial"/>
          <w:b/>
          <w:noProof/>
          <w:kern w:val="0"/>
          <w:sz w:val="24"/>
          <w:szCs w:val="24"/>
          <w14:ligatures w14:val="none"/>
        </w:rPr>
      </w:pPr>
      <w:bookmarkStart w:id="364" w:name="Note"/>
      <w:bookmarkStart w:id="365" w:name="_bookmark60"/>
      <w:bookmarkStart w:id="366" w:name="_Toc241753115"/>
      <w:bookmarkEnd w:id="364"/>
      <w:bookmarkEnd w:id="365"/>
      <w:r>
        <w:rPr>
          <w:rFonts w:ascii="Times New Roman" w:hAnsi="Times New Roman"/>
          <w:b/>
          <w:color w:val="0B769F" w:themeColor="accent4" w:themeShade="BF"/>
          <w:sz w:val="26"/>
        </w:rPr>
        <w:t>Piezīme</w:t>
      </w:r>
      <w:bookmarkEnd w:id="366"/>
    </w:p>
    <w:p w14:paraId="6F37CE7C"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1 </w:t>
      </w:r>
      <w:r>
        <w:rPr>
          <w:rFonts w:ascii="Times New Roman" w:hAnsi="Times New Roman"/>
          <w:i/>
          <w:iCs/>
          <w:sz w:val="24"/>
        </w:rPr>
        <w:t>OECD</w:t>
      </w:r>
      <w:r>
        <w:rPr>
          <w:rFonts w:ascii="Times New Roman" w:hAnsi="Times New Roman"/>
          <w:sz w:val="24"/>
        </w:rPr>
        <w:t xml:space="preserve"> Ieteikumu par starptautiskajiem standartiem informācijas automātiskai apmaiņai nodokļu jomā </w:t>
      </w:r>
      <w:hyperlink r:id="rId32">
        <w:r>
          <w:rPr>
            <w:rFonts w:ascii="Times New Roman" w:hAnsi="Times New Roman"/>
            <w:sz w:val="24"/>
          </w:rPr>
          <w:t>[</w:t>
        </w:r>
        <w:r>
          <w:rPr>
            <w:rFonts w:ascii="Times New Roman" w:hAnsi="Times New Roman"/>
            <w:color w:val="0000FF"/>
            <w:sz w:val="24"/>
            <w:u w:val="single" w:color="0000FF"/>
          </w:rPr>
          <w:t>OECD/LEGAL/0407</w:t>
        </w:r>
        <w:r>
          <w:rPr>
            <w:rFonts w:ascii="Times New Roman" w:hAnsi="Times New Roman"/>
            <w:sz w:val="24"/>
          </w:rPr>
          <w:t>]</w:t>
        </w:r>
      </w:hyperlink>
      <w:r>
        <w:rPr>
          <w:rFonts w:ascii="Times New Roman" w:hAnsi="Times New Roman"/>
          <w:sz w:val="24"/>
        </w:rPr>
        <w:t xml:space="preserve"> </w:t>
      </w:r>
      <w:r>
        <w:rPr>
          <w:rFonts w:ascii="Times New Roman" w:hAnsi="Times New Roman"/>
          <w:i/>
          <w:iCs/>
          <w:sz w:val="24"/>
        </w:rPr>
        <w:t>OECD</w:t>
      </w:r>
      <w:r>
        <w:rPr>
          <w:rFonts w:ascii="Times New Roman" w:hAnsi="Times New Roman"/>
          <w:sz w:val="24"/>
        </w:rPr>
        <w:t xml:space="preserve"> Padome pieņēma 2014. gada 15. jūlijā un pārskatīja 2023. gada 8. jūnijā. Piekļuve oficiālajam un atjauninātajam Ieteikuma tekstam, kā arī citai saistītai informācijai ir </w:t>
      </w:r>
      <w:r>
        <w:rPr>
          <w:rFonts w:ascii="Times New Roman" w:hAnsi="Times New Roman"/>
          <w:i/>
          <w:iCs/>
          <w:sz w:val="24"/>
        </w:rPr>
        <w:t>OECD</w:t>
      </w:r>
      <w:r>
        <w:rPr>
          <w:rFonts w:ascii="Times New Roman" w:hAnsi="Times New Roman"/>
          <w:sz w:val="24"/>
        </w:rPr>
        <w:t xml:space="preserve"> juridisko dokumentu apkopojumā </w:t>
      </w:r>
      <w:hyperlink r:id="rId33">
        <w:r>
          <w:rPr>
            <w:rFonts w:ascii="Times New Roman" w:hAnsi="Times New Roman"/>
            <w:color w:val="0000FF"/>
            <w:sz w:val="24"/>
            <w:u w:val="single" w:color="0000FF"/>
          </w:rPr>
          <w:t>http://legalinstruments.oecd.org</w:t>
        </w:r>
        <w:r>
          <w:rPr>
            <w:rFonts w:ascii="Times New Roman" w:hAnsi="Times New Roman"/>
            <w:sz w:val="24"/>
          </w:rPr>
          <w:t>.</w:t>
        </w:r>
      </w:hyperlink>
    </w:p>
    <w:p w14:paraId="4AF95239" w14:textId="77777777" w:rsidR="00F509BB" w:rsidRDefault="00F509BB" w:rsidP="00F509BB">
      <w:pPr>
        <w:rPr>
          <w:rFonts w:ascii="Times New Roman" w:eastAsia="Arial" w:hAnsi="Times New Roman" w:cs="Arial"/>
          <w:b/>
          <w:noProof/>
          <w:color w:val="231F20"/>
          <w:kern w:val="0"/>
          <w:sz w:val="24"/>
          <w:szCs w:val="24"/>
          <w14:ligatures w14:val="none"/>
        </w:rPr>
      </w:pPr>
      <w:r>
        <w:br w:type="page"/>
      </w:r>
    </w:p>
    <w:p w14:paraId="59D43331" w14:textId="77777777" w:rsidR="00F509BB" w:rsidRPr="007D7B53" w:rsidRDefault="00F509BB" w:rsidP="00F509BB">
      <w:pPr>
        <w:widowControl w:val="0"/>
        <w:autoSpaceDE w:val="0"/>
        <w:autoSpaceDN w:val="0"/>
        <w:spacing w:before="120" w:after="240" w:line="240" w:lineRule="auto"/>
        <w:jc w:val="both"/>
        <w:rPr>
          <w:rFonts w:ascii="Times New Roman" w:eastAsia="Arial" w:hAnsi="Times New Roman" w:cs="Arial"/>
          <w:b/>
          <w:noProof/>
          <w:color w:val="231F20"/>
          <w:kern w:val="0"/>
          <w:sz w:val="32"/>
          <w:szCs w:val="32"/>
          <w14:ligatures w14:val="none"/>
        </w:rPr>
      </w:pPr>
      <w:r>
        <w:rPr>
          <w:rFonts w:ascii="Times New Roman" w:hAnsi="Times New Roman"/>
          <w:b/>
          <w:color w:val="231F20"/>
          <w:sz w:val="32"/>
        </w:rPr>
        <w:lastRenderedPageBreak/>
        <w:t>Starptautiskie standarti informācijas automātiskai apmaiņai nodokļu jomā</w:t>
      </w:r>
    </w:p>
    <w:p w14:paraId="3CBCBA83" w14:textId="77777777" w:rsidR="00F509BB" w:rsidRPr="005421A9" w:rsidRDefault="00F509BB" w:rsidP="00F509BB">
      <w:pPr>
        <w:widowControl w:val="0"/>
        <w:autoSpaceDE w:val="0"/>
        <w:autoSpaceDN w:val="0"/>
        <w:spacing w:before="120" w:after="240" w:line="240" w:lineRule="auto"/>
        <w:jc w:val="both"/>
        <w:rPr>
          <w:rFonts w:ascii="Times New Roman" w:eastAsia="Arial" w:hAnsi="Times New Roman" w:cs="Arial"/>
          <w:b/>
          <w:noProof/>
          <w:kern w:val="0"/>
          <w:sz w:val="24"/>
          <w:szCs w:val="24"/>
          <w14:ligatures w14:val="none"/>
        </w:rPr>
      </w:pPr>
      <w:r>
        <w:rPr>
          <w:rFonts w:ascii="Times New Roman" w:hAnsi="Times New Roman"/>
          <w:b/>
          <w:color w:val="231F20"/>
          <w:sz w:val="24"/>
        </w:rPr>
        <w:t>KRIPTOAKTĪVU ZIŅOŠANAS SISTĒMA UN KOPĒJĀ ZIŅOŠANAS STANDARTA 2023. GADA ATJAUNINĀJUMS</w:t>
      </w:r>
    </w:p>
    <w:p w14:paraId="2F4C1A05" w14:textId="77777777" w:rsidR="00F509BB" w:rsidRPr="007D7B53" w:rsidRDefault="00F509BB" w:rsidP="00F509BB">
      <w:pPr>
        <w:widowControl w:val="0"/>
        <w:autoSpaceDE w:val="0"/>
        <w:autoSpaceDN w:val="0"/>
        <w:spacing w:before="120" w:after="120" w:line="240" w:lineRule="auto"/>
        <w:jc w:val="both"/>
        <w:rPr>
          <w:rFonts w:ascii="Times New Roman" w:eastAsia="Arial" w:hAnsi="Times New Roman" w:cs="Arial"/>
          <w:noProof/>
          <w:color w:val="231F20"/>
          <w:kern w:val="0"/>
          <w:sz w:val="24"/>
          <w:szCs w:val="24"/>
          <w14:ligatures w14:val="none"/>
        </w:rPr>
      </w:pPr>
      <w:r>
        <w:rPr>
          <w:rFonts w:ascii="Times New Roman" w:hAnsi="Times New Roman"/>
          <w:color w:val="231F20"/>
          <w:sz w:val="24"/>
        </w:rPr>
        <w:t>Kopš Standarta finanšu konta informācijas automātiskajai apmaiņai nodokļu jomā apstiprināšanas 2014. gadā to ir ieviesušas jurisdikcijas un finanšu iestādes visā pasaulē. Ņemot vērā gūto pieredzi un finanšu tirgu aizvien lielāku digitalizāciju, standarts tika visaptveroši pārskatīts. Tādējādi šajā publikācijā ir iekļauta kriptoaktīvu ziņošanas sistēma (</w:t>
      </w:r>
      <w:r>
        <w:rPr>
          <w:rFonts w:ascii="Times New Roman" w:hAnsi="Times New Roman"/>
          <w:i/>
          <w:iCs/>
          <w:color w:val="231F20"/>
          <w:sz w:val="24"/>
        </w:rPr>
        <w:t>CARF</w:t>
      </w:r>
      <w:r>
        <w:rPr>
          <w:rFonts w:ascii="Times New Roman" w:hAnsi="Times New Roman"/>
          <w:color w:val="231F20"/>
          <w:sz w:val="24"/>
        </w:rPr>
        <w:t>) un Kopējā ziņošanas standarta (</w:t>
      </w:r>
      <w:r>
        <w:rPr>
          <w:rFonts w:ascii="Times New Roman" w:hAnsi="Times New Roman"/>
          <w:i/>
          <w:iCs/>
          <w:color w:val="231F20"/>
          <w:sz w:val="24"/>
        </w:rPr>
        <w:t>CRS</w:t>
      </w:r>
      <w:r>
        <w:rPr>
          <w:rFonts w:ascii="Times New Roman" w:hAnsi="Times New Roman"/>
          <w:color w:val="231F20"/>
          <w:sz w:val="24"/>
        </w:rPr>
        <w:t>) grozījumi, kā arī saistītie komentāri un informācijas apmaiņas sistēmas, ko apstiprinājusi Fiskālo lietu komiteja, un tie visi kopā veido starptautiskos standartus informācijas automātiskai apmaiņai nodokļu jomā.</w:t>
      </w:r>
    </w:p>
    <w:p w14:paraId="158EF0E9"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i/>
          <w:iCs/>
          <w:color w:val="231F20"/>
          <w:sz w:val="24"/>
        </w:rPr>
        <w:t>CARF</w:t>
      </w:r>
      <w:r>
        <w:rPr>
          <w:rFonts w:ascii="Times New Roman" w:hAnsi="Times New Roman"/>
          <w:color w:val="231F20"/>
          <w:sz w:val="24"/>
        </w:rPr>
        <w:t xml:space="preserve"> paredz nodokļu informācijas par kriptoaktīviem automātisku apmaiņu, un tā tika izstrādāta, lai reaģētu uz kriptoaktīvu tirgus straujo izaugsmi, kā arī nodrošinātu, ka pakāpeniski nepasliktinās nesenie uzlabojumi, kas panākti attiecībā uz nodokļu pārredzamību pasaulē.</w:t>
      </w:r>
    </w:p>
    <w:p w14:paraId="27BCCBE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color w:val="231F20"/>
          <w:kern w:val="0"/>
          <w:sz w:val="24"/>
          <w:szCs w:val="24"/>
          <w14:ligatures w14:val="none"/>
        </w:rPr>
      </w:pPr>
      <w:r>
        <w:rPr>
          <w:rFonts w:ascii="Times New Roman" w:hAnsi="Times New Roman"/>
          <w:i/>
          <w:iCs/>
          <w:color w:val="231F20"/>
          <w:sz w:val="24"/>
        </w:rPr>
        <w:t>CRS</w:t>
      </w:r>
      <w:r>
        <w:rPr>
          <w:rFonts w:ascii="Times New Roman" w:hAnsi="Times New Roman"/>
          <w:color w:val="231F20"/>
          <w:sz w:val="24"/>
        </w:rPr>
        <w:t xml:space="preserve"> tika grozīts, lai tā darbības jomā iekļautu noteiktus elektroniskās naudas produktus un centrālās bankas digitālās valūtas.</w:t>
      </w:r>
    </w:p>
    <w:p w14:paraId="10E610D1"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sz w:val="24"/>
        </w:rPr>
        <w:t xml:space="preserve">Izmaiņas tika veiktas arī tamdēļ, lai nodrošinātu, ka tagad </w:t>
      </w:r>
      <w:r>
        <w:rPr>
          <w:rFonts w:ascii="Times New Roman" w:hAnsi="Times New Roman"/>
          <w:i/>
          <w:iCs/>
          <w:sz w:val="24"/>
        </w:rPr>
        <w:t>CRS</w:t>
      </w:r>
      <w:r>
        <w:rPr>
          <w:rFonts w:ascii="Times New Roman" w:hAnsi="Times New Roman"/>
          <w:sz w:val="24"/>
        </w:rPr>
        <w:t xml:space="preserve"> ir ietverti netiešie ieguldījumi kriptoaktīvos, kas tiek veikti, izmantojot atvasinātos instrumentus un ieguldījumu instrumentus.</w:t>
      </w:r>
      <w:r>
        <w:rPr>
          <w:rFonts w:ascii="Times New Roman" w:hAnsi="Times New Roman"/>
          <w:color w:val="231F20"/>
          <w:sz w:val="24"/>
        </w:rPr>
        <w:t xml:space="preserve"> Turklāt grozījumi tika veikti, lai noteiktu stingrākas pienācīgas pārbaudes un ziņojumu sniegšanas prasības un lai paredzētu patiesu bezpeļņas organizāciju izslēgšanu.</w:t>
      </w:r>
    </w:p>
    <w:p w14:paraId="651FDD7E"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color w:val="231F20"/>
          <w:kern w:val="0"/>
          <w:sz w:val="24"/>
          <w:szCs w:val="24"/>
          <w14:ligatures w14:val="none"/>
        </w:rPr>
      </w:pPr>
      <w:r>
        <w:rPr>
          <w:rFonts w:ascii="Times New Roman" w:hAnsi="Times New Roman"/>
          <w:color w:val="231F20"/>
          <w:sz w:val="24"/>
        </w:rPr>
        <w:t xml:space="preserve">Šajā publikācijā ir iekļauts arī </w:t>
      </w:r>
      <w:r>
        <w:rPr>
          <w:rFonts w:ascii="Times New Roman" w:hAnsi="Times New Roman"/>
          <w:i/>
          <w:iCs/>
          <w:color w:val="231F20"/>
          <w:sz w:val="24"/>
        </w:rPr>
        <w:t>OECD</w:t>
      </w:r>
      <w:r>
        <w:rPr>
          <w:rFonts w:ascii="Times New Roman" w:hAnsi="Times New Roman"/>
          <w:color w:val="231F20"/>
          <w:sz w:val="24"/>
        </w:rPr>
        <w:t xml:space="preserve"> Ieteikums par starptautiskajiem standartiem informācijas automātiskai apmaiņai nodokļu jomā, kas aptver gan </w:t>
      </w:r>
      <w:r>
        <w:rPr>
          <w:rFonts w:ascii="Times New Roman" w:hAnsi="Times New Roman"/>
          <w:i/>
          <w:iCs/>
          <w:color w:val="231F20"/>
          <w:sz w:val="24"/>
        </w:rPr>
        <w:t>CARF</w:t>
      </w:r>
      <w:r>
        <w:rPr>
          <w:rFonts w:ascii="Times New Roman" w:hAnsi="Times New Roman"/>
          <w:color w:val="231F20"/>
          <w:sz w:val="24"/>
        </w:rPr>
        <w:t xml:space="preserve">, gan pārskatīto </w:t>
      </w:r>
      <w:r>
        <w:rPr>
          <w:rFonts w:ascii="Times New Roman" w:hAnsi="Times New Roman"/>
          <w:i/>
          <w:iCs/>
          <w:color w:val="231F20"/>
          <w:sz w:val="24"/>
        </w:rPr>
        <w:t>CRS</w:t>
      </w:r>
      <w:r>
        <w:rPr>
          <w:rFonts w:ascii="Times New Roman" w:hAnsi="Times New Roman"/>
          <w:color w:val="231F20"/>
          <w:sz w:val="24"/>
        </w:rPr>
        <w:t>.</w:t>
      </w:r>
    </w:p>
    <w:p w14:paraId="12811420"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r>
        <w:rPr>
          <w:rFonts w:ascii="Times New Roman" w:hAnsi="Times New Roman"/>
          <w:color w:val="231F20"/>
          <w:sz w:val="24"/>
        </w:rPr>
        <w:t xml:space="preserve">Piekļuve oficiālajam un atjauninātajam Ieteikuma tekstam, kā arī citai saistītai informācijai ir </w:t>
      </w:r>
      <w:r>
        <w:rPr>
          <w:rFonts w:ascii="Times New Roman" w:hAnsi="Times New Roman"/>
          <w:i/>
          <w:iCs/>
          <w:color w:val="231F20"/>
          <w:sz w:val="24"/>
        </w:rPr>
        <w:t>OECD</w:t>
      </w:r>
      <w:r>
        <w:rPr>
          <w:rFonts w:ascii="Times New Roman" w:hAnsi="Times New Roman"/>
          <w:color w:val="231F20"/>
          <w:sz w:val="24"/>
        </w:rPr>
        <w:t xml:space="preserve"> juridisko dokumentu apkopojumā </w:t>
      </w:r>
      <w:r>
        <w:rPr>
          <w:rFonts w:ascii="Times New Roman" w:hAnsi="Times New Roman"/>
          <w:color w:val="205E9E"/>
          <w:sz w:val="24"/>
          <w:u w:val="single" w:color="205E9E"/>
        </w:rPr>
        <w:t>http://legalinstruments.oecd.org</w:t>
      </w:r>
      <w:r>
        <w:rPr>
          <w:rFonts w:ascii="Times New Roman" w:hAnsi="Times New Roman"/>
          <w:color w:val="231F20"/>
          <w:sz w:val="24"/>
        </w:rPr>
        <w:t>.</w:t>
      </w:r>
    </w:p>
    <w:p w14:paraId="7CEDD1EF"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4A9BB483" w14:textId="77777777" w:rsidR="00F509BB" w:rsidRPr="005421A9" w:rsidRDefault="00F509BB" w:rsidP="00F509BB">
      <w:pPr>
        <w:widowControl w:val="0"/>
        <w:autoSpaceDE w:val="0"/>
        <w:autoSpaceDN w:val="0"/>
        <w:spacing w:before="120" w:after="120" w:line="240" w:lineRule="auto"/>
        <w:jc w:val="both"/>
        <w:rPr>
          <w:rFonts w:ascii="Times New Roman" w:eastAsia="Arial" w:hAnsi="Times New Roman" w:cs="Arial"/>
          <w:noProof/>
          <w:kern w:val="0"/>
          <w:sz w:val="24"/>
          <w:szCs w:val="24"/>
          <w14:ligatures w14:val="none"/>
        </w:rPr>
      </w:pPr>
    </w:p>
    <w:p w14:paraId="5268D4A3" w14:textId="77777777" w:rsidR="00F509BB" w:rsidRPr="005421A9" w:rsidRDefault="00F509BB" w:rsidP="00F509BB">
      <w:pPr>
        <w:spacing w:before="120" w:after="120" w:line="240" w:lineRule="auto"/>
        <w:jc w:val="both"/>
        <w:rPr>
          <w:rFonts w:ascii="Times New Roman" w:hAnsi="Times New Roman"/>
          <w:noProof/>
          <w:kern w:val="0"/>
          <w:sz w:val="24"/>
          <w:szCs w:val="24"/>
        </w:rPr>
      </w:pPr>
      <w:r>
        <w:rPr>
          <w:rFonts w:ascii="Times New Roman" w:hAnsi="Times New Roman"/>
          <w:noProof/>
          <w:sz w:val="24"/>
        </w:rPr>
        <w:drawing>
          <wp:anchor distT="0" distB="0" distL="114300" distR="114300" simplePos="0" relativeHeight="251658252" behindDoc="0" locked="0" layoutInCell="1" allowOverlap="1" wp14:anchorId="151BAA91" wp14:editId="616B2FDA">
            <wp:simplePos x="0" y="0"/>
            <wp:positionH relativeFrom="column">
              <wp:posOffset>3702685</wp:posOffset>
            </wp:positionH>
            <wp:positionV relativeFrom="paragraph">
              <wp:posOffset>2085340</wp:posOffset>
            </wp:positionV>
            <wp:extent cx="2366010" cy="875665"/>
            <wp:effectExtent l="0" t="0" r="0" b="635"/>
            <wp:wrapSquare wrapText="bothSides"/>
            <wp:docPr id="698135941"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35941" name="Picture 1" descr="A white background with black text&#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2366010" cy="875665"/>
                    </a:xfrm>
                    <a:prstGeom prst="rect">
                      <a:avLst/>
                    </a:prstGeom>
                  </pic:spPr>
                </pic:pic>
              </a:graphicData>
            </a:graphic>
            <wp14:sizeRelH relativeFrom="page">
              <wp14:pctWidth>0</wp14:pctWidth>
            </wp14:sizeRelH>
            <wp14:sizeRelV relativeFrom="page">
              <wp14:pctHeight>0</wp14:pctHeight>
            </wp14:sizeRelV>
          </wp:anchor>
        </w:drawing>
      </w:r>
    </w:p>
    <w:p w14:paraId="4D4FB5F2" w14:textId="77777777" w:rsidR="00491410" w:rsidRPr="004319B8" w:rsidRDefault="00491410" w:rsidP="004319B8">
      <w:pPr>
        <w:widowControl w:val="0"/>
        <w:tabs>
          <w:tab w:val="left" w:pos="961"/>
        </w:tabs>
        <w:autoSpaceDE w:val="0"/>
        <w:autoSpaceDN w:val="0"/>
        <w:spacing w:before="120" w:after="120" w:line="240" w:lineRule="auto"/>
        <w:jc w:val="both"/>
        <w:rPr>
          <w:rFonts w:ascii="Times New Roman" w:eastAsia="Arial" w:hAnsi="Times New Roman" w:cs="Times New Roman"/>
          <w:noProof/>
          <w:kern w:val="0"/>
          <w:sz w:val="24"/>
          <w:szCs w:val="24"/>
          <w14:ligatures w14:val="none"/>
        </w:rPr>
      </w:pPr>
    </w:p>
    <w:sectPr w:rsidR="00491410" w:rsidRPr="004319B8" w:rsidSect="00994507">
      <w:headerReference w:type="even" r:id="rId35"/>
      <w:headerReference w:type="default" r:id="rId36"/>
      <w:footerReference w:type="even" r:id="rId37"/>
      <w:footerReference w:type="default" r:id="rId38"/>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52E54" w14:textId="77777777" w:rsidR="000234EC" w:rsidRPr="00335C80" w:rsidRDefault="000234EC">
      <w:pPr>
        <w:spacing w:after="0" w:line="240" w:lineRule="auto"/>
        <w:rPr>
          <w:noProof/>
          <w:kern w:val="0"/>
        </w:rPr>
      </w:pPr>
      <w:r w:rsidRPr="00335C80">
        <w:rPr>
          <w:noProof/>
          <w:kern w:val="0"/>
        </w:rPr>
        <w:separator/>
      </w:r>
    </w:p>
  </w:endnote>
  <w:endnote w:type="continuationSeparator" w:id="0">
    <w:p w14:paraId="5B5F48E1" w14:textId="77777777" w:rsidR="000234EC" w:rsidRPr="00335C80" w:rsidRDefault="000234EC">
      <w:pPr>
        <w:spacing w:after="0" w:line="240" w:lineRule="auto"/>
        <w:rPr>
          <w:noProof/>
          <w:kern w:val="0"/>
        </w:rPr>
      </w:pPr>
      <w:r w:rsidRPr="00335C80">
        <w:rPr>
          <w:noProof/>
          <w:kern w:val="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EFAE" w14:textId="77777777" w:rsidR="00FB46B9" w:rsidRPr="00864FDC" w:rsidRDefault="00FB46B9" w:rsidP="00FB46B9">
    <w:pPr>
      <w:pStyle w:val="Header"/>
      <w:tabs>
        <w:tab w:val="clear" w:pos="4513"/>
        <w:tab w:val="clear" w:pos="9026"/>
        <w:tab w:val="right" w:leader="underscore" w:pos="9072"/>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6D47E403" w14:textId="77777777" w:rsidR="00FB46B9" w:rsidRPr="00864FDC" w:rsidRDefault="00FB46B9" w:rsidP="00FB46B9">
    <w:pPr>
      <w:pStyle w:val="Header"/>
      <w:tabs>
        <w:tab w:val="right" w:pos="9072"/>
      </w:tabs>
      <w:rPr>
        <w:rStyle w:val="PageNumber"/>
        <w:rFonts w:ascii="Times New Roman" w:hAnsi="Times New Roman" w:cs="Times New Roman"/>
        <w:sz w:val="20"/>
        <w:szCs w:val="18"/>
      </w:rPr>
    </w:pPr>
  </w:p>
  <w:p w14:paraId="5052CBA3" w14:textId="0AC8F0F1" w:rsidR="009042D1" w:rsidRPr="00FB46B9" w:rsidRDefault="00FB46B9" w:rsidP="00FB46B9">
    <w:pPr>
      <w:pStyle w:val="Footer"/>
      <w:tabs>
        <w:tab w:val="clear" w:pos="4513"/>
        <w:tab w:val="clear" w:pos="9026"/>
        <w:tab w:val="right" w:pos="9072"/>
      </w:tabs>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202</w:t>
    </w:r>
    <w:r>
      <w:rPr>
        <w:rFonts w:ascii="Times New Roman" w:hAnsi="Times New Roman" w:cs="Times New Roman"/>
        <w:noProof/>
        <w:sz w:val="20"/>
        <w:szCs w:val="18"/>
      </w:rPr>
      <w:t>6</w:t>
    </w:r>
    <w:r w:rsidRPr="00864FDC">
      <w:rPr>
        <w:rFonts w:ascii="Times New Roman" w:hAnsi="Times New Roman" w:cs="Times New Roman"/>
        <w:sz w:val="20"/>
        <w:szCs w:val="18"/>
      </w:rPr>
      <w:tab/>
    </w:r>
    <w:r w:rsidRPr="00864FDC">
      <w:rPr>
        <w:rStyle w:val="PageNumber"/>
        <w:rFonts w:ascii="Times New Roman" w:hAnsi="Times New Roman" w:cs="Times New Roman"/>
        <w:sz w:val="20"/>
        <w:szCs w:val="18"/>
      </w:rPr>
      <w:fldChar w:fldCharType="begin"/>
    </w:r>
    <w:r w:rsidRPr="00864FDC">
      <w:rPr>
        <w:rStyle w:val="PageNumber"/>
        <w:rFonts w:ascii="Times New Roman" w:hAnsi="Times New Roman" w:cs="Times New Roman"/>
        <w:sz w:val="20"/>
        <w:szCs w:val="18"/>
      </w:rPr>
      <w:instrText xml:space="preserve">page </w:instrText>
    </w:r>
    <w:r w:rsidRPr="00864FDC">
      <w:rPr>
        <w:rStyle w:val="PageNumber"/>
        <w:rFonts w:ascii="Times New Roman" w:hAnsi="Times New Roman" w:cs="Times New Roman"/>
        <w:sz w:val="20"/>
        <w:szCs w:val="18"/>
      </w:rPr>
      <w:fldChar w:fldCharType="separate"/>
    </w:r>
    <w:r>
      <w:rPr>
        <w:rStyle w:val="PageNumber"/>
        <w:rFonts w:ascii="Times New Roman" w:hAnsi="Times New Roman" w:cs="Times New Roman"/>
        <w:sz w:val="20"/>
        <w:szCs w:val="18"/>
      </w:rPr>
      <w:t>2</w:t>
    </w:r>
    <w:r w:rsidRPr="00864FDC">
      <w:rPr>
        <w:rStyle w:val="PageNumber"/>
        <w:rFonts w:ascii="Times New Roman" w:hAnsi="Times New Roman" w:cs="Times New Roman"/>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0306C" w14:textId="77777777" w:rsidR="009036BF" w:rsidRPr="00864FDC" w:rsidRDefault="009036BF" w:rsidP="009036BF">
    <w:pPr>
      <w:pStyle w:val="Header"/>
      <w:tabs>
        <w:tab w:val="clear" w:pos="4513"/>
        <w:tab w:val="clear" w:pos="9026"/>
        <w:tab w:val="right" w:leader="underscore" w:pos="9072"/>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184E818B" w14:textId="77777777" w:rsidR="009036BF" w:rsidRPr="00864FDC" w:rsidRDefault="009036BF" w:rsidP="009036BF">
    <w:pPr>
      <w:pStyle w:val="Header"/>
      <w:tabs>
        <w:tab w:val="right" w:pos="9072"/>
      </w:tabs>
      <w:rPr>
        <w:rStyle w:val="PageNumber"/>
        <w:rFonts w:ascii="Times New Roman" w:hAnsi="Times New Roman" w:cs="Times New Roman"/>
        <w:sz w:val="20"/>
        <w:szCs w:val="18"/>
      </w:rPr>
    </w:pPr>
  </w:p>
  <w:p w14:paraId="7B67D17F" w14:textId="6BFADCE7" w:rsidR="00A4328D" w:rsidRPr="00A4328D" w:rsidRDefault="009036BF" w:rsidP="009036BF">
    <w:pPr>
      <w:pStyle w:val="Footer"/>
      <w:tabs>
        <w:tab w:val="clear" w:pos="4513"/>
        <w:tab w:val="clear" w:pos="9026"/>
        <w:tab w:val="right" w:pos="9072"/>
      </w:tabs>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202</w:t>
    </w:r>
    <w:r>
      <w:rPr>
        <w:rFonts w:ascii="Times New Roman" w:hAnsi="Times New Roman" w:cs="Times New Roman"/>
        <w:noProof/>
        <w:sz w:val="20"/>
        <w:szCs w:val="18"/>
      </w:rPr>
      <w:t>6</w:t>
    </w:r>
    <w:r w:rsidRPr="00864FDC">
      <w:rPr>
        <w:rFonts w:ascii="Times New Roman" w:hAnsi="Times New Roman" w:cs="Times New Roman"/>
        <w:sz w:val="20"/>
        <w:szCs w:val="18"/>
      </w:rPr>
      <w:tab/>
    </w:r>
    <w:r w:rsidRPr="00864FDC">
      <w:rPr>
        <w:rStyle w:val="PageNumber"/>
        <w:rFonts w:ascii="Times New Roman" w:hAnsi="Times New Roman" w:cs="Times New Roman"/>
        <w:sz w:val="20"/>
        <w:szCs w:val="18"/>
      </w:rPr>
      <w:fldChar w:fldCharType="begin"/>
    </w:r>
    <w:r w:rsidRPr="00864FDC">
      <w:rPr>
        <w:rStyle w:val="PageNumber"/>
        <w:rFonts w:ascii="Times New Roman" w:hAnsi="Times New Roman" w:cs="Times New Roman"/>
        <w:sz w:val="20"/>
        <w:szCs w:val="18"/>
      </w:rPr>
      <w:instrText xml:space="preserve">page </w:instrText>
    </w:r>
    <w:r w:rsidRPr="00864FDC">
      <w:rPr>
        <w:rStyle w:val="PageNumber"/>
        <w:rFonts w:ascii="Times New Roman" w:hAnsi="Times New Roman" w:cs="Times New Roman"/>
        <w:sz w:val="20"/>
        <w:szCs w:val="18"/>
      </w:rPr>
      <w:fldChar w:fldCharType="separate"/>
    </w:r>
    <w:r>
      <w:rPr>
        <w:rStyle w:val="PageNumber"/>
        <w:rFonts w:ascii="Times New Roman" w:hAnsi="Times New Roman" w:cs="Times New Roman"/>
        <w:sz w:val="20"/>
        <w:szCs w:val="18"/>
      </w:rPr>
      <w:t>107</w:t>
    </w:r>
    <w:r w:rsidRPr="00864FDC">
      <w:rPr>
        <w:rStyle w:val="PageNumber"/>
        <w:rFonts w:ascii="Times New Roman" w:hAnsi="Times New Roman" w:cs="Times New Roman"/>
        <w:sz w:val="20"/>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288E1" w14:textId="3F430715" w:rsidR="00E701DD" w:rsidRPr="00335C80" w:rsidRDefault="00E701DD">
    <w:pPr>
      <w:pStyle w:val="BodyText"/>
      <w:spacing w:line="14" w:lineRule="auto"/>
      <w:ind w:left="0"/>
      <w:jc w:val="left"/>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42A8" w14:textId="77777777" w:rsidR="008E7984" w:rsidRPr="00864FDC" w:rsidRDefault="008E7984" w:rsidP="008E7984">
    <w:pPr>
      <w:pStyle w:val="Header"/>
      <w:tabs>
        <w:tab w:val="clear" w:pos="4513"/>
        <w:tab w:val="clear" w:pos="9026"/>
        <w:tab w:val="right" w:leader="underscore" w:pos="9072"/>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6C66E405" w14:textId="77777777" w:rsidR="008E7984" w:rsidRPr="00864FDC" w:rsidRDefault="008E7984" w:rsidP="008E7984">
    <w:pPr>
      <w:pStyle w:val="Header"/>
      <w:tabs>
        <w:tab w:val="right" w:pos="9072"/>
      </w:tabs>
      <w:rPr>
        <w:rStyle w:val="PageNumber"/>
        <w:rFonts w:ascii="Times New Roman" w:hAnsi="Times New Roman" w:cs="Times New Roman"/>
        <w:sz w:val="20"/>
        <w:szCs w:val="18"/>
      </w:rPr>
    </w:pPr>
  </w:p>
  <w:p w14:paraId="42468E79" w14:textId="77777777" w:rsidR="008E7984" w:rsidRPr="00A4328D" w:rsidRDefault="008E7984" w:rsidP="008E7984">
    <w:pPr>
      <w:pStyle w:val="Footer"/>
      <w:tabs>
        <w:tab w:val="clear" w:pos="4513"/>
        <w:tab w:val="clear" w:pos="9026"/>
        <w:tab w:val="right" w:pos="9072"/>
      </w:tabs>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202</w:t>
    </w:r>
    <w:r>
      <w:rPr>
        <w:rFonts w:ascii="Times New Roman" w:hAnsi="Times New Roman" w:cs="Times New Roman"/>
        <w:noProof/>
        <w:sz w:val="20"/>
        <w:szCs w:val="18"/>
      </w:rPr>
      <w:t>6</w:t>
    </w:r>
    <w:r w:rsidRPr="00864FDC">
      <w:rPr>
        <w:rFonts w:ascii="Times New Roman" w:hAnsi="Times New Roman" w:cs="Times New Roman"/>
        <w:sz w:val="20"/>
        <w:szCs w:val="18"/>
      </w:rPr>
      <w:tab/>
    </w:r>
    <w:r w:rsidRPr="00864FDC">
      <w:rPr>
        <w:rStyle w:val="PageNumber"/>
        <w:rFonts w:ascii="Times New Roman" w:hAnsi="Times New Roman" w:cs="Times New Roman"/>
        <w:sz w:val="20"/>
        <w:szCs w:val="18"/>
      </w:rPr>
      <w:fldChar w:fldCharType="begin"/>
    </w:r>
    <w:r w:rsidRPr="00864FDC">
      <w:rPr>
        <w:rStyle w:val="PageNumber"/>
        <w:rFonts w:ascii="Times New Roman" w:hAnsi="Times New Roman" w:cs="Times New Roman"/>
        <w:sz w:val="20"/>
        <w:szCs w:val="18"/>
      </w:rPr>
      <w:instrText xml:space="preserve">page </w:instrText>
    </w:r>
    <w:r w:rsidRPr="00864FDC">
      <w:rPr>
        <w:rStyle w:val="PageNumber"/>
        <w:rFonts w:ascii="Times New Roman" w:hAnsi="Times New Roman" w:cs="Times New Roman"/>
        <w:sz w:val="20"/>
        <w:szCs w:val="18"/>
      </w:rPr>
      <w:fldChar w:fldCharType="separate"/>
    </w:r>
    <w:r>
      <w:rPr>
        <w:rStyle w:val="PageNumber"/>
        <w:rFonts w:ascii="Times New Roman" w:hAnsi="Times New Roman" w:cs="Times New Roman"/>
        <w:sz w:val="20"/>
        <w:szCs w:val="18"/>
      </w:rPr>
      <w:t>136</w:t>
    </w:r>
    <w:r w:rsidRPr="00864FDC">
      <w:rPr>
        <w:rStyle w:val="PageNumber"/>
        <w:rFonts w:ascii="Times New Roman" w:hAnsi="Times New Roman" w:cs="Times New Roman"/>
        <w:sz w:val="20"/>
        <w:szCs w:val="18"/>
      </w:rPr>
      <w:fldChar w:fldCharType="end"/>
    </w:r>
  </w:p>
  <w:p w14:paraId="51262180" w14:textId="6B7B9F6B" w:rsidR="00E701DD" w:rsidRPr="00335C80" w:rsidRDefault="00E701DD">
    <w:pPr>
      <w:pStyle w:val="BodyText"/>
      <w:spacing w:line="14" w:lineRule="auto"/>
      <w:ind w:left="0"/>
      <w:jc w:val="lef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8085E" w14:textId="77777777" w:rsidR="000234EC" w:rsidRPr="00335C80" w:rsidRDefault="000234EC">
      <w:pPr>
        <w:spacing w:after="0" w:line="240" w:lineRule="auto"/>
        <w:rPr>
          <w:noProof/>
          <w:kern w:val="0"/>
        </w:rPr>
      </w:pPr>
      <w:r w:rsidRPr="00335C80">
        <w:rPr>
          <w:noProof/>
          <w:kern w:val="0"/>
        </w:rPr>
        <w:separator/>
      </w:r>
    </w:p>
  </w:footnote>
  <w:footnote w:type="continuationSeparator" w:id="0">
    <w:p w14:paraId="5DD9E32A" w14:textId="77777777" w:rsidR="000234EC" w:rsidRPr="00335C80" w:rsidRDefault="000234EC">
      <w:pPr>
        <w:spacing w:after="0" w:line="240" w:lineRule="auto"/>
        <w:rPr>
          <w:noProof/>
          <w:kern w:val="0"/>
        </w:rPr>
      </w:pPr>
      <w:r w:rsidRPr="00335C80">
        <w:rPr>
          <w:noProof/>
          <w:kern w:val="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FE44" w14:textId="77777777" w:rsidR="009042D1" w:rsidRPr="00864FDC" w:rsidRDefault="009042D1" w:rsidP="009042D1">
    <w:pPr>
      <w:pStyle w:val="Header"/>
      <w:tabs>
        <w:tab w:val="clear" w:pos="4513"/>
        <w:tab w:val="clear" w:pos="9026"/>
        <w:tab w:val="right" w:leader="underscore" w:pos="9072"/>
      </w:tabs>
      <w:rPr>
        <w:rStyle w:val="PageNumber"/>
        <w:rFonts w:ascii="Times New Roman" w:hAnsi="Times New Roman" w:cs="Times New Roman"/>
        <w:sz w:val="20"/>
        <w:szCs w:val="20"/>
      </w:rPr>
    </w:pPr>
    <w:bookmarkStart w:id="277" w:name="_Hlk496261784"/>
    <w:bookmarkStart w:id="278" w:name="_Hlk496261785"/>
    <w:bookmarkStart w:id="279" w:name="_Hlk496261786"/>
    <w:bookmarkStart w:id="280" w:name="_Hlk502757728"/>
    <w:bookmarkStart w:id="281" w:name="_Hlk502757729"/>
    <w:bookmarkStart w:id="282" w:name="_Hlk502757738"/>
    <w:bookmarkStart w:id="283" w:name="_Hlk502757739"/>
    <w:bookmarkStart w:id="284" w:name="_Hlk30491084"/>
    <w:bookmarkStart w:id="285" w:name="_Hlk30491085"/>
    <w:bookmarkStart w:id="286" w:name="_Hlk63344778"/>
    <w:bookmarkStart w:id="287" w:name="_Hlk63344779"/>
    <w:bookmarkStart w:id="288" w:name="_Hlk63344780"/>
    <w:bookmarkStart w:id="289" w:name="_Hlk63344781"/>
    <w:r w:rsidRPr="00864FDC">
      <w:rPr>
        <w:rStyle w:val="PageNumber"/>
        <w:rFonts w:ascii="Times New Roman" w:hAnsi="Times New Roman" w:cs="Times New Roman"/>
        <w:sz w:val="20"/>
        <w:szCs w:val="20"/>
      </w:rPr>
      <w:tab/>
    </w:r>
  </w:p>
  <w:bookmarkEnd w:id="277"/>
  <w:bookmarkEnd w:id="278"/>
  <w:bookmarkEnd w:id="279"/>
  <w:bookmarkEnd w:id="280"/>
  <w:bookmarkEnd w:id="281"/>
  <w:bookmarkEnd w:id="282"/>
  <w:bookmarkEnd w:id="283"/>
  <w:bookmarkEnd w:id="284"/>
  <w:bookmarkEnd w:id="285"/>
  <w:bookmarkEnd w:id="286"/>
  <w:bookmarkEnd w:id="287"/>
  <w:bookmarkEnd w:id="288"/>
  <w:bookmarkEnd w:id="289"/>
  <w:p w14:paraId="66EEC20A" w14:textId="77777777" w:rsidR="009042D1" w:rsidRDefault="009042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98B26" w14:textId="77777777" w:rsidR="009036BF" w:rsidRPr="00864FDC" w:rsidRDefault="009036BF" w:rsidP="009036BF">
    <w:pPr>
      <w:pStyle w:val="Header"/>
      <w:tabs>
        <w:tab w:val="clear" w:pos="4513"/>
        <w:tab w:val="clear" w:pos="9026"/>
        <w:tab w:val="right" w:leader="underscore" w:pos="9072"/>
      </w:tabs>
      <w:rPr>
        <w:rStyle w:val="PageNumber"/>
        <w:rFonts w:ascii="Times New Roman" w:hAnsi="Times New Roman" w:cs="Times New Roman"/>
        <w:sz w:val="20"/>
        <w:szCs w:val="20"/>
      </w:rPr>
    </w:pPr>
    <w:r w:rsidRPr="00864FDC">
      <w:rPr>
        <w:rStyle w:val="PageNumber"/>
        <w:rFonts w:ascii="Times New Roman" w:hAnsi="Times New Roman" w:cs="Times New Roman"/>
        <w:sz w:val="20"/>
        <w:szCs w:val="20"/>
      </w:rPr>
      <w:tab/>
    </w:r>
  </w:p>
  <w:p w14:paraId="6FAEEA43" w14:textId="77777777" w:rsidR="002F55E6" w:rsidRDefault="002F55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FA5C" w14:textId="33635D41" w:rsidR="00E701DD" w:rsidRPr="00335C80" w:rsidRDefault="00E701DD">
    <w:pPr>
      <w:pStyle w:val="BodyText"/>
      <w:spacing w:line="14" w:lineRule="auto"/>
      <w:ind w:left="0"/>
      <w:jc w:val="left"/>
      <w:rPr>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F4815" w14:textId="77777777" w:rsidR="008E7984" w:rsidRPr="00864FDC" w:rsidRDefault="008E7984" w:rsidP="008E7984">
    <w:pPr>
      <w:pStyle w:val="Header"/>
      <w:tabs>
        <w:tab w:val="clear" w:pos="4513"/>
        <w:tab w:val="clear" w:pos="9026"/>
        <w:tab w:val="right" w:leader="underscore" w:pos="9072"/>
      </w:tabs>
      <w:rPr>
        <w:rStyle w:val="PageNumber"/>
        <w:rFonts w:ascii="Times New Roman" w:hAnsi="Times New Roman" w:cs="Times New Roman"/>
        <w:sz w:val="20"/>
        <w:szCs w:val="20"/>
      </w:rPr>
    </w:pPr>
    <w:r w:rsidRPr="00864FDC">
      <w:rPr>
        <w:rStyle w:val="PageNumber"/>
        <w:rFonts w:ascii="Times New Roman" w:hAnsi="Times New Roman" w:cs="Times New Roman"/>
        <w:sz w:val="20"/>
        <w:szCs w:val="20"/>
      </w:rPr>
      <w:tab/>
    </w:r>
  </w:p>
  <w:p w14:paraId="5B8D2D29" w14:textId="77777777" w:rsidR="008E7984" w:rsidRDefault="008E7984" w:rsidP="008E7984">
    <w:pPr>
      <w:pStyle w:val="Header"/>
    </w:pPr>
  </w:p>
  <w:p w14:paraId="7622FD8B" w14:textId="6504BE15" w:rsidR="00E701DD" w:rsidRPr="00335C80" w:rsidRDefault="00E701DD">
    <w:pPr>
      <w:pStyle w:val="BodyText"/>
      <w:spacing w:line="14" w:lineRule="auto"/>
      <w:ind w:left="0"/>
      <w:jc w:val="lef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C4C"/>
    <w:multiLevelType w:val="hybridMultilevel"/>
    <w:tmpl w:val="35AEE204"/>
    <w:lvl w:ilvl="0" w:tplc="77E29CE2">
      <w:start w:val="1"/>
      <w:numFmt w:val="decimal"/>
      <w:lvlText w:val="%1."/>
      <w:lvlJc w:val="left"/>
      <w:pPr>
        <w:ind w:left="963" w:hanging="720"/>
      </w:pPr>
      <w:rPr>
        <w:rFonts w:ascii="Arial" w:eastAsia="Arial" w:hAnsi="Arial" w:cs="Arial" w:hint="default"/>
        <w:b w:val="0"/>
        <w:bCs w:val="0"/>
        <w:i w:val="0"/>
        <w:iCs w:val="0"/>
        <w:spacing w:val="-1"/>
        <w:w w:val="99"/>
        <w:sz w:val="20"/>
        <w:szCs w:val="20"/>
        <w:lang w:val="en-US" w:eastAsia="en-US" w:bidi="ar-SA"/>
      </w:rPr>
    </w:lvl>
    <w:lvl w:ilvl="1" w:tplc="2E22433E">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054A5862">
      <w:numFmt w:val="bullet"/>
      <w:lvlText w:val="•"/>
      <w:lvlJc w:val="left"/>
      <w:pPr>
        <w:ind w:left="2178" w:hanging="286"/>
      </w:pPr>
      <w:rPr>
        <w:rFonts w:hint="default"/>
        <w:lang w:val="en-US" w:eastAsia="en-US" w:bidi="ar-SA"/>
      </w:rPr>
    </w:lvl>
    <w:lvl w:ilvl="3" w:tplc="02A4BAAC">
      <w:numFmt w:val="bullet"/>
      <w:lvlText w:val="•"/>
      <w:lvlJc w:val="left"/>
      <w:pPr>
        <w:ind w:left="3116" w:hanging="286"/>
      </w:pPr>
      <w:rPr>
        <w:rFonts w:hint="default"/>
        <w:lang w:val="en-US" w:eastAsia="en-US" w:bidi="ar-SA"/>
      </w:rPr>
    </w:lvl>
    <w:lvl w:ilvl="4" w:tplc="F4FAA968">
      <w:numFmt w:val="bullet"/>
      <w:lvlText w:val="•"/>
      <w:lvlJc w:val="left"/>
      <w:pPr>
        <w:ind w:left="4055" w:hanging="286"/>
      </w:pPr>
      <w:rPr>
        <w:rFonts w:hint="default"/>
        <w:lang w:val="en-US" w:eastAsia="en-US" w:bidi="ar-SA"/>
      </w:rPr>
    </w:lvl>
    <w:lvl w:ilvl="5" w:tplc="7F52EDBC">
      <w:numFmt w:val="bullet"/>
      <w:lvlText w:val="•"/>
      <w:lvlJc w:val="left"/>
      <w:pPr>
        <w:ind w:left="4993" w:hanging="286"/>
      </w:pPr>
      <w:rPr>
        <w:rFonts w:hint="default"/>
        <w:lang w:val="en-US" w:eastAsia="en-US" w:bidi="ar-SA"/>
      </w:rPr>
    </w:lvl>
    <w:lvl w:ilvl="6" w:tplc="D6645C46">
      <w:numFmt w:val="bullet"/>
      <w:lvlText w:val="•"/>
      <w:lvlJc w:val="left"/>
      <w:pPr>
        <w:ind w:left="5932" w:hanging="286"/>
      </w:pPr>
      <w:rPr>
        <w:rFonts w:hint="default"/>
        <w:lang w:val="en-US" w:eastAsia="en-US" w:bidi="ar-SA"/>
      </w:rPr>
    </w:lvl>
    <w:lvl w:ilvl="7" w:tplc="4766766A">
      <w:numFmt w:val="bullet"/>
      <w:lvlText w:val="•"/>
      <w:lvlJc w:val="left"/>
      <w:pPr>
        <w:ind w:left="6870" w:hanging="286"/>
      </w:pPr>
      <w:rPr>
        <w:rFonts w:hint="default"/>
        <w:lang w:val="en-US" w:eastAsia="en-US" w:bidi="ar-SA"/>
      </w:rPr>
    </w:lvl>
    <w:lvl w:ilvl="8" w:tplc="38D251F2">
      <w:numFmt w:val="bullet"/>
      <w:lvlText w:val="•"/>
      <w:lvlJc w:val="left"/>
      <w:pPr>
        <w:ind w:left="7809" w:hanging="286"/>
      </w:pPr>
      <w:rPr>
        <w:rFonts w:hint="default"/>
        <w:lang w:val="en-US" w:eastAsia="en-US" w:bidi="ar-SA"/>
      </w:rPr>
    </w:lvl>
  </w:abstractNum>
  <w:abstractNum w:abstractNumId="1" w15:restartNumberingAfterBreak="0">
    <w:nsid w:val="063E1951"/>
    <w:multiLevelType w:val="hybridMultilevel"/>
    <w:tmpl w:val="F620EF14"/>
    <w:lvl w:ilvl="0" w:tplc="571E7A76">
      <w:start w:val="1"/>
      <w:numFmt w:val="decimal"/>
      <w:lvlText w:val="%1."/>
      <w:lvlJc w:val="left"/>
      <w:pPr>
        <w:ind w:left="243" w:hanging="720"/>
      </w:pPr>
      <w:rPr>
        <w:rFonts w:hint="default"/>
        <w:spacing w:val="-1"/>
        <w:w w:val="88"/>
        <w:lang w:val="en-US" w:eastAsia="en-US" w:bidi="ar-SA"/>
      </w:rPr>
    </w:lvl>
    <w:lvl w:ilvl="1" w:tplc="8D487D46">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62749406">
      <w:numFmt w:val="bullet"/>
      <w:lvlText w:val="•"/>
      <w:lvlJc w:val="left"/>
      <w:pPr>
        <w:ind w:left="2178" w:hanging="286"/>
      </w:pPr>
      <w:rPr>
        <w:rFonts w:hint="default"/>
        <w:lang w:val="en-US" w:eastAsia="en-US" w:bidi="ar-SA"/>
      </w:rPr>
    </w:lvl>
    <w:lvl w:ilvl="3" w:tplc="36FA7958">
      <w:numFmt w:val="bullet"/>
      <w:lvlText w:val="•"/>
      <w:lvlJc w:val="left"/>
      <w:pPr>
        <w:ind w:left="3116" w:hanging="286"/>
      </w:pPr>
      <w:rPr>
        <w:rFonts w:hint="default"/>
        <w:lang w:val="en-US" w:eastAsia="en-US" w:bidi="ar-SA"/>
      </w:rPr>
    </w:lvl>
    <w:lvl w:ilvl="4" w:tplc="C09840DE">
      <w:numFmt w:val="bullet"/>
      <w:lvlText w:val="•"/>
      <w:lvlJc w:val="left"/>
      <w:pPr>
        <w:ind w:left="4055" w:hanging="286"/>
      </w:pPr>
      <w:rPr>
        <w:rFonts w:hint="default"/>
        <w:lang w:val="en-US" w:eastAsia="en-US" w:bidi="ar-SA"/>
      </w:rPr>
    </w:lvl>
    <w:lvl w:ilvl="5" w:tplc="184EADB6">
      <w:numFmt w:val="bullet"/>
      <w:lvlText w:val="•"/>
      <w:lvlJc w:val="left"/>
      <w:pPr>
        <w:ind w:left="4993" w:hanging="286"/>
      </w:pPr>
      <w:rPr>
        <w:rFonts w:hint="default"/>
        <w:lang w:val="en-US" w:eastAsia="en-US" w:bidi="ar-SA"/>
      </w:rPr>
    </w:lvl>
    <w:lvl w:ilvl="6" w:tplc="A9A0ECEC">
      <w:numFmt w:val="bullet"/>
      <w:lvlText w:val="•"/>
      <w:lvlJc w:val="left"/>
      <w:pPr>
        <w:ind w:left="5932" w:hanging="286"/>
      </w:pPr>
      <w:rPr>
        <w:rFonts w:hint="default"/>
        <w:lang w:val="en-US" w:eastAsia="en-US" w:bidi="ar-SA"/>
      </w:rPr>
    </w:lvl>
    <w:lvl w:ilvl="7" w:tplc="B84A956C">
      <w:numFmt w:val="bullet"/>
      <w:lvlText w:val="•"/>
      <w:lvlJc w:val="left"/>
      <w:pPr>
        <w:ind w:left="6870" w:hanging="286"/>
      </w:pPr>
      <w:rPr>
        <w:rFonts w:hint="default"/>
        <w:lang w:val="en-US" w:eastAsia="en-US" w:bidi="ar-SA"/>
      </w:rPr>
    </w:lvl>
    <w:lvl w:ilvl="8" w:tplc="B854EE88">
      <w:numFmt w:val="bullet"/>
      <w:lvlText w:val="•"/>
      <w:lvlJc w:val="left"/>
      <w:pPr>
        <w:ind w:left="7809" w:hanging="286"/>
      </w:pPr>
      <w:rPr>
        <w:rFonts w:hint="default"/>
        <w:lang w:val="en-US" w:eastAsia="en-US" w:bidi="ar-SA"/>
      </w:rPr>
    </w:lvl>
  </w:abstractNum>
  <w:abstractNum w:abstractNumId="2" w15:restartNumberingAfterBreak="0">
    <w:nsid w:val="079C1C57"/>
    <w:multiLevelType w:val="hybridMultilevel"/>
    <w:tmpl w:val="CA6E6CA6"/>
    <w:lvl w:ilvl="0" w:tplc="9BCC52BC">
      <w:start w:val="2"/>
      <w:numFmt w:val="decimal"/>
      <w:lvlText w:val="%1."/>
      <w:lvlJc w:val="left"/>
      <w:pPr>
        <w:ind w:left="243" w:hanging="219"/>
      </w:pPr>
      <w:rPr>
        <w:rFonts w:ascii="Arial" w:eastAsia="Arial" w:hAnsi="Arial" w:cs="Arial" w:hint="default"/>
        <w:b w:val="0"/>
        <w:bCs w:val="0"/>
        <w:i w:val="0"/>
        <w:iCs w:val="0"/>
        <w:spacing w:val="0"/>
        <w:w w:val="99"/>
        <w:sz w:val="20"/>
        <w:szCs w:val="20"/>
        <w:lang w:val="en-US" w:eastAsia="en-US" w:bidi="ar-SA"/>
      </w:rPr>
    </w:lvl>
    <w:lvl w:ilvl="1" w:tplc="8E1E7F42">
      <w:start w:val="1"/>
      <w:numFmt w:val="lowerLetter"/>
      <w:lvlText w:val="%2)"/>
      <w:lvlJc w:val="left"/>
      <w:pPr>
        <w:ind w:left="1237" w:hanging="286"/>
      </w:pPr>
      <w:rPr>
        <w:rFonts w:ascii="Arial" w:eastAsia="Arial" w:hAnsi="Arial" w:cs="Arial" w:hint="default"/>
        <w:b w:val="0"/>
        <w:bCs w:val="0"/>
        <w:i w:val="0"/>
        <w:iCs w:val="0"/>
        <w:spacing w:val="-1"/>
        <w:w w:val="99"/>
        <w:sz w:val="20"/>
        <w:szCs w:val="20"/>
        <w:lang w:val="en-US" w:eastAsia="en-US" w:bidi="ar-SA"/>
      </w:rPr>
    </w:lvl>
    <w:lvl w:ilvl="2" w:tplc="AB601D8C">
      <w:start w:val="1"/>
      <w:numFmt w:val="decimal"/>
      <w:lvlText w:val="%3."/>
      <w:lvlJc w:val="left"/>
      <w:pPr>
        <w:ind w:left="1803" w:hanging="284"/>
      </w:pPr>
      <w:rPr>
        <w:rFonts w:ascii="Arial" w:eastAsia="Arial" w:hAnsi="Arial" w:cs="Arial" w:hint="default"/>
        <w:b w:val="0"/>
        <w:bCs w:val="0"/>
        <w:i w:val="0"/>
        <w:iCs w:val="0"/>
        <w:spacing w:val="-1"/>
        <w:w w:val="99"/>
        <w:sz w:val="20"/>
        <w:szCs w:val="20"/>
        <w:lang w:val="en-US" w:eastAsia="en-US" w:bidi="ar-SA"/>
      </w:rPr>
    </w:lvl>
    <w:lvl w:ilvl="3" w:tplc="CB4CD9CC">
      <w:numFmt w:val="bullet"/>
      <w:lvlText w:val="•"/>
      <w:lvlJc w:val="left"/>
      <w:pPr>
        <w:ind w:left="2785" w:hanging="284"/>
      </w:pPr>
      <w:rPr>
        <w:rFonts w:hint="default"/>
        <w:lang w:val="en-US" w:eastAsia="en-US" w:bidi="ar-SA"/>
      </w:rPr>
    </w:lvl>
    <w:lvl w:ilvl="4" w:tplc="E8080BD8">
      <w:numFmt w:val="bullet"/>
      <w:lvlText w:val="•"/>
      <w:lvlJc w:val="left"/>
      <w:pPr>
        <w:ind w:left="3771" w:hanging="284"/>
      </w:pPr>
      <w:rPr>
        <w:rFonts w:hint="default"/>
        <w:lang w:val="en-US" w:eastAsia="en-US" w:bidi="ar-SA"/>
      </w:rPr>
    </w:lvl>
    <w:lvl w:ilvl="5" w:tplc="CA3ACE58">
      <w:numFmt w:val="bullet"/>
      <w:lvlText w:val="•"/>
      <w:lvlJc w:val="left"/>
      <w:pPr>
        <w:ind w:left="4757" w:hanging="284"/>
      </w:pPr>
      <w:rPr>
        <w:rFonts w:hint="default"/>
        <w:lang w:val="en-US" w:eastAsia="en-US" w:bidi="ar-SA"/>
      </w:rPr>
    </w:lvl>
    <w:lvl w:ilvl="6" w:tplc="B344CCF2">
      <w:numFmt w:val="bullet"/>
      <w:lvlText w:val="•"/>
      <w:lvlJc w:val="left"/>
      <w:pPr>
        <w:ind w:left="5743" w:hanging="284"/>
      </w:pPr>
      <w:rPr>
        <w:rFonts w:hint="default"/>
        <w:lang w:val="en-US" w:eastAsia="en-US" w:bidi="ar-SA"/>
      </w:rPr>
    </w:lvl>
    <w:lvl w:ilvl="7" w:tplc="195A09F4">
      <w:numFmt w:val="bullet"/>
      <w:lvlText w:val="•"/>
      <w:lvlJc w:val="left"/>
      <w:pPr>
        <w:ind w:left="6729" w:hanging="284"/>
      </w:pPr>
      <w:rPr>
        <w:rFonts w:hint="default"/>
        <w:lang w:val="en-US" w:eastAsia="en-US" w:bidi="ar-SA"/>
      </w:rPr>
    </w:lvl>
    <w:lvl w:ilvl="8" w:tplc="521E9FB4">
      <w:numFmt w:val="bullet"/>
      <w:lvlText w:val="•"/>
      <w:lvlJc w:val="left"/>
      <w:pPr>
        <w:ind w:left="7714" w:hanging="284"/>
      </w:pPr>
      <w:rPr>
        <w:rFonts w:hint="default"/>
        <w:lang w:val="en-US" w:eastAsia="en-US" w:bidi="ar-SA"/>
      </w:rPr>
    </w:lvl>
  </w:abstractNum>
  <w:abstractNum w:abstractNumId="3" w15:restartNumberingAfterBreak="0">
    <w:nsid w:val="0C3574F3"/>
    <w:multiLevelType w:val="hybridMultilevel"/>
    <w:tmpl w:val="AE08FFB2"/>
    <w:lvl w:ilvl="0" w:tplc="FE5237A6">
      <w:start w:val="1"/>
      <w:numFmt w:val="lowerLetter"/>
      <w:lvlText w:val="%1)"/>
      <w:lvlJc w:val="left"/>
      <w:pPr>
        <w:ind w:left="1237" w:hanging="286"/>
      </w:pPr>
      <w:rPr>
        <w:rFonts w:ascii="Arial" w:eastAsia="Arial" w:hAnsi="Arial" w:cs="Arial" w:hint="default"/>
        <w:b w:val="0"/>
        <w:bCs w:val="0"/>
        <w:i w:val="0"/>
        <w:iCs w:val="0"/>
        <w:spacing w:val="-1"/>
        <w:w w:val="99"/>
        <w:sz w:val="20"/>
        <w:szCs w:val="20"/>
        <w:lang w:val="en-US" w:eastAsia="en-US" w:bidi="ar-SA"/>
      </w:rPr>
    </w:lvl>
    <w:lvl w:ilvl="1" w:tplc="2BEC701E">
      <w:numFmt w:val="bullet"/>
      <w:lvlText w:val="•"/>
      <w:lvlJc w:val="left"/>
      <w:pPr>
        <w:ind w:left="2084" w:hanging="286"/>
      </w:pPr>
      <w:rPr>
        <w:rFonts w:hint="default"/>
        <w:lang w:val="en-US" w:eastAsia="en-US" w:bidi="ar-SA"/>
      </w:rPr>
    </w:lvl>
    <w:lvl w:ilvl="2" w:tplc="9B2C5B60">
      <w:numFmt w:val="bullet"/>
      <w:lvlText w:val="•"/>
      <w:lvlJc w:val="left"/>
      <w:pPr>
        <w:ind w:left="2929" w:hanging="286"/>
      </w:pPr>
      <w:rPr>
        <w:rFonts w:hint="default"/>
        <w:lang w:val="en-US" w:eastAsia="en-US" w:bidi="ar-SA"/>
      </w:rPr>
    </w:lvl>
    <w:lvl w:ilvl="3" w:tplc="C76E69F6">
      <w:numFmt w:val="bullet"/>
      <w:lvlText w:val="•"/>
      <w:lvlJc w:val="left"/>
      <w:pPr>
        <w:ind w:left="3773" w:hanging="286"/>
      </w:pPr>
      <w:rPr>
        <w:rFonts w:hint="default"/>
        <w:lang w:val="en-US" w:eastAsia="en-US" w:bidi="ar-SA"/>
      </w:rPr>
    </w:lvl>
    <w:lvl w:ilvl="4" w:tplc="9CA628DC">
      <w:numFmt w:val="bullet"/>
      <w:lvlText w:val="•"/>
      <w:lvlJc w:val="left"/>
      <w:pPr>
        <w:ind w:left="4618" w:hanging="286"/>
      </w:pPr>
      <w:rPr>
        <w:rFonts w:hint="default"/>
        <w:lang w:val="en-US" w:eastAsia="en-US" w:bidi="ar-SA"/>
      </w:rPr>
    </w:lvl>
    <w:lvl w:ilvl="5" w:tplc="E5988B88">
      <w:numFmt w:val="bullet"/>
      <w:lvlText w:val="•"/>
      <w:lvlJc w:val="left"/>
      <w:pPr>
        <w:ind w:left="5463" w:hanging="286"/>
      </w:pPr>
      <w:rPr>
        <w:rFonts w:hint="default"/>
        <w:lang w:val="en-US" w:eastAsia="en-US" w:bidi="ar-SA"/>
      </w:rPr>
    </w:lvl>
    <w:lvl w:ilvl="6" w:tplc="843EE188">
      <w:numFmt w:val="bullet"/>
      <w:lvlText w:val="•"/>
      <w:lvlJc w:val="left"/>
      <w:pPr>
        <w:ind w:left="6307" w:hanging="286"/>
      </w:pPr>
      <w:rPr>
        <w:rFonts w:hint="default"/>
        <w:lang w:val="en-US" w:eastAsia="en-US" w:bidi="ar-SA"/>
      </w:rPr>
    </w:lvl>
    <w:lvl w:ilvl="7" w:tplc="E1180E48">
      <w:numFmt w:val="bullet"/>
      <w:lvlText w:val="•"/>
      <w:lvlJc w:val="left"/>
      <w:pPr>
        <w:ind w:left="7152" w:hanging="286"/>
      </w:pPr>
      <w:rPr>
        <w:rFonts w:hint="default"/>
        <w:lang w:val="en-US" w:eastAsia="en-US" w:bidi="ar-SA"/>
      </w:rPr>
    </w:lvl>
    <w:lvl w:ilvl="8" w:tplc="21340EF4">
      <w:numFmt w:val="bullet"/>
      <w:lvlText w:val="•"/>
      <w:lvlJc w:val="left"/>
      <w:pPr>
        <w:ind w:left="7997" w:hanging="286"/>
      </w:pPr>
      <w:rPr>
        <w:rFonts w:hint="default"/>
        <w:lang w:val="en-US" w:eastAsia="en-US" w:bidi="ar-SA"/>
      </w:rPr>
    </w:lvl>
  </w:abstractNum>
  <w:abstractNum w:abstractNumId="4" w15:restartNumberingAfterBreak="0">
    <w:nsid w:val="0CDF01BE"/>
    <w:multiLevelType w:val="hybridMultilevel"/>
    <w:tmpl w:val="166C7F54"/>
    <w:lvl w:ilvl="0" w:tplc="271E16B2">
      <w:start w:val="1"/>
      <w:numFmt w:val="decimal"/>
      <w:lvlText w:val="%1"/>
      <w:lvlJc w:val="left"/>
      <w:pPr>
        <w:ind w:left="1424" w:hanging="956"/>
      </w:pPr>
      <w:rPr>
        <w:rFonts w:ascii="Arial" w:eastAsia="Arial" w:hAnsi="Arial" w:cs="Arial" w:hint="default"/>
        <w:b/>
        <w:bCs/>
        <w:i w:val="0"/>
        <w:iCs w:val="0"/>
        <w:color w:val="4E81BD"/>
        <w:spacing w:val="0"/>
        <w:w w:val="82"/>
        <w:sz w:val="130"/>
        <w:szCs w:val="130"/>
        <w:lang w:val="en-US" w:eastAsia="en-US" w:bidi="ar-SA"/>
      </w:rPr>
    </w:lvl>
    <w:lvl w:ilvl="1" w:tplc="F7F296AE">
      <w:numFmt w:val="bullet"/>
      <w:lvlText w:val="•"/>
      <w:lvlJc w:val="left"/>
      <w:pPr>
        <w:ind w:left="2246" w:hanging="956"/>
      </w:pPr>
      <w:rPr>
        <w:rFonts w:hint="default"/>
        <w:lang w:val="en-US" w:eastAsia="en-US" w:bidi="ar-SA"/>
      </w:rPr>
    </w:lvl>
    <w:lvl w:ilvl="2" w:tplc="31C4BC88">
      <w:numFmt w:val="bullet"/>
      <w:lvlText w:val="•"/>
      <w:lvlJc w:val="left"/>
      <w:pPr>
        <w:ind w:left="3073" w:hanging="956"/>
      </w:pPr>
      <w:rPr>
        <w:rFonts w:hint="default"/>
        <w:lang w:val="en-US" w:eastAsia="en-US" w:bidi="ar-SA"/>
      </w:rPr>
    </w:lvl>
    <w:lvl w:ilvl="3" w:tplc="63B0F368">
      <w:numFmt w:val="bullet"/>
      <w:lvlText w:val="•"/>
      <w:lvlJc w:val="left"/>
      <w:pPr>
        <w:ind w:left="3899" w:hanging="956"/>
      </w:pPr>
      <w:rPr>
        <w:rFonts w:hint="default"/>
        <w:lang w:val="en-US" w:eastAsia="en-US" w:bidi="ar-SA"/>
      </w:rPr>
    </w:lvl>
    <w:lvl w:ilvl="4" w:tplc="6B7A991E">
      <w:numFmt w:val="bullet"/>
      <w:lvlText w:val="•"/>
      <w:lvlJc w:val="left"/>
      <w:pPr>
        <w:ind w:left="4726" w:hanging="956"/>
      </w:pPr>
      <w:rPr>
        <w:rFonts w:hint="default"/>
        <w:lang w:val="en-US" w:eastAsia="en-US" w:bidi="ar-SA"/>
      </w:rPr>
    </w:lvl>
    <w:lvl w:ilvl="5" w:tplc="BBCAC84A">
      <w:numFmt w:val="bullet"/>
      <w:lvlText w:val="•"/>
      <w:lvlJc w:val="left"/>
      <w:pPr>
        <w:ind w:left="5553" w:hanging="956"/>
      </w:pPr>
      <w:rPr>
        <w:rFonts w:hint="default"/>
        <w:lang w:val="en-US" w:eastAsia="en-US" w:bidi="ar-SA"/>
      </w:rPr>
    </w:lvl>
    <w:lvl w:ilvl="6" w:tplc="68808B9C">
      <w:numFmt w:val="bullet"/>
      <w:lvlText w:val="•"/>
      <w:lvlJc w:val="left"/>
      <w:pPr>
        <w:ind w:left="6379" w:hanging="956"/>
      </w:pPr>
      <w:rPr>
        <w:rFonts w:hint="default"/>
        <w:lang w:val="en-US" w:eastAsia="en-US" w:bidi="ar-SA"/>
      </w:rPr>
    </w:lvl>
    <w:lvl w:ilvl="7" w:tplc="51E88872">
      <w:numFmt w:val="bullet"/>
      <w:lvlText w:val="•"/>
      <w:lvlJc w:val="left"/>
      <w:pPr>
        <w:ind w:left="7206" w:hanging="956"/>
      </w:pPr>
      <w:rPr>
        <w:rFonts w:hint="default"/>
        <w:lang w:val="en-US" w:eastAsia="en-US" w:bidi="ar-SA"/>
      </w:rPr>
    </w:lvl>
    <w:lvl w:ilvl="8" w:tplc="2736936A">
      <w:numFmt w:val="bullet"/>
      <w:lvlText w:val="•"/>
      <w:lvlJc w:val="left"/>
      <w:pPr>
        <w:ind w:left="8033" w:hanging="956"/>
      </w:pPr>
      <w:rPr>
        <w:rFonts w:hint="default"/>
        <w:lang w:val="en-US" w:eastAsia="en-US" w:bidi="ar-SA"/>
      </w:rPr>
    </w:lvl>
  </w:abstractNum>
  <w:abstractNum w:abstractNumId="5" w15:restartNumberingAfterBreak="0">
    <w:nsid w:val="1134253E"/>
    <w:multiLevelType w:val="hybridMultilevel"/>
    <w:tmpl w:val="03ECB440"/>
    <w:lvl w:ilvl="0" w:tplc="8944905C">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97A8B74C">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4FF83536">
      <w:numFmt w:val="bullet"/>
      <w:lvlText w:val="•"/>
      <w:lvlJc w:val="left"/>
      <w:pPr>
        <w:ind w:left="2178" w:hanging="286"/>
      </w:pPr>
      <w:rPr>
        <w:rFonts w:hint="default"/>
        <w:lang w:val="en-US" w:eastAsia="en-US" w:bidi="ar-SA"/>
      </w:rPr>
    </w:lvl>
    <w:lvl w:ilvl="3" w:tplc="D58864C4">
      <w:numFmt w:val="bullet"/>
      <w:lvlText w:val="•"/>
      <w:lvlJc w:val="left"/>
      <w:pPr>
        <w:ind w:left="3116" w:hanging="286"/>
      </w:pPr>
      <w:rPr>
        <w:rFonts w:hint="default"/>
        <w:lang w:val="en-US" w:eastAsia="en-US" w:bidi="ar-SA"/>
      </w:rPr>
    </w:lvl>
    <w:lvl w:ilvl="4" w:tplc="49A80AF4">
      <w:numFmt w:val="bullet"/>
      <w:lvlText w:val="•"/>
      <w:lvlJc w:val="left"/>
      <w:pPr>
        <w:ind w:left="4055" w:hanging="286"/>
      </w:pPr>
      <w:rPr>
        <w:rFonts w:hint="default"/>
        <w:lang w:val="en-US" w:eastAsia="en-US" w:bidi="ar-SA"/>
      </w:rPr>
    </w:lvl>
    <w:lvl w:ilvl="5" w:tplc="72A82D4E">
      <w:numFmt w:val="bullet"/>
      <w:lvlText w:val="•"/>
      <w:lvlJc w:val="left"/>
      <w:pPr>
        <w:ind w:left="4993" w:hanging="286"/>
      </w:pPr>
      <w:rPr>
        <w:rFonts w:hint="default"/>
        <w:lang w:val="en-US" w:eastAsia="en-US" w:bidi="ar-SA"/>
      </w:rPr>
    </w:lvl>
    <w:lvl w:ilvl="6" w:tplc="85582376">
      <w:numFmt w:val="bullet"/>
      <w:lvlText w:val="•"/>
      <w:lvlJc w:val="left"/>
      <w:pPr>
        <w:ind w:left="5932" w:hanging="286"/>
      </w:pPr>
      <w:rPr>
        <w:rFonts w:hint="default"/>
        <w:lang w:val="en-US" w:eastAsia="en-US" w:bidi="ar-SA"/>
      </w:rPr>
    </w:lvl>
    <w:lvl w:ilvl="7" w:tplc="BFE68176">
      <w:numFmt w:val="bullet"/>
      <w:lvlText w:val="•"/>
      <w:lvlJc w:val="left"/>
      <w:pPr>
        <w:ind w:left="6870" w:hanging="286"/>
      </w:pPr>
      <w:rPr>
        <w:rFonts w:hint="default"/>
        <w:lang w:val="en-US" w:eastAsia="en-US" w:bidi="ar-SA"/>
      </w:rPr>
    </w:lvl>
    <w:lvl w:ilvl="8" w:tplc="32F407BE">
      <w:numFmt w:val="bullet"/>
      <w:lvlText w:val="•"/>
      <w:lvlJc w:val="left"/>
      <w:pPr>
        <w:ind w:left="7809" w:hanging="286"/>
      </w:pPr>
      <w:rPr>
        <w:rFonts w:hint="default"/>
        <w:lang w:val="en-US" w:eastAsia="en-US" w:bidi="ar-SA"/>
      </w:rPr>
    </w:lvl>
  </w:abstractNum>
  <w:abstractNum w:abstractNumId="6" w15:restartNumberingAfterBreak="0">
    <w:nsid w:val="11F47D70"/>
    <w:multiLevelType w:val="hybridMultilevel"/>
    <w:tmpl w:val="EF02C8F4"/>
    <w:lvl w:ilvl="0" w:tplc="F140C68A">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1" w:tplc="1960D88A">
      <w:numFmt w:val="bullet"/>
      <w:lvlText w:val="•"/>
      <w:lvlJc w:val="left"/>
      <w:pPr>
        <w:ind w:left="2084" w:hanging="286"/>
      </w:pPr>
      <w:rPr>
        <w:rFonts w:hint="default"/>
        <w:lang w:val="en-US" w:eastAsia="en-US" w:bidi="ar-SA"/>
      </w:rPr>
    </w:lvl>
    <w:lvl w:ilvl="2" w:tplc="E1DE852A">
      <w:numFmt w:val="bullet"/>
      <w:lvlText w:val="•"/>
      <w:lvlJc w:val="left"/>
      <w:pPr>
        <w:ind w:left="2929" w:hanging="286"/>
      </w:pPr>
      <w:rPr>
        <w:rFonts w:hint="default"/>
        <w:lang w:val="en-US" w:eastAsia="en-US" w:bidi="ar-SA"/>
      </w:rPr>
    </w:lvl>
    <w:lvl w:ilvl="3" w:tplc="4344DF38">
      <w:numFmt w:val="bullet"/>
      <w:lvlText w:val="•"/>
      <w:lvlJc w:val="left"/>
      <w:pPr>
        <w:ind w:left="3773" w:hanging="286"/>
      </w:pPr>
      <w:rPr>
        <w:rFonts w:hint="default"/>
        <w:lang w:val="en-US" w:eastAsia="en-US" w:bidi="ar-SA"/>
      </w:rPr>
    </w:lvl>
    <w:lvl w:ilvl="4" w:tplc="129402A6">
      <w:numFmt w:val="bullet"/>
      <w:lvlText w:val="•"/>
      <w:lvlJc w:val="left"/>
      <w:pPr>
        <w:ind w:left="4618" w:hanging="286"/>
      </w:pPr>
      <w:rPr>
        <w:rFonts w:hint="default"/>
        <w:lang w:val="en-US" w:eastAsia="en-US" w:bidi="ar-SA"/>
      </w:rPr>
    </w:lvl>
    <w:lvl w:ilvl="5" w:tplc="0D9EA346">
      <w:numFmt w:val="bullet"/>
      <w:lvlText w:val="•"/>
      <w:lvlJc w:val="left"/>
      <w:pPr>
        <w:ind w:left="5463" w:hanging="286"/>
      </w:pPr>
      <w:rPr>
        <w:rFonts w:hint="default"/>
        <w:lang w:val="en-US" w:eastAsia="en-US" w:bidi="ar-SA"/>
      </w:rPr>
    </w:lvl>
    <w:lvl w:ilvl="6" w:tplc="30823FAE">
      <w:numFmt w:val="bullet"/>
      <w:lvlText w:val="•"/>
      <w:lvlJc w:val="left"/>
      <w:pPr>
        <w:ind w:left="6307" w:hanging="286"/>
      </w:pPr>
      <w:rPr>
        <w:rFonts w:hint="default"/>
        <w:lang w:val="en-US" w:eastAsia="en-US" w:bidi="ar-SA"/>
      </w:rPr>
    </w:lvl>
    <w:lvl w:ilvl="7" w:tplc="6F9E6EA6">
      <w:numFmt w:val="bullet"/>
      <w:lvlText w:val="•"/>
      <w:lvlJc w:val="left"/>
      <w:pPr>
        <w:ind w:left="7152" w:hanging="286"/>
      </w:pPr>
      <w:rPr>
        <w:rFonts w:hint="default"/>
        <w:lang w:val="en-US" w:eastAsia="en-US" w:bidi="ar-SA"/>
      </w:rPr>
    </w:lvl>
    <w:lvl w:ilvl="8" w:tplc="64A20C64">
      <w:numFmt w:val="bullet"/>
      <w:lvlText w:val="•"/>
      <w:lvlJc w:val="left"/>
      <w:pPr>
        <w:ind w:left="7997" w:hanging="286"/>
      </w:pPr>
      <w:rPr>
        <w:rFonts w:hint="default"/>
        <w:lang w:val="en-US" w:eastAsia="en-US" w:bidi="ar-SA"/>
      </w:rPr>
    </w:lvl>
  </w:abstractNum>
  <w:abstractNum w:abstractNumId="7" w15:restartNumberingAfterBreak="0">
    <w:nsid w:val="12D06F95"/>
    <w:multiLevelType w:val="hybridMultilevel"/>
    <w:tmpl w:val="E2AC70C0"/>
    <w:lvl w:ilvl="0" w:tplc="EE8AC5B4">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3B2C9826">
      <w:numFmt w:val="bullet"/>
      <w:lvlText w:val="•"/>
      <w:lvlJc w:val="left"/>
      <w:pPr>
        <w:ind w:left="1184" w:hanging="720"/>
      </w:pPr>
      <w:rPr>
        <w:rFonts w:hint="default"/>
        <w:lang w:val="en-US" w:eastAsia="en-US" w:bidi="ar-SA"/>
      </w:rPr>
    </w:lvl>
    <w:lvl w:ilvl="2" w:tplc="808E3FD6">
      <w:numFmt w:val="bullet"/>
      <w:lvlText w:val="•"/>
      <w:lvlJc w:val="left"/>
      <w:pPr>
        <w:ind w:left="2129" w:hanging="720"/>
      </w:pPr>
      <w:rPr>
        <w:rFonts w:hint="default"/>
        <w:lang w:val="en-US" w:eastAsia="en-US" w:bidi="ar-SA"/>
      </w:rPr>
    </w:lvl>
    <w:lvl w:ilvl="3" w:tplc="57DAC6F0">
      <w:numFmt w:val="bullet"/>
      <w:lvlText w:val="•"/>
      <w:lvlJc w:val="left"/>
      <w:pPr>
        <w:ind w:left="3073" w:hanging="720"/>
      </w:pPr>
      <w:rPr>
        <w:rFonts w:hint="default"/>
        <w:lang w:val="en-US" w:eastAsia="en-US" w:bidi="ar-SA"/>
      </w:rPr>
    </w:lvl>
    <w:lvl w:ilvl="4" w:tplc="6610EEAE">
      <w:numFmt w:val="bullet"/>
      <w:lvlText w:val="•"/>
      <w:lvlJc w:val="left"/>
      <w:pPr>
        <w:ind w:left="4018" w:hanging="720"/>
      </w:pPr>
      <w:rPr>
        <w:rFonts w:hint="default"/>
        <w:lang w:val="en-US" w:eastAsia="en-US" w:bidi="ar-SA"/>
      </w:rPr>
    </w:lvl>
    <w:lvl w:ilvl="5" w:tplc="4A8684A6">
      <w:numFmt w:val="bullet"/>
      <w:lvlText w:val="•"/>
      <w:lvlJc w:val="left"/>
      <w:pPr>
        <w:ind w:left="4963" w:hanging="720"/>
      </w:pPr>
      <w:rPr>
        <w:rFonts w:hint="default"/>
        <w:lang w:val="en-US" w:eastAsia="en-US" w:bidi="ar-SA"/>
      </w:rPr>
    </w:lvl>
    <w:lvl w:ilvl="6" w:tplc="60C853D6">
      <w:numFmt w:val="bullet"/>
      <w:lvlText w:val="•"/>
      <w:lvlJc w:val="left"/>
      <w:pPr>
        <w:ind w:left="5907" w:hanging="720"/>
      </w:pPr>
      <w:rPr>
        <w:rFonts w:hint="default"/>
        <w:lang w:val="en-US" w:eastAsia="en-US" w:bidi="ar-SA"/>
      </w:rPr>
    </w:lvl>
    <w:lvl w:ilvl="7" w:tplc="9B50B11A">
      <w:numFmt w:val="bullet"/>
      <w:lvlText w:val="•"/>
      <w:lvlJc w:val="left"/>
      <w:pPr>
        <w:ind w:left="6852" w:hanging="720"/>
      </w:pPr>
      <w:rPr>
        <w:rFonts w:hint="default"/>
        <w:lang w:val="en-US" w:eastAsia="en-US" w:bidi="ar-SA"/>
      </w:rPr>
    </w:lvl>
    <w:lvl w:ilvl="8" w:tplc="BA5E2A62">
      <w:numFmt w:val="bullet"/>
      <w:lvlText w:val="•"/>
      <w:lvlJc w:val="left"/>
      <w:pPr>
        <w:ind w:left="7797" w:hanging="720"/>
      </w:pPr>
      <w:rPr>
        <w:rFonts w:hint="default"/>
        <w:lang w:val="en-US" w:eastAsia="en-US" w:bidi="ar-SA"/>
      </w:rPr>
    </w:lvl>
  </w:abstractNum>
  <w:abstractNum w:abstractNumId="8" w15:restartNumberingAfterBreak="0">
    <w:nsid w:val="12DD6AC2"/>
    <w:multiLevelType w:val="hybridMultilevel"/>
    <w:tmpl w:val="DBAE3D28"/>
    <w:lvl w:ilvl="0" w:tplc="B53C6794">
      <w:start w:val="1"/>
      <w:numFmt w:val="decimal"/>
      <w:lvlText w:val="%1."/>
      <w:lvlJc w:val="left"/>
      <w:pPr>
        <w:ind w:left="243" w:hanging="720"/>
      </w:pPr>
      <w:rPr>
        <w:rFonts w:hint="default"/>
        <w:spacing w:val="-1"/>
        <w:w w:val="99"/>
        <w:lang w:val="en-US" w:eastAsia="en-US" w:bidi="ar-SA"/>
      </w:rPr>
    </w:lvl>
    <w:lvl w:ilvl="1" w:tplc="17903614">
      <w:numFmt w:val="bullet"/>
      <w:lvlText w:val="•"/>
      <w:lvlJc w:val="left"/>
      <w:pPr>
        <w:ind w:left="1184" w:hanging="720"/>
      </w:pPr>
      <w:rPr>
        <w:rFonts w:hint="default"/>
        <w:lang w:val="en-US" w:eastAsia="en-US" w:bidi="ar-SA"/>
      </w:rPr>
    </w:lvl>
    <w:lvl w:ilvl="2" w:tplc="27DEF572">
      <w:numFmt w:val="bullet"/>
      <w:lvlText w:val="•"/>
      <w:lvlJc w:val="left"/>
      <w:pPr>
        <w:ind w:left="2129" w:hanging="720"/>
      </w:pPr>
      <w:rPr>
        <w:rFonts w:hint="default"/>
        <w:lang w:val="en-US" w:eastAsia="en-US" w:bidi="ar-SA"/>
      </w:rPr>
    </w:lvl>
    <w:lvl w:ilvl="3" w:tplc="BC1CF56A">
      <w:numFmt w:val="bullet"/>
      <w:lvlText w:val="•"/>
      <w:lvlJc w:val="left"/>
      <w:pPr>
        <w:ind w:left="3073" w:hanging="720"/>
      </w:pPr>
      <w:rPr>
        <w:rFonts w:hint="default"/>
        <w:lang w:val="en-US" w:eastAsia="en-US" w:bidi="ar-SA"/>
      </w:rPr>
    </w:lvl>
    <w:lvl w:ilvl="4" w:tplc="A234498C">
      <w:numFmt w:val="bullet"/>
      <w:lvlText w:val="•"/>
      <w:lvlJc w:val="left"/>
      <w:pPr>
        <w:ind w:left="4018" w:hanging="720"/>
      </w:pPr>
      <w:rPr>
        <w:rFonts w:hint="default"/>
        <w:lang w:val="en-US" w:eastAsia="en-US" w:bidi="ar-SA"/>
      </w:rPr>
    </w:lvl>
    <w:lvl w:ilvl="5" w:tplc="EB8E6A6A">
      <w:numFmt w:val="bullet"/>
      <w:lvlText w:val="•"/>
      <w:lvlJc w:val="left"/>
      <w:pPr>
        <w:ind w:left="4963" w:hanging="720"/>
      </w:pPr>
      <w:rPr>
        <w:rFonts w:hint="default"/>
        <w:lang w:val="en-US" w:eastAsia="en-US" w:bidi="ar-SA"/>
      </w:rPr>
    </w:lvl>
    <w:lvl w:ilvl="6" w:tplc="D1FADA18">
      <w:numFmt w:val="bullet"/>
      <w:lvlText w:val="•"/>
      <w:lvlJc w:val="left"/>
      <w:pPr>
        <w:ind w:left="5907" w:hanging="720"/>
      </w:pPr>
      <w:rPr>
        <w:rFonts w:hint="default"/>
        <w:lang w:val="en-US" w:eastAsia="en-US" w:bidi="ar-SA"/>
      </w:rPr>
    </w:lvl>
    <w:lvl w:ilvl="7" w:tplc="63D0A06C">
      <w:numFmt w:val="bullet"/>
      <w:lvlText w:val="•"/>
      <w:lvlJc w:val="left"/>
      <w:pPr>
        <w:ind w:left="6852" w:hanging="720"/>
      </w:pPr>
      <w:rPr>
        <w:rFonts w:hint="default"/>
        <w:lang w:val="en-US" w:eastAsia="en-US" w:bidi="ar-SA"/>
      </w:rPr>
    </w:lvl>
    <w:lvl w:ilvl="8" w:tplc="CB5053B8">
      <w:numFmt w:val="bullet"/>
      <w:lvlText w:val="•"/>
      <w:lvlJc w:val="left"/>
      <w:pPr>
        <w:ind w:left="7797" w:hanging="720"/>
      </w:pPr>
      <w:rPr>
        <w:rFonts w:hint="default"/>
        <w:lang w:val="en-US" w:eastAsia="en-US" w:bidi="ar-SA"/>
      </w:rPr>
    </w:lvl>
  </w:abstractNum>
  <w:abstractNum w:abstractNumId="9" w15:restartNumberingAfterBreak="0">
    <w:nsid w:val="19D95B37"/>
    <w:multiLevelType w:val="hybridMultilevel"/>
    <w:tmpl w:val="33B62424"/>
    <w:lvl w:ilvl="0" w:tplc="E31C33B0">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4EC0943E">
      <w:start w:val="1"/>
      <w:numFmt w:val="lowerLetter"/>
      <w:lvlText w:val="%2)"/>
      <w:lvlJc w:val="left"/>
      <w:pPr>
        <w:ind w:left="1237" w:hanging="286"/>
      </w:pPr>
      <w:rPr>
        <w:rFonts w:ascii="Arial" w:eastAsia="Arial" w:hAnsi="Arial" w:cs="Arial" w:hint="default"/>
        <w:b w:val="0"/>
        <w:bCs w:val="0"/>
        <w:i w:val="0"/>
        <w:iCs w:val="0"/>
        <w:spacing w:val="-1"/>
        <w:w w:val="99"/>
        <w:sz w:val="20"/>
        <w:szCs w:val="20"/>
        <w:lang w:val="en-US" w:eastAsia="en-US" w:bidi="ar-SA"/>
      </w:rPr>
    </w:lvl>
    <w:lvl w:ilvl="2" w:tplc="86AE69E6">
      <w:numFmt w:val="bullet"/>
      <w:lvlText w:val="•"/>
      <w:lvlJc w:val="left"/>
      <w:pPr>
        <w:ind w:left="2178" w:hanging="286"/>
      </w:pPr>
      <w:rPr>
        <w:rFonts w:hint="default"/>
        <w:lang w:val="en-US" w:eastAsia="en-US" w:bidi="ar-SA"/>
      </w:rPr>
    </w:lvl>
    <w:lvl w:ilvl="3" w:tplc="0BCAB644">
      <w:numFmt w:val="bullet"/>
      <w:lvlText w:val="•"/>
      <w:lvlJc w:val="left"/>
      <w:pPr>
        <w:ind w:left="3116" w:hanging="286"/>
      </w:pPr>
      <w:rPr>
        <w:rFonts w:hint="default"/>
        <w:lang w:val="en-US" w:eastAsia="en-US" w:bidi="ar-SA"/>
      </w:rPr>
    </w:lvl>
    <w:lvl w:ilvl="4" w:tplc="C3449EF6">
      <w:numFmt w:val="bullet"/>
      <w:lvlText w:val="•"/>
      <w:lvlJc w:val="left"/>
      <w:pPr>
        <w:ind w:left="4055" w:hanging="286"/>
      </w:pPr>
      <w:rPr>
        <w:rFonts w:hint="default"/>
        <w:lang w:val="en-US" w:eastAsia="en-US" w:bidi="ar-SA"/>
      </w:rPr>
    </w:lvl>
    <w:lvl w:ilvl="5" w:tplc="F3CC82EA">
      <w:numFmt w:val="bullet"/>
      <w:lvlText w:val="•"/>
      <w:lvlJc w:val="left"/>
      <w:pPr>
        <w:ind w:left="4993" w:hanging="286"/>
      </w:pPr>
      <w:rPr>
        <w:rFonts w:hint="default"/>
        <w:lang w:val="en-US" w:eastAsia="en-US" w:bidi="ar-SA"/>
      </w:rPr>
    </w:lvl>
    <w:lvl w:ilvl="6" w:tplc="B114EF26">
      <w:numFmt w:val="bullet"/>
      <w:lvlText w:val="•"/>
      <w:lvlJc w:val="left"/>
      <w:pPr>
        <w:ind w:left="5932" w:hanging="286"/>
      </w:pPr>
      <w:rPr>
        <w:rFonts w:hint="default"/>
        <w:lang w:val="en-US" w:eastAsia="en-US" w:bidi="ar-SA"/>
      </w:rPr>
    </w:lvl>
    <w:lvl w:ilvl="7" w:tplc="32289BBA">
      <w:numFmt w:val="bullet"/>
      <w:lvlText w:val="•"/>
      <w:lvlJc w:val="left"/>
      <w:pPr>
        <w:ind w:left="6870" w:hanging="286"/>
      </w:pPr>
      <w:rPr>
        <w:rFonts w:hint="default"/>
        <w:lang w:val="en-US" w:eastAsia="en-US" w:bidi="ar-SA"/>
      </w:rPr>
    </w:lvl>
    <w:lvl w:ilvl="8" w:tplc="CFC8BB82">
      <w:numFmt w:val="bullet"/>
      <w:lvlText w:val="•"/>
      <w:lvlJc w:val="left"/>
      <w:pPr>
        <w:ind w:left="7809" w:hanging="286"/>
      </w:pPr>
      <w:rPr>
        <w:rFonts w:hint="default"/>
        <w:lang w:val="en-US" w:eastAsia="en-US" w:bidi="ar-SA"/>
      </w:rPr>
    </w:lvl>
  </w:abstractNum>
  <w:abstractNum w:abstractNumId="10" w15:restartNumberingAfterBreak="0">
    <w:nsid w:val="1A835225"/>
    <w:multiLevelType w:val="hybridMultilevel"/>
    <w:tmpl w:val="533225D8"/>
    <w:lvl w:ilvl="0" w:tplc="3DEE1C42">
      <w:start w:val="9"/>
      <w:numFmt w:val="decimal"/>
      <w:lvlText w:val="%1."/>
      <w:lvlJc w:val="left"/>
      <w:pPr>
        <w:ind w:left="464" w:hanging="221"/>
      </w:pPr>
      <w:rPr>
        <w:rFonts w:ascii="Arial" w:eastAsia="Arial" w:hAnsi="Arial" w:cs="Arial" w:hint="default"/>
        <w:b w:val="0"/>
        <w:bCs w:val="0"/>
        <w:i/>
        <w:iCs/>
        <w:spacing w:val="0"/>
        <w:w w:val="87"/>
        <w:sz w:val="20"/>
        <w:szCs w:val="20"/>
        <w:u w:val="single" w:color="000000"/>
        <w:lang w:val="en-US" w:eastAsia="en-US" w:bidi="ar-SA"/>
      </w:rPr>
    </w:lvl>
    <w:lvl w:ilvl="1" w:tplc="7E9EF8D4">
      <w:start w:val="1"/>
      <w:numFmt w:val="lowerLetter"/>
      <w:lvlText w:val="%2)"/>
      <w:lvlJc w:val="left"/>
      <w:pPr>
        <w:ind w:left="1237" w:hanging="286"/>
      </w:pPr>
      <w:rPr>
        <w:rFonts w:hint="default"/>
        <w:spacing w:val="-1"/>
        <w:w w:val="99"/>
        <w:lang w:val="en-US" w:eastAsia="en-US" w:bidi="ar-SA"/>
      </w:rPr>
    </w:lvl>
    <w:lvl w:ilvl="2" w:tplc="80722382">
      <w:numFmt w:val="bullet"/>
      <w:lvlText w:val="•"/>
      <w:lvlJc w:val="left"/>
      <w:pPr>
        <w:ind w:left="1240" w:hanging="286"/>
      </w:pPr>
      <w:rPr>
        <w:rFonts w:hint="default"/>
        <w:lang w:val="en-US" w:eastAsia="en-US" w:bidi="ar-SA"/>
      </w:rPr>
    </w:lvl>
    <w:lvl w:ilvl="3" w:tplc="894E1D6A">
      <w:numFmt w:val="bullet"/>
      <w:lvlText w:val="•"/>
      <w:lvlJc w:val="left"/>
      <w:pPr>
        <w:ind w:left="2295" w:hanging="286"/>
      </w:pPr>
      <w:rPr>
        <w:rFonts w:hint="default"/>
        <w:lang w:val="en-US" w:eastAsia="en-US" w:bidi="ar-SA"/>
      </w:rPr>
    </w:lvl>
    <w:lvl w:ilvl="4" w:tplc="DAF69440">
      <w:numFmt w:val="bullet"/>
      <w:lvlText w:val="•"/>
      <w:lvlJc w:val="left"/>
      <w:pPr>
        <w:ind w:left="3351" w:hanging="286"/>
      </w:pPr>
      <w:rPr>
        <w:rFonts w:hint="default"/>
        <w:lang w:val="en-US" w:eastAsia="en-US" w:bidi="ar-SA"/>
      </w:rPr>
    </w:lvl>
    <w:lvl w:ilvl="5" w:tplc="EC2C0762">
      <w:numFmt w:val="bullet"/>
      <w:lvlText w:val="•"/>
      <w:lvlJc w:val="left"/>
      <w:pPr>
        <w:ind w:left="4407" w:hanging="286"/>
      </w:pPr>
      <w:rPr>
        <w:rFonts w:hint="default"/>
        <w:lang w:val="en-US" w:eastAsia="en-US" w:bidi="ar-SA"/>
      </w:rPr>
    </w:lvl>
    <w:lvl w:ilvl="6" w:tplc="9EA0F1B4">
      <w:numFmt w:val="bullet"/>
      <w:lvlText w:val="•"/>
      <w:lvlJc w:val="left"/>
      <w:pPr>
        <w:ind w:left="5463" w:hanging="286"/>
      </w:pPr>
      <w:rPr>
        <w:rFonts w:hint="default"/>
        <w:lang w:val="en-US" w:eastAsia="en-US" w:bidi="ar-SA"/>
      </w:rPr>
    </w:lvl>
    <w:lvl w:ilvl="7" w:tplc="1510685A">
      <w:numFmt w:val="bullet"/>
      <w:lvlText w:val="•"/>
      <w:lvlJc w:val="left"/>
      <w:pPr>
        <w:ind w:left="6519" w:hanging="286"/>
      </w:pPr>
      <w:rPr>
        <w:rFonts w:hint="default"/>
        <w:lang w:val="en-US" w:eastAsia="en-US" w:bidi="ar-SA"/>
      </w:rPr>
    </w:lvl>
    <w:lvl w:ilvl="8" w:tplc="B66835AC">
      <w:numFmt w:val="bullet"/>
      <w:lvlText w:val="•"/>
      <w:lvlJc w:val="left"/>
      <w:pPr>
        <w:ind w:left="7574" w:hanging="286"/>
      </w:pPr>
      <w:rPr>
        <w:rFonts w:hint="default"/>
        <w:lang w:val="en-US" w:eastAsia="en-US" w:bidi="ar-SA"/>
      </w:rPr>
    </w:lvl>
  </w:abstractNum>
  <w:abstractNum w:abstractNumId="11" w15:restartNumberingAfterBreak="0">
    <w:nsid w:val="214B6864"/>
    <w:multiLevelType w:val="hybridMultilevel"/>
    <w:tmpl w:val="1AD4B05C"/>
    <w:lvl w:ilvl="0" w:tplc="324CD482">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2A8C9FEA">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4E9AE88A">
      <w:numFmt w:val="bullet"/>
      <w:lvlText w:val="•"/>
      <w:lvlJc w:val="left"/>
      <w:pPr>
        <w:ind w:left="2178" w:hanging="286"/>
      </w:pPr>
      <w:rPr>
        <w:rFonts w:hint="default"/>
        <w:lang w:val="en-US" w:eastAsia="en-US" w:bidi="ar-SA"/>
      </w:rPr>
    </w:lvl>
    <w:lvl w:ilvl="3" w:tplc="7D409886">
      <w:numFmt w:val="bullet"/>
      <w:lvlText w:val="•"/>
      <w:lvlJc w:val="left"/>
      <w:pPr>
        <w:ind w:left="3116" w:hanging="286"/>
      </w:pPr>
      <w:rPr>
        <w:rFonts w:hint="default"/>
        <w:lang w:val="en-US" w:eastAsia="en-US" w:bidi="ar-SA"/>
      </w:rPr>
    </w:lvl>
    <w:lvl w:ilvl="4" w:tplc="F2AA1F40">
      <w:numFmt w:val="bullet"/>
      <w:lvlText w:val="•"/>
      <w:lvlJc w:val="left"/>
      <w:pPr>
        <w:ind w:left="4055" w:hanging="286"/>
      </w:pPr>
      <w:rPr>
        <w:rFonts w:hint="default"/>
        <w:lang w:val="en-US" w:eastAsia="en-US" w:bidi="ar-SA"/>
      </w:rPr>
    </w:lvl>
    <w:lvl w:ilvl="5" w:tplc="4A8425EA">
      <w:numFmt w:val="bullet"/>
      <w:lvlText w:val="•"/>
      <w:lvlJc w:val="left"/>
      <w:pPr>
        <w:ind w:left="4993" w:hanging="286"/>
      </w:pPr>
      <w:rPr>
        <w:rFonts w:hint="default"/>
        <w:lang w:val="en-US" w:eastAsia="en-US" w:bidi="ar-SA"/>
      </w:rPr>
    </w:lvl>
    <w:lvl w:ilvl="6" w:tplc="F21CDEE2">
      <w:numFmt w:val="bullet"/>
      <w:lvlText w:val="•"/>
      <w:lvlJc w:val="left"/>
      <w:pPr>
        <w:ind w:left="5932" w:hanging="286"/>
      </w:pPr>
      <w:rPr>
        <w:rFonts w:hint="default"/>
        <w:lang w:val="en-US" w:eastAsia="en-US" w:bidi="ar-SA"/>
      </w:rPr>
    </w:lvl>
    <w:lvl w:ilvl="7" w:tplc="133C2FC2">
      <w:numFmt w:val="bullet"/>
      <w:lvlText w:val="•"/>
      <w:lvlJc w:val="left"/>
      <w:pPr>
        <w:ind w:left="6870" w:hanging="286"/>
      </w:pPr>
      <w:rPr>
        <w:rFonts w:hint="default"/>
        <w:lang w:val="en-US" w:eastAsia="en-US" w:bidi="ar-SA"/>
      </w:rPr>
    </w:lvl>
    <w:lvl w:ilvl="8" w:tplc="915E6BF6">
      <w:numFmt w:val="bullet"/>
      <w:lvlText w:val="•"/>
      <w:lvlJc w:val="left"/>
      <w:pPr>
        <w:ind w:left="7809" w:hanging="286"/>
      </w:pPr>
      <w:rPr>
        <w:rFonts w:hint="default"/>
        <w:lang w:val="en-US" w:eastAsia="en-US" w:bidi="ar-SA"/>
      </w:rPr>
    </w:lvl>
  </w:abstractNum>
  <w:abstractNum w:abstractNumId="12" w15:restartNumberingAfterBreak="0">
    <w:nsid w:val="2316452B"/>
    <w:multiLevelType w:val="hybridMultilevel"/>
    <w:tmpl w:val="6854F6F2"/>
    <w:lvl w:ilvl="0" w:tplc="24565526">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1CE4A236">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65D0543C">
      <w:numFmt w:val="bullet"/>
      <w:lvlText w:val="•"/>
      <w:lvlJc w:val="left"/>
      <w:pPr>
        <w:ind w:left="2178" w:hanging="286"/>
      </w:pPr>
      <w:rPr>
        <w:rFonts w:hint="default"/>
        <w:lang w:val="en-US" w:eastAsia="en-US" w:bidi="ar-SA"/>
      </w:rPr>
    </w:lvl>
    <w:lvl w:ilvl="3" w:tplc="F56AAF38">
      <w:numFmt w:val="bullet"/>
      <w:lvlText w:val="•"/>
      <w:lvlJc w:val="left"/>
      <w:pPr>
        <w:ind w:left="3116" w:hanging="286"/>
      </w:pPr>
      <w:rPr>
        <w:rFonts w:hint="default"/>
        <w:lang w:val="en-US" w:eastAsia="en-US" w:bidi="ar-SA"/>
      </w:rPr>
    </w:lvl>
    <w:lvl w:ilvl="4" w:tplc="97B463AC">
      <w:numFmt w:val="bullet"/>
      <w:lvlText w:val="•"/>
      <w:lvlJc w:val="left"/>
      <w:pPr>
        <w:ind w:left="4055" w:hanging="286"/>
      </w:pPr>
      <w:rPr>
        <w:rFonts w:hint="default"/>
        <w:lang w:val="en-US" w:eastAsia="en-US" w:bidi="ar-SA"/>
      </w:rPr>
    </w:lvl>
    <w:lvl w:ilvl="5" w:tplc="213075D6">
      <w:numFmt w:val="bullet"/>
      <w:lvlText w:val="•"/>
      <w:lvlJc w:val="left"/>
      <w:pPr>
        <w:ind w:left="4993" w:hanging="286"/>
      </w:pPr>
      <w:rPr>
        <w:rFonts w:hint="default"/>
        <w:lang w:val="en-US" w:eastAsia="en-US" w:bidi="ar-SA"/>
      </w:rPr>
    </w:lvl>
    <w:lvl w:ilvl="6" w:tplc="F6060992">
      <w:numFmt w:val="bullet"/>
      <w:lvlText w:val="•"/>
      <w:lvlJc w:val="left"/>
      <w:pPr>
        <w:ind w:left="5932" w:hanging="286"/>
      </w:pPr>
      <w:rPr>
        <w:rFonts w:hint="default"/>
        <w:lang w:val="en-US" w:eastAsia="en-US" w:bidi="ar-SA"/>
      </w:rPr>
    </w:lvl>
    <w:lvl w:ilvl="7" w:tplc="927E8474">
      <w:numFmt w:val="bullet"/>
      <w:lvlText w:val="•"/>
      <w:lvlJc w:val="left"/>
      <w:pPr>
        <w:ind w:left="6870" w:hanging="286"/>
      </w:pPr>
      <w:rPr>
        <w:rFonts w:hint="default"/>
        <w:lang w:val="en-US" w:eastAsia="en-US" w:bidi="ar-SA"/>
      </w:rPr>
    </w:lvl>
    <w:lvl w:ilvl="8" w:tplc="E424C784">
      <w:numFmt w:val="bullet"/>
      <w:lvlText w:val="•"/>
      <w:lvlJc w:val="left"/>
      <w:pPr>
        <w:ind w:left="7809" w:hanging="286"/>
      </w:pPr>
      <w:rPr>
        <w:rFonts w:hint="default"/>
        <w:lang w:val="en-US" w:eastAsia="en-US" w:bidi="ar-SA"/>
      </w:rPr>
    </w:lvl>
  </w:abstractNum>
  <w:abstractNum w:abstractNumId="13" w15:restartNumberingAfterBreak="0">
    <w:nsid w:val="2329272E"/>
    <w:multiLevelType w:val="hybridMultilevel"/>
    <w:tmpl w:val="71C87636"/>
    <w:lvl w:ilvl="0" w:tplc="6EAC58FA">
      <w:start w:val="5"/>
      <w:numFmt w:val="lowerRoman"/>
      <w:lvlText w:val="%1)"/>
      <w:lvlJc w:val="left"/>
      <w:pPr>
        <w:ind w:left="529" w:hanging="228"/>
      </w:pPr>
      <w:rPr>
        <w:rFonts w:ascii="Arial" w:eastAsia="Arial" w:hAnsi="Arial" w:cs="Arial" w:hint="default"/>
        <w:b w:val="0"/>
        <w:bCs w:val="0"/>
        <w:i/>
        <w:iCs/>
        <w:spacing w:val="0"/>
        <w:w w:val="87"/>
        <w:sz w:val="20"/>
        <w:szCs w:val="20"/>
        <w:u w:val="single" w:color="000000"/>
        <w:lang w:val="en-US" w:eastAsia="en-US" w:bidi="ar-SA"/>
      </w:rPr>
    </w:lvl>
    <w:lvl w:ilvl="1" w:tplc="E0BAD566">
      <w:start w:val="1"/>
      <w:numFmt w:val="lowerRoman"/>
      <w:lvlText w:val="%2)"/>
      <w:lvlJc w:val="left"/>
      <w:pPr>
        <w:ind w:left="812" w:hanging="166"/>
      </w:pPr>
      <w:rPr>
        <w:rFonts w:ascii="Arial" w:eastAsia="Arial" w:hAnsi="Arial" w:cs="Arial" w:hint="default"/>
        <w:b w:val="0"/>
        <w:bCs w:val="0"/>
        <w:i/>
        <w:iCs/>
        <w:spacing w:val="-2"/>
        <w:w w:val="82"/>
        <w:sz w:val="20"/>
        <w:szCs w:val="20"/>
        <w:u w:val="single" w:color="000000"/>
        <w:lang w:val="en-US" w:eastAsia="en-US" w:bidi="ar-SA"/>
      </w:rPr>
    </w:lvl>
    <w:lvl w:ilvl="2" w:tplc="2A348C06">
      <w:numFmt w:val="bullet"/>
      <w:lvlText w:val="•"/>
      <w:lvlJc w:val="left"/>
      <w:pPr>
        <w:ind w:left="1726" w:hanging="166"/>
      </w:pPr>
      <w:rPr>
        <w:rFonts w:hint="default"/>
        <w:lang w:val="en-US" w:eastAsia="en-US" w:bidi="ar-SA"/>
      </w:rPr>
    </w:lvl>
    <w:lvl w:ilvl="3" w:tplc="6A4E940E">
      <w:numFmt w:val="bullet"/>
      <w:lvlText w:val="•"/>
      <w:lvlJc w:val="left"/>
      <w:pPr>
        <w:ind w:left="2633" w:hanging="166"/>
      </w:pPr>
      <w:rPr>
        <w:rFonts w:hint="default"/>
        <w:lang w:val="en-US" w:eastAsia="en-US" w:bidi="ar-SA"/>
      </w:rPr>
    </w:lvl>
    <w:lvl w:ilvl="4" w:tplc="5E5E9D92">
      <w:numFmt w:val="bullet"/>
      <w:lvlText w:val="•"/>
      <w:lvlJc w:val="left"/>
      <w:pPr>
        <w:ind w:left="3539" w:hanging="166"/>
      </w:pPr>
      <w:rPr>
        <w:rFonts w:hint="default"/>
        <w:lang w:val="en-US" w:eastAsia="en-US" w:bidi="ar-SA"/>
      </w:rPr>
    </w:lvl>
    <w:lvl w:ilvl="5" w:tplc="8A6A96E6">
      <w:numFmt w:val="bullet"/>
      <w:lvlText w:val="•"/>
      <w:lvlJc w:val="left"/>
      <w:pPr>
        <w:ind w:left="4446" w:hanging="166"/>
      </w:pPr>
      <w:rPr>
        <w:rFonts w:hint="default"/>
        <w:lang w:val="en-US" w:eastAsia="en-US" w:bidi="ar-SA"/>
      </w:rPr>
    </w:lvl>
    <w:lvl w:ilvl="6" w:tplc="A448E7FE">
      <w:numFmt w:val="bullet"/>
      <w:lvlText w:val="•"/>
      <w:lvlJc w:val="left"/>
      <w:pPr>
        <w:ind w:left="5352" w:hanging="166"/>
      </w:pPr>
      <w:rPr>
        <w:rFonts w:hint="default"/>
        <w:lang w:val="en-US" w:eastAsia="en-US" w:bidi="ar-SA"/>
      </w:rPr>
    </w:lvl>
    <w:lvl w:ilvl="7" w:tplc="C02CF266">
      <w:numFmt w:val="bullet"/>
      <w:lvlText w:val="•"/>
      <w:lvlJc w:val="left"/>
      <w:pPr>
        <w:ind w:left="6258" w:hanging="166"/>
      </w:pPr>
      <w:rPr>
        <w:rFonts w:hint="default"/>
        <w:lang w:val="en-US" w:eastAsia="en-US" w:bidi="ar-SA"/>
      </w:rPr>
    </w:lvl>
    <w:lvl w:ilvl="8" w:tplc="F828B56E">
      <w:numFmt w:val="bullet"/>
      <w:lvlText w:val="•"/>
      <w:lvlJc w:val="left"/>
      <w:pPr>
        <w:ind w:left="7165" w:hanging="166"/>
      </w:pPr>
      <w:rPr>
        <w:rFonts w:hint="default"/>
        <w:lang w:val="en-US" w:eastAsia="en-US" w:bidi="ar-SA"/>
      </w:rPr>
    </w:lvl>
  </w:abstractNum>
  <w:abstractNum w:abstractNumId="14" w15:restartNumberingAfterBreak="0">
    <w:nsid w:val="242A076F"/>
    <w:multiLevelType w:val="hybridMultilevel"/>
    <w:tmpl w:val="AAA60D08"/>
    <w:lvl w:ilvl="0" w:tplc="3F2003AC">
      <w:start w:val="2"/>
      <w:numFmt w:val="decimal"/>
      <w:lvlText w:val="%1."/>
      <w:lvlJc w:val="left"/>
      <w:pPr>
        <w:ind w:left="243" w:hanging="221"/>
      </w:pPr>
      <w:rPr>
        <w:rFonts w:ascii="Arial" w:eastAsia="Arial" w:hAnsi="Arial" w:cs="Arial" w:hint="default"/>
        <w:b w:val="0"/>
        <w:bCs w:val="0"/>
        <w:i w:val="0"/>
        <w:iCs w:val="0"/>
        <w:spacing w:val="-1"/>
        <w:w w:val="99"/>
        <w:sz w:val="20"/>
        <w:szCs w:val="20"/>
        <w:lang w:val="en-US" w:eastAsia="en-US" w:bidi="ar-SA"/>
      </w:rPr>
    </w:lvl>
    <w:lvl w:ilvl="1" w:tplc="3A7E559C">
      <w:start w:val="1"/>
      <w:numFmt w:val="lowerLetter"/>
      <w:lvlText w:val="%2)"/>
      <w:lvlJc w:val="left"/>
      <w:pPr>
        <w:ind w:left="243" w:hanging="257"/>
      </w:pPr>
      <w:rPr>
        <w:rFonts w:hint="default"/>
        <w:spacing w:val="0"/>
        <w:w w:val="87"/>
        <w:lang w:val="en-US" w:eastAsia="en-US" w:bidi="ar-SA"/>
      </w:rPr>
    </w:lvl>
    <w:lvl w:ilvl="2" w:tplc="DB4A5622">
      <w:numFmt w:val="bullet"/>
      <w:lvlText w:val="•"/>
      <w:lvlJc w:val="left"/>
      <w:pPr>
        <w:ind w:left="1987" w:hanging="257"/>
      </w:pPr>
      <w:rPr>
        <w:rFonts w:hint="default"/>
        <w:lang w:val="en-US" w:eastAsia="en-US" w:bidi="ar-SA"/>
      </w:rPr>
    </w:lvl>
    <w:lvl w:ilvl="3" w:tplc="BD4A78A2">
      <w:numFmt w:val="bullet"/>
      <w:lvlText w:val="•"/>
      <w:lvlJc w:val="left"/>
      <w:pPr>
        <w:ind w:left="2861" w:hanging="257"/>
      </w:pPr>
      <w:rPr>
        <w:rFonts w:hint="default"/>
        <w:lang w:val="en-US" w:eastAsia="en-US" w:bidi="ar-SA"/>
      </w:rPr>
    </w:lvl>
    <w:lvl w:ilvl="4" w:tplc="398E6050">
      <w:numFmt w:val="bullet"/>
      <w:lvlText w:val="•"/>
      <w:lvlJc w:val="left"/>
      <w:pPr>
        <w:ind w:left="3735" w:hanging="257"/>
      </w:pPr>
      <w:rPr>
        <w:rFonts w:hint="default"/>
        <w:lang w:val="en-US" w:eastAsia="en-US" w:bidi="ar-SA"/>
      </w:rPr>
    </w:lvl>
    <w:lvl w:ilvl="5" w:tplc="63961064">
      <w:numFmt w:val="bullet"/>
      <w:lvlText w:val="•"/>
      <w:lvlJc w:val="left"/>
      <w:pPr>
        <w:ind w:left="4609" w:hanging="257"/>
      </w:pPr>
      <w:rPr>
        <w:rFonts w:hint="default"/>
        <w:lang w:val="en-US" w:eastAsia="en-US" w:bidi="ar-SA"/>
      </w:rPr>
    </w:lvl>
    <w:lvl w:ilvl="6" w:tplc="1E04E4D0">
      <w:numFmt w:val="bullet"/>
      <w:lvlText w:val="•"/>
      <w:lvlJc w:val="left"/>
      <w:pPr>
        <w:ind w:left="5483" w:hanging="257"/>
      </w:pPr>
      <w:rPr>
        <w:rFonts w:hint="default"/>
        <w:lang w:val="en-US" w:eastAsia="en-US" w:bidi="ar-SA"/>
      </w:rPr>
    </w:lvl>
    <w:lvl w:ilvl="7" w:tplc="9A2E410E">
      <w:numFmt w:val="bullet"/>
      <w:lvlText w:val="•"/>
      <w:lvlJc w:val="left"/>
      <w:pPr>
        <w:ind w:left="6356" w:hanging="257"/>
      </w:pPr>
      <w:rPr>
        <w:rFonts w:hint="default"/>
        <w:lang w:val="en-US" w:eastAsia="en-US" w:bidi="ar-SA"/>
      </w:rPr>
    </w:lvl>
    <w:lvl w:ilvl="8" w:tplc="28303EBE">
      <w:numFmt w:val="bullet"/>
      <w:lvlText w:val="•"/>
      <w:lvlJc w:val="left"/>
      <w:pPr>
        <w:ind w:left="7230" w:hanging="257"/>
      </w:pPr>
      <w:rPr>
        <w:rFonts w:hint="default"/>
        <w:lang w:val="en-US" w:eastAsia="en-US" w:bidi="ar-SA"/>
      </w:rPr>
    </w:lvl>
  </w:abstractNum>
  <w:abstractNum w:abstractNumId="15" w15:restartNumberingAfterBreak="0">
    <w:nsid w:val="263200EB"/>
    <w:multiLevelType w:val="hybridMultilevel"/>
    <w:tmpl w:val="D0DC1060"/>
    <w:lvl w:ilvl="0" w:tplc="9920EBB6">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32D20980">
      <w:numFmt w:val="bullet"/>
      <w:lvlText w:val="•"/>
      <w:lvlJc w:val="left"/>
      <w:pPr>
        <w:ind w:left="1184" w:hanging="720"/>
      </w:pPr>
      <w:rPr>
        <w:rFonts w:hint="default"/>
        <w:lang w:val="en-US" w:eastAsia="en-US" w:bidi="ar-SA"/>
      </w:rPr>
    </w:lvl>
    <w:lvl w:ilvl="2" w:tplc="CA0A79AA">
      <w:numFmt w:val="bullet"/>
      <w:lvlText w:val="•"/>
      <w:lvlJc w:val="left"/>
      <w:pPr>
        <w:ind w:left="2129" w:hanging="720"/>
      </w:pPr>
      <w:rPr>
        <w:rFonts w:hint="default"/>
        <w:lang w:val="en-US" w:eastAsia="en-US" w:bidi="ar-SA"/>
      </w:rPr>
    </w:lvl>
    <w:lvl w:ilvl="3" w:tplc="DABAD1BC">
      <w:numFmt w:val="bullet"/>
      <w:lvlText w:val="•"/>
      <w:lvlJc w:val="left"/>
      <w:pPr>
        <w:ind w:left="3073" w:hanging="720"/>
      </w:pPr>
      <w:rPr>
        <w:rFonts w:hint="default"/>
        <w:lang w:val="en-US" w:eastAsia="en-US" w:bidi="ar-SA"/>
      </w:rPr>
    </w:lvl>
    <w:lvl w:ilvl="4" w:tplc="A72E2D50">
      <w:numFmt w:val="bullet"/>
      <w:lvlText w:val="•"/>
      <w:lvlJc w:val="left"/>
      <w:pPr>
        <w:ind w:left="4018" w:hanging="720"/>
      </w:pPr>
      <w:rPr>
        <w:rFonts w:hint="default"/>
        <w:lang w:val="en-US" w:eastAsia="en-US" w:bidi="ar-SA"/>
      </w:rPr>
    </w:lvl>
    <w:lvl w:ilvl="5" w:tplc="D8F60068">
      <w:numFmt w:val="bullet"/>
      <w:lvlText w:val="•"/>
      <w:lvlJc w:val="left"/>
      <w:pPr>
        <w:ind w:left="4963" w:hanging="720"/>
      </w:pPr>
      <w:rPr>
        <w:rFonts w:hint="default"/>
        <w:lang w:val="en-US" w:eastAsia="en-US" w:bidi="ar-SA"/>
      </w:rPr>
    </w:lvl>
    <w:lvl w:ilvl="6" w:tplc="DB18A686">
      <w:numFmt w:val="bullet"/>
      <w:lvlText w:val="•"/>
      <w:lvlJc w:val="left"/>
      <w:pPr>
        <w:ind w:left="5907" w:hanging="720"/>
      </w:pPr>
      <w:rPr>
        <w:rFonts w:hint="default"/>
        <w:lang w:val="en-US" w:eastAsia="en-US" w:bidi="ar-SA"/>
      </w:rPr>
    </w:lvl>
    <w:lvl w:ilvl="7" w:tplc="E2C4FD56">
      <w:numFmt w:val="bullet"/>
      <w:lvlText w:val="•"/>
      <w:lvlJc w:val="left"/>
      <w:pPr>
        <w:ind w:left="6852" w:hanging="720"/>
      </w:pPr>
      <w:rPr>
        <w:rFonts w:hint="default"/>
        <w:lang w:val="en-US" w:eastAsia="en-US" w:bidi="ar-SA"/>
      </w:rPr>
    </w:lvl>
    <w:lvl w:ilvl="8" w:tplc="968AA842">
      <w:numFmt w:val="bullet"/>
      <w:lvlText w:val="•"/>
      <w:lvlJc w:val="left"/>
      <w:pPr>
        <w:ind w:left="7797" w:hanging="720"/>
      </w:pPr>
      <w:rPr>
        <w:rFonts w:hint="default"/>
        <w:lang w:val="en-US" w:eastAsia="en-US" w:bidi="ar-SA"/>
      </w:rPr>
    </w:lvl>
  </w:abstractNum>
  <w:abstractNum w:abstractNumId="16" w15:restartNumberingAfterBreak="0">
    <w:nsid w:val="26B525A1"/>
    <w:multiLevelType w:val="hybridMultilevel"/>
    <w:tmpl w:val="A80664E8"/>
    <w:lvl w:ilvl="0" w:tplc="AC76A8F0">
      <w:start w:val="140"/>
      <w:numFmt w:val="decimal"/>
      <w:lvlText w:val="%1."/>
      <w:lvlJc w:val="left"/>
      <w:pPr>
        <w:ind w:left="243" w:hanging="444"/>
      </w:pPr>
      <w:rPr>
        <w:rFonts w:ascii="Arial" w:eastAsia="Arial" w:hAnsi="Arial" w:cs="Arial" w:hint="default"/>
        <w:b w:val="0"/>
        <w:bCs w:val="0"/>
        <w:i w:val="0"/>
        <w:iCs w:val="0"/>
        <w:spacing w:val="-1"/>
        <w:w w:val="99"/>
        <w:sz w:val="20"/>
        <w:szCs w:val="20"/>
        <w:lang w:val="en-US" w:eastAsia="en-US" w:bidi="ar-SA"/>
      </w:rPr>
    </w:lvl>
    <w:lvl w:ilvl="1" w:tplc="ACD4AB46">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0AEECD4E">
      <w:numFmt w:val="bullet"/>
      <w:lvlText w:val="•"/>
      <w:lvlJc w:val="left"/>
      <w:pPr>
        <w:ind w:left="2178" w:hanging="286"/>
      </w:pPr>
      <w:rPr>
        <w:rFonts w:hint="default"/>
        <w:lang w:val="en-US" w:eastAsia="en-US" w:bidi="ar-SA"/>
      </w:rPr>
    </w:lvl>
    <w:lvl w:ilvl="3" w:tplc="D04CA496">
      <w:numFmt w:val="bullet"/>
      <w:lvlText w:val="•"/>
      <w:lvlJc w:val="left"/>
      <w:pPr>
        <w:ind w:left="3116" w:hanging="286"/>
      </w:pPr>
      <w:rPr>
        <w:rFonts w:hint="default"/>
        <w:lang w:val="en-US" w:eastAsia="en-US" w:bidi="ar-SA"/>
      </w:rPr>
    </w:lvl>
    <w:lvl w:ilvl="4" w:tplc="ADB6D53C">
      <w:numFmt w:val="bullet"/>
      <w:lvlText w:val="•"/>
      <w:lvlJc w:val="left"/>
      <w:pPr>
        <w:ind w:left="4055" w:hanging="286"/>
      </w:pPr>
      <w:rPr>
        <w:rFonts w:hint="default"/>
        <w:lang w:val="en-US" w:eastAsia="en-US" w:bidi="ar-SA"/>
      </w:rPr>
    </w:lvl>
    <w:lvl w:ilvl="5" w:tplc="055E4754">
      <w:numFmt w:val="bullet"/>
      <w:lvlText w:val="•"/>
      <w:lvlJc w:val="left"/>
      <w:pPr>
        <w:ind w:left="4993" w:hanging="286"/>
      </w:pPr>
      <w:rPr>
        <w:rFonts w:hint="default"/>
        <w:lang w:val="en-US" w:eastAsia="en-US" w:bidi="ar-SA"/>
      </w:rPr>
    </w:lvl>
    <w:lvl w:ilvl="6" w:tplc="E362AEFC">
      <w:numFmt w:val="bullet"/>
      <w:lvlText w:val="•"/>
      <w:lvlJc w:val="left"/>
      <w:pPr>
        <w:ind w:left="5932" w:hanging="286"/>
      </w:pPr>
      <w:rPr>
        <w:rFonts w:hint="default"/>
        <w:lang w:val="en-US" w:eastAsia="en-US" w:bidi="ar-SA"/>
      </w:rPr>
    </w:lvl>
    <w:lvl w:ilvl="7" w:tplc="AE28D102">
      <w:numFmt w:val="bullet"/>
      <w:lvlText w:val="•"/>
      <w:lvlJc w:val="left"/>
      <w:pPr>
        <w:ind w:left="6870" w:hanging="286"/>
      </w:pPr>
      <w:rPr>
        <w:rFonts w:hint="default"/>
        <w:lang w:val="en-US" w:eastAsia="en-US" w:bidi="ar-SA"/>
      </w:rPr>
    </w:lvl>
    <w:lvl w:ilvl="8" w:tplc="E4400EC4">
      <w:numFmt w:val="bullet"/>
      <w:lvlText w:val="•"/>
      <w:lvlJc w:val="left"/>
      <w:pPr>
        <w:ind w:left="7809" w:hanging="286"/>
      </w:pPr>
      <w:rPr>
        <w:rFonts w:hint="default"/>
        <w:lang w:val="en-US" w:eastAsia="en-US" w:bidi="ar-SA"/>
      </w:rPr>
    </w:lvl>
  </w:abstractNum>
  <w:abstractNum w:abstractNumId="17" w15:restartNumberingAfterBreak="0">
    <w:nsid w:val="27925189"/>
    <w:multiLevelType w:val="hybridMultilevel"/>
    <w:tmpl w:val="979A8E76"/>
    <w:lvl w:ilvl="0" w:tplc="BAE69B52">
      <w:start w:val="1"/>
      <w:numFmt w:val="upperLetter"/>
      <w:lvlText w:val="%1."/>
      <w:lvlJc w:val="left"/>
      <w:pPr>
        <w:ind w:left="526" w:hanging="283"/>
      </w:pPr>
      <w:rPr>
        <w:rFonts w:ascii="Arial" w:eastAsia="Arial" w:hAnsi="Arial" w:cs="Arial" w:hint="default"/>
        <w:b/>
        <w:bCs/>
        <w:i/>
        <w:iCs/>
        <w:spacing w:val="-2"/>
        <w:w w:val="100"/>
        <w:sz w:val="22"/>
        <w:szCs w:val="22"/>
        <w:lang w:val="en-US" w:eastAsia="en-US" w:bidi="ar-SA"/>
      </w:rPr>
    </w:lvl>
    <w:lvl w:ilvl="1" w:tplc="06FA1DE6">
      <w:start w:val="1"/>
      <w:numFmt w:val="decimal"/>
      <w:lvlText w:val="%2."/>
      <w:lvlJc w:val="left"/>
      <w:pPr>
        <w:ind w:left="464" w:hanging="221"/>
      </w:pPr>
      <w:rPr>
        <w:rFonts w:ascii="Arial" w:eastAsia="Arial" w:hAnsi="Arial" w:cs="Arial" w:hint="default"/>
        <w:b w:val="0"/>
        <w:bCs w:val="0"/>
        <w:i w:val="0"/>
        <w:iCs w:val="0"/>
        <w:spacing w:val="0"/>
        <w:w w:val="99"/>
        <w:sz w:val="20"/>
        <w:szCs w:val="20"/>
        <w:lang w:val="en-US" w:eastAsia="en-US" w:bidi="ar-SA"/>
      </w:rPr>
    </w:lvl>
    <w:lvl w:ilvl="2" w:tplc="7E70315C">
      <w:start w:val="1"/>
      <w:numFmt w:val="lowerLetter"/>
      <w:lvlText w:val="%3)"/>
      <w:lvlJc w:val="left"/>
      <w:pPr>
        <w:ind w:left="1196" w:hanging="233"/>
      </w:pPr>
      <w:rPr>
        <w:rFonts w:ascii="Arial" w:eastAsia="Arial" w:hAnsi="Arial" w:cs="Arial" w:hint="default"/>
        <w:b w:val="0"/>
        <w:bCs w:val="0"/>
        <w:i w:val="0"/>
        <w:iCs w:val="0"/>
        <w:spacing w:val="0"/>
        <w:w w:val="99"/>
        <w:sz w:val="20"/>
        <w:szCs w:val="20"/>
        <w:lang w:val="en-US" w:eastAsia="en-US" w:bidi="ar-SA"/>
      </w:rPr>
    </w:lvl>
    <w:lvl w:ilvl="3" w:tplc="DDD252D2">
      <w:start w:val="1"/>
      <w:numFmt w:val="lowerRoman"/>
      <w:lvlText w:val="%4)"/>
      <w:lvlJc w:val="left"/>
      <w:pPr>
        <w:ind w:left="1520" w:hanging="190"/>
      </w:pPr>
      <w:rPr>
        <w:rFonts w:hint="default"/>
        <w:spacing w:val="-2"/>
        <w:w w:val="87"/>
        <w:lang w:val="en-US" w:eastAsia="en-US" w:bidi="ar-SA"/>
      </w:rPr>
    </w:lvl>
    <w:lvl w:ilvl="4" w:tplc="9B1887FC">
      <w:numFmt w:val="bullet"/>
      <w:lvlText w:val="•"/>
      <w:lvlJc w:val="left"/>
      <w:pPr>
        <w:ind w:left="2686" w:hanging="190"/>
      </w:pPr>
      <w:rPr>
        <w:rFonts w:hint="default"/>
        <w:lang w:val="en-US" w:eastAsia="en-US" w:bidi="ar-SA"/>
      </w:rPr>
    </w:lvl>
    <w:lvl w:ilvl="5" w:tplc="6C78D568">
      <w:numFmt w:val="bullet"/>
      <w:lvlText w:val="•"/>
      <w:lvlJc w:val="left"/>
      <w:pPr>
        <w:ind w:left="3853" w:hanging="190"/>
      </w:pPr>
      <w:rPr>
        <w:rFonts w:hint="default"/>
        <w:lang w:val="en-US" w:eastAsia="en-US" w:bidi="ar-SA"/>
      </w:rPr>
    </w:lvl>
    <w:lvl w:ilvl="6" w:tplc="8EEC857A">
      <w:numFmt w:val="bullet"/>
      <w:lvlText w:val="•"/>
      <w:lvlJc w:val="left"/>
      <w:pPr>
        <w:ind w:left="5019" w:hanging="190"/>
      </w:pPr>
      <w:rPr>
        <w:rFonts w:hint="default"/>
        <w:lang w:val="en-US" w:eastAsia="en-US" w:bidi="ar-SA"/>
      </w:rPr>
    </w:lvl>
    <w:lvl w:ilvl="7" w:tplc="F88A8D0E">
      <w:numFmt w:val="bullet"/>
      <w:lvlText w:val="•"/>
      <w:lvlJc w:val="left"/>
      <w:pPr>
        <w:ind w:left="6186" w:hanging="190"/>
      </w:pPr>
      <w:rPr>
        <w:rFonts w:hint="default"/>
        <w:lang w:val="en-US" w:eastAsia="en-US" w:bidi="ar-SA"/>
      </w:rPr>
    </w:lvl>
    <w:lvl w:ilvl="8" w:tplc="BD3E9E2A">
      <w:numFmt w:val="bullet"/>
      <w:lvlText w:val="•"/>
      <w:lvlJc w:val="left"/>
      <w:pPr>
        <w:ind w:left="7353" w:hanging="190"/>
      </w:pPr>
      <w:rPr>
        <w:rFonts w:hint="default"/>
        <w:lang w:val="en-US" w:eastAsia="en-US" w:bidi="ar-SA"/>
      </w:rPr>
    </w:lvl>
  </w:abstractNum>
  <w:abstractNum w:abstractNumId="18" w15:restartNumberingAfterBreak="0">
    <w:nsid w:val="2D8C2129"/>
    <w:multiLevelType w:val="hybridMultilevel"/>
    <w:tmpl w:val="B5CAB7BA"/>
    <w:lvl w:ilvl="0" w:tplc="E2E4EDFA">
      <w:start w:val="5"/>
      <w:numFmt w:val="decimal"/>
      <w:lvlText w:val="%1."/>
      <w:lvlJc w:val="left"/>
      <w:pPr>
        <w:ind w:left="464" w:hanging="221"/>
      </w:pPr>
      <w:rPr>
        <w:rFonts w:ascii="Arial" w:eastAsia="Arial" w:hAnsi="Arial" w:cs="Arial" w:hint="default"/>
        <w:b w:val="0"/>
        <w:bCs w:val="0"/>
        <w:i w:val="0"/>
        <w:iCs w:val="0"/>
        <w:spacing w:val="0"/>
        <w:w w:val="99"/>
        <w:sz w:val="20"/>
        <w:szCs w:val="20"/>
        <w:lang w:val="en-US" w:eastAsia="en-US" w:bidi="ar-SA"/>
      </w:rPr>
    </w:lvl>
    <w:lvl w:ilvl="1" w:tplc="4E1861A4">
      <w:start w:val="1"/>
      <w:numFmt w:val="lowerLetter"/>
      <w:lvlText w:val="%2)"/>
      <w:lvlJc w:val="left"/>
      <w:pPr>
        <w:ind w:left="951" w:hanging="233"/>
      </w:pPr>
      <w:rPr>
        <w:rFonts w:hint="default"/>
        <w:spacing w:val="0"/>
        <w:w w:val="99"/>
        <w:lang w:val="en-US" w:eastAsia="en-US" w:bidi="ar-SA"/>
      </w:rPr>
    </w:lvl>
    <w:lvl w:ilvl="2" w:tplc="4B7645E0">
      <w:start w:val="1"/>
      <w:numFmt w:val="lowerRoman"/>
      <w:lvlText w:val="%3."/>
      <w:lvlJc w:val="left"/>
      <w:pPr>
        <w:ind w:left="1520" w:hanging="171"/>
      </w:pPr>
      <w:rPr>
        <w:rFonts w:ascii="Arial" w:eastAsia="Arial" w:hAnsi="Arial" w:cs="Arial" w:hint="default"/>
        <w:b w:val="0"/>
        <w:bCs w:val="0"/>
        <w:i w:val="0"/>
        <w:iCs w:val="0"/>
        <w:spacing w:val="-2"/>
        <w:w w:val="99"/>
        <w:sz w:val="20"/>
        <w:szCs w:val="20"/>
        <w:lang w:val="en-US" w:eastAsia="en-US" w:bidi="ar-SA"/>
      </w:rPr>
    </w:lvl>
    <w:lvl w:ilvl="3" w:tplc="29F88ED6">
      <w:numFmt w:val="bullet"/>
      <w:lvlText w:val="•"/>
      <w:lvlJc w:val="left"/>
      <w:pPr>
        <w:ind w:left="1520" w:hanging="171"/>
      </w:pPr>
      <w:rPr>
        <w:rFonts w:hint="default"/>
        <w:lang w:val="en-US" w:eastAsia="en-US" w:bidi="ar-SA"/>
      </w:rPr>
    </w:lvl>
    <w:lvl w:ilvl="4" w:tplc="1564170C">
      <w:numFmt w:val="bullet"/>
      <w:lvlText w:val="•"/>
      <w:lvlJc w:val="left"/>
      <w:pPr>
        <w:ind w:left="2686" w:hanging="171"/>
      </w:pPr>
      <w:rPr>
        <w:rFonts w:hint="default"/>
        <w:lang w:val="en-US" w:eastAsia="en-US" w:bidi="ar-SA"/>
      </w:rPr>
    </w:lvl>
    <w:lvl w:ilvl="5" w:tplc="8E8E8836">
      <w:numFmt w:val="bullet"/>
      <w:lvlText w:val="•"/>
      <w:lvlJc w:val="left"/>
      <w:pPr>
        <w:ind w:left="3853" w:hanging="171"/>
      </w:pPr>
      <w:rPr>
        <w:rFonts w:hint="default"/>
        <w:lang w:val="en-US" w:eastAsia="en-US" w:bidi="ar-SA"/>
      </w:rPr>
    </w:lvl>
    <w:lvl w:ilvl="6" w:tplc="FF82EC6E">
      <w:numFmt w:val="bullet"/>
      <w:lvlText w:val="•"/>
      <w:lvlJc w:val="left"/>
      <w:pPr>
        <w:ind w:left="5019" w:hanging="171"/>
      </w:pPr>
      <w:rPr>
        <w:rFonts w:hint="default"/>
        <w:lang w:val="en-US" w:eastAsia="en-US" w:bidi="ar-SA"/>
      </w:rPr>
    </w:lvl>
    <w:lvl w:ilvl="7" w:tplc="BDE0DD04">
      <w:numFmt w:val="bullet"/>
      <w:lvlText w:val="•"/>
      <w:lvlJc w:val="left"/>
      <w:pPr>
        <w:ind w:left="6186" w:hanging="171"/>
      </w:pPr>
      <w:rPr>
        <w:rFonts w:hint="default"/>
        <w:lang w:val="en-US" w:eastAsia="en-US" w:bidi="ar-SA"/>
      </w:rPr>
    </w:lvl>
    <w:lvl w:ilvl="8" w:tplc="5DDAE7BE">
      <w:numFmt w:val="bullet"/>
      <w:lvlText w:val="•"/>
      <w:lvlJc w:val="left"/>
      <w:pPr>
        <w:ind w:left="7353" w:hanging="171"/>
      </w:pPr>
      <w:rPr>
        <w:rFonts w:hint="default"/>
        <w:lang w:val="en-US" w:eastAsia="en-US" w:bidi="ar-SA"/>
      </w:rPr>
    </w:lvl>
  </w:abstractNum>
  <w:abstractNum w:abstractNumId="19" w15:restartNumberingAfterBreak="0">
    <w:nsid w:val="2EFD5D6F"/>
    <w:multiLevelType w:val="hybridMultilevel"/>
    <w:tmpl w:val="8EACC4F2"/>
    <w:lvl w:ilvl="0" w:tplc="0860A2AE">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5C4C402E">
      <w:numFmt w:val="bullet"/>
      <w:lvlText w:val="•"/>
      <w:lvlJc w:val="left"/>
      <w:pPr>
        <w:ind w:left="1184" w:hanging="720"/>
      </w:pPr>
      <w:rPr>
        <w:rFonts w:hint="default"/>
        <w:lang w:val="en-US" w:eastAsia="en-US" w:bidi="ar-SA"/>
      </w:rPr>
    </w:lvl>
    <w:lvl w:ilvl="2" w:tplc="788E4CE8">
      <w:numFmt w:val="bullet"/>
      <w:lvlText w:val="•"/>
      <w:lvlJc w:val="left"/>
      <w:pPr>
        <w:ind w:left="2129" w:hanging="720"/>
      </w:pPr>
      <w:rPr>
        <w:rFonts w:hint="default"/>
        <w:lang w:val="en-US" w:eastAsia="en-US" w:bidi="ar-SA"/>
      </w:rPr>
    </w:lvl>
    <w:lvl w:ilvl="3" w:tplc="D06AE99E">
      <w:numFmt w:val="bullet"/>
      <w:lvlText w:val="•"/>
      <w:lvlJc w:val="left"/>
      <w:pPr>
        <w:ind w:left="3073" w:hanging="720"/>
      </w:pPr>
      <w:rPr>
        <w:rFonts w:hint="default"/>
        <w:lang w:val="en-US" w:eastAsia="en-US" w:bidi="ar-SA"/>
      </w:rPr>
    </w:lvl>
    <w:lvl w:ilvl="4" w:tplc="F8489BEA">
      <w:numFmt w:val="bullet"/>
      <w:lvlText w:val="•"/>
      <w:lvlJc w:val="left"/>
      <w:pPr>
        <w:ind w:left="4018" w:hanging="720"/>
      </w:pPr>
      <w:rPr>
        <w:rFonts w:hint="default"/>
        <w:lang w:val="en-US" w:eastAsia="en-US" w:bidi="ar-SA"/>
      </w:rPr>
    </w:lvl>
    <w:lvl w:ilvl="5" w:tplc="D81E7270">
      <w:numFmt w:val="bullet"/>
      <w:lvlText w:val="•"/>
      <w:lvlJc w:val="left"/>
      <w:pPr>
        <w:ind w:left="4963" w:hanging="720"/>
      </w:pPr>
      <w:rPr>
        <w:rFonts w:hint="default"/>
        <w:lang w:val="en-US" w:eastAsia="en-US" w:bidi="ar-SA"/>
      </w:rPr>
    </w:lvl>
    <w:lvl w:ilvl="6" w:tplc="AB402D48">
      <w:numFmt w:val="bullet"/>
      <w:lvlText w:val="•"/>
      <w:lvlJc w:val="left"/>
      <w:pPr>
        <w:ind w:left="5907" w:hanging="720"/>
      </w:pPr>
      <w:rPr>
        <w:rFonts w:hint="default"/>
        <w:lang w:val="en-US" w:eastAsia="en-US" w:bidi="ar-SA"/>
      </w:rPr>
    </w:lvl>
    <w:lvl w:ilvl="7" w:tplc="880EFF24">
      <w:numFmt w:val="bullet"/>
      <w:lvlText w:val="•"/>
      <w:lvlJc w:val="left"/>
      <w:pPr>
        <w:ind w:left="6852" w:hanging="720"/>
      </w:pPr>
      <w:rPr>
        <w:rFonts w:hint="default"/>
        <w:lang w:val="en-US" w:eastAsia="en-US" w:bidi="ar-SA"/>
      </w:rPr>
    </w:lvl>
    <w:lvl w:ilvl="8" w:tplc="B3B83D68">
      <w:numFmt w:val="bullet"/>
      <w:lvlText w:val="•"/>
      <w:lvlJc w:val="left"/>
      <w:pPr>
        <w:ind w:left="7797" w:hanging="720"/>
      </w:pPr>
      <w:rPr>
        <w:rFonts w:hint="default"/>
        <w:lang w:val="en-US" w:eastAsia="en-US" w:bidi="ar-SA"/>
      </w:rPr>
    </w:lvl>
  </w:abstractNum>
  <w:abstractNum w:abstractNumId="20" w15:restartNumberingAfterBreak="0">
    <w:nsid w:val="2F034172"/>
    <w:multiLevelType w:val="hybridMultilevel"/>
    <w:tmpl w:val="D9646584"/>
    <w:lvl w:ilvl="0" w:tplc="EB8E69E2">
      <w:start w:val="1"/>
      <w:numFmt w:val="decimal"/>
      <w:lvlText w:val="%1."/>
      <w:lvlJc w:val="left"/>
      <w:pPr>
        <w:ind w:left="253" w:hanging="711"/>
      </w:pPr>
      <w:rPr>
        <w:rFonts w:ascii="Arial" w:eastAsia="Arial" w:hAnsi="Arial" w:cs="Arial" w:hint="default"/>
        <w:b w:val="0"/>
        <w:bCs w:val="0"/>
        <w:i w:val="0"/>
        <w:iCs w:val="0"/>
        <w:spacing w:val="-1"/>
        <w:w w:val="99"/>
        <w:sz w:val="20"/>
        <w:szCs w:val="20"/>
        <w:lang w:val="en-US" w:eastAsia="en-US" w:bidi="ar-SA"/>
      </w:rPr>
    </w:lvl>
    <w:lvl w:ilvl="1" w:tplc="659C73EC">
      <w:start w:val="1"/>
      <w:numFmt w:val="lowerLetter"/>
      <w:lvlText w:val="%2)"/>
      <w:lvlJc w:val="left"/>
      <w:pPr>
        <w:ind w:left="1237" w:hanging="286"/>
      </w:pPr>
      <w:rPr>
        <w:rFonts w:ascii="Arial" w:eastAsia="Arial" w:hAnsi="Arial" w:cs="Arial" w:hint="default"/>
        <w:b w:val="0"/>
        <w:bCs w:val="0"/>
        <w:i w:val="0"/>
        <w:iCs w:val="0"/>
        <w:spacing w:val="-1"/>
        <w:w w:val="99"/>
        <w:sz w:val="20"/>
        <w:szCs w:val="20"/>
        <w:lang w:val="en-US" w:eastAsia="en-US" w:bidi="ar-SA"/>
      </w:rPr>
    </w:lvl>
    <w:lvl w:ilvl="2" w:tplc="AC548660">
      <w:start w:val="1"/>
      <w:numFmt w:val="lowerRoman"/>
      <w:lvlText w:val="%3)"/>
      <w:lvlJc w:val="left"/>
      <w:pPr>
        <w:ind w:left="1945" w:hanging="425"/>
      </w:pPr>
      <w:rPr>
        <w:rFonts w:ascii="Arial" w:eastAsia="Arial" w:hAnsi="Arial" w:cs="Arial" w:hint="default"/>
        <w:b w:val="0"/>
        <w:bCs w:val="0"/>
        <w:i w:val="0"/>
        <w:iCs w:val="0"/>
        <w:spacing w:val="-2"/>
        <w:w w:val="99"/>
        <w:sz w:val="20"/>
        <w:szCs w:val="20"/>
        <w:lang w:val="en-US" w:eastAsia="en-US" w:bidi="ar-SA"/>
      </w:rPr>
    </w:lvl>
    <w:lvl w:ilvl="3" w:tplc="9C9EE174">
      <w:numFmt w:val="bullet"/>
      <w:lvlText w:val="•"/>
      <w:lvlJc w:val="left"/>
      <w:pPr>
        <w:ind w:left="2908" w:hanging="425"/>
      </w:pPr>
      <w:rPr>
        <w:rFonts w:hint="default"/>
        <w:lang w:val="en-US" w:eastAsia="en-US" w:bidi="ar-SA"/>
      </w:rPr>
    </w:lvl>
    <w:lvl w:ilvl="4" w:tplc="9AF090C2">
      <w:numFmt w:val="bullet"/>
      <w:lvlText w:val="•"/>
      <w:lvlJc w:val="left"/>
      <w:pPr>
        <w:ind w:left="3876" w:hanging="425"/>
      </w:pPr>
      <w:rPr>
        <w:rFonts w:hint="default"/>
        <w:lang w:val="en-US" w:eastAsia="en-US" w:bidi="ar-SA"/>
      </w:rPr>
    </w:lvl>
    <w:lvl w:ilvl="5" w:tplc="CEC2A7BE">
      <w:numFmt w:val="bullet"/>
      <w:lvlText w:val="•"/>
      <w:lvlJc w:val="left"/>
      <w:pPr>
        <w:ind w:left="4844" w:hanging="425"/>
      </w:pPr>
      <w:rPr>
        <w:rFonts w:hint="default"/>
        <w:lang w:val="en-US" w:eastAsia="en-US" w:bidi="ar-SA"/>
      </w:rPr>
    </w:lvl>
    <w:lvl w:ilvl="6" w:tplc="B068FEC8">
      <w:numFmt w:val="bullet"/>
      <w:lvlText w:val="•"/>
      <w:lvlJc w:val="left"/>
      <w:pPr>
        <w:ind w:left="5813" w:hanging="425"/>
      </w:pPr>
      <w:rPr>
        <w:rFonts w:hint="default"/>
        <w:lang w:val="en-US" w:eastAsia="en-US" w:bidi="ar-SA"/>
      </w:rPr>
    </w:lvl>
    <w:lvl w:ilvl="7" w:tplc="DB981A5C">
      <w:numFmt w:val="bullet"/>
      <w:lvlText w:val="•"/>
      <w:lvlJc w:val="left"/>
      <w:pPr>
        <w:ind w:left="6781" w:hanging="425"/>
      </w:pPr>
      <w:rPr>
        <w:rFonts w:hint="default"/>
        <w:lang w:val="en-US" w:eastAsia="en-US" w:bidi="ar-SA"/>
      </w:rPr>
    </w:lvl>
    <w:lvl w:ilvl="8" w:tplc="BF7A5776">
      <w:numFmt w:val="bullet"/>
      <w:lvlText w:val="•"/>
      <w:lvlJc w:val="left"/>
      <w:pPr>
        <w:ind w:left="7749" w:hanging="425"/>
      </w:pPr>
      <w:rPr>
        <w:rFonts w:hint="default"/>
        <w:lang w:val="en-US" w:eastAsia="en-US" w:bidi="ar-SA"/>
      </w:rPr>
    </w:lvl>
  </w:abstractNum>
  <w:abstractNum w:abstractNumId="21" w15:restartNumberingAfterBreak="0">
    <w:nsid w:val="2F93581E"/>
    <w:multiLevelType w:val="hybridMultilevel"/>
    <w:tmpl w:val="6CF8F178"/>
    <w:lvl w:ilvl="0" w:tplc="1B8C329C">
      <w:start w:val="1"/>
      <w:numFmt w:val="decimal"/>
      <w:lvlText w:val="%1."/>
      <w:lvlJc w:val="left"/>
      <w:pPr>
        <w:ind w:left="963" w:hanging="720"/>
      </w:pPr>
      <w:rPr>
        <w:rFonts w:ascii="Arial" w:eastAsia="Arial" w:hAnsi="Arial" w:cs="Arial" w:hint="default"/>
        <w:b w:val="0"/>
        <w:bCs w:val="0"/>
        <w:i w:val="0"/>
        <w:iCs w:val="0"/>
        <w:spacing w:val="-1"/>
        <w:w w:val="99"/>
        <w:sz w:val="20"/>
        <w:szCs w:val="20"/>
        <w:lang w:val="en-US" w:eastAsia="en-US" w:bidi="ar-SA"/>
      </w:rPr>
    </w:lvl>
    <w:lvl w:ilvl="1" w:tplc="E89E7F08">
      <w:start w:val="1"/>
      <w:numFmt w:val="lowerLetter"/>
      <w:lvlText w:val="%2)"/>
      <w:lvlJc w:val="left"/>
      <w:pPr>
        <w:ind w:left="1237" w:hanging="286"/>
      </w:pPr>
      <w:rPr>
        <w:rFonts w:ascii="Arial" w:eastAsia="Arial" w:hAnsi="Arial" w:cs="Arial" w:hint="default"/>
        <w:b w:val="0"/>
        <w:bCs w:val="0"/>
        <w:i w:val="0"/>
        <w:iCs w:val="0"/>
        <w:spacing w:val="-1"/>
        <w:w w:val="99"/>
        <w:sz w:val="20"/>
        <w:szCs w:val="20"/>
        <w:lang w:val="en-US" w:eastAsia="en-US" w:bidi="ar-SA"/>
      </w:rPr>
    </w:lvl>
    <w:lvl w:ilvl="2" w:tplc="C80ADDE6">
      <w:numFmt w:val="bullet"/>
      <w:lvlText w:val="•"/>
      <w:lvlJc w:val="left"/>
      <w:pPr>
        <w:ind w:left="2178" w:hanging="286"/>
      </w:pPr>
      <w:rPr>
        <w:rFonts w:hint="default"/>
        <w:lang w:val="en-US" w:eastAsia="en-US" w:bidi="ar-SA"/>
      </w:rPr>
    </w:lvl>
    <w:lvl w:ilvl="3" w:tplc="647C70C6">
      <w:numFmt w:val="bullet"/>
      <w:lvlText w:val="•"/>
      <w:lvlJc w:val="left"/>
      <w:pPr>
        <w:ind w:left="3116" w:hanging="286"/>
      </w:pPr>
      <w:rPr>
        <w:rFonts w:hint="default"/>
        <w:lang w:val="en-US" w:eastAsia="en-US" w:bidi="ar-SA"/>
      </w:rPr>
    </w:lvl>
    <w:lvl w:ilvl="4" w:tplc="CA6412B2">
      <w:numFmt w:val="bullet"/>
      <w:lvlText w:val="•"/>
      <w:lvlJc w:val="left"/>
      <w:pPr>
        <w:ind w:left="4055" w:hanging="286"/>
      </w:pPr>
      <w:rPr>
        <w:rFonts w:hint="default"/>
        <w:lang w:val="en-US" w:eastAsia="en-US" w:bidi="ar-SA"/>
      </w:rPr>
    </w:lvl>
    <w:lvl w:ilvl="5" w:tplc="984652EC">
      <w:numFmt w:val="bullet"/>
      <w:lvlText w:val="•"/>
      <w:lvlJc w:val="left"/>
      <w:pPr>
        <w:ind w:left="4993" w:hanging="286"/>
      </w:pPr>
      <w:rPr>
        <w:rFonts w:hint="default"/>
        <w:lang w:val="en-US" w:eastAsia="en-US" w:bidi="ar-SA"/>
      </w:rPr>
    </w:lvl>
    <w:lvl w:ilvl="6" w:tplc="B1C42790">
      <w:numFmt w:val="bullet"/>
      <w:lvlText w:val="•"/>
      <w:lvlJc w:val="left"/>
      <w:pPr>
        <w:ind w:left="5932" w:hanging="286"/>
      </w:pPr>
      <w:rPr>
        <w:rFonts w:hint="default"/>
        <w:lang w:val="en-US" w:eastAsia="en-US" w:bidi="ar-SA"/>
      </w:rPr>
    </w:lvl>
    <w:lvl w:ilvl="7" w:tplc="0D5CFBB2">
      <w:numFmt w:val="bullet"/>
      <w:lvlText w:val="•"/>
      <w:lvlJc w:val="left"/>
      <w:pPr>
        <w:ind w:left="6870" w:hanging="286"/>
      </w:pPr>
      <w:rPr>
        <w:rFonts w:hint="default"/>
        <w:lang w:val="en-US" w:eastAsia="en-US" w:bidi="ar-SA"/>
      </w:rPr>
    </w:lvl>
    <w:lvl w:ilvl="8" w:tplc="75941F26">
      <w:numFmt w:val="bullet"/>
      <w:lvlText w:val="•"/>
      <w:lvlJc w:val="left"/>
      <w:pPr>
        <w:ind w:left="7809" w:hanging="286"/>
      </w:pPr>
      <w:rPr>
        <w:rFonts w:hint="default"/>
        <w:lang w:val="en-US" w:eastAsia="en-US" w:bidi="ar-SA"/>
      </w:rPr>
    </w:lvl>
  </w:abstractNum>
  <w:abstractNum w:abstractNumId="22" w15:restartNumberingAfterBreak="0">
    <w:nsid w:val="34DD36A2"/>
    <w:multiLevelType w:val="hybridMultilevel"/>
    <w:tmpl w:val="5646479A"/>
    <w:lvl w:ilvl="0" w:tplc="60A412EC">
      <w:start w:val="1"/>
      <w:numFmt w:val="lowerLetter"/>
      <w:lvlText w:val="%1)"/>
      <w:lvlJc w:val="left"/>
      <w:pPr>
        <w:ind w:left="1237" w:hanging="286"/>
      </w:pPr>
      <w:rPr>
        <w:rFonts w:ascii="Arial" w:eastAsia="Arial" w:hAnsi="Arial" w:cs="Arial" w:hint="default"/>
        <w:b w:val="0"/>
        <w:bCs w:val="0"/>
        <w:i w:val="0"/>
        <w:iCs w:val="0"/>
        <w:spacing w:val="-1"/>
        <w:w w:val="99"/>
        <w:sz w:val="20"/>
        <w:szCs w:val="20"/>
        <w:lang w:val="en-US" w:eastAsia="en-US" w:bidi="ar-SA"/>
      </w:rPr>
    </w:lvl>
    <w:lvl w:ilvl="1" w:tplc="62165160">
      <w:numFmt w:val="bullet"/>
      <w:lvlText w:val="•"/>
      <w:lvlJc w:val="left"/>
      <w:pPr>
        <w:ind w:left="2084" w:hanging="286"/>
      </w:pPr>
      <w:rPr>
        <w:rFonts w:hint="default"/>
        <w:lang w:val="en-US" w:eastAsia="en-US" w:bidi="ar-SA"/>
      </w:rPr>
    </w:lvl>
    <w:lvl w:ilvl="2" w:tplc="656C3726">
      <w:numFmt w:val="bullet"/>
      <w:lvlText w:val="•"/>
      <w:lvlJc w:val="left"/>
      <w:pPr>
        <w:ind w:left="2929" w:hanging="286"/>
      </w:pPr>
      <w:rPr>
        <w:rFonts w:hint="default"/>
        <w:lang w:val="en-US" w:eastAsia="en-US" w:bidi="ar-SA"/>
      </w:rPr>
    </w:lvl>
    <w:lvl w:ilvl="3" w:tplc="F73AECFE">
      <w:numFmt w:val="bullet"/>
      <w:lvlText w:val="•"/>
      <w:lvlJc w:val="left"/>
      <w:pPr>
        <w:ind w:left="3773" w:hanging="286"/>
      </w:pPr>
      <w:rPr>
        <w:rFonts w:hint="default"/>
        <w:lang w:val="en-US" w:eastAsia="en-US" w:bidi="ar-SA"/>
      </w:rPr>
    </w:lvl>
    <w:lvl w:ilvl="4" w:tplc="6190701A">
      <w:numFmt w:val="bullet"/>
      <w:lvlText w:val="•"/>
      <w:lvlJc w:val="left"/>
      <w:pPr>
        <w:ind w:left="4618" w:hanging="286"/>
      </w:pPr>
      <w:rPr>
        <w:rFonts w:hint="default"/>
        <w:lang w:val="en-US" w:eastAsia="en-US" w:bidi="ar-SA"/>
      </w:rPr>
    </w:lvl>
    <w:lvl w:ilvl="5" w:tplc="16D2C5E0">
      <w:numFmt w:val="bullet"/>
      <w:lvlText w:val="•"/>
      <w:lvlJc w:val="left"/>
      <w:pPr>
        <w:ind w:left="5463" w:hanging="286"/>
      </w:pPr>
      <w:rPr>
        <w:rFonts w:hint="default"/>
        <w:lang w:val="en-US" w:eastAsia="en-US" w:bidi="ar-SA"/>
      </w:rPr>
    </w:lvl>
    <w:lvl w:ilvl="6" w:tplc="C7AE00D4">
      <w:numFmt w:val="bullet"/>
      <w:lvlText w:val="•"/>
      <w:lvlJc w:val="left"/>
      <w:pPr>
        <w:ind w:left="6307" w:hanging="286"/>
      </w:pPr>
      <w:rPr>
        <w:rFonts w:hint="default"/>
        <w:lang w:val="en-US" w:eastAsia="en-US" w:bidi="ar-SA"/>
      </w:rPr>
    </w:lvl>
    <w:lvl w:ilvl="7" w:tplc="1FE4ED9E">
      <w:numFmt w:val="bullet"/>
      <w:lvlText w:val="•"/>
      <w:lvlJc w:val="left"/>
      <w:pPr>
        <w:ind w:left="7152" w:hanging="286"/>
      </w:pPr>
      <w:rPr>
        <w:rFonts w:hint="default"/>
        <w:lang w:val="en-US" w:eastAsia="en-US" w:bidi="ar-SA"/>
      </w:rPr>
    </w:lvl>
    <w:lvl w:ilvl="8" w:tplc="74F45318">
      <w:numFmt w:val="bullet"/>
      <w:lvlText w:val="•"/>
      <w:lvlJc w:val="left"/>
      <w:pPr>
        <w:ind w:left="7997" w:hanging="286"/>
      </w:pPr>
      <w:rPr>
        <w:rFonts w:hint="default"/>
        <w:lang w:val="en-US" w:eastAsia="en-US" w:bidi="ar-SA"/>
      </w:rPr>
    </w:lvl>
  </w:abstractNum>
  <w:abstractNum w:abstractNumId="23" w15:restartNumberingAfterBreak="0">
    <w:nsid w:val="358A2EBD"/>
    <w:multiLevelType w:val="hybridMultilevel"/>
    <w:tmpl w:val="789C7336"/>
    <w:lvl w:ilvl="0" w:tplc="67B4E948">
      <w:start w:val="25"/>
      <w:numFmt w:val="decimal"/>
      <w:lvlText w:val="%1."/>
      <w:lvlJc w:val="left"/>
      <w:pPr>
        <w:ind w:left="243" w:hanging="339"/>
      </w:pPr>
      <w:rPr>
        <w:rFonts w:ascii="Arial" w:eastAsia="Arial" w:hAnsi="Arial" w:cs="Arial" w:hint="default"/>
        <w:b w:val="0"/>
        <w:bCs w:val="0"/>
        <w:i w:val="0"/>
        <w:iCs w:val="0"/>
        <w:spacing w:val="-1"/>
        <w:w w:val="99"/>
        <w:sz w:val="20"/>
        <w:szCs w:val="20"/>
        <w:lang w:val="en-US" w:eastAsia="en-US" w:bidi="ar-SA"/>
      </w:rPr>
    </w:lvl>
    <w:lvl w:ilvl="1" w:tplc="ED9C020C">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F1BA128A">
      <w:numFmt w:val="bullet"/>
      <w:lvlText w:val="•"/>
      <w:lvlJc w:val="left"/>
      <w:pPr>
        <w:ind w:left="2178" w:hanging="286"/>
      </w:pPr>
      <w:rPr>
        <w:rFonts w:hint="default"/>
        <w:lang w:val="en-US" w:eastAsia="en-US" w:bidi="ar-SA"/>
      </w:rPr>
    </w:lvl>
    <w:lvl w:ilvl="3" w:tplc="82325286">
      <w:numFmt w:val="bullet"/>
      <w:lvlText w:val="•"/>
      <w:lvlJc w:val="left"/>
      <w:pPr>
        <w:ind w:left="3116" w:hanging="286"/>
      </w:pPr>
      <w:rPr>
        <w:rFonts w:hint="default"/>
        <w:lang w:val="en-US" w:eastAsia="en-US" w:bidi="ar-SA"/>
      </w:rPr>
    </w:lvl>
    <w:lvl w:ilvl="4" w:tplc="5CDA6D6A">
      <w:numFmt w:val="bullet"/>
      <w:lvlText w:val="•"/>
      <w:lvlJc w:val="left"/>
      <w:pPr>
        <w:ind w:left="4055" w:hanging="286"/>
      </w:pPr>
      <w:rPr>
        <w:rFonts w:hint="default"/>
        <w:lang w:val="en-US" w:eastAsia="en-US" w:bidi="ar-SA"/>
      </w:rPr>
    </w:lvl>
    <w:lvl w:ilvl="5" w:tplc="F18C2FB6">
      <w:numFmt w:val="bullet"/>
      <w:lvlText w:val="•"/>
      <w:lvlJc w:val="left"/>
      <w:pPr>
        <w:ind w:left="4993" w:hanging="286"/>
      </w:pPr>
      <w:rPr>
        <w:rFonts w:hint="default"/>
        <w:lang w:val="en-US" w:eastAsia="en-US" w:bidi="ar-SA"/>
      </w:rPr>
    </w:lvl>
    <w:lvl w:ilvl="6" w:tplc="B636AE6A">
      <w:numFmt w:val="bullet"/>
      <w:lvlText w:val="•"/>
      <w:lvlJc w:val="left"/>
      <w:pPr>
        <w:ind w:left="5932" w:hanging="286"/>
      </w:pPr>
      <w:rPr>
        <w:rFonts w:hint="default"/>
        <w:lang w:val="en-US" w:eastAsia="en-US" w:bidi="ar-SA"/>
      </w:rPr>
    </w:lvl>
    <w:lvl w:ilvl="7" w:tplc="A85AFF9A">
      <w:numFmt w:val="bullet"/>
      <w:lvlText w:val="•"/>
      <w:lvlJc w:val="left"/>
      <w:pPr>
        <w:ind w:left="6870" w:hanging="286"/>
      </w:pPr>
      <w:rPr>
        <w:rFonts w:hint="default"/>
        <w:lang w:val="en-US" w:eastAsia="en-US" w:bidi="ar-SA"/>
      </w:rPr>
    </w:lvl>
    <w:lvl w:ilvl="8" w:tplc="77A8C6B6">
      <w:numFmt w:val="bullet"/>
      <w:lvlText w:val="•"/>
      <w:lvlJc w:val="left"/>
      <w:pPr>
        <w:ind w:left="7809" w:hanging="286"/>
      </w:pPr>
      <w:rPr>
        <w:rFonts w:hint="default"/>
        <w:lang w:val="en-US" w:eastAsia="en-US" w:bidi="ar-SA"/>
      </w:rPr>
    </w:lvl>
  </w:abstractNum>
  <w:abstractNum w:abstractNumId="24" w15:restartNumberingAfterBreak="0">
    <w:nsid w:val="376E4218"/>
    <w:multiLevelType w:val="hybridMultilevel"/>
    <w:tmpl w:val="C3AAD31E"/>
    <w:lvl w:ilvl="0" w:tplc="CBC026EA">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1" w:tplc="5BAE8320">
      <w:numFmt w:val="bullet"/>
      <w:lvlText w:val="•"/>
      <w:lvlJc w:val="left"/>
      <w:pPr>
        <w:ind w:left="2084" w:hanging="286"/>
      </w:pPr>
      <w:rPr>
        <w:rFonts w:hint="default"/>
        <w:lang w:val="en-US" w:eastAsia="en-US" w:bidi="ar-SA"/>
      </w:rPr>
    </w:lvl>
    <w:lvl w:ilvl="2" w:tplc="DAA0A944">
      <w:numFmt w:val="bullet"/>
      <w:lvlText w:val="•"/>
      <w:lvlJc w:val="left"/>
      <w:pPr>
        <w:ind w:left="2929" w:hanging="286"/>
      </w:pPr>
      <w:rPr>
        <w:rFonts w:hint="default"/>
        <w:lang w:val="en-US" w:eastAsia="en-US" w:bidi="ar-SA"/>
      </w:rPr>
    </w:lvl>
    <w:lvl w:ilvl="3" w:tplc="21AC0966">
      <w:numFmt w:val="bullet"/>
      <w:lvlText w:val="•"/>
      <w:lvlJc w:val="left"/>
      <w:pPr>
        <w:ind w:left="3773" w:hanging="286"/>
      </w:pPr>
      <w:rPr>
        <w:rFonts w:hint="default"/>
        <w:lang w:val="en-US" w:eastAsia="en-US" w:bidi="ar-SA"/>
      </w:rPr>
    </w:lvl>
    <w:lvl w:ilvl="4" w:tplc="DE6EDCF2">
      <w:numFmt w:val="bullet"/>
      <w:lvlText w:val="•"/>
      <w:lvlJc w:val="left"/>
      <w:pPr>
        <w:ind w:left="4618" w:hanging="286"/>
      </w:pPr>
      <w:rPr>
        <w:rFonts w:hint="default"/>
        <w:lang w:val="en-US" w:eastAsia="en-US" w:bidi="ar-SA"/>
      </w:rPr>
    </w:lvl>
    <w:lvl w:ilvl="5" w:tplc="CDACF820">
      <w:numFmt w:val="bullet"/>
      <w:lvlText w:val="•"/>
      <w:lvlJc w:val="left"/>
      <w:pPr>
        <w:ind w:left="5463" w:hanging="286"/>
      </w:pPr>
      <w:rPr>
        <w:rFonts w:hint="default"/>
        <w:lang w:val="en-US" w:eastAsia="en-US" w:bidi="ar-SA"/>
      </w:rPr>
    </w:lvl>
    <w:lvl w:ilvl="6" w:tplc="7388CCBC">
      <w:numFmt w:val="bullet"/>
      <w:lvlText w:val="•"/>
      <w:lvlJc w:val="left"/>
      <w:pPr>
        <w:ind w:left="6307" w:hanging="286"/>
      </w:pPr>
      <w:rPr>
        <w:rFonts w:hint="default"/>
        <w:lang w:val="en-US" w:eastAsia="en-US" w:bidi="ar-SA"/>
      </w:rPr>
    </w:lvl>
    <w:lvl w:ilvl="7" w:tplc="C6B6B0A8">
      <w:numFmt w:val="bullet"/>
      <w:lvlText w:val="•"/>
      <w:lvlJc w:val="left"/>
      <w:pPr>
        <w:ind w:left="7152" w:hanging="286"/>
      </w:pPr>
      <w:rPr>
        <w:rFonts w:hint="default"/>
        <w:lang w:val="en-US" w:eastAsia="en-US" w:bidi="ar-SA"/>
      </w:rPr>
    </w:lvl>
    <w:lvl w:ilvl="8" w:tplc="939EB12C">
      <w:numFmt w:val="bullet"/>
      <w:lvlText w:val="•"/>
      <w:lvlJc w:val="left"/>
      <w:pPr>
        <w:ind w:left="7997" w:hanging="286"/>
      </w:pPr>
      <w:rPr>
        <w:rFonts w:hint="default"/>
        <w:lang w:val="en-US" w:eastAsia="en-US" w:bidi="ar-SA"/>
      </w:rPr>
    </w:lvl>
  </w:abstractNum>
  <w:abstractNum w:abstractNumId="25" w15:restartNumberingAfterBreak="0">
    <w:nsid w:val="3F7B0426"/>
    <w:multiLevelType w:val="hybridMultilevel"/>
    <w:tmpl w:val="A22E42CA"/>
    <w:lvl w:ilvl="0" w:tplc="C1FA2880">
      <w:start w:val="1"/>
      <w:numFmt w:val="decimal"/>
      <w:lvlText w:val="%1."/>
      <w:lvlJc w:val="left"/>
      <w:pPr>
        <w:ind w:left="963" w:hanging="720"/>
      </w:pPr>
      <w:rPr>
        <w:rFonts w:ascii="Arial" w:eastAsia="Arial" w:hAnsi="Arial" w:cs="Arial" w:hint="default"/>
        <w:b w:val="0"/>
        <w:bCs w:val="0"/>
        <w:i w:val="0"/>
        <w:iCs w:val="0"/>
        <w:spacing w:val="-1"/>
        <w:w w:val="99"/>
        <w:sz w:val="20"/>
        <w:szCs w:val="20"/>
        <w:lang w:val="en-US" w:eastAsia="en-US" w:bidi="ar-SA"/>
      </w:rPr>
    </w:lvl>
    <w:lvl w:ilvl="1" w:tplc="0A884FC6">
      <w:numFmt w:val="bullet"/>
      <w:lvlText w:val="•"/>
      <w:lvlJc w:val="left"/>
      <w:pPr>
        <w:ind w:left="1832" w:hanging="720"/>
      </w:pPr>
      <w:rPr>
        <w:rFonts w:hint="default"/>
        <w:lang w:val="en-US" w:eastAsia="en-US" w:bidi="ar-SA"/>
      </w:rPr>
    </w:lvl>
    <w:lvl w:ilvl="2" w:tplc="CAA490F4">
      <w:numFmt w:val="bullet"/>
      <w:lvlText w:val="•"/>
      <w:lvlJc w:val="left"/>
      <w:pPr>
        <w:ind w:left="2705" w:hanging="720"/>
      </w:pPr>
      <w:rPr>
        <w:rFonts w:hint="default"/>
        <w:lang w:val="en-US" w:eastAsia="en-US" w:bidi="ar-SA"/>
      </w:rPr>
    </w:lvl>
    <w:lvl w:ilvl="3" w:tplc="713EED7C">
      <w:numFmt w:val="bullet"/>
      <w:lvlText w:val="•"/>
      <w:lvlJc w:val="left"/>
      <w:pPr>
        <w:ind w:left="3577" w:hanging="720"/>
      </w:pPr>
      <w:rPr>
        <w:rFonts w:hint="default"/>
        <w:lang w:val="en-US" w:eastAsia="en-US" w:bidi="ar-SA"/>
      </w:rPr>
    </w:lvl>
    <w:lvl w:ilvl="4" w:tplc="760889A4">
      <w:numFmt w:val="bullet"/>
      <w:lvlText w:val="•"/>
      <w:lvlJc w:val="left"/>
      <w:pPr>
        <w:ind w:left="4450" w:hanging="720"/>
      </w:pPr>
      <w:rPr>
        <w:rFonts w:hint="default"/>
        <w:lang w:val="en-US" w:eastAsia="en-US" w:bidi="ar-SA"/>
      </w:rPr>
    </w:lvl>
    <w:lvl w:ilvl="5" w:tplc="C6985230">
      <w:numFmt w:val="bullet"/>
      <w:lvlText w:val="•"/>
      <w:lvlJc w:val="left"/>
      <w:pPr>
        <w:ind w:left="5323" w:hanging="720"/>
      </w:pPr>
      <w:rPr>
        <w:rFonts w:hint="default"/>
        <w:lang w:val="en-US" w:eastAsia="en-US" w:bidi="ar-SA"/>
      </w:rPr>
    </w:lvl>
    <w:lvl w:ilvl="6" w:tplc="7C5C31D6">
      <w:numFmt w:val="bullet"/>
      <w:lvlText w:val="•"/>
      <w:lvlJc w:val="left"/>
      <w:pPr>
        <w:ind w:left="6195" w:hanging="720"/>
      </w:pPr>
      <w:rPr>
        <w:rFonts w:hint="default"/>
        <w:lang w:val="en-US" w:eastAsia="en-US" w:bidi="ar-SA"/>
      </w:rPr>
    </w:lvl>
    <w:lvl w:ilvl="7" w:tplc="297832EA">
      <w:numFmt w:val="bullet"/>
      <w:lvlText w:val="•"/>
      <w:lvlJc w:val="left"/>
      <w:pPr>
        <w:ind w:left="7068" w:hanging="720"/>
      </w:pPr>
      <w:rPr>
        <w:rFonts w:hint="default"/>
        <w:lang w:val="en-US" w:eastAsia="en-US" w:bidi="ar-SA"/>
      </w:rPr>
    </w:lvl>
    <w:lvl w:ilvl="8" w:tplc="9594BE32">
      <w:numFmt w:val="bullet"/>
      <w:lvlText w:val="•"/>
      <w:lvlJc w:val="left"/>
      <w:pPr>
        <w:ind w:left="7941" w:hanging="720"/>
      </w:pPr>
      <w:rPr>
        <w:rFonts w:hint="default"/>
        <w:lang w:val="en-US" w:eastAsia="en-US" w:bidi="ar-SA"/>
      </w:rPr>
    </w:lvl>
  </w:abstractNum>
  <w:abstractNum w:abstractNumId="26" w15:restartNumberingAfterBreak="0">
    <w:nsid w:val="450472AF"/>
    <w:multiLevelType w:val="hybridMultilevel"/>
    <w:tmpl w:val="EB1AD322"/>
    <w:lvl w:ilvl="0" w:tplc="60DE8B88">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545488CC">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93CA380E">
      <w:numFmt w:val="bullet"/>
      <w:lvlText w:val="•"/>
      <w:lvlJc w:val="left"/>
      <w:pPr>
        <w:ind w:left="2178" w:hanging="286"/>
      </w:pPr>
      <w:rPr>
        <w:rFonts w:hint="default"/>
        <w:lang w:val="en-US" w:eastAsia="en-US" w:bidi="ar-SA"/>
      </w:rPr>
    </w:lvl>
    <w:lvl w:ilvl="3" w:tplc="D92ADF6E">
      <w:numFmt w:val="bullet"/>
      <w:lvlText w:val="•"/>
      <w:lvlJc w:val="left"/>
      <w:pPr>
        <w:ind w:left="3116" w:hanging="286"/>
      </w:pPr>
      <w:rPr>
        <w:rFonts w:hint="default"/>
        <w:lang w:val="en-US" w:eastAsia="en-US" w:bidi="ar-SA"/>
      </w:rPr>
    </w:lvl>
    <w:lvl w:ilvl="4" w:tplc="2ED40A2C">
      <w:numFmt w:val="bullet"/>
      <w:lvlText w:val="•"/>
      <w:lvlJc w:val="left"/>
      <w:pPr>
        <w:ind w:left="4055" w:hanging="286"/>
      </w:pPr>
      <w:rPr>
        <w:rFonts w:hint="default"/>
        <w:lang w:val="en-US" w:eastAsia="en-US" w:bidi="ar-SA"/>
      </w:rPr>
    </w:lvl>
    <w:lvl w:ilvl="5" w:tplc="8304B85C">
      <w:numFmt w:val="bullet"/>
      <w:lvlText w:val="•"/>
      <w:lvlJc w:val="left"/>
      <w:pPr>
        <w:ind w:left="4993" w:hanging="286"/>
      </w:pPr>
      <w:rPr>
        <w:rFonts w:hint="default"/>
        <w:lang w:val="en-US" w:eastAsia="en-US" w:bidi="ar-SA"/>
      </w:rPr>
    </w:lvl>
    <w:lvl w:ilvl="6" w:tplc="15BC2EDA">
      <w:numFmt w:val="bullet"/>
      <w:lvlText w:val="•"/>
      <w:lvlJc w:val="left"/>
      <w:pPr>
        <w:ind w:left="5932" w:hanging="286"/>
      </w:pPr>
      <w:rPr>
        <w:rFonts w:hint="default"/>
        <w:lang w:val="en-US" w:eastAsia="en-US" w:bidi="ar-SA"/>
      </w:rPr>
    </w:lvl>
    <w:lvl w:ilvl="7" w:tplc="B6B82D86">
      <w:numFmt w:val="bullet"/>
      <w:lvlText w:val="•"/>
      <w:lvlJc w:val="left"/>
      <w:pPr>
        <w:ind w:left="6870" w:hanging="286"/>
      </w:pPr>
      <w:rPr>
        <w:rFonts w:hint="default"/>
        <w:lang w:val="en-US" w:eastAsia="en-US" w:bidi="ar-SA"/>
      </w:rPr>
    </w:lvl>
    <w:lvl w:ilvl="8" w:tplc="D93ECA1C">
      <w:numFmt w:val="bullet"/>
      <w:lvlText w:val="•"/>
      <w:lvlJc w:val="left"/>
      <w:pPr>
        <w:ind w:left="7809" w:hanging="286"/>
      </w:pPr>
      <w:rPr>
        <w:rFonts w:hint="default"/>
        <w:lang w:val="en-US" w:eastAsia="en-US" w:bidi="ar-SA"/>
      </w:rPr>
    </w:lvl>
  </w:abstractNum>
  <w:abstractNum w:abstractNumId="27" w15:restartNumberingAfterBreak="0">
    <w:nsid w:val="45EB1E65"/>
    <w:multiLevelType w:val="hybridMultilevel"/>
    <w:tmpl w:val="7688AB72"/>
    <w:lvl w:ilvl="0" w:tplc="E3C49B44">
      <w:start w:val="9"/>
      <w:numFmt w:val="decimal"/>
      <w:lvlText w:val="%1."/>
      <w:lvlJc w:val="left"/>
      <w:pPr>
        <w:ind w:left="485" w:hanging="243"/>
      </w:pPr>
      <w:rPr>
        <w:rFonts w:hint="default"/>
        <w:spacing w:val="0"/>
        <w:w w:val="91"/>
        <w:lang w:val="en-US" w:eastAsia="en-US" w:bidi="ar-SA"/>
      </w:rPr>
    </w:lvl>
    <w:lvl w:ilvl="1" w:tplc="F50EAC64">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18582A46">
      <w:numFmt w:val="bullet"/>
      <w:lvlText w:val="•"/>
      <w:lvlJc w:val="left"/>
      <w:pPr>
        <w:ind w:left="2178" w:hanging="286"/>
      </w:pPr>
      <w:rPr>
        <w:rFonts w:hint="default"/>
        <w:lang w:val="en-US" w:eastAsia="en-US" w:bidi="ar-SA"/>
      </w:rPr>
    </w:lvl>
    <w:lvl w:ilvl="3" w:tplc="43C4109C">
      <w:numFmt w:val="bullet"/>
      <w:lvlText w:val="•"/>
      <w:lvlJc w:val="left"/>
      <w:pPr>
        <w:ind w:left="3116" w:hanging="286"/>
      </w:pPr>
      <w:rPr>
        <w:rFonts w:hint="default"/>
        <w:lang w:val="en-US" w:eastAsia="en-US" w:bidi="ar-SA"/>
      </w:rPr>
    </w:lvl>
    <w:lvl w:ilvl="4" w:tplc="87B0CB02">
      <w:numFmt w:val="bullet"/>
      <w:lvlText w:val="•"/>
      <w:lvlJc w:val="left"/>
      <w:pPr>
        <w:ind w:left="4055" w:hanging="286"/>
      </w:pPr>
      <w:rPr>
        <w:rFonts w:hint="default"/>
        <w:lang w:val="en-US" w:eastAsia="en-US" w:bidi="ar-SA"/>
      </w:rPr>
    </w:lvl>
    <w:lvl w:ilvl="5" w:tplc="B8C4BB32">
      <w:numFmt w:val="bullet"/>
      <w:lvlText w:val="•"/>
      <w:lvlJc w:val="left"/>
      <w:pPr>
        <w:ind w:left="4993" w:hanging="286"/>
      </w:pPr>
      <w:rPr>
        <w:rFonts w:hint="default"/>
        <w:lang w:val="en-US" w:eastAsia="en-US" w:bidi="ar-SA"/>
      </w:rPr>
    </w:lvl>
    <w:lvl w:ilvl="6" w:tplc="1AC8D0C6">
      <w:numFmt w:val="bullet"/>
      <w:lvlText w:val="•"/>
      <w:lvlJc w:val="left"/>
      <w:pPr>
        <w:ind w:left="5932" w:hanging="286"/>
      </w:pPr>
      <w:rPr>
        <w:rFonts w:hint="default"/>
        <w:lang w:val="en-US" w:eastAsia="en-US" w:bidi="ar-SA"/>
      </w:rPr>
    </w:lvl>
    <w:lvl w:ilvl="7" w:tplc="D2686A78">
      <w:numFmt w:val="bullet"/>
      <w:lvlText w:val="•"/>
      <w:lvlJc w:val="left"/>
      <w:pPr>
        <w:ind w:left="6870" w:hanging="286"/>
      </w:pPr>
      <w:rPr>
        <w:rFonts w:hint="default"/>
        <w:lang w:val="en-US" w:eastAsia="en-US" w:bidi="ar-SA"/>
      </w:rPr>
    </w:lvl>
    <w:lvl w:ilvl="8" w:tplc="E0525D24">
      <w:numFmt w:val="bullet"/>
      <w:lvlText w:val="•"/>
      <w:lvlJc w:val="left"/>
      <w:pPr>
        <w:ind w:left="7809" w:hanging="286"/>
      </w:pPr>
      <w:rPr>
        <w:rFonts w:hint="default"/>
        <w:lang w:val="en-US" w:eastAsia="en-US" w:bidi="ar-SA"/>
      </w:rPr>
    </w:lvl>
  </w:abstractNum>
  <w:abstractNum w:abstractNumId="28" w15:restartNumberingAfterBreak="0">
    <w:nsid w:val="47524F94"/>
    <w:multiLevelType w:val="hybridMultilevel"/>
    <w:tmpl w:val="6D68C4E2"/>
    <w:lvl w:ilvl="0" w:tplc="CA86183E">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4B3CA31E">
      <w:numFmt w:val="bullet"/>
      <w:lvlText w:val="•"/>
      <w:lvlJc w:val="left"/>
      <w:pPr>
        <w:ind w:left="1184" w:hanging="720"/>
      </w:pPr>
      <w:rPr>
        <w:rFonts w:hint="default"/>
        <w:lang w:val="en-US" w:eastAsia="en-US" w:bidi="ar-SA"/>
      </w:rPr>
    </w:lvl>
    <w:lvl w:ilvl="2" w:tplc="52340246">
      <w:numFmt w:val="bullet"/>
      <w:lvlText w:val="•"/>
      <w:lvlJc w:val="left"/>
      <w:pPr>
        <w:ind w:left="2129" w:hanging="720"/>
      </w:pPr>
      <w:rPr>
        <w:rFonts w:hint="default"/>
        <w:lang w:val="en-US" w:eastAsia="en-US" w:bidi="ar-SA"/>
      </w:rPr>
    </w:lvl>
    <w:lvl w:ilvl="3" w:tplc="A8DED9D4">
      <w:numFmt w:val="bullet"/>
      <w:lvlText w:val="•"/>
      <w:lvlJc w:val="left"/>
      <w:pPr>
        <w:ind w:left="3073" w:hanging="720"/>
      </w:pPr>
      <w:rPr>
        <w:rFonts w:hint="default"/>
        <w:lang w:val="en-US" w:eastAsia="en-US" w:bidi="ar-SA"/>
      </w:rPr>
    </w:lvl>
    <w:lvl w:ilvl="4" w:tplc="37426CCE">
      <w:numFmt w:val="bullet"/>
      <w:lvlText w:val="•"/>
      <w:lvlJc w:val="left"/>
      <w:pPr>
        <w:ind w:left="4018" w:hanging="720"/>
      </w:pPr>
      <w:rPr>
        <w:rFonts w:hint="default"/>
        <w:lang w:val="en-US" w:eastAsia="en-US" w:bidi="ar-SA"/>
      </w:rPr>
    </w:lvl>
    <w:lvl w:ilvl="5" w:tplc="B4A0DAB6">
      <w:numFmt w:val="bullet"/>
      <w:lvlText w:val="•"/>
      <w:lvlJc w:val="left"/>
      <w:pPr>
        <w:ind w:left="4963" w:hanging="720"/>
      </w:pPr>
      <w:rPr>
        <w:rFonts w:hint="default"/>
        <w:lang w:val="en-US" w:eastAsia="en-US" w:bidi="ar-SA"/>
      </w:rPr>
    </w:lvl>
    <w:lvl w:ilvl="6" w:tplc="30CAFE56">
      <w:numFmt w:val="bullet"/>
      <w:lvlText w:val="•"/>
      <w:lvlJc w:val="left"/>
      <w:pPr>
        <w:ind w:left="5907" w:hanging="720"/>
      </w:pPr>
      <w:rPr>
        <w:rFonts w:hint="default"/>
        <w:lang w:val="en-US" w:eastAsia="en-US" w:bidi="ar-SA"/>
      </w:rPr>
    </w:lvl>
    <w:lvl w:ilvl="7" w:tplc="E5F0E52C">
      <w:numFmt w:val="bullet"/>
      <w:lvlText w:val="•"/>
      <w:lvlJc w:val="left"/>
      <w:pPr>
        <w:ind w:left="6852" w:hanging="720"/>
      </w:pPr>
      <w:rPr>
        <w:rFonts w:hint="default"/>
        <w:lang w:val="en-US" w:eastAsia="en-US" w:bidi="ar-SA"/>
      </w:rPr>
    </w:lvl>
    <w:lvl w:ilvl="8" w:tplc="85DCBA42">
      <w:numFmt w:val="bullet"/>
      <w:lvlText w:val="•"/>
      <w:lvlJc w:val="left"/>
      <w:pPr>
        <w:ind w:left="7797" w:hanging="720"/>
      </w:pPr>
      <w:rPr>
        <w:rFonts w:hint="default"/>
        <w:lang w:val="en-US" w:eastAsia="en-US" w:bidi="ar-SA"/>
      </w:rPr>
    </w:lvl>
  </w:abstractNum>
  <w:abstractNum w:abstractNumId="29" w15:restartNumberingAfterBreak="0">
    <w:nsid w:val="4D9F1DF8"/>
    <w:multiLevelType w:val="hybridMultilevel"/>
    <w:tmpl w:val="DCA67C74"/>
    <w:lvl w:ilvl="0" w:tplc="E6D2886E">
      <w:start w:val="1"/>
      <w:numFmt w:val="upperLetter"/>
      <w:lvlText w:val="%1."/>
      <w:lvlJc w:val="left"/>
      <w:pPr>
        <w:ind w:left="526" w:hanging="284"/>
      </w:pPr>
      <w:rPr>
        <w:rFonts w:ascii="Arial" w:eastAsia="Arial" w:hAnsi="Arial" w:cs="Arial" w:hint="default"/>
        <w:b w:val="0"/>
        <w:bCs w:val="0"/>
        <w:i w:val="0"/>
        <w:iCs w:val="0"/>
        <w:spacing w:val="-1"/>
        <w:w w:val="99"/>
        <w:sz w:val="20"/>
        <w:szCs w:val="20"/>
        <w:lang w:val="en-US" w:eastAsia="en-US" w:bidi="ar-SA"/>
      </w:rPr>
    </w:lvl>
    <w:lvl w:ilvl="1" w:tplc="8AD80A1C">
      <w:start w:val="1"/>
      <w:numFmt w:val="decimal"/>
      <w:lvlText w:val="%2."/>
      <w:lvlJc w:val="left"/>
      <w:pPr>
        <w:ind w:left="1237" w:hanging="274"/>
      </w:pPr>
      <w:rPr>
        <w:rFonts w:ascii="Arial" w:eastAsia="Arial" w:hAnsi="Arial" w:cs="Arial" w:hint="default"/>
        <w:b w:val="0"/>
        <w:bCs w:val="0"/>
        <w:i w:val="0"/>
        <w:iCs w:val="0"/>
        <w:spacing w:val="-1"/>
        <w:w w:val="99"/>
        <w:sz w:val="20"/>
        <w:szCs w:val="20"/>
        <w:lang w:val="en-US" w:eastAsia="en-US" w:bidi="ar-SA"/>
      </w:rPr>
    </w:lvl>
    <w:lvl w:ilvl="2" w:tplc="1E9E0024">
      <w:start w:val="1"/>
      <w:numFmt w:val="lowerLetter"/>
      <w:lvlText w:val="%3)"/>
      <w:lvlJc w:val="left"/>
      <w:pPr>
        <w:ind w:left="1803" w:hanging="284"/>
      </w:pPr>
      <w:rPr>
        <w:rFonts w:ascii="Arial" w:eastAsia="Arial" w:hAnsi="Arial" w:cs="Arial" w:hint="default"/>
        <w:b w:val="0"/>
        <w:bCs w:val="0"/>
        <w:i w:val="0"/>
        <w:iCs w:val="0"/>
        <w:spacing w:val="-1"/>
        <w:w w:val="99"/>
        <w:sz w:val="20"/>
        <w:szCs w:val="20"/>
        <w:lang w:val="en-US" w:eastAsia="en-US" w:bidi="ar-SA"/>
      </w:rPr>
    </w:lvl>
    <w:lvl w:ilvl="3" w:tplc="CC6A95F6">
      <w:numFmt w:val="bullet"/>
      <w:lvlText w:val="•"/>
      <w:lvlJc w:val="left"/>
      <w:pPr>
        <w:ind w:left="2785" w:hanging="284"/>
      </w:pPr>
      <w:rPr>
        <w:rFonts w:hint="default"/>
        <w:lang w:val="en-US" w:eastAsia="en-US" w:bidi="ar-SA"/>
      </w:rPr>
    </w:lvl>
    <w:lvl w:ilvl="4" w:tplc="6A327F84">
      <w:numFmt w:val="bullet"/>
      <w:lvlText w:val="•"/>
      <w:lvlJc w:val="left"/>
      <w:pPr>
        <w:ind w:left="3771" w:hanging="284"/>
      </w:pPr>
      <w:rPr>
        <w:rFonts w:hint="default"/>
        <w:lang w:val="en-US" w:eastAsia="en-US" w:bidi="ar-SA"/>
      </w:rPr>
    </w:lvl>
    <w:lvl w:ilvl="5" w:tplc="5E10E326">
      <w:numFmt w:val="bullet"/>
      <w:lvlText w:val="•"/>
      <w:lvlJc w:val="left"/>
      <w:pPr>
        <w:ind w:left="4757" w:hanging="284"/>
      </w:pPr>
      <w:rPr>
        <w:rFonts w:hint="default"/>
        <w:lang w:val="en-US" w:eastAsia="en-US" w:bidi="ar-SA"/>
      </w:rPr>
    </w:lvl>
    <w:lvl w:ilvl="6" w:tplc="EA5AFEF6">
      <w:numFmt w:val="bullet"/>
      <w:lvlText w:val="•"/>
      <w:lvlJc w:val="left"/>
      <w:pPr>
        <w:ind w:left="5743" w:hanging="284"/>
      </w:pPr>
      <w:rPr>
        <w:rFonts w:hint="default"/>
        <w:lang w:val="en-US" w:eastAsia="en-US" w:bidi="ar-SA"/>
      </w:rPr>
    </w:lvl>
    <w:lvl w:ilvl="7" w:tplc="D8607B34">
      <w:numFmt w:val="bullet"/>
      <w:lvlText w:val="•"/>
      <w:lvlJc w:val="left"/>
      <w:pPr>
        <w:ind w:left="6729" w:hanging="284"/>
      </w:pPr>
      <w:rPr>
        <w:rFonts w:hint="default"/>
        <w:lang w:val="en-US" w:eastAsia="en-US" w:bidi="ar-SA"/>
      </w:rPr>
    </w:lvl>
    <w:lvl w:ilvl="8" w:tplc="08A4EC06">
      <w:numFmt w:val="bullet"/>
      <w:lvlText w:val="•"/>
      <w:lvlJc w:val="left"/>
      <w:pPr>
        <w:ind w:left="7714" w:hanging="284"/>
      </w:pPr>
      <w:rPr>
        <w:rFonts w:hint="default"/>
        <w:lang w:val="en-US" w:eastAsia="en-US" w:bidi="ar-SA"/>
      </w:rPr>
    </w:lvl>
  </w:abstractNum>
  <w:abstractNum w:abstractNumId="30" w15:restartNumberingAfterBreak="0">
    <w:nsid w:val="4F721A77"/>
    <w:multiLevelType w:val="hybridMultilevel"/>
    <w:tmpl w:val="0E5EA0A8"/>
    <w:lvl w:ilvl="0" w:tplc="BB380DD2">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8B082EB2">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C194CEA8">
      <w:start w:val="1"/>
      <w:numFmt w:val="decimal"/>
      <w:lvlText w:val="%3."/>
      <w:lvlJc w:val="left"/>
      <w:pPr>
        <w:ind w:left="1803" w:hanging="284"/>
      </w:pPr>
      <w:rPr>
        <w:rFonts w:ascii="Arial" w:eastAsia="Arial" w:hAnsi="Arial" w:cs="Arial" w:hint="default"/>
        <w:b w:val="0"/>
        <w:bCs w:val="0"/>
        <w:i w:val="0"/>
        <w:iCs w:val="0"/>
        <w:spacing w:val="-1"/>
        <w:w w:val="99"/>
        <w:sz w:val="20"/>
        <w:szCs w:val="20"/>
        <w:lang w:val="en-US" w:eastAsia="en-US" w:bidi="ar-SA"/>
      </w:rPr>
    </w:lvl>
    <w:lvl w:ilvl="3" w:tplc="AD3A17B2">
      <w:numFmt w:val="bullet"/>
      <w:lvlText w:val="•"/>
      <w:lvlJc w:val="left"/>
      <w:pPr>
        <w:ind w:left="2785" w:hanging="284"/>
      </w:pPr>
      <w:rPr>
        <w:rFonts w:hint="default"/>
        <w:lang w:val="en-US" w:eastAsia="en-US" w:bidi="ar-SA"/>
      </w:rPr>
    </w:lvl>
    <w:lvl w:ilvl="4" w:tplc="58E2701A">
      <w:numFmt w:val="bullet"/>
      <w:lvlText w:val="•"/>
      <w:lvlJc w:val="left"/>
      <w:pPr>
        <w:ind w:left="3771" w:hanging="284"/>
      </w:pPr>
      <w:rPr>
        <w:rFonts w:hint="default"/>
        <w:lang w:val="en-US" w:eastAsia="en-US" w:bidi="ar-SA"/>
      </w:rPr>
    </w:lvl>
    <w:lvl w:ilvl="5" w:tplc="2684FD18">
      <w:numFmt w:val="bullet"/>
      <w:lvlText w:val="•"/>
      <w:lvlJc w:val="left"/>
      <w:pPr>
        <w:ind w:left="4757" w:hanging="284"/>
      </w:pPr>
      <w:rPr>
        <w:rFonts w:hint="default"/>
        <w:lang w:val="en-US" w:eastAsia="en-US" w:bidi="ar-SA"/>
      </w:rPr>
    </w:lvl>
    <w:lvl w:ilvl="6" w:tplc="2C704AB6">
      <w:numFmt w:val="bullet"/>
      <w:lvlText w:val="•"/>
      <w:lvlJc w:val="left"/>
      <w:pPr>
        <w:ind w:left="5743" w:hanging="284"/>
      </w:pPr>
      <w:rPr>
        <w:rFonts w:hint="default"/>
        <w:lang w:val="en-US" w:eastAsia="en-US" w:bidi="ar-SA"/>
      </w:rPr>
    </w:lvl>
    <w:lvl w:ilvl="7" w:tplc="B524CD5C">
      <w:numFmt w:val="bullet"/>
      <w:lvlText w:val="•"/>
      <w:lvlJc w:val="left"/>
      <w:pPr>
        <w:ind w:left="6729" w:hanging="284"/>
      </w:pPr>
      <w:rPr>
        <w:rFonts w:hint="default"/>
        <w:lang w:val="en-US" w:eastAsia="en-US" w:bidi="ar-SA"/>
      </w:rPr>
    </w:lvl>
    <w:lvl w:ilvl="8" w:tplc="C69CC6E8">
      <w:numFmt w:val="bullet"/>
      <w:lvlText w:val="•"/>
      <w:lvlJc w:val="left"/>
      <w:pPr>
        <w:ind w:left="7714" w:hanging="284"/>
      </w:pPr>
      <w:rPr>
        <w:rFonts w:hint="default"/>
        <w:lang w:val="en-US" w:eastAsia="en-US" w:bidi="ar-SA"/>
      </w:rPr>
    </w:lvl>
  </w:abstractNum>
  <w:abstractNum w:abstractNumId="31" w15:restartNumberingAfterBreak="0">
    <w:nsid w:val="527A5B9E"/>
    <w:multiLevelType w:val="hybridMultilevel"/>
    <w:tmpl w:val="2BBC3AA2"/>
    <w:lvl w:ilvl="0" w:tplc="A3C092FE">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AE64AD6E">
      <w:numFmt w:val="bullet"/>
      <w:lvlText w:val="•"/>
      <w:lvlJc w:val="left"/>
      <w:pPr>
        <w:ind w:left="1184" w:hanging="720"/>
      </w:pPr>
      <w:rPr>
        <w:rFonts w:hint="default"/>
        <w:lang w:val="en-US" w:eastAsia="en-US" w:bidi="ar-SA"/>
      </w:rPr>
    </w:lvl>
    <w:lvl w:ilvl="2" w:tplc="029678AA">
      <w:numFmt w:val="bullet"/>
      <w:lvlText w:val="•"/>
      <w:lvlJc w:val="left"/>
      <w:pPr>
        <w:ind w:left="2129" w:hanging="720"/>
      </w:pPr>
      <w:rPr>
        <w:rFonts w:hint="default"/>
        <w:lang w:val="en-US" w:eastAsia="en-US" w:bidi="ar-SA"/>
      </w:rPr>
    </w:lvl>
    <w:lvl w:ilvl="3" w:tplc="A1886736">
      <w:numFmt w:val="bullet"/>
      <w:lvlText w:val="•"/>
      <w:lvlJc w:val="left"/>
      <w:pPr>
        <w:ind w:left="3073" w:hanging="720"/>
      </w:pPr>
      <w:rPr>
        <w:rFonts w:hint="default"/>
        <w:lang w:val="en-US" w:eastAsia="en-US" w:bidi="ar-SA"/>
      </w:rPr>
    </w:lvl>
    <w:lvl w:ilvl="4" w:tplc="DB14171A">
      <w:numFmt w:val="bullet"/>
      <w:lvlText w:val="•"/>
      <w:lvlJc w:val="left"/>
      <w:pPr>
        <w:ind w:left="4018" w:hanging="720"/>
      </w:pPr>
      <w:rPr>
        <w:rFonts w:hint="default"/>
        <w:lang w:val="en-US" w:eastAsia="en-US" w:bidi="ar-SA"/>
      </w:rPr>
    </w:lvl>
    <w:lvl w:ilvl="5" w:tplc="A29A5A3C">
      <w:numFmt w:val="bullet"/>
      <w:lvlText w:val="•"/>
      <w:lvlJc w:val="left"/>
      <w:pPr>
        <w:ind w:left="4963" w:hanging="720"/>
      </w:pPr>
      <w:rPr>
        <w:rFonts w:hint="default"/>
        <w:lang w:val="en-US" w:eastAsia="en-US" w:bidi="ar-SA"/>
      </w:rPr>
    </w:lvl>
    <w:lvl w:ilvl="6" w:tplc="33187C00">
      <w:numFmt w:val="bullet"/>
      <w:lvlText w:val="•"/>
      <w:lvlJc w:val="left"/>
      <w:pPr>
        <w:ind w:left="5907" w:hanging="720"/>
      </w:pPr>
      <w:rPr>
        <w:rFonts w:hint="default"/>
        <w:lang w:val="en-US" w:eastAsia="en-US" w:bidi="ar-SA"/>
      </w:rPr>
    </w:lvl>
    <w:lvl w:ilvl="7" w:tplc="B0E4A1F8">
      <w:numFmt w:val="bullet"/>
      <w:lvlText w:val="•"/>
      <w:lvlJc w:val="left"/>
      <w:pPr>
        <w:ind w:left="6852" w:hanging="720"/>
      </w:pPr>
      <w:rPr>
        <w:rFonts w:hint="default"/>
        <w:lang w:val="en-US" w:eastAsia="en-US" w:bidi="ar-SA"/>
      </w:rPr>
    </w:lvl>
    <w:lvl w:ilvl="8" w:tplc="4C723324">
      <w:numFmt w:val="bullet"/>
      <w:lvlText w:val="•"/>
      <w:lvlJc w:val="left"/>
      <w:pPr>
        <w:ind w:left="7797" w:hanging="720"/>
      </w:pPr>
      <w:rPr>
        <w:rFonts w:hint="default"/>
        <w:lang w:val="en-US" w:eastAsia="en-US" w:bidi="ar-SA"/>
      </w:rPr>
    </w:lvl>
  </w:abstractNum>
  <w:abstractNum w:abstractNumId="32" w15:restartNumberingAfterBreak="0">
    <w:nsid w:val="55A31308"/>
    <w:multiLevelType w:val="hybridMultilevel"/>
    <w:tmpl w:val="B7386E32"/>
    <w:lvl w:ilvl="0" w:tplc="DB90D202">
      <w:start w:val="1"/>
      <w:numFmt w:val="decimal"/>
      <w:lvlText w:val="%1."/>
      <w:lvlJc w:val="left"/>
      <w:pPr>
        <w:ind w:left="243" w:hanging="236"/>
      </w:pPr>
      <w:rPr>
        <w:rFonts w:ascii="Arial" w:eastAsia="Arial" w:hAnsi="Arial" w:cs="Arial" w:hint="default"/>
        <w:b w:val="0"/>
        <w:bCs w:val="0"/>
        <w:i w:val="0"/>
        <w:iCs w:val="0"/>
        <w:spacing w:val="0"/>
        <w:w w:val="99"/>
        <w:sz w:val="20"/>
        <w:szCs w:val="20"/>
        <w:lang w:val="en-US" w:eastAsia="en-US" w:bidi="ar-SA"/>
      </w:rPr>
    </w:lvl>
    <w:lvl w:ilvl="1" w:tplc="35E4E7D4">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7474E6E0">
      <w:numFmt w:val="bullet"/>
      <w:lvlText w:val="•"/>
      <w:lvlJc w:val="left"/>
      <w:pPr>
        <w:ind w:left="2178" w:hanging="286"/>
      </w:pPr>
      <w:rPr>
        <w:rFonts w:hint="default"/>
        <w:lang w:val="en-US" w:eastAsia="en-US" w:bidi="ar-SA"/>
      </w:rPr>
    </w:lvl>
    <w:lvl w:ilvl="3" w:tplc="C8308498">
      <w:numFmt w:val="bullet"/>
      <w:lvlText w:val="•"/>
      <w:lvlJc w:val="left"/>
      <w:pPr>
        <w:ind w:left="3116" w:hanging="286"/>
      </w:pPr>
      <w:rPr>
        <w:rFonts w:hint="default"/>
        <w:lang w:val="en-US" w:eastAsia="en-US" w:bidi="ar-SA"/>
      </w:rPr>
    </w:lvl>
    <w:lvl w:ilvl="4" w:tplc="430CB47A">
      <w:numFmt w:val="bullet"/>
      <w:lvlText w:val="•"/>
      <w:lvlJc w:val="left"/>
      <w:pPr>
        <w:ind w:left="4055" w:hanging="286"/>
      </w:pPr>
      <w:rPr>
        <w:rFonts w:hint="default"/>
        <w:lang w:val="en-US" w:eastAsia="en-US" w:bidi="ar-SA"/>
      </w:rPr>
    </w:lvl>
    <w:lvl w:ilvl="5" w:tplc="599645C8">
      <w:numFmt w:val="bullet"/>
      <w:lvlText w:val="•"/>
      <w:lvlJc w:val="left"/>
      <w:pPr>
        <w:ind w:left="4993" w:hanging="286"/>
      </w:pPr>
      <w:rPr>
        <w:rFonts w:hint="default"/>
        <w:lang w:val="en-US" w:eastAsia="en-US" w:bidi="ar-SA"/>
      </w:rPr>
    </w:lvl>
    <w:lvl w:ilvl="6" w:tplc="87AAF1EA">
      <w:numFmt w:val="bullet"/>
      <w:lvlText w:val="•"/>
      <w:lvlJc w:val="left"/>
      <w:pPr>
        <w:ind w:left="5932" w:hanging="286"/>
      </w:pPr>
      <w:rPr>
        <w:rFonts w:hint="default"/>
        <w:lang w:val="en-US" w:eastAsia="en-US" w:bidi="ar-SA"/>
      </w:rPr>
    </w:lvl>
    <w:lvl w:ilvl="7" w:tplc="4276F552">
      <w:numFmt w:val="bullet"/>
      <w:lvlText w:val="•"/>
      <w:lvlJc w:val="left"/>
      <w:pPr>
        <w:ind w:left="6870" w:hanging="286"/>
      </w:pPr>
      <w:rPr>
        <w:rFonts w:hint="default"/>
        <w:lang w:val="en-US" w:eastAsia="en-US" w:bidi="ar-SA"/>
      </w:rPr>
    </w:lvl>
    <w:lvl w:ilvl="8" w:tplc="E4B466D4">
      <w:numFmt w:val="bullet"/>
      <w:lvlText w:val="•"/>
      <w:lvlJc w:val="left"/>
      <w:pPr>
        <w:ind w:left="7809" w:hanging="286"/>
      </w:pPr>
      <w:rPr>
        <w:rFonts w:hint="default"/>
        <w:lang w:val="en-US" w:eastAsia="en-US" w:bidi="ar-SA"/>
      </w:rPr>
    </w:lvl>
  </w:abstractNum>
  <w:abstractNum w:abstractNumId="33" w15:restartNumberingAfterBreak="0">
    <w:nsid w:val="5906763E"/>
    <w:multiLevelType w:val="hybridMultilevel"/>
    <w:tmpl w:val="043A7948"/>
    <w:lvl w:ilvl="0" w:tplc="420894DC">
      <w:start w:val="2"/>
      <w:numFmt w:val="lowerLetter"/>
      <w:lvlText w:val="%1)"/>
      <w:lvlJc w:val="left"/>
      <w:pPr>
        <w:ind w:left="243" w:hanging="248"/>
      </w:pPr>
      <w:rPr>
        <w:rFonts w:ascii="Arial" w:eastAsia="Arial" w:hAnsi="Arial" w:cs="Arial" w:hint="default"/>
        <w:b w:val="0"/>
        <w:bCs w:val="0"/>
        <w:i w:val="0"/>
        <w:iCs w:val="0"/>
        <w:spacing w:val="0"/>
        <w:w w:val="99"/>
        <w:sz w:val="20"/>
        <w:szCs w:val="20"/>
        <w:lang w:val="en-US" w:eastAsia="en-US" w:bidi="ar-SA"/>
      </w:rPr>
    </w:lvl>
    <w:lvl w:ilvl="1" w:tplc="2014DF02">
      <w:start w:val="1"/>
      <w:numFmt w:val="upperLetter"/>
      <w:lvlText w:val="%2."/>
      <w:lvlJc w:val="left"/>
      <w:pPr>
        <w:ind w:left="526" w:hanging="283"/>
        <w:jc w:val="right"/>
      </w:pPr>
      <w:rPr>
        <w:rFonts w:hint="default"/>
        <w:spacing w:val="-2"/>
        <w:w w:val="90"/>
        <w:lang w:val="en-US" w:eastAsia="en-US" w:bidi="ar-SA"/>
      </w:rPr>
    </w:lvl>
    <w:lvl w:ilvl="2" w:tplc="CB24AAC2">
      <w:start w:val="1"/>
      <w:numFmt w:val="decimal"/>
      <w:lvlText w:val="%3."/>
      <w:lvlJc w:val="left"/>
      <w:pPr>
        <w:ind w:left="963" w:hanging="221"/>
        <w:jc w:val="right"/>
      </w:pPr>
      <w:rPr>
        <w:rFonts w:hint="default"/>
        <w:spacing w:val="0"/>
        <w:w w:val="87"/>
        <w:u w:val="single" w:color="000000"/>
        <w:lang w:val="en-US" w:eastAsia="en-US" w:bidi="ar-SA"/>
      </w:rPr>
    </w:lvl>
    <w:lvl w:ilvl="3" w:tplc="45A66A04">
      <w:numFmt w:val="bullet"/>
      <w:lvlText w:val="•"/>
      <w:lvlJc w:val="left"/>
      <w:pPr>
        <w:ind w:left="2050" w:hanging="221"/>
      </w:pPr>
      <w:rPr>
        <w:rFonts w:hint="default"/>
        <w:lang w:val="en-US" w:eastAsia="en-US" w:bidi="ar-SA"/>
      </w:rPr>
    </w:lvl>
    <w:lvl w:ilvl="4" w:tplc="9D683A2E">
      <w:numFmt w:val="bullet"/>
      <w:lvlText w:val="•"/>
      <w:lvlJc w:val="left"/>
      <w:pPr>
        <w:ind w:left="3141" w:hanging="221"/>
      </w:pPr>
      <w:rPr>
        <w:rFonts w:hint="default"/>
        <w:lang w:val="en-US" w:eastAsia="en-US" w:bidi="ar-SA"/>
      </w:rPr>
    </w:lvl>
    <w:lvl w:ilvl="5" w:tplc="54C0A312">
      <w:numFmt w:val="bullet"/>
      <w:lvlText w:val="•"/>
      <w:lvlJc w:val="left"/>
      <w:pPr>
        <w:ind w:left="4232" w:hanging="221"/>
      </w:pPr>
      <w:rPr>
        <w:rFonts w:hint="default"/>
        <w:lang w:val="en-US" w:eastAsia="en-US" w:bidi="ar-SA"/>
      </w:rPr>
    </w:lvl>
    <w:lvl w:ilvl="6" w:tplc="7870C328">
      <w:numFmt w:val="bullet"/>
      <w:lvlText w:val="•"/>
      <w:lvlJc w:val="left"/>
      <w:pPr>
        <w:ind w:left="5323" w:hanging="221"/>
      </w:pPr>
      <w:rPr>
        <w:rFonts w:hint="default"/>
        <w:lang w:val="en-US" w:eastAsia="en-US" w:bidi="ar-SA"/>
      </w:rPr>
    </w:lvl>
    <w:lvl w:ilvl="7" w:tplc="716E03C2">
      <w:numFmt w:val="bullet"/>
      <w:lvlText w:val="•"/>
      <w:lvlJc w:val="left"/>
      <w:pPr>
        <w:ind w:left="6414" w:hanging="221"/>
      </w:pPr>
      <w:rPr>
        <w:rFonts w:hint="default"/>
        <w:lang w:val="en-US" w:eastAsia="en-US" w:bidi="ar-SA"/>
      </w:rPr>
    </w:lvl>
    <w:lvl w:ilvl="8" w:tplc="83E6ADAC">
      <w:numFmt w:val="bullet"/>
      <w:lvlText w:val="•"/>
      <w:lvlJc w:val="left"/>
      <w:pPr>
        <w:ind w:left="7504" w:hanging="221"/>
      </w:pPr>
      <w:rPr>
        <w:rFonts w:hint="default"/>
        <w:lang w:val="en-US" w:eastAsia="en-US" w:bidi="ar-SA"/>
      </w:rPr>
    </w:lvl>
  </w:abstractNum>
  <w:abstractNum w:abstractNumId="34" w15:restartNumberingAfterBreak="0">
    <w:nsid w:val="5B0C30D1"/>
    <w:multiLevelType w:val="hybridMultilevel"/>
    <w:tmpl w:val="1378405E"/>
    <w:lvl w:ilvl="0" w:tplc="D09A37B6">
      <w:start w:val="1"/>
      <w:numFmt w:val="upperRoman"/>
      <w:lvlText w:val="%1."/>
      <w:lvlJc w:val="left"/>
      <w:pPr>
        <w:ind w:left="1237" w:hanging="394"/>
      </w:pPr>
      <w:rPr>
        <w:rFonts w:ascii="Arial" w:eastAsia="Arial" w:hAnsi="Arial" w:cs="Arial" w:hint="default"/>
        <w:b w:val="0"/>
        <w:bCs w:val="0"/>
        <w:i w:val="0"/>
        <w:iCs w:val="0"/>
        <w:spacing w:val="-1"/>
        <w:w w:val="99"/>
        <w:sz w:val="20"/>
        <w:szCs w:val="20"/>
        <w:lang w:val="en-US" w:eastAsia="en-US" w:bidi="ar-SA"/>
      </w:rPr>
    </w:lvl>
    <w:lvl w:ilvl="1" w:tplc="CF44F3E2">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E1029644">
      <w:numFmt w:val="bullet"/>
      <w:lvlText w:val="•"/>
      <w:lvlJc w:val="left"/>
      <w:pPr>
        <w:ind w:left="2929" w:hanging="286"/>
      </w:pPr>
      <w:rPr>
        <w:rFonts w:hint="default"/>
        <w:lang w:val="en-US" w:eastAsia="en-US" w:bidi="ar-SA"/>
      </w:rPr>
    </w:lvl>
    <w:lvl w:ilvl="3" w:tplc="51DCD460">
      <w:numFmt w:val="bullet"/>
      <w:lvlText w:val="•"/>
      <w:lvlJc w:val="left"/>
      <w:pPr>
        <w:ind w:left="3773" w:hanging="286"/>
      </w:pPr>
      <w:rPr>
        <w:rFonts w:hint="default"/>
        <w:lang w:val="en-US" w:eastAsia="en-US" w:bidi="ar-SA"/>
      </w:rPr>
    </w:lvl>
    <w:lvl w:ilvl="4" w:tplc="1BDE64BC">
      <w:numFmt w:val="bullet"/>
      <w:lvlText w:val="•"/>
      <w:lvlJc w:val="left"/>
      <w:pPr>
        <w:ind w:left="4618" w:hanging="286"/>
      </w:pPr>
      <w:rPr>
        <w:rFonts w:hint="default"/>
        <w:lang w:val="en-US" w:eastAsia="en-US" w:bidi="ar-SA"/>
      </w:rPr>
    </w:lvl>
    <w:lvl w:ilvl="5" w:tplc="E77AF330">
      <w:numFmt w:val="bullet"/>
      <w:lvlText w:val="•"/>
      <w:lvlJc w:val="left"/>
      <w:pPr>
        <w:ind w:left="5463" w:hanging="286"/>
      </w:pPr>
      <w:rPr>
        <w:rFonts w:hint="default"/>
        <w:lang w:val="en-US" w:eastAsia="en-US" w:bidi="ar-SA"/>
      </w:rPr>
    </w:lvl>
    <w:lvl w:ilvl="6" w:tplc="397A7958">
      <w:numFmt w:val="bullet"/>
      <w:lvlText w:val="•"/>
      <w:lvlJc w:val="left"/>
      <w:pPr>
        <w:ind w:left="6307" w:hanging="286"/>
      </w:pPr>
      <w:rPr>
        <w:rFonts w:hint="default"/>
        <w:lang w:val="en-US" w:eastAsia="en-US" w:bidi="ar-SA"/>
      </w:rPr>
    </w:lvl>
    <w:lvl w:ilvl="7" w:tplc="C97E8DB2">
      <w:numFmt w:val="bullet"/>
      <w:lvlText w:val="•"/>
      <w:lvlJc w:val="left"/>
      <w:pPr>
        <w:ind w:left="7152" w:hanging="286"/>
      </w:pPr>
      <w:rPr>
        <w:rFonts w:hint="default"/>
        <w:lang w:val="en-US" w:eastAsia="en-US" w:bidi="ar-SA"/>
      </w:rPr>
    </w:lvl>
    <w:lvl w:ilvl="8" w:tplc="8D765432">
      <w:numFmt w:val="bullet"/>
      <w:lvlText w:val="•"/>
      <w:lvlJc w:val="left"/>
      <w:pPr>
        <w:ind w:left="7997" w:hanging="286"/>
      </w:pPr>
      <w:rPr>
        <w:rFonts w:hint="default"/>
        <w:lang w:val="en-US" w:eastAsia="en-US" w:bidi="ar-SA"/>
      </w:rPr>
    </w:lvl>
  </w:abstractNum>
  <w:abstractNum w:abstractNumId="35" w15:restartNumberingAfterBreak="0">
    <w:nsid w:val="5E8C71B2"/>
    <w:multiLevelType w:val="hybridMultilevel"/>
    <w:tmpl w:val="20A47924"/>
    <w:lvl w:ilvl="0" w:tplc="FDBA6A5C">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C74098DA">
      <w:numFmt w:val="bullet"/>
      <w:lvlText w:val="•"/>
      <w:lvlJc w:val="left"/>
      <w:pPr>
        <w:ind w:left="1184" w:hanging="720"/>
      </w:pPr>
      <w:rPr>
        <w:rFonts w:hint="default"/>
        <w:lang w:val="en-US" w:eastAsia="en-US" w:bidi="ar-SA"/>
      </w:rPr>
    </w:lvl>
    <w:lvl w:ilvl="2" w:tplc="899A4BB0">
      <w:numFmt w:val="bullet"/>
      <w:lvlText w:val="•"/>
      <w:lvlJc w:val="left"/>
      <w:pPr>
        <w:ind w:left="2129" w:hanging="720"/>
      </w:pPr>
      <w:rPr>
        <w:rFonts w:hint="default"/>
        <w:lang w:val="en-US" w:eastAsia="en-US" w:bidi="ar-SA"/>
      </w:rPr>
    </w:lvl>
    <w:lvl w:ilvl="3" w:tplc="26D28D74">
      <w:numFmt w:val="bullet"/>
      <w:lvlText w:val="•"/>
      <w:lvlJc w:val="left"/>
      <w:pPr>
        <w:ind w:left="3073" w:hanging="720"/>
      </w:pPr>
      <w:rPr>
        <w:rFonts w:hint="default"/>
        <w:lang w:val="en-US" w:eastAsia="en-US" w:bidi="ar-SA"/>
      </w:rPr>
    </w:lvl>
    <w:lvl w:ilvl="4" w:tplc="31E8D9C2">
      <w:numFmt w:val="bullet"/>
      <w:lvlText w:val="•"/>
      <w:lvlJc w:val="left"/>
      <w:pPr>
        <w:ind w:left="4018" w:hanging="720"/>
      </w:pPr>
      <w:rPr>
        <w:rFonts w:hint="default"/>
        <w:lang w:val="en-US" w:eastAsia="en-US" w:bidi="ar-SA"/>
      </w:rPr>
    </w:lvl>
    <w:lvl w:ilvl="5" w:tplc="672EAF52">
      <w:numFmt w:val="bullet"/>
      <w:lvlText w:val="•"/>
      <w:lvlJc w:val="left"/>
      <w:pPr>
        <w:ind w:left="4963" w:hanging="720"/>
      </w:pPr>
      <w:rPr>
        <w:rFonts w:hint="default"/>
        <w:lang w:val="en-US" w:eastAsia="en-US" w:bidi="ar-SA"/>
      </w:rPr>
    </w:lvl>
    <w:lvl w:ilvl="6" w:tplc="78BAEF8E">
      <w:numFmt w:val="bullet"/>
      <w:lvlText w:val="•"/>
      <w:lvlJc w:val="left"/>
      <w:pPr>
        <w:ind w:left="5907" w:hanging="720"/>
      </w:pPr>
      <w:rPr>
        <w:rFonts w:hint="default"/>
        <w:lang w:val="en-US" w:eastAsia="en-US" w:bidi="ar-SA"/>
      </w:rPr>
    </w:lvl>
    <w:lvl w:ilvl="7" w:tplc="A96E5448">
      <w:numFmt w:val="bullet"/>
      <w:lvlText w:val="•"/>
      <w:lvlJc w:val="left"/>
      <w:pPr>
        <w:ind w:left="6852" w:hanging="720"/>
      </w:pPr>
      <w:rPr>
        <w:rFonts w:hint="default"/>
        <w:lang w:val="en-US" w:eastAsia="en-US" w:bidi="ar-SA"/>
      </w:rPr>
    </w:lvl>
    <w:lvl w:ilvl="8" w:tplc="C0202A94">
      <w:numFmt w:val="bullet"/>
      <w:lvlText w:val="•"/>
      <w:lvlJc w:val="left"/>
      <w:pPr>
        <w:ind w:left="7797" w:hanging="720"/>
      </w:pPr>
      <w:rPr>
        <w:rFonts w:hint="default"/>
        <w:lang w:val="en-US" w:eastAsia="en-US" w:bidi="ar-SA"/>
      </w:rPr>
    </w:lvl>
  </w:abstractNum>
  <w:abstractNum w:abstractNumId="36" w15:restartNumberingAfterBreak="0">
    <w:nsid w:val="61D20198"/>
    <w:multiLevelType w:val="hybridMultilevel"/>
    <w:tmpl w:val="B10EFE1C"/>
    <w:lvl w:ilvl="0" w:tplc="0486F5CA">
      <w:start w:val="1"/>
      <w:numFmt w:val="lowerLetter"/>
      <w:lvlText w:val="%1)"/>
      <w:lvlJc w:val="left"/>
      <w:pPr>
        <w:ind w:left="1263" w:hanging="341"/>
      </w:pPr>
      <w:rPr>
        <w:rFonts w:ascii="Arial" w:eastAsia="Arial" w:hAnsi="Arial" w:cs="Arial" w:hint="default"/>
        <w:b w:val="0"/>
        <w:bCs w:val="0"/>
        <w:i w:val="0"/>
        <w:iCs w:val="0"/>
        <w:spacing w:val="-1"/>
        <w:w w:val="99"/>
        <w:sz w:val="20"/>
        <w:szCs w:val="20"/>
        <w:lang w:val="en-US" w:eastAsia="en-US" w:bidi="ar-SA"/>
      </w:rPr>
    </w:lvl>
    <w:lvl w:ilvl="1" w:tplc="CA2A6096">
      <w:numFmt w:val="bullet"/>
      <w:lvlText w:val="•"/>
      <w:lvlJc w:val="left"/>
      <w:pPr>
        <w:ind w:left="2102" w:hanging="341"/>
      </w:pPr>
      <w:rPr>
        <w:rFonts w:hint="default"/>
        <w:lang w:val="en-US" w:eastAsia="en-US" w:bidi="ar-SA"/>
      </w:rPr>
    </w:lvl>
    <w:lvl w:ilvl="2" w:tplc="B24E0D24">
      <w:numFmt w:val="bullet"/>
      <w:lvlText w:val="•"/>
      <w:lvlJc w:val="left"/>
      <w:pPr>
        <w:ind w:left="2945" w:hanging="341"/>
      </w:pPr>
      <w:rPr>
        <w:rFonts w:hint="default"/>
        <w:lang w:val="en-US" w:eastAsia="en-US" w:bidi="ar-SA"/>
      </w:rPr>
    </w:lvl>
    <w:lvl w:ilvl="3" w:tplc="7B84F160">
      <w:numFmt w:val="bullet"/>
      <w:lvlText w:val="•"/>
      <w:lvlJc w:val="left"/>
      <w:pPr>
        <w:ind w:left="3787" w:hanging="341"/>
      </w:pPr>
      <w:rPr>
        <w:rFonts w:hint="default"/>
        <w:lang w:val="en-US" w:eastAsia="en-US" w:bidi="ar-SA"/>
      </w:rPr>
    </w:lvl>
    <w:lvl w:ilvl="4" w:tplc="B12C6052">
      <w:numFmt w:val="bullet"/>
      <w:lvlText w:val="•"/>
      <w:lvlJc w:val="left"/>
      <w:pPr>
        <w:ind w:left="4630" w:hanging="341"/>
      </w:pPr>
      <w:rPr>
        <w:rFonts w:hint="default"/>
        <w:lang w:val="en-US" w:eastAsia="en-US" w:bidi="ar-SA"/>
      </w:rPr>
    </w:lvl>
    <w:lvl w:ilvl="5" w:tplc="A2C4D5F0">
      <w:numFmt w:val="bullet"/>
      <w:lvlText w:val="•"/>
      <w:lvlJc w:val="left"/>
      <w:pPr>
        <w:ind w:left="5473" w:hanging="341"/>
      </w:pPr>
      <w:rPr>
        <w:rFonts w:hint="default"/>
        <w:lang w:val="en-US" w:eastAsia="en-US" w:bidi="ar-SA"/>
      </w:rPr>
    </w:lvl>
    <w:lvl w:ilvl="6" w:tplc="FA622D22">
      <w:numFmt w:val="bullet"/>
      <w:lvlText w:val="•"/>
      <w:lvlJc w:val="left"/>
      <w:pPr>
        <w:ind w:left="6315" w:hanging="341"/>
      </w:pPr>
      <w:rPr>
        <w:rFonts w:hint="default"/>
        <w:lang w:val="en-US" w:eastAsia="en-US" w:bidi="ar-SA"/>
      </w:rPr>
    </w:lvl>
    <w:lvl w:ilvl="7" w:tplc="CBE461BC">
      <w:numFmt w:val="bullet"/>
      <w:lvlText w:val="•"/>
      <w:lvlJc w:val="left"/>
      <w:pPr>
        <w:ind w:left="7158" w:hanging="341"/>
      </w:pPr>
      <w:rPr>
        <w:rFonts w:hint="default"/>
        <w:lang w:val="en-US" w:eastAsia="en-US" w:bidi="ar-SA"/>
      </w:rPr>
    </w:lvl>
    <w:lvl w:ilvl="8" w:tplc="F30A604A">
      <w:numFmt w:val="bullet"/>
      <w:lvlText w:val="•"/>
      <w:lvlJc w:val="left"/>
      <w:pPr>
        <w:ind w:left="8001" w:hanging="341"/>
      </w:pPr>
      <w:rPr>
        <w:rFonts w:hint="default"/>
        <w:lang w:val="en-US" w:eastAsia="en-US" w:bidi="ar-SA"/>
      </w:rPr>
    </w:lvl>
  </w:abstractNum>
  <w:abstractNum w:abstractNumId="37" w15:restartNumberingAfterBreak="0">
    <w:nsid w:val="635B73D1"/>
    <w:multiLevelType w:val="hybridMultilevel"/>
    <w:tmpl w:val="BE266764"/>
    <w:lvl w:ilvl="0" w:tplc="F1C0FB10">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17B83BB6">
      <w:numFmt w:val="bullet"/>
      <w:lvlText w:val="•"/>
      <w:lvlJc w:val="left"/>
      <w:pPr>
        <w:ind w:left="1184" w:hanging="720"/>
      </w:pPr>
      <w:rPr>
        <w:rFonts w:hint="default"/>
        <w:lang w:val="en-US" w:eastAsia="en-US" w:bidi="ar-SA"/>
      </w:rPr>
    </w:lvl>
    <w:lvl w:ilvl="2" w:tplc="3D30E068">
      <w:numFmt w:val="bullet"/>
      <w:lvlText w:val="•"/>
      <w:lvlJc w:val="left"/>
      <w:pPr>
        <w:ind w:left="2129" w:hanging="720"/>
      </w:pPr>
      <w:rPr>
        <w:rFonts w:hint="default"/>
        <w:lang w:val="en-US" w:eastAsia="en-US" w:bidi="ar-SA"/>
      </w:rPr>
    </w:lvl>
    <w:lvl w:ilvl="3" w:tplc="7C4C153C">
      <w:numFmt w:val="bullet"/>
      <w:lvlText w:val="•"/>
      <w:lvlJc w:val="left"/>
      <w:pPr>
        <w:ind w:left="3073" w:hanging="720"/>
      </w:pPr>
      <w:rPr>
        <w:rFonts w:hint="default"/>
        <w:lang w:val="en-US" w:eastAsia="en-US" w:bidi="ar-SA"/>
      </w:rPr>
    </w:lvl>
    <w:lvl w:ilvl="4" w:tplc="FFD8892A">
      <w:numFmt w:val="bullet"/>
      <w:lvlText w:val="•"/>
      <w:lvlJc w:val="left"/>
      <w:pPr>
        <w:ind w:left="4018" w:hanging="720"/>
      </w:pPr>
      <w:rPr>
        <w:rFonts w:hint="default"/>
        <w:lang w:val="en-US" w:eastAsia="en-US" w:bidi="ar-SA"/>
      </w:rPr>
    </w:lvl>
    <w:lvl w:ilvl="5" w:tplc="74DA53B6">
      <w:numFmt w:val="bullet"/>
      <w:lvlText w:val="•"/>
      <w:lvlJc w:val="left"/>
      <w:pPr>
        <w:ind w:left="4963" w:hanging="720"/>
      </w:pPr>
      <w:rPr>
        <w:rFonts w:hint="default"/>
        <w:lang w:val="en-US" w:eastAsia="en-US" w:bidi="ar-SA"/>
      </w:rPr>
    </w:lvl>
    <w:lvl w:ilvl="6" w:tplc="D8F8487A">
      <w:numFmt w:val="bullet"/>
      <w:lvlText w:val="•"/>
      <w:lvlJc w:val="left"/>
      <w:pPr>
        <w:ind w:left="5907" w:hanging="720"/>
      </w:pPr>
      <w:rPr>
        <w:rFonts w:hint="default"/>
        <w:lang w:val="en-US" w:eastAsia="en-US" w:bidi="ar-SA"/>
      </w:rPr>
    </w:lvl>
    <w:lvl w:ilvl="7" w:tplc="057EF02A">
      <w:numFmt w:val="bullet"/>
      <w:lvlText w:val="•"/>
      <w:lvlJc w:val="left"/>
      <w:pPr>
        <w:ind w:left="6852" w:hanging="720"/>
      </w:pPr>
      <w:rPr>
        <w:rFonts w:hint="default"/>
        <w:lang w:val="en-US" w:eastAsia="en-US" w:bidi="ar-SA"/>
      </w:rPr>
    </w:lvl>
    <w:lvl w:ilvl="8" w:tplc="16003D54">
      <w:numFmt w:val="bullet"/>
      <w:lvlText w:val="•"/>
      <w:lvlJc w:val="left"/>
      <w:pPr>
        <w:ind w:left="7797" w:hanging="720"/>
      </w:pPr>
      <w:rPr>
        <w:rFonts w:hint="default"/>
        <w:lang w:val="en-US" w:eastAsia="en-US" w:bidi="ar-SA"/>
      </w:rPr>
    </w:lvl>
  </w:abstractNum>
  <w:abstractNum w:abstractNumId="38" w15:restartNumberingAfterBreak="0">
    <w:nsid w:val="68234F3E"/>
    <w:multiLevelType w:val="hybridMultilevel"/>
    <w:tmpl w:val="689E07C0"/>
    <w:lvl w:ilvl="0" w:tplc="D1540714">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F698D042">
      <w:numFmt w:val="bullet"/>
      <w:lvlText w:val=""/>
      <w:lvlJc w:val="left"/>
      <w:pPr>
        <w:ind w:left="1237" w:hanging="284"/>
      </w:pPr>
      <w:rPr>
        <w:rFonts w:ascii="Symbol" w:eastAsia="Symbol" w:hAnsi="Symbol" w:cs="Symbol" w:hint="default"/>
        <w:b w:val="0"/>
        <w:bCs w:val="0"/>
        <w:i w:val="0"/>
        <w:iCs w:val="0"/>
        <w:color w:val="4E81BD"/>
        <w:spacing w:val="0"/>
        <w:w w:val="99"/>
        <w:sz w:val="20"/>
        <w:szCs w:val="20"/>
        <w:lang w:val="en-US" w:eastAsia="en-US" w:bidi="ar-SA"/>
      </w:rPr>
    </w:lvl>
    <w:lvl w:ilvl="2" w:tplc="118C94A6">
      <w:numFmt w:val="bullet"/>
      <w:lvlText w:val="•"/>
      <w:lvlJc w:val="left"/>
      <w:pPr>
        <w:ind w:left="2178" w:hanging="284"/>
      </w:pPr>
      <w:rPr>
        <w:rFonts w:hint="default"/>
        <w:lang w:val="en-US" w:eastAsia="en-US" w:bidi="ar-SA"/>
      </w:rPr>
    </w:lvl>
    <w:lvl w:ilvl="3" w:tplc="3E2EEF86">
      <w:numFmt w:val="bullet"/>
      <w:lvlText w:val="•"/>
      <w:lvlJc w:val="left"/>
      <w:pPr>
        <w:ind w:left="3116" w:hanging="284"/>
      </w:pPr>
      <w:rPr>
        <w:rFonts w:hint="default"/>
        <w:lang w:val="en-US" w:eastAsia="en-US" w:bidi="ar-SA"/>
      </w:rPr>
    </w:lvl>
    <w:lvl w:ilvl="4" w:tplc="AFFE3CCA">
      <w:numFmt w:val="bullet"/>
      <w:lvlText w:val="•"/>
      <w:lvlJc w:val="left"/>
      <w:pPr>
        <w:ind w:left="4055" w:hanging="284"/>
      </w:pPr>
      <w:rPr>
        <w:rFonts w:hint="default"/>
        <w:lang w:val="en-US" w:eastAsia="en-US" w:bidi="ar-SA"/>
      </w:rPr>
    </w:lvl>
    <w:lvl w:ilvl="5" w:tplc="8A902AD2">
      <w:numFmt w:val="bullet"/>
      <w:lvlText w:val="•"/>
      <w:lvlJc w:val="left"/>
      <w:pPr>
        <w:ind w:left="4993" w:hanging="284"/>
      </w:pPr>
      <w:rPr>
        <w:rFonts w:hint="default"/>
        <w:lang w:val="en-US" w:eastAsia="en-US" w:bidi="ar-SA"/>
      </w:rPr>
    </w:lvl>
    <w:lvl w:ilvl="6" w:tplc="12022824">
      <w:numFmt w:val="bullet"/>
      <w:lvlText w:val="•"/>
      <w:lvlJc w:val="left"/>
      <w:pPr>
        <w:ind w:left="5932" w:hanging="284"/>
      </w:pPr>
      <w:rPr>
        <w:rFonts w:hint="default"/>
        <w:lang w:val="en-US" w:eastAsia="en-US" w:bidi="ar-SA"/>
      </w:rPr>
    </w:lvl>
    <w:lvl w:ilvl="7" w:tplc="43100B28">
      <w:numFmt w:val="bullet"/>
      <w:lvlText w:val="•"/>
      <w:lvlJc w:val="left"/>
      <w:pPr>
        <w:ind w:left="6870" w:hanging="284"/>
      </w:pPr>
      <w:rPr>
        <w:rFonts w:hint="default"/>
        <w:lang w:val="en-US" w:eastAsia="en-US" w:bidi="ar-SA"/>
      </w:rPr>
    </w:lvl>
    <w:lvl w:ilvl="8" w:tplc="52C0E47C">
      <w:numFmt w:val="bullet"/>
      <w:lvlText w:val="•"/>
      <w:lvlJc w:val="left"/>
      <w:pPr>
        <w:ind w:left="7809" w:hanging="284"/>
      </w:pPr>
      <w:rPr>
        <w:rFonts w:hint="default"/>
        <w:lang w:val="en-US" w:eastAsia="en-US" w:bidi="ar-SA"/>
      </w:rPr>
    </w:lvl>
  </w:abstractNum>
  <w:abstractNum w:abstractNumId="39" w15:restartNumberingAfterBreak="0">
    <w:nsid w:val="6A470414"/>
    <w:multiLevelType w:val="hybridMultilevel"/>
    <w:tmpl w:val="24D689A2"/>
    <w:lvl w:ilvl="0" w:tplc="87F8A322">
      <w:start w:val="1"/>
      <w:numFmt w:val="upperLetter"/>
      <w:lvlText w:val="%1."/>
      <w:lvlJc w:val="left"/>
      <w:pPr>
        <w:ind w:left="243" w:hanging="247"/>
      </w:pPr>
      <w:rPr>
        <w:rFonts w:ascii="Arial" w:eastAsia="Arial" w:hAnsi="Arial" w:cs="Arial" w:hint="default"/>
        <w:b w:val="0"/>
        <w:bCs w:val="0"/>
        <w:i/>
        <w:iCs/>
        <w:spacing w:val="-1"/>
        <w:w w:val="88"/>
        <w:sz w:val="20"/>
        <w:szCs w:val="20"/>
        <w:u w:val="single" w:color="000000"/>
        <w:lang w:val="en-US" w:eastAsia="en-US" w:bidi="ar-SA"/>
      </w:rPr>
    </w:lvl>
    <w:lvl w:ilvl="1" w:tplc="EDBCF93E">
      <w:numFmt w:val="bullet"/>
      <w:lvlText w:val="•"/>
      <w:lvlJc w:val="left"/>
      <w:pPr>
        <w:ind w:left="1184" w:hanging="247"/>
      </w:pPr>
      <w:rPr>
        <w:rFonts w:hint="default"/>
        <w:lang w:val="en-US" w:eastAsia="en-US" w:bidi="ar-SA"/>
      </w:rPr>
    </w:lvl>
    <w:lvl w:ilvl="2" w:tplc="5AFE584A">
      <w:numFmt w:val="bullet"/>
      <w:lvlText w:val="•"/>
      <w:lvlJc w:val="left"/>
      <w:pPr>
        <w:ind w:left="2129" w:hanging="247"/>
      </w:pPr>
      <w:rPr>
        <w:rFonts w:hint="default"/>
        <w:lang w:val="en-US" w:eastAsia="en-US" w:bidi="ar-SA"/>
      </w:rPr>
    </w:lvl>
    <w:lvl w:ilvl="3" w:tplc="64EAEF7E">
      <w:numFmt w:val="bullet"/>
      <w:lvlText w:val="•"/>
      <w:lvlJc w:val="left"/>
      <w:pPr>
        <w:ind w:left="3073" w:hanging="247"/>
      </w:pPr>
      <w:rPr>
        <w:rFonts w:hint="default"/>
        <w:lang w:val="en-US" w:eastAsia="en-US" w:bidi="ar-SA"/>
      </w:rPr>
    </w:lvl>
    <w:lvl w:ilvl="4" w:tplc="59DCB42C">
      <w:numFmt w:val="bullet"/>
      <w:lvlText w:val="•"/>
      <w:lvlJc w:val="left"/>
      <w:pPr>
        <w:ind w:left="4018" w:hanging="247"/>
      </w:pPr>
      <w:rPr>
        <w:rFonts w:hint="default"/>
        <w:lang w:val="en-US" w:eastAsia="en-US" w:bidi="ar-SA"/>
      </w:rPr>
    </w:lvl>
    <w:lvl w:ilvl="5" w:tplc="B02627BA">
      <w:numFmt w:val="bullet"/>
      <w:lvlText w:val="•"/>
      <w:lvlJc w:val="left"/>
      <w:pPr>
        <w:ind w:left="4963" w:hanging="247"/>
      </w:pPr>
      <w:rPr>
        <w:rFonts w:hint="default"/>
        <w:lang w:val="en-US" w:eastAsia="en-US" w:bidi="ar-SA"/>
      </w:rPr>
    </w:lvl>
    <w:lvl w:ilvl="6" w:tplc="564ACEAC">
      <w:numFmt w:val="bullet"/>
      <w:lvlText w:val="•"/>
      <w:lvlJc w:val="left"/>
      <w:pPr>
        <w:ind w:left="5907" w:hanging="247"/>
      </w:pPr>
      <w:rPr>
        <w:rFonts w:hint="default"/>
        <w:lang w:val="en-US" w:eastAsia="en-US" w:bidi="ar-SA"/>
      </w:rPr>
    </w:lvl>
    <w:lvl w:ilvl="7" w:tplc="29BEC45C">
      <w:numFmt w:val="bullet"/>
      <w:lvlText w:val="•"/>
      <w:lvlJc w:val="left"/>
      <w:pPr>
        <w:ind w:left="6852" w:hanging="247"/>
      </w:pPr>
      <w:rPr>
        <w:rFonts w:hint="default"/>
        <w:lang w:val="en-US" w:eastAsia="en-US" w:bidi="ar-SA"/>
      </w:rPr>
    </w:lvl>
    <w:lvl w:ilvl="8" w:tplc="7C52F998">
      <w:numFmt w:val="bullet"/>
      <w:lvlText w:val="•"/>
      <w:lvlJc w:val="left"/>
      <w:pPr>
        <w:ind w:left="7797" w:hanging="247"/>
      </w:pPr>
      <w:rPr>
        <w:rFonts w:hint="default"/>
        <w:lang w:val="en-US" w:eastAsia="en-US" w:bidi="ar-SA"/>
      </w:rPr>
    </w:lvl>
  </w:abstractNum>
  <w:abstractNum w:abstractNumId="40" w15:restartNumberingAfterBreak="0">
    <w:nsid w:val="6AA87001"/>
    <w:multiLevelType w:val="hybridMultilevel"/>
    <w:tmpl w:val="6212E570"/>
    <w:lvl w:ilvl="0" w:tplc="8E2841CA">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2C7869BC">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EA72B5E6">
      <w:numFmt w:val="bullet"/>
      <w:lvlText w:val="•"/>
      <w:lvlJc w:val="left"/>
      <w:pPr>
        <w:ind w:left="2178" w:hanging="286"/>
      </w:pPr>
      <w:rPr>
        <w:rFonts w:hint="default"/>
        <w:lang w:val="en-US" w:eastAsia="en-US" w:bidi="ar-SA"/>
      </w:rPr>
    </w:lvl>
    <w:lvl w:ilvl="3" w:tplc="B9266304">
      <w:numFmt w:val="bullet"/>
      <w:lvlText w:val="•"/>
      <w:lvlJc w:val="left"/>
      <w:pPr>
        <w:ind w:left="3116" w:hanging="286"/>
      </w:pPr>
      <w:rPr>
        <w:rFonts w:hint="default"/>
        <w:lang w:val="en-US" w:eastAsia="en-US" w:bidi="ar-SA"/>
      </w:rPr>
    </w:lvl>
    <w:lvl w:ilvl="4" w:tplc="2056EA24">
      <w:numFmt w:val="bullet"/>
      <w:lvlText w:val="•"/>
      <w:lvlJc w:val="left"/>
      <w:pPr>
        <w:ind w:left="4055" w:hanging="286"/>
      </w:pPr>
      <w:rPr>
        <w:rFonts w:hint="default"/>
        <w:lang w:val="en-US" w:eastAsia="en-US" w:bidi="ar-SA"/>
      </w:rPr>
    </w:lvl>
    <w:lvl w:ilvl="5" w:tplc="19FE6412">
      <w:numFmt w:val="bullet"/>
      <w:lvlText w:val="•"/>
      <w:lvlJc w:val="left"/>
      <w:pPr>
        <w:ind w:left="4993" w:hanging="286"/>
      </w:pPr>
      <w:rPr>
        <w:rFonts w:hint="default"/>
        <w:lang w:val="en-US" w:eastAsia="en-US" w:bidi="ar-SA"/>
      </w:rPr>
    </w:lvl>
    <w:lvl w:ilvl="6" w:tplc="82EE8D8A">
      <w:numFmt w:val="bullet"/>
      <w:lvlText w:val="•"/>
      <w:lvlJc w:val="left"/>
      <w:pPr>
        <w:ind w:left="5932" w:hanging="286"/>
      </w:pPr>
      <w:rPr>
        <w:rFonts w:hint="default"/>
        <w:lang w:val="en-US" w:eastAsia="en-US" w:bidi="ar-SA"/>
      </w:rPr>
    </w:lvl>
    <w:lvl w:ilvl="7" w:tplc="867247FE">
      <w:numFmt w:val="bullet"/>
      <w:lvlText w:val="•"/>
      <w:lvlJc w:val="left"/>
      <w:pPr>
        <w:ind w:left="6870" w:hanging="286"/>
      </w:pPr>
      <w:rPr>
        <w:rFonts w:hint="default"/>
        <w:lang w:val="en-US" w:eastAsia="en-US" w:bidi="ar-SA"/>
      </w:rPr>
    </w:lvl>
    <w:lvl w:ilvl="8" w:tplc="4A6A30D4">
      <w:numFmt w:val="bullet"/>
      <w:lvlText w:val="•"/>
      <w:lvlJc w:val="left"/>
      <w:pPr>
        <w:ind w:left="7809" w:hanging="286"/>
      </w:pPr>
      <w:rPr>
        <w:rFonts w:hint="default"/>
        <w:lang w:val="en-US" w:eastAsia="en-US" w:bidi="ar-SA"/>
      </w:rPr>
    </w:lvl>
  </w:abstractNum>
  <w:abstractNum w:abstractNumId="41" w15:restartNumberingAfterBreak="0">
    <w:nsid w:val="70D90B74"/>
    <w:multiLevelType w:val="hybridMultilevel"/>
    <w:tmpl w:val="31D4162E"/>
    <w:lvl w:ilvl="0" w:tplc="47DAFBA6">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ADBC7198">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5364922A">
      <w:numFmt w:val="bullet"/>
      <w:lvlText w:val="•"/>
      <w:lvlJc w:val="left"/>
      <w:pPr>
        <w:ind w:left="2178" w:hanging="286"/>
      </w:pPr>
      <w:rPr>
        <w:rFonts w:hint="default"/>
        <w:lang w:val="en-US" w:eastAsia="en-US" w:bidi="ar-SA"/>
      </w:rPr>
    </w:lvl>
    <w:lvl w:ilvl="3" w:tplc="C32852F4">
      <w:numFmt w:val="bullet"/>
      <w:lvlText w:val="•"/>
      <w:lvlJc w:val="left"/>
      <w:pPr>
        <w:ind w:left="3116" w:hanging="286"/>
      </w:pPr>
      <w:rPr>
        <w:rFonts w:hint="default"/>
        <w:lang w:val="en-US" w:eastAsia="en-US" w:bidi="ar-SA"/>
      </w:rPr>
    </w:lvl>
    <w:lvl w:ilvl="4" w:tplc="A9AA5D0A">
      <w:numFmt w:val="bullet"/>
      <w:lvlText w:val="•"/>
      <w:lvlJc w:val="left"/>
      <w:pPr>
        <w:ind w:left="4055" w:hanging="286"/>
      </w:pPr>
      <w:rPr>
        <w:rFonts w:hint="default"/>
        <w:lang w:val="en-US" w:eastAsia="en-US" w:bidi="ar-SA"/>
      </w:rPr>
    </w:lvl>
    <w:lvl w:ilvl="5" w:tplc="D9F2B5D4">
      <w:numFmt w:val="bullet"/>
      <w:lvlText w:val="•"/>
      <w:lvlJc w:val="left"/>
      <w:pPr>
        <w:ind w:left="4993" w:hanging="286"/>
      </w:pPr>
      <w:rPr>
        <w:rFonts w:hint="default"/>
        <w:lang w:val="en-US" w:eastAsia="en-US" w:bidi="ar-SA"/>
      </w:rPr>
    </w:lvl>
    <w:lvl w:ilvl="6" w:tplc="169E063E">
      <w:numFmt w:val="bullet"/>
      <w:lvlText w:val="•"/>
      <w:lvlJc w:val="left"/>
      <w:pPr>
        <w:ind w:left="5932" w:hanging="286"/>
      </w:pPr>
      <w:rPr>
        <w:rFonts w:hint="default"/>
        <w:lang w:val="en-US" w:eastAsia="en-US" w:bidi="ar-SA"/>
      </w:rPr>
    </w:lvl>
    <w:lvl w:ilvl="7" w:tplc="C9F8ECB8">
      <w:numFmt w:val="bullet"/>
      <w:lvlText w:val="•"/>
      <w:lvlJc w:val="left"/>
      <w:pPr>
        <w:ind w:left="6870" w:hanging="286"/>
      </w:pPr>
      <w:rPr>
        <w:rFonts w:hint="default"/>
        <w:lang w:val="en-US" w:eastAsia="en-US" w:bidi="ar-SA"/>
      </w:rPr>
    </w:lvl>
    <w:lvl w:ilvl="8" w:tplc="1160F24E">
      <w:numFmt w:val="bullet"/>
      <w:lvlText w:val="•"/>
      <w:lvlJc w:val="left"/>
      <w:pPr>
        <w:ind w:left="7809" w:hanging="286"/>
      </w:pPr>
      <w:rPr>
        <w:rFonts w:hint="default"/>
        <w:lang w:val="en-US" w:eastAsia="en-US" w:bidi="ar-SA"/>
      </w:rPr>
    </w:lvl>
  </w:abstractNum>
  <w:abstractNum w:abstractNumId="42" w15:restartNumberingAfterBreak="0">
    <w:nsid w:val="7608723F"/>
    <w:multiLevelType w:val="hybridMultilevel"/>
    <w:tmpl w:val="3376B44E"/>
    <w:lvl w:ilvl="0" w:tplc="CC241394">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7F6AA1F4">
      <w:numFmt w:val="bullet"/>
      <w:lvlText w:val="•"/>
      <w:lvlJc w:val="left"/>
      <w:pPr>
        <w:ind w:left="1184" w:hanging="720"/>
      </w:pPr>
      <w:rPr>
        <w:rFonts w:hint="default"/>
        <w:lang w:val="en-US" w:eastAsia="en-US" w:bidi="ar-SA"/>
      </w:rPr>
    </w:lvl>
    <w:lvl w:ilvl="2" w:tplc="9B46574E">
      <w:numFmt w:val="bullet"/>
      <w:lvlText w:val="•"/>
      <w:lvlJc w:val="left"/>
      <w:pPr>
        <w:ind w:left="2129" w:hanging="720"/>
      </w:pPr>
      <w:rPr>
        <w:rFonts w:hint="default"/>
        <w:lang w:val="en-US" w:eastAsia="en-US" w:bidi="ar-SA"/>
      </w:rPr>
    </w:lvl>
    <w:lvl w:ilvl="3" w:tplc="E392F802">
      <w:numFmt w:val="bullet"/>
      <w:lvlText w:val="•"/>
      <w:lvlJc w:val="left"/>
      <w:pPr>
        <w:ind w:left="3073" w:hanging="720"/>
      </w:pPr>
      <w:rPr>
        <w:rFonts w:hint="default"/>
        <w:lang w:val="en-US" w:eastAsia="en-US" w:bidi="ar-SA"/>
      </w:rPr>
    </w:lvl>
    <w:lvl w:ilvl="4" w:tplc="04A0DF56">
      <w:numFmt w:val="bullet"/>
      <w:lvlText w:val="•"/>
      <w:lvlJc w:val="left"/>
      <w:pPr>
        <w:ind w:left="4018" w:hanging="720"/>
      </w:pPr>
      <w:rPr>
        <w:rFonts w:hint="default"/>
        <w:lang w:val="en-US" w:eastAsia="en-US" w:bidi="ar-SA"/>
      </w:rPr>
    </w:lvl>
    <w:lvl w:ilvl="5" w:tplc="AAA28E12">
      <w:numFmt w:val="bullet"/>
      <w:lvlText w:val="•"/>
      <w:lvlJc w:val="left"/>
      <w:pPr>
        <w:ind w:left="4963" w:hanging="720"/>
      </w:pPr>
      <w:rPr>
        <w:rFonts w:hint="default"/>
        <w:lang w:val="en-US" w:eastAsia="en-US" w:bidi="ar-SA"/>
      </w:rPr>
    </w:lvl>
    <w:lvl w:ilvl="6" w:tplc="F15C0962">
      <w:numFmt w:val="bullet"/>
      <w:lvlText w:val="•"/>
      <w:lvlJc w:val="left"/>
      <w:pPr>
        <w:ind w:left="5907" w:hanging="720"/>
      </w:pPr>
      <w:rPr>
        <w:rFonts w:hint="default"/>
        <w:lang w:val="en-US" w:eastAsia="en-US" w:bidi="ar-SA"/>
      </w:rPr>
    </w:lvl>
    <w:lvl w:ilvl="7" w:tplc="5DA04E6A">
      <w:numFmt w:val="bullet"/>
      <w:lvlText w:val="•"/>
      <w:lvlJc w:val="left"/>
      <w:pPr>
        <w:ind w:left="6852" w:hanging="720"/>
      </w:pPr>
      <w:rPr>
        <w:rFonts w:hint="default"/>
        <w:lang w:val="en-US" w:eastAsia="en-US" w:bidi="ar-SA"/>
      </w:rPr>
    </w:lvl>
    <w:lvl w:ilvl="8" w:tplc="A12A3F62">
      <w:numFmt w:val="bullet"/>
      <w:lvlText w:val="•"/>
      <w:lvlJc w:val="left"/>
      <w:pPr>
        <w:ind w:left="7797" w:hanging="720"/>
      </w:pPr>
      <w:rPr>
        <w:rFonts w:hint="default"/>
        <w:lang w:val="en-US" w:eastAsia="en-US" w:bidi="ar-SA"/>
      </w:rPr>
    </w:lvl>
  </w:abstractNum>
  <w:abstractNum w:abstractNumId="43" w15:restartNumberingAfterBreak="0">
    <w:nsid w:val="776C3BDB"/>
    <w:multiLevelType w:val="hybridMultilevel"/>
    <w:tmpl w:val="1C788850"/>
    <w:lvl w:ilvl="0" w:tplc="FB6CF59A">
      <w:start w:val="9"/>
      <w:numFmt w:val="decimal"/>
      <w:lvlText w:val="%1."/>
      <w:lvlJc w:val="left"/>
      <w:pPr>
        <w:ind w:left="243" w:hanging="250"/>
      </w:pPr>
      <w:rPr>
        <w:rFonts w:ascii="Arial" w:eastAsia="Arial" w:hAnsi="Arial" w:cs="Arial" w:hint="default"/>
        <w:b w:val="0"/>
        <w:bCs w:val="0"/>
        <w:i w:val="0"/>
        <w:iCs w:val="0"/>
        <w:spacing w:val="0"/>
        <w:w w:val="99"/>
        <w:sz w:val="20"/>
        <w:szCs w:val="20"/>
        <w:lang w:val="en-US" w:eastAsia="en-US" w:bidi="ar-SA"/>
      </w:rPr>
    </w:lvl>
    <w:lvl w:ilvl="1" w:tplc="CC6CC91E">
      <w:numFmt w:val="bullet"/>
      <w:lvlText w:val="•"/>
      <w:lvlJc w:val="left"/>
      <w:pPr>
        <w:ind w:left="1184" w:hanging="250"/>
      </w:pPr>
      <w:rPr>
        <w:rFonts w:hint="default"/>
        <w:lang w:val="en-US" w:eastAsia="en-US" w:bidi="ar-SA"/>
      </w:rPr>
    </w:lvl>
    <w:lvl w:ilvl="2" w:tplc="2E4A53AE">
      <w:numFmt w:val="bullet"/>
      <w:lvlText w:val="•"/>
      <w:lvlJc w:val="left"/>
      <w:pPr>
        <w:ind w:left="2129" w:hanging="250"/>
      </w:pPr>
      <w:rPr>
        <w:rFonts w:hint="default"/>
        <w:lang w:val="en-US" w:eastAsia="en-US" w:bidi="ar-SA"/>
      </w:rPr>
    </w:lvl>
    <w:lvl w:ilvl="3" w:tplc="954E656A">
      <w:numFmt w:val="bullet"/>
      <w:lvlText w:val="•"/>
      <w:lvlJc w:val="left"/>
      <w:pPr>
        <w:ind w:left="3073" w:hanging="250"/>
      </w:pPr>
      <w:rPr>
        <w:rFonts w:hint="default"/>
        <w:lang w:val="en-US" w:eastAsia="en-US" w:bidi="ar-SA"/>
      </w:rPr>
    </w:lvl>
    <w:lvl w:ilvl="4" w:tplc="05E8DF3A">
      <w:numFmt w:val="bullet"/>
      <w:lvlText w:val="•"/>
      <w:lvlJc w:val="left"/>
      <w:pPr>
        <w:ind w:left="4018" w:hanging="250"/>
      </w:pPr>
      <w:rPr>
        <w:rFonts w:hint="default"/>
        <w:lang w:val="en-US" w:eastAsia="en-US" w:bidi="ar-SA"/>
      </w:rPr>
    </w:lvl>
    <w:lvl w:ilvl="5" w:tplc="61D0D004">
      <w:numFmt w:val="bullet"/>
      <w:lvlText w:val="•"/>
      <w:lvlJc w:val="left"/>
      <w:pPr>
        <w:ind w:left="4963" w:hanging="250"/>
      </w:pPr>
      <w:rPr>
        <w:rFonts w:hint="default"/>
        <w:lang w:val="en-US" w:eastAsia="en-US" w:bidi="ar-SA"/>
      </w:rPr>
    </w:lvl>
    <w:lvl w:ilvl="6" w:tplc="B20E7758">
      <w:numFmt w:val="bullet"/>
      <w:lvlText w:val="•"/>
      <w:lvlJc w:val="left"/>
      <w:pPr>
        <w:ind w:left="5907" w:hanging="250"/>
      </w:pPr>
      <w:rPr>
        <w:rFonts w:hint="default"/>
        <w:lang w:val="en-US" w:eastAsia="en-US" w:bidi="ar-SA"/>
      </w:rPr>
    </w:lvl>
    <w:lvl w:ilvl="7" w:tplc="E54AEDAA">
      <w:numFmt w:val="bullet"/>
      <w:lvlText w:val="•"/>
      <w:lvlJc w:val="left"/>
      <w:pPr>
        <w:ind w:left="6852" w:hanging="250"/>
      </w:pPr>
      <w:rPr>
        <w:rFonts w:hint="default"/>
        <w:lang w:val="en-US" w:eastAsia="en-US" w:bidi="ar-SA"/>
      </w:rPr>
    </w:lvl>
    <w:lvl w:ilvl="8" w:tplc="1C0E85D0">
      <w:numFmt w:val="bullet"/>
      <w:lvlText w:val="•"/>
      <w:lvlJc w:val="left"/>
      <w:pPr>
        <w:ind w:left="7797" w:hanging="250"/>
      </w:pPr>
      <w:rPr>
        <w:rFonts w:hint="default"/>
        <w:lang w:val="en-US" w:eastAsia="en-US" w:bidi="ar-SA"/>
      </w:rPr>
    </w:lvl>
  </w:abstractNum>
  <w:abstractNum w:abstractNumId="44" w15:restartNumberingAfterBreak="0">
    <w:nsid w:val="788F65DC"/>
    <w:multiLevelType w:val="hybridMultilevel"/>
    <w:tmpl w:val="F2264ED8"/>
    <w:lvl w:ilvl="0" w:tplc="071C04D2">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54CEE70C">
      <w:numFmt w:val="bullet"/>
      <w:lvlText w:val="•"/>
      <w:lvlJc w:val="left"/>
      <w:pPr>
        <w:ind w:left="1184" w:hanging="720"/>
      </w:pPr>
      <w:rPr>
        <w:rFonts w:hint="default"/>
        <w:lang w:val="en-US" w:eastAsia="en-US" w:bidi="ar-SA"/>
      </w:rPr>
    </w:lvl>
    <w:lvl w:ilvl="2" w:tplc="4DF651F2">
      <w:numFmt w:val="bullet"/>
      <w:lvlText w:val="•"/>
      <w:lvlJc w:val="left"/>
      <w:pPr>
        <w:ind w:left="2129" w:hanging="720"/>
      </w:pPr>
      <w:rPr>
        <w:rFonts w:hint="default"/>
        <w:lang w:val="en-US" w:eastAsia="en-US" w:bidi="ar-SA"/>
      </w:rPr>
    </w:lvl>
    <w:lvl w:ilvl="3" w:tplc="41A4A3E2">
      <w:numFmt w:val="bullet"/>
      <w:lvlText w:val="•"/>
      <w:lvlJc w:val="left"/>
      <w:pPr>
        <w:ind w:left="3073" w:hanging="720"/>
      </w:pPr>
      <w:rPr>
        <w:rFonts w:hint="default"/>
        <w:lang w:val="en-US" w:eastAsia="en-US" w:bidi="ar-SA"/>
      </w:rPr>
    </w:lvl>
    <w:lvl w:ilvl="4" w:tplc="89C00E38">
      <w:numFmt w:val="bullet"/>
      <w:lvlText w:val="•"/>
      <w:lvlJc w:val="left"/>
      <w:pPr>
        <w:ind w:left="4018" w:hanging="720"/>
      </w:pPr>
      <w:rPr>
        <w:rFonts w:hint="default"/>
        <w:lang w:val="en-US" w:eastAsia="en-US" w:bidi="ar-SA"/>
      </w:rPr>
    </w:lvl>
    <w:lvl w:ilvl="5" w:tplc="D158B9F4">
      <w:numFmt w:val="bullet"/>
      <w:lvlText w:val="•"/>
      <w:lvlJc w:val="left"/>
      <w:pPr>
        <w:ind w:left="4963" w:hanging="720"/>
      </w:pPr>
      <w:rPr>
        <w:rFonts w:hint="default"/>
        <w:lang w:val="en-US" w:eastAsia="en-US" w:bidi="ar-SA"/>
      </w:rPr>
    </w:lvl>
    <w:lvl w:ilvl="6" w:tplc="35D45CA2">
      <w:numFmt w:val="bullet"/>
      <w:lvlText w:val="•"/>
      <w:lvlJc w:val="left"/>
      <w:pPr>
        <w:ind w:left="5907" w:hanging="720"/>
      </w:pPr>
      <w:rPr>
        <w:rFonts w:hint="default"/>
        <w:lang w:val="en-US" w:eastAsia="en-US" w:bidi="ar-SA"/>
      </w:rPr>
    </w:lvl>
    <w:lvl w:ilvl="7" w:tplc="0DDE68AC">
      <w:numFmt w:val="bullet"/>
      <w:lvlText w:val="•"/>
      <w:lvlJc w:val="left"/>
      <w:pPr>
        <w:ind w:left="6852" w:hanging="720"/>
      </w:pPr>
      <w:rPr>
        <w:rFonts w:hint="default"/>
        <w:lang w:val="en-US" w:eastAsia="en-US" w:bidi="ar-SA"/>
      </w:rPr>
    </w:lvl>
    <w:lvl w:ilvl="8" w:tplc="2222EAE6">
      <w:numFmt w:val="bullet"/>
      <w:lvlText w:val="•"/>
      <w:lvlJc w:val="left"/>
      <w:pPr>
        <w:ind w:left="7797" w:hanging="720"/>
      </w:pPr>
      <w:rPr>
        <w:rFonts w:hint="default"/>
        <w:lang w:val="en-US" w:eastAsia="en-US" w:bidi="ar-SA"/>
      </w:rPr>
    </w:lvl>
  </w:abstractNum>
  <w:abstractNum w:abstractNumId="45" w15:restartNumberingAfterBreak="0">
    <w:nsid w:val="7B2D517B"/>
    <w:multiLevelType w:val="hybridMultilevel"/>
    <w:tmpl w:val="55307924"/>
    <w:lvl w:ilvl="0" w:tplc="C65075CC">
      <w:start w:val="93"/>
      <w:numFmt w:val="decimal"/>
      <w:lvlText w:val="%1."/>
      <w:lvlJc w:val="left"/>
      <w:pPr>
        <w:ind w:left="243" w:hanging="334"/>
      </w:pPr>
      <w:rPr>
        <w:rFonts w:ascii="Arial" w:eastAsia="Arial" w:hAnsi="Arial" w:cs="Arial" w:hint="default"/>
        <w:b w:val="0"/>
        <w:bCs w:val="0"/>
        <w:i w:val="0"/>
        <w:iCs w:val="0"/>
        <w:spacing w:val="-1"/>
        <w:w w:val="99"/>
        <w:sz w:val="20"/>
        <w:szCs w:val="20"/>
        <w:lang w:val="en-US" w:eastAsia="en-US" w:bidi="ar-SA"/>
      </w:rPr>
    </w:lvl>
    <w:lvl w:ilvl="1" w:tplc="7270AA3C">
      <w:numFmt w:val="bullet"/>
      <w:lvlText w:val=""/>
      <w:lvlJc w:val="left"/>
      <w:pPr>
        <w:ind w:left="1237" w:hanging="286"/>
      </w:pPr>
      <w:rPr>
        <w:rFonts w:ascii="Symbol" w:eastAsia="Symbol" w:hAnsi="Symbol" w:cs="Symbol" w:hint="default"/>
        <w:b w:val="0"/>
        <w:bCs w:val="0"/>
        <w:i w:val="0"/>
        <w:iCs w:val="0"/>
        <w:color w:val="4E81BD"/>
        <w:spacing w:val="0"/>
        <w:w w:val="99"/>
        <w:sz w:val="20"/>
        <w:szCs w:val="20"/>
        <w:lang w:val="en-US" w:eastAsia="en-US" w:bidi="ar-SA"/>
      </w:rPr>
    </w:lvl>
    <w:lvl w:ilvl="2" w:tplc="47783578">
      <w:numFmt w:val="bullet"/>
      <w:lvlText w:val="•"/>
      <w:lvlJc w:val="left"/>
      <w:pPr>
        <w:ind w:left="2178" w:hanging="286"/>
      </w:pPr>
      <w:rPr>
        <w:rFonts w:hint="default"/>
        <w:lang w:val="en-US" w:eastAsia="en-US" w:bidi="ar-SA"/>
      </w:rPr>
    </w:lvl>
    <w:lvl w:ilvl="3" w:tplc="BCFE061A">
      <w:numFmt w:val="bullet"/>
      <w:lvlText w:val="•"/>
      <w:lvlJc w:val="left"/>
      <w:pPr>
        <w:ind w:left="3116" w:hanging="286"/>
      </w:pPr>
      <w:rPr>
        <w:rFonts w:hint="default"/>
        <w:lang w:val="en-US" w:eastAsia="en-US" w:bidi="ar-SA"/>
      </w:rPr>
    </w:lvl>
    <w:lvl w:ilvl="4" w:tplc="601A4D00">
      <w:numFmt w:val="bullet"/>
      <w:lvlText w:val="•"/>
      <w:lvlJc w:val="left"/>
      <w:pPr>
        <w:ind w:left="4055" w:hanging="286"/>
      </w:pPr>
      <w:rPr>
        <w:rFonts w:hint="default"/>
        <w:lang w:val="en-US" w:eastAsia="en-US" w:bidi="ar-SA"/>
      </w:rPr>
    </w:lvl>
    <w:lvl w:ilvl="5" w:tplc="821AC756">
      <w:numFmt w:val="bullet"/>
      <w:lvlText w:val="•"/>
      <w:lvlJc w:val="left"/>
      <w:pPr>
        <w:ind w:left="4993" w:hanging="286"/>
      </w:pPr>
      <w:rPr>
        <w:rFonts w:hint="default"/>
        <w:lang w:val="en-US" w:eastAsia="en-US" w:bidi="ar-SA"/>
      </w:rPr>
    </w:lvl>
    <w:lvl w:ilvl="6" w:tplc="E70C5140">
      <w:numFmt w:val="bullet"/>
      <w:lvlText w:val="•"/>
      <w:lvlJc w:val="left"/>
      <w:pPr>
        <w:ind w:left="5932" w:hanging="286"/>
      </w:pPr>
      <w:rPr>
        <w:rFonts w:hint="default"/>
        <w:lang w:val="en-US" w:eastAsia="en-US" w:bidi="ar-SA"/>
      </w:rPr>
    </w:lvl>
    <w:lvl w:ilvl="7" w:tplc="7AE627C6">
      <w:numFmt w:val="bullet"/>
      <w:lvlText w:val="•"/>
      <w:lvlJc w:val="left"/>
      <w:pPr>
        <w:ind w:left="6870" w:hanging="286"/>
      </w:pPr>
      <w:rPr>
        <w:rFonts w:hint="default"/>
        <w:lang w:val="en-US" w:eastAsia="en-US" w:bidi="ar-SA"/>
      </w:rPr>
    </w:lvl>
    <w:lvl w:ilvl="8" w:tplc="363CEAD2">
      <w:numFmt w:val="bullet"/>
      <w:lvlText w:val="•"/>
      <w:lvlJc w:val="left"/>
      <w:pPr>
        <w:ind w:left="7809" w:hanging="286"/>
      </w:pPr>
      <w:rPr>
        <w:rFonts w:hint="default"/>
        <w:lang w:val="en-US" w:eastAsia="en-US" w:bidi="ar-SA"/>
      </w:rPr>
    </w:lvl>
  </w:abstractNum>
  <w:abstractNum w:abstractNumId="46" w15:restartNumberingAfterBreak="0">
    <w:nsid w:val="7BE60635"/>
    <w:multiLevelType w:val="hybridMultilevel"/>
    <w:tmpl w:val="939AF316"/>
    <w:lvl w:ilvl="0" w:tplc="1DC690F6">
      <w:start w:val="1"/>
      <w:numFmt w:val="decimal"/>
      <w:lvlText w:val="%1."/>
      <w:lvlJc w:val="left"/>
      <w:pPr>
        <w:ind w:left="243" w:hanging="720"/>
      </w:pPr>
      <w:rPr>
        <w:rFonts w:ascii="Arial" w:eastAsia="Arial" w:hAnsi="Arial" w:cs="Arial" w:hint="default"/>
        <w:b w:val="0"/>
        <w:bCs w:val="0"/>
        <w:i w:val="0"/>
        <w:iCs w:val="0"/>
        <w:spacing w:val="-1"/>
        <w:w w:val="99"/>
        <w:sz w:val="20"/>
        <w:szCs w:val="20"/>
        <w:lang w:val="en-US" w:eastAsia="en-US" w:bidi="ar-SA"/>
      </w:rPr>
    </w:lvl>
    <w:lvl w:ilvl="1" w:tplc="D270C812">
      <w:numFmt w:val="bullet"/>
      <w:lvlText w:val="•"/>
      <w:lvlJc w:val="left"/>
      <w:pPr>
        <w:ind w:left="1184" w:hanging="720"/>
      </w:pPr>
      <w:rPr>
        <w:rFonts w:hint="default"/>
        <w:lang w:val="en-US" w:eastAsia="en-US" w:bidi="ar-SA"/>
      </w:rPr>
    </w:lvl>
    <w:lvl w:ilvl="2" w:tplc="0A641DF2">
      <w:numFmt w:val="bullet"/>
      <w:lvlText w:val="•"/>
      <w:lvlJc w:val="left"/>
      <w:pPr>
        <w:ind w:left="2129" w:hanging="720"/>
      </w:pPr>
      <w:rPr>
        <w:rFonts w:hint="default"/>
        <w:lang w:val="en-US" w:eastAsia="en-US" w:bidi="ar-SA"/>
      </w:rPr>
    </w:lvl>
    <w:lvl w:ilvl="3" w:tplc="36A6E14E">
      <w:numFmt w:val="bullet"/>
      <w:lvlText w:val="•"/>
      <w:lvlJc w:val="left"/>
      <w:pPr>
        <w:ind w:left="3073" w:hanging="720"/>
      </w:pPr>
      <w:rPr>
        <w:rFonts w:hint="default"/>
        <w:lang w:val="en-US" w:eastAsia="en-US" w:bidi="ar-SA"/>
      </w:rPr>
    </w:lvl>
    <w:lvl w:ilvl="4" w:tplc="3342CDC2">
      <w:numFmt w:val="bullet"/>
      <w:lvlText w:val="•"/>
      <w:lvlJc w:val="left"/>
      <w:pPr>
        <w:ind w:left="4018" w:hanging="720"/>
      </w:pPr>
      <w:rPr>
        <w:rFonts w:hint="default"/>
        <w:lang w:val="en-US" w:eastAsia="en-US" w:bidi="ar-SA"/>
      </w:rPr>
    </w:lvl>
    <w:lvl w:ilvl="5" w:tplc="0584D80C">
      <w:numFmt w:val="bullet"/>
      <w:lvlText w:val="•"/>
      <w:lvlJc w:val="left"/>
      <w:pPr>
        <w:ind w:left="4963" w:hanging="720"/>
      </w:pPr>
      <w:rPr>
        <w:rFonts w:hint="default"/>
        <w:lang w:val="en-US" w:eastAsia="en-US" w:bidi="ar-SA"/>
      </w:rPr>
    </w:lvl>
    <w:lvl w:ilvl="6" w:tplc="0308B368">
      <w:numFmt w:val="bullet"/>
      <w:lvlText w:val="•"/>
      <w:lvlJc w:val="left"/>
      <w:pPr>
        <w:ind w:left="5907" w:hanging="720"/>
      </w:pPr>
      <w:rPr>
        <w:rFonts w:hint="default"/>
        <w:lang w:val="en-US" w:eastAsia="en-US" w:bidi="ar-SA"/>
      </w:rPr>
    </w:lvl>
    <w:lvl w:ilvl="7" w:tplc="1012FEB0">
      <w:numFmt w:val="bullet"/>
      <w:lvlText w:val="•"/>
      <w:lvlJc w:val="left"/>
      <w:pPr>
        <w:ind w:left="6852" w:hanging="720"/>
      </w:pPr>
      <w:rPr>
        <w:rFonts w:hint="default"/>
        <w:lang w:val="en-US" w:eastAsia="en-US" w:bidi="ar-SA"/>
      </w:rPr>
    </w:lvl>
    <w:lvl w:ilvl="8" w:tplc="5F56E9D6">
      <w:numFmt w:val="bullet"/>
      <w:lvlText w:val="•"/>
      <w:lvlJc w:val="left"/>
      <w:pPr>
        <w:ind w:left="7797" w:hanging="720"/>
      </w:pPr>
      <w:rPr>
        <w:rFonts w:hint="default"/>
        <w:lang w:val="en-US" w:eastAsia="en-US" w:bidi="ar-SA"/>
      </w:rPr>
    </w:lvl>
  </w:abstractNum>
  <w:num w:numId="1" w16cid:durableId="1883976091">
    <w:abstractNumId w:val="41"/>
  </w:num>
  <w:num w:numId="2" w16cid:durableId="1229876582">
    <w:abstractNumId w:val="40"/>
  </w:num>
  <w:num w:numId="3" w16cid:durableId="848177282">
    <w:abstractNumId w:val="12"/>
  </w:num>
  <w:num w:numId="4" w16cid:durableId="1704358601">
    <w:abstractNumId w:val="38"/>
  </w:num>
  <w:num w:numId="5" w16cid:durableId="1517114074">
    <w:abstractNumId w:val="34"/>
  </w:num>
  <w:num w:numId="6" w16cid:durableId="1816529472">
    <w:abstractNumId w:val="39"/>
  </w:num>
  <w:num w:numId="7" w16cid:durableId="2113352731">
    <w:abstractNumId w:val="2"/>
  </w:num>
  <w:num w:numId="8" w16cid:durableId="1838885098">
    <w:abstractNumId w:val="13"/>
  </w:num>
  <w:num w:numId="9" w16cid:durableId="700476635">
    <w:abstractNumId w:val="43"/>
  </w:num>
  <w:num w:numId="10" w16cid:durableId="1717781383">
    <w:abstractNumId w:val="14"/>
  </w:num>
  <w:num w:numId="11" w16cid:durableId="1604802276">
    <w:abstractNumId w:val="10"/>
  </w:num>
  <w:num w:numId="12" w16cid:durableId="655963839">
    <w:abstractNumId w:val="18"/>
  </w:num>
  <w:num w:numId="13" w16cid:durableId="1264265889">
    <w:abstractNumId w:val="17"/>
  </w:num>
  <w:num w:numId="14" w16cid:durableId="1891914825">
    <w:abstractNumId w:val="33"/>
  </w:num>
  <w:num w:numId="15" w16cid:durableId="166098325">
    <w:abstractNumId w:val="29"/>
  </w:num>
  <w:num w:numId="16" w16cid:durableId="1057782681">
    <w:abstractNumId w:val="11"/>
  </w:num>
  <w:num w:numId="17" w16cid:durableId="1037465743">
    <w:abstractNumId w:val="4"/>
  </w:num>
  <w:num w:numId="18" w16cid:durableId="2063089732">
    <w:abstractNumId w:val="8"/>
  </w:num>
  <w:num w:numId="19" w16cid:durableId="77947436">
    <w:abstractNumId w:val="5"/>
  </w:num>
  <w:num w:numId="20" w16cid:durableId="713163925">
    <w:abstractNumId w:val="31"/>
  </w:num>
  <w:num w:numId="21" w16cid:durableId="1834712908">
    <w:abstractNumId w:val="26"/>
  </w:num>
  <w:num w:numId="22" w16cid:durableId="1628853519">
    <w:abstractNumId w:val="7"/>
  </w:num>
  <w:num w:numId="23" w16cid:durableId="1064179704">
    <w:abstractNumId w:val="44"/>
  </w:num>
  <w:num w:numId="24" w16cid:durableId="63187618">
    <w:abstractNumId w:val="42"/>
  </w:num>
  <w:num w:numId="25" w16cid:durableId="318311656">
    <w:abstractNumId w:val="46"/>
  </w:num>
  <w:num w:numId="26" w16cid:durableId="165172152">
    <w:abstractNumId w:val="25"/>
  </w:num>
  <w:num w:numId="27" w16cid:durableId="1136534681">
    <w:abstractNumId w:val="35"/>
  </w:num>
  <w:num w:numId="28" w16cid:durableId="607005141">
    <w:abstractNumId w:val="1"/>
  </w:num>
  <w:num w:numId="29" w16cid:durableId="1957253876">
    <w:abstractNumId w:val="9"/>
  </w:num>
  <w:num w:numId="30" w16cid:durableId="1588880151">
    <w:abstractNumId w:val="19"/>
  </w:num>
  <w:num w:numId="31" w16cid:durableId="1075586306">
    <w:abstractNumId w:val="28"/>
  </w:num>
  <w:num w:numId="32" w16cid:durableId="2040425156">
    <w:abstractNumId w:val="37"/>
  </w:num>
  <w:num w:numId="33" w16cid:durableId="1985503652">
    <w:abstractNumId w:val="20"/>
  </w:num>
  <w:num w:numId="34" w16cid:durableId="641228324">
    <w:abstractNumId w:val="21"/>
  </w:num>
  <w:num w:numId="35" w16cid:durableId="201211547">
    <w:abstractNumId w:val="15"/>
  </w:num>
  <w:num w:numId="36" w16cid:durableId="1373848251">
    <w:abstractNumId w:val="22"/>
  </w:num>
  <w:num w:numId="37" w16cid:durableId="1218467178">
    <w:abstractNumId w:val="3"/>
  </w:num>
  <w:num w:numId="38" w16cid:durableId="349718380">
    <w:abstractNumId w:val="36"/>
  </w:num>
  <w:num w:numId="39" w16cid:durableId="1363628630">
    <w:abstractNumId w:val="30"/>
  </w:num>
  <w:num w:numId="40" w16cid:durableId="879827089">
    <w:abstractNumId w:val="0"/>
  </w:num>
  <w:num w:numId="41" w16cid:durableId="1746955341">
    <w:abstractNumId w:val="16"/>
  </w:num>
  <w:num w:numId="42" w16cid:durableId="1097597338">
    <w:abstractNumId w:val="45"/>
  </w:num>
  <w:num w:numId="43" w16cid:durableId="210654934">
    <w:abstractNumId w:val="6"/>
  </w:num>
  <w:num w:numId="44" w16cid:durableId="960375992">
    <w:abstractNumId w:val="27"/>
  </w:num>
  <w:num w:numId="45" w16cid:durableId="1550920040">
    <w:abstractNumId w:val="32"/>
  </w:num>
  <w:num w:numId="46" w16cid:durableId="2005010304">
    <w:abstractNumId w:val="23"/>
  </w:num>
  <w:num w:numId="47" w16cid:durableId="255986496">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5EA"/>
    <w:rsid w:val="00006B90"/>
    <w:rsid w:val="0001082E"/>
    <w:rsid w:val="000125EF"/>
    <w:rsid w:val="00017B97"/>
    <w:rsid w:val="00020CCC"/>
    <w:rsid w:val="000234EC"/>
    <w:rsid w:val="00041F25"/>
    <w:rsid w:val="00055C91"/>
    <w:rsid w:val="00071995"/>
    <w:rsid w:val="00073334"/>
    <w:rsid w:val="0007470F"/>
    <w:rsid w:val="00077390"/>
    <w:rsid w:val="00077950"/>
    <w:rsid w:val="0009225F"/>
    <w:rsid w:val="000A799B"/>
    <w:rsid w:val="000B0D60"/>
    <w:rsid w:val="000C2372"/>
    <w:rsid w:val="000C677F"/>
    <w:rsid w:val="000C7451"/>
    <w:rsid w:val="000D0BAD"/>
    <w:rsid w:val="000D44EE"/>
    <w:rsid w:val="000D63C9"/>
    <w:rsid w:val="000E30F3"/>
    <w:rsid w:val="000E473A"/>
    <w:rsid w:val="000F293F"/>
    <w:rsid w:val="000F37A5"/>
    <w:rsid w:val="000F3DB9"/>
    <w:rsid w:val="000F72E2"/>
    <w:rsid w:val="00111C09"/>
    <w:rsid w:val="00125A18"/>
    <w:rsid w:val="00125AA1"/>
    <w:rsid w:val="00126B4F"/>
    <w:rsid w:val="001317DB"/>
    <w:rsid w:val="00143FB2"/>
    <w:rsid w:val="00147DD5"/>
    <w:rsid w:val="00151D32"/>
    <w:rsid w:val="00156A8D"/>
    <w:rsid w:val="0016254D"/>
    <w:rsid w:val="00162DDA"/>
    <w:rsid w:val="00163136"/>
    <w:rsid w:val="00164209"/>
    <w:rsid w:val="001642C6"/>
    <w:rsid w:val="00165D61"/>
    <w:rsid w:val="00173293"/>
    <w:rsid w:val="00183585"/>
    <w:rsid w:val="0019502D"/>
    <w:rsid w:val="001A127E"/>
    <w:rsid w:val="001A1BAE"/>
    <w:rsid w:val="001A53DD"/>
    <w:rsid w:val="001B6CB6"/>
    <w:rsid w:val="001D7ED7"/>
    <w:rsid w:val="001E3E96"/>
    <w:rsid w:val="001E4503"/>
    <w:rsid w:val="001F28FE"/>
    <w:rsid w:val="001F5E4A"/>
    <w:rsid w:val="001F6A54"/>
    <w:rsid w:val="00202B6B"/>
    <w:rsid w:val="0020586B"/>
    <w:rsid w:val="002145B1"/>
    <w:rsid w:val="002148F5"/>
    <w:rsid w:val="00217520"/>
    <w:rsid w:val="002213E2"/>
    <w:rsid w:val="002250FE"/>
    <w:rsid w:val="00227506"/>
    <w:rsid w:val="00232E20"/>
    <w:rsid w:val="002426E8"/>
    <w:rsid w:val="00253E43"/>
    <w:rsid w:val="002559E2"/>
    <w:rsid w:val="00262CD6"/>
    <w:rsid w:val="00265358"/>
    <w:rsid w:val="002748BB"/>
    <w:rsid w:val="0028453B"/>
    <w:rsid w:val="00284BDF"/>
    <w:rsid w:val="002909B7"/>
    <w:rsid w:val="002A10A0"/>
    <w:rsid w:val="002A28B7"/>
    <w:rsid w:val="002A3B54"/>
    <w:rsid w:val="002B30BD"/>
    <w:rsid w:val="002B59B0"/>
    <w:rsid w:val="002B73B9"/>
    <w:rsid w:val="002C2921"/>
    <w:rsid w:val="002C32FB"/>
    <w:rsid w:val="002C3A85"/>
    <w:rsid w:val="002C66BA"/>
    <w:rsid w:val="002D0E9D"/>
    <w:rsid w:val="002D224E"/>
    <w:rsid w:val="002D5685"/>
    <w:rsid w:val="002E1F5B"/>
    <w:rsid w:val="002E4CF8"/>
    <w:rsid w:val="002F2703"/>
    <w:rsid w:val="002F55E6"/>
    <w:rsid w:val="002F6D14"/>
    <w:rsid w:val="002F7216"/>
    <w:rsid w:val="0030122E"/>
    <w:rsid w:val="00302F44"/>
    <w:rsid w:val="00326ABB"/>
    <w:rsid w:val="00331645"/>
    <w:rsid w:val="00335C80"/>
    <w:rsid w:val="00341644"/>
    <w:rsid w:val="00342B2B"/>
    <w:rsid w:val="00352FC2"/>
    <w:rsid w:val="00356A61"/>
    <w:rsid w:val="003627B4"/>
    <w:rsid w:val="00365F8F"/>
    <w:rsid w:val="003662D0"/>
    <w:rsid w:val="0037097C"/>
    <w:rsid w:val="00377668"/>
    <w:rsid w:val="00380470"/>
    <w:rsid w:val="00383354"/>
    <w:rsid w:val="00384255"/>
    <w:rsid w:val="003845D4"/>
    <w:rsid w:val="00384C59"/>
    <w:rsid w:val="00386756"/>
    <w:rsid w:val="00395E82"/>
    <w:rsid w:val="003C5190"/>
    <w:rsid w:val="003C531E"/>
    <w:rsid w:val="003C55FA"/>
    <w:rsid w:val="003D2FA8"/>
    <w:rsid w:val="003E1E1A"/>
    <w:rsid w:val="003E2B4F"/>
    <w:rsid w:val="003F0DB4"/>
    <w:rsid w:val="003F2EE9"/>
    <w:rsid w:val="003F7860"/>
    <w:rsid w:val="00400CE2"/>
    <w:rsid w:val="00403B8E"/>
    <w:rsid w:val="00410B75"/>
    <w:rsid w:val="0041771F"/>
    <w:rsid w:val="004319B8"/>
    <w:rsid w:val="00433824"/>
    <w:rsid w:val="00437196"/>
    <w:rsid w:val="00437992"/>
    <w:rsid w:val="00447F0F"/>
    <w:rsid w:val="00452051"/>
    <w:rsid w:val="0045788A"/>
    <w:rsid w:val="00460E48"/>
    <w:rsid w:val="00464AC0"/>
    <w:rsid w:val="004656D7"/>
    <w:rsid w:val="00475E55"/>
    <w:rsid w:val="004900FD"/>
    <w:rsid w:val="00491410"/>
    <w:rsid w:val="00494BBF"/>
    <w:rsid w:val="00497171"/>
    <w:rsid w:val="004A17BE"/>
    <w:rsid w:val="004A68D2"/>
    <w:rsid w:val="004A6E46"/>
    <w:rsid w:val="004B3B4A"/>
    <w:rsid w:val="004B4288"/>
    <w:rsid w:val="004B6B06"/>
    <w:rsid w:val="004D79B5"/>
    <w:rsid w:val="004E06A7"/>
    <w:rsid w:val="004F040F"/>
    <w:rsid w:val="004F1073"/>
    <w:rsid w:val="004F28DC"/>
    <w:rsid w:val="004F501A"/>
    <w:rsid w:val="0050146F"/>
    <w:rsid w:val="005036A8"/>
    <w:rsid w:val="00503779"/>
    <w:rsid w:val="00503FD4"/>
    <w:rsid w:val="005049BC"/>
    <w:rsid w:val="00516261"/>
    <w:rsid w:val="00520898"/>
    <w:rsid w:val="005209BD"/>
    <w:rsid w:val="00535C6E"/>
    <w:rsid w:val="00535FA9"/>
    <w:rsid w:val="005438B3"/>
    <w:rsid w:val="00543FEE"/>
    <w:rsid w:val="005545C0"/>
    <w:rsid w:val="0056391B"/>
    <w:rsid w:val="005701D4"/>
    <w:rsid w:val="00573396"/>
    <w:rsid w:val="00574602"/>
    <w:rsid w:val="005922CE"/>
    <w:rsid w:val="0059784C"/>
    <w:rsid w:val="005A0079"/>
    <w:rsid w:val="005B11A5"/>
    <w:rsid w:val="005B3B13"/>
    <w:rsid w:val="005B55F3"/>
    <w:rsid w:val="005C1CDA"/>
    <w:rsid w:val="005C542B"/>
    <w:rsid w:val="005D3446"/>
    <w:rsid w:val="005D5949"/>
    <w:rsid w:val="005E574B"/>
    <w:rsid w:val="005E6757"/>
    <w:rsid w:val="005F2D17"/>
    <w:rsid w:val="006008E1"/>
    <w:rsid w:val="0060358D"/>
    <w:rsid w:val="0060735E"/>
    <w:rsid w:val="00613E49"/>
    <w:rsid w:val="006152CE"/>
    <w:rsid w:val="00625AD9"/>
    <w:rsid w:val="00627188"/>
    <w:rsid w:val="00630085"/>
    <w:rsid w:val="006301C3"/>
    <w:rsid w:val="00651321"/>
    <w:rsid w:val="00653F58"/>
    <w:rsid w:val="006565BF"/>
    <w:rsid w:val="00661095"/>
    <w:rsid w:val="006663BB"/>
    <w:rsid w:val="0066748F"/>
    <w:rsid w:val="00671EB6"/>
    <w:rsid w:val="00674439"/>
    <w:rsid w:val="00681AF8"/>
    <w:rsid w:val="006837D0"/>
    <w:rsid w:val="006A430D"/>
    <w:rsid w:val="006A4DDB"/>
    <w:rsid w:val="006B03CB"/>
    <w:rsid w:val="006B4E4D"/>
    <w:rsid w:val="006C3545"/>
    <w:rsid w:val="006D54E3"/>
    <w:rsid w:val="006D7B90"/>
    <w:rsid w:val="006E5ABD"/>
    <w:rsid w:val="006F4325"/>
    <w:rsid w:val="006F4D78"/>
    <w:rsid w:val="0070467B"/>
    <w:rsid w:val="00706267"/>
    <w:rsid w:val="00714B28"/>
    <w:rsid w:val="00716DB0"/>
    <w:rsid w:val="007258F9"/>
    <w:rsid w:val="0072663F"/>
    <w:rsid w:val="0073006B"/>
    <w:rsid w:val="00737AFB"/>
    <w:rsid w:val="0074252C"/>
    <w:rsid w:val="00750C9A"/>
    <w:rsid w:val="007511AC"/>
    <w:rsid w:val="007573EF"/>
    <w:rsid w:val="00762594"/>
    <w:rsid w:val="007665E7"/>
    <w:rsid w:val="00771EC8"/>
    <w:rsid w:val="0077593B"/>
    <w:rsid w:val="00785986"/>
    <w:rsid w:val="007A4D18"/>
    <w:rsid w:val="007B0EDE"/>
    <w:rsid w:val="007B4AEA"/>
    <w:rsid w:val="007B772B"/>
    <w:rsid w:val="007D6965"/>
    <w:rsid w:val="007D79F3"/>
    <w:rsid w:val="007E0269"/>
    <w:rsid w:val="007E0534"/>
    <w:rsid w:val="007E4FC7"/>
    <w:rsid w:val="007E63DB"/>
    <w:rsid w:val="007F1A4A"/>
    <w:rsid w:val="007F269E"/>
    <w:rsid w:val="008065B6"/>
    <w:rsid w:val="00806BF0"/>
    <w:rsid w:val="008173B4"/>
    <w:rsid w:val="00817E17"/>
    <w:rsid w:val="00817EF5"/>
    <w:rsid w:val="00824D3C"/>
    <w:rsid w:val="00825E4B"/>
    <w:rsid w:val="008467FD"/>
    <w:rsid w:val="00846CDB"/>
    <w:rsid w:val="0085316B"/>
    <w:rsid w:val="00862685"/>
    <w:rsid w:val="008643C9"/>
    <w:rsid w:val="00866DD5"/>
    <w:rsid w:val="00881284"/>
    <w:rsid w:val="008842FB"/>
    <w:rsid w:val="00885CE9"/>
    <w:rsid w:val="00887687"/>
    <w:rsid w:val="00890904"/>
    <w:rsid w:val="008935CD"/>
    <w:rsid w:val="00895A4F"/>
    <w:rsid w:val="008A56D8"/>
    <w:rsid w:val="008A7EB2"/>
    <w:rsid w:val="008B12F3"/>
    <w:rsid w:val="008B1337"/>
    <w:rsid w:val="008B3692"/>
    <w:rsid w:val="008C325F"/>
    <w:rsid w:val="008C7484"/>
    <w:rsid w:val="008D014C"/>
    <w:rsid w:val="008D5340"/>
    <w:rsid w:val="008D790C"/>
    <w:rsid w:val="008E7984"/>
    <w:rsid w:val="009013AE"/>
    <w:rsid w:val="009024F2"/>
    <w:rsid w:val="009032BA"/>
    <w:rsid w:val="009036BF"/>
    <w:rsid w:val="009042D1"/>
    <w:rsid w:val="00905378"/>
    <w:rsid w:val="009146ED"/>
    <w:rsid w:val="0091725B"/>
    <w:rsid w:val="00920B62"/>
    <w:rsid w:val="0092711A"/>
    <w:rsid w:val="0092712B"/>
    <w:rsid w:val="00935AEE"/>
    <w:rsid w:val="00937C26"/>
    <w:rsid w:val="00946183"/>
    <w:rsid w:val="00964F0E"/>
    <w:rsid w:val="00970122"/>
    <w:rsid w:val="0097483E"/>
    <w:rsid w:val="0097666E"/>
    <w:rsid w:val="00982F2A"/>
    <w:rsid w:val="0098338C"/>
    <w:rsid w:val="00986245"/>
    <w:rsid w:val="0099140A"/>
    <w:rsid w:val="00991925"/>
    <w:rsid w:val="00994507"/>
    <w:rsid w:val="00997648"/>
    <w:rsid w:val="009A005B"/>
    <w:rsid w:val="009A049A"/>
    <w:rsid w:val="009A1FD0"/>
    <w:rsid w:val="009B0D90"/>
    <w:rsid w:val="009C491A"/>
    <w:rsid w:val="009E2C69"/>
    <w:rsid w:val="009E7E07"/>
    <w:rsid w:val="009F1106"/>
    <w:rsid w:val="009F5327"/>
    <w:rsid w:val="00A1245D"/>
    <w:rsid w:val="00A27945"/>
    <w:rsid w:val="00A32989"/>
    <w:rsid w:val="00A351B8"/>
    <w:rsid w:val="00A36CD9"/>
    <w:rsid w:val="00A41611"/>
    <w:rsid w:val="00A4328D"/>
    <w:rsid w:val="00A43550"/>
    <w:rsid w:val="00A43C59"/>
    <w:rsid w:val="00A45187"/>
    <w:rsid w:val="00A541D2"/>
    <w:rsid w:val="00A55D7E"/>
    <w:rsid w:val="00A5699F"/>
    <w:rsid w:val="00A6164C"/>
    <w:rsid w:val="00A736AA"/>
    <w:rsid w:val="00A82F36"/>
    <w:rsid w:val="00A83D23"/>
    <w:rsid w:val="00A84E9B"/>
    <w:rsid w:val="00A84FEA"/>
    <w:rsid w:val="00A9181E"/>
    <w:rsid w:val="00AA06AA"/>
    <w:rsid w:val="00AA5C29"/>
    <w:rsid w:val="00AB62D8"/>
    <w:rsid w:val="00AC3DCD"/>
    <w:rsid w:val="00AC7F3F"/>
    <w:rsid w:val="00AE4FC8"/>
    <w:rsid w:val="00B01D29"/>
    <w:rsid w:val="00B02FBD"/>
    <w:rsid w:val="00B077E7"/>
    <w:rsid w:val="00B14EC9"/>
    <w:rsid w:val="00B15452"/>
    <w:rsid w:val="00B23AF0"/>
    <w:rsid w:val="00B2654B"/>
    <w:rsid w:val="00B3113D"/>
    <w:rsid w:val="00B32079"/>
    <w:rsid w:val="00B42557"/>
    <w:rsid w:val="00B504F2"/>
    <w:rsid w:val="00B54E63"/>
    <w:rsid w:val="00B62ADE"/>
    <w:rsid w:val="00B67011"/>
    <w:rsid w:val="00B711C6"/>
    <w:rsid w:val="00B71AA1"/>
    <w:rsid w:val="00B74468"/>
    <w:rsid w:val="00B77019"/>
    <w:rsid w:val="00B81688"/>
    <w:rsid w:val="00B82AF2"/>
    <w:rsid w:val="00B8485C"/>
    <w:rsid w:val="00B86180"/>
    <w:rsid w:val="00B86B6F"/>
    <w:rsid w:val="00B87EE3"/>
    <w:rsid w:val="00B906FF"/>
    <w:rsid w:val="00B93BF5"/>
    <w:rsid w:val="00BA618F"/>
    <w:rsid w:val="00BB0D85"/>
    <w:rsid w:val="00BD022B"/>
    <w:rsid w:val="00BD1AD2"/>
    <w:rsid w:val="00BE2FA2"/>
    <w:rsid w:val="00BE45B7"/>
    <w:rsid w:val="00BE740C"/>
    <w:rsid w:val="00BF3DA8"/>
    <w:rsid w:val="00BF475A"/>
    <w:rsid w:val="00C0302F"/>
    <w:rsid w:val="00C03378"/>
    <w:rsid w:val="00C06C07"/>
    <w:rsid w:val="00C12C9B"/>
    <w:rsid w:val="00C1426C"/>
    <w:rsid w:val="00C16DA4"/>
    <w:rsid w:val="00C17F3C"/>
    <w:rsid w:val="00C2469D"/>
    <w:rsid w:val="00C24E95"/>
    <w:rsid w:val="00C26650"/>
    <w:rsid w:val="00C27178"/>
    <w:rsid w:val="00C343BB"/>
    <w:rsid w:val="00C35A04"/>
    <w:rsid w:val="00C515FB"/>
    <w:rsid w:val="00C54929"/>
    <w:rsid w:val="00C56A78"/>
    <w:rsid w:val="00C63AD4"/>
    <w:rsid w:val="00C66F92"/>
    <w:rsid w:val="00C67C1A"/>
    <w:rsid w:val="00C67D04"/>
    <w:rsid w:val="00C70C10"/>
    <w:rsid w:val="00C90C5A"/>
    <w:rsid w:val="00C9193F"/>
    <w:rsid w:val="00C97E40"/>
    <w:rsid w:val="00CA2D71"/>
    <w:rsid w:val="00CC333D"/>
    <w:rsid w:val="00CC7B58"/>
    <w:rsid w:val="00CD1196"/>
    <w:rsid w:val="00CF3B3D"/>
    <w:rsid w:val="00D00A83"/>
    <w:rsid w:val="00D07C77"/>
    <w:rsid w:val="00D14F62"/>
    <w:rsid w:val="00D1791F"/>
    <w:rsid w:val="00D23801"/>
    <w:rsid w:val="00D31A7B"/>
    <w:rsid w:val="00D33E9A"/>
    <w:rsid w:val="00D3561C"/>
    <w:rsid w:val="00D35CBD"/>
    <w:rsid w:val="00D407A9"/>
    <w:rsid w:val="00D43D8B"/>
    <w:rsid w:val="00D525EA"/>
    <w:rsid w:val="00D542A2"/>
    <w:rsid w:val="00D724E0"/>
    <w:rsid w:val="00D76ED0"/>
    <w:rsid w:val="00D77DFD"/>
    <w:rsid w:val="00D814A0"/>
    <w:rsid w:val="00D81830"/>
    <w:rsid w:val="00D90094"/>
    <w:rsid w:val="00D909B0"/>
    <w:rsid w:val="00D90D91"/>
    <w:rsid w:val="00D9414D"/>
    <w:rsid w:val="00DA3E15"/>
    <w:rsid w:val="00DA4911"/>
    <w:rsid w:val="00DC0D35"/>
    <w:rsid w:val="00DE2995"/>
    <w:rsid w:val="00DE2E37"/>
    <w:rsid w:val="00DE3082"/>
    <w:rsid w:val="00DE3172"/>
    <w:rsid w:val="00DF3904"/>
    <w:rsid w:val="00DF4295"/>
    <w:rsid w:val="00E0354F"/>
    <w:rsid w:val="00E119CB"/>
    <w:rsid w:val="00E22D4B"/>
    <w:rsid w:val="00E26CB0"/>
    <w:rsid w:val="00E35B0B"/>
    <w:rsid w:val="00E37532"/>
    <w:rsid w:val="00E43700"/>
    <w:rsid w:val="00E45F4E"/>
    <w:rsid w:val="00E461E8"/>
    <w:rsid w:val="00E53C32"/>
    <w:rsid w:val="00E54B8C"/>
    <w:rsid w:val="00E54FB5"/>
    <w:rsid w:val="00E5528F"/>
    <w:rsid w:val="00E5759C"/>
    <w:rsid w:val="00E57AF3"/>
    <w:rsid w:val="00E6000C"/>
    <w:rsid w:val="00E60B25"/>
    <w:rsid w:val="00E62F2B"/>
    <w:rsid w:val="00E701DD"/>
    <w:rsid w:val="00E70F3A"/>
    <w:rsid w:val="00E75AAB"/>
    <w:rsid w:val="00E80B52"/>
    <w:rsid w:val="00E81743"/>
    <w:rsid w:val="00E903A9"/>
    <w:rsid w:val="00E9480B"/>
    <w:rsid w:val="00EA15E0"/>
    <w:rsid w:val="00EA33C5"/>
    <w:rsid w:val="00EA7FF2"/>
    <w:rsid w:val="00EB2A91"/>
    <w:rsid w:val="00EC2049"/>
    <w:rsid w:val="00ED2A18"/>
    <w:rsid w:val="00ED2D67"/>
    <w:rsid w:val="00ED6A3E"/>
    <w:rsid w:val="00EE226A"/>
    <w:rsid w:val="00EE2609"/>
    <w:rsid w:val="00EF1F97"/>
    <w:rsid w:val="00EF6F52"/>
    <w:rsid w:val="00EF6FD0"/>
    <w:rsid w:val="00EF7C7C"/>
    <w:rsid w:val="00EF7FE6"/>
    <w:rsid w:val="00F00DA5"/>
    <w:rsid w:val="00F02D6D"/>
    <w:rsid w:val="00F04955"/>
    <w:rsid w:val="00F15E63"/>
    <w:rsid w:val="00F2228F"/>
    <w:rsid w:val="00F2289C"/>
    <w:rsid w:val="00F30E80"/>
    <w:rsid w:val="00F369A1"/>
    <w:rsid w:val="00F4024B"/>
    <w:rsid w:val="00F43960"/>
    <w:rsid w:val="00F509BB"/>
    <w:rsid w:val="00F5249E"/>
    <w:rsid w:val="00F547EC"/>
    <w:rsid w:val="00F55A06"/>
    <w:rsid w:val="00F57599"/>
    <w:rsid w:val="00F603DD"/>
    <w:rsid w:val="00F64A73"/>
    <w:rsid w:val="00F65C5E"/>
    <w:rsid w:val="00F662F5"/>
    <w:rsid w:val="00F7410E"/>
    <w:rsid w:val="00F82262"/>
    <w:rsid w:val="00F84BB8"/>
    <w:rsid w:val="00F93884"/>
    <w:rsid w:val="00F939D7"/>
    <w:rsid w:val="00FA1325"/>
    <w:rsid w:val="00FA33D9"/>
    <w:rsid w:val="00FA39F1"/>
    <w:rsid w:val="00FA6173"/>
    <w:rsid w:val="00FA7184"/>
    <w:rsid w:val="00FB341E"/>
    <w:rsid w:val="00FB46B9"/>
    <w:rsid w:val="00FD1963"/>
    <w:rsid w:val="00FD4C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E66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5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525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525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525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525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D525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D525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D525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5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5EA"/>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D525EA"/>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D525EA"/>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D525EA"/>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D525EA"/>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D525EA"/>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D525EA"/>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D525EA"/>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D525EA"/>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D525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5EA"/>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D525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5EA"/>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D525EA"/>
    <w:pPr>
      <w:spacing w:before="160"/>
      <w:jc w:val="center"/>
    </w:pPr>
    <w:rPr>
      <w:i/>
      <w:iCs/>
      <w:color w:val="404040" w:themeColor="text1" w:themeTint="BF"/>
    </w:rPr>
  </w:style>
  <w:style w:type="character" w:customStyle="1" w:styleId="QuoteChar">
    <w:name w:val="Quote Char"/>
    <w:basedOn w:val="DefaultParagraphFont"/>
    <w:link w:val="Quote"/>
    <w:uiPriority w:val="29"/>
    <w:rsid w:val="00D525EA"/>
    <w:rPr>
      <w:i/>
      <w:iCs/>
      <w:color w:val="404040" w:themeColor="text1" w:themeTint="BF"/>
      <w:lang w:val="lv-LV"/>
    </w:rPr>
  </w:style>
  <w:style w:type="paragraph" w:styleId="ListParagraph">
    <w:name w:val="List Paragraph"/>
    <w:basedOn w:val="Normal"/>
    <w:uiPriority w:val="1"/>
    <w:qFormat/>
    <w:rsid w:val="00D525EA"/>
    <w:pPr>
      <w:ind w:left="720"/>
      <w:contextualSpacing/>
    </w:pPr>
  </w:style>
  <w:style w:type="character" w:styleId="IntenseEmphasis">
    <w:name w:val="Intense Emphasis"/>
    <w:basedOn w:val="DefaultParagraphFont"/>
    <w:uiPriority w:val="21"/>
    <w:qFormat/>
    <w:rsid w:val="00D525EA"/>
    <w:rPr>
      <w:i/>
      <w:iCs/>
      <w:color w:val="0F4761" w:themeColor="accent1" w:themeShade="BF"/>
    </w:rPr>
  </w:style>
  <w:style w:type="paragraph" w:styleId="IntenseQuote">
    <w:name w:val="Intense Quote"/>
    <w:basedOn w:val="Normal"/>
    <w:next w:val="Normal"/>
    <w:link w:val="IntenseQuoteChar"/>
    <w:uiPriority w:val="30"/>
    <w:qFormat/>
    <w:rsid w:val="00D52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5EA"/>
    <w:rPr>
      <w:i/>
      <w:iCs/>
      <w:color w:val="0F4761" w:themeColor="accent1" w:themeShade="BF"/>
      <w:lang w:val="lv-LV"/>
    </w:rPr>
  </w:style>
  <w:style w:type="character" w:styleId="IntenseReference">
    <w:name w:val="Intense Reference"/>
    <w:basedOn w:val="DefaultParagraphFont"/>
    <w:uiPriority w:val="32"/>
    <w:qFormat/>
    <w:rsid w:val="00D525EA"/>
    <w:rPr>
      <w:b/>
      <w:bCs/>
      <w:smallCaps/>
      <w:color w:val="0F4761" w:themeColor="accent1" w:themeShade="BF"/>
      <w:spacing w:val="5"/>
    </w:rPr>
  </w:style>
  <w:style w:type="numbering" w:customStyle="1" w:styleId="NoList1">
    <w:name w:val="No List1"/>
    <w:next w:val="NoList"/>
    <w:uiPriority w:val="99"/>
    <w:semiHidden/>
    <w:unhideWhenUsed/>
    <w:rsid w:val="002C2921"/>
  </w:style>
  <w:style w:type="paragraph" w:styleId="TOC1">
    <w:name w:val="toc 1"/>
    <w:basedOn w:val="Normal"/>
    <w:uiPriority w:val="39"/>
    <w:qFormat/>
    <w:rsid w:val="002C2921"/>
    <w:pPr>
      <w:widowControl w:val="0"/>
      <w:autoSpaceDE w:val="0"/>
      <w:autoSpaceDN w:val="0"/>
      <w:spacing w:before="218" w:after="0" w:line="240" w:lineRule="auto"/>
      <w:ind w:left="243"/>
    </w:pPr>
    <w:rPr>
      <w:rFonts w:ascii="Arial" w:eastAsia="Arial" w:hAnsi="Arial" w:cs="Arial"/>
      <w:b/>
      <w:bCs/>
      <w:kern w:val="0"/>
      <w:sz w:val="28"/>
      <w:szCs w:val="28"/>
      <w14:ligatures w14:val="none"/>
    </w:rPr>
  </w:style>
  <w:style w:type="paragraph" w:styleId="TOC2">
    <w:name w:val="toc 2"/>
    <w:basedOn w:val="Normal"/>
    <w:uiPriority w:val="1"/>
    <w:qFormat/>
    <w:rsid w:val="002C2921"/>
    <w:pPr>
      <w:widowControl w:val="0"/>
      <w:autoSpaceDE w:val="0"/>
      <w:autoSpaceDN w:val="0"/>
      <w:spacing w:before="218" w:after="0" w:line="240" w:lineRule="auto"/>
      <w:ind w:left="433" w:hanging="190"/>
    </w:pPr>
    <w:rPr>
      <w:rFonts w:ascii="Arial" w:eastAsia="Arial" w:hAnsi="Arial" w:cs="Arial"/>
      <w:kern w:val="0"/>
      <w:sz w:val="28"/>
      <w:szCs w:val="28"/>
      <w14:ligatures w14:val="none"/>
    </w:rPr>
  </w:style>
  <w:style w:type="paragraph" w:styleId="TOC3">
    <w:name w:val="toc 3"/>
    <w:basedOn w:val="Normal"/>
    <w:uiPriority w:val="1"/>
    <w:qFormat/>
    <w:rsid w:val="002C2921"/>
    <w:pPr>
      <w:widowControl w:val="0"/>
      <w:autoSpaceDE w:val="0"/>
      <w:autoSpaceDN w:val="0"/>
      <w:spacing w:after="0" w:line="311" w:lineRule="exact"/>
      <w:ind w:left="526"/>
    </w:pPr>
    <w:rPr>
      <w:rFonts w:ascii="Arial" w:eastAsia="Arial" w:hAnsi="Arial" w:cs="Arial"/>
      <w:kern w:val="0"/>
      <w:sz w:val="28"/>
      <w:szCs w:val="28"/>
      <w14:ligatures w14:val="none"/>
    </w:rPr>
  </w:style>
  <w:style w:type="paragraph" w:styleId="TOC4">
    <w:name w:val="toc 4"/>
    <w:basedOn w:val="Normal"/>
    <w:uiPriority w:val="1"/>
    <w:qFormat/>
    <w:rsid w:val="002C2921"/>
    <w:pPr>
      <w:widowControl w:val="0"/>
      <w:autoSpaceDE w:val="0"/>
      <w:autoSpaceDN w:val="0"/>
      <w:spacing w:before="29" w:after="0" w:line="240" w:lineRule="auto"/>
      <w:ind w:left="526"/>
    </w:pPr>
    <w:rPr>
      <w:rFonts w:ascii="Arial" w:eastAsia="Arial" w:hAnsi="Arial" w:cs="Arial"/>
      <w:kern w:val="0"/>
      <w:sz w:val="20"/>
      <w:szCs w:val="20"/>
      <w14:ligatures w14:val="none"/>
    </w:rPr>
  </w:style>
  <w:style w:type="paragraph" w:styleId="BodyText">
    <w:name w:val="Body Text"/>
    <w:basedOn w:val="Normal"/>
    <w:link w:val="BodyTextChar"/>
    <w:uiPriority w:val="1"/>
    <w:qFormat/>
    <w:rsid w:val="002C2921"/>
    <w:pPr>
      <w:widowControl w:val="0"/>
      <w:autoSpaceDE w:val="0"/>
      <w:autoSpaceDN w:val="0"/>
      <w:spacing w:after="0" w:line="240" w:lineRule="auto"/>
      <w:ind w:left="243"/>
      <w:jc w:val="both"/>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2C2921"/>
    <w:rPr>
      <w:rFonts w:ascii="Arial" w:eastAsia="Arial" w:hAnsi="Arial" w:cs="Arial"/>
      <w:kern w:val="0"/>
      <w:sz w:val="20"/>
      <w:szCs w:val="20"/>
      <w:lang w:val="lv-LV"/>
      <w14:ligatures w14:val="none"/>
    </w:rPr>
  </w:style>
  <w:style w:type="paragraph" w:customStyle="1" w:styleId="TableParagraph">
    <w:name w:val="Table Paragraph"/>
    <w:basedOn w:val="Normal"/>
    <w:uiPriority w:val="1"/>
    <w:qFormat/>
    <w:rsid w:val="002C2921"/>
    <w:pPr>
      <w:widowControl w:val="0"/>
      <w:autoSpaceDE w:val="0"/>
      <w:autoSpaceDN w:val="0"/>
      <w:spacing w:before="71" w:after="0" w:line="240" w:lineRule="auto"/>
      <w:ind w:left="50"/>
    </w:pPr>
    <w:rPr>
      <w:rFonts w:ascii="Arial" w:eastAsia="Arial" w:hAnsi="Arial" w:cs="Arial"/>
      <w:kern w:val="0"/>
      <w14:ligatures w14:val="none"/>
    </w:rPr>
  </w:style>
  <w:style w:type="paragraph" w:styleId="Header">
    <w:name w:val="header"/>
    <w:basedOn w:val="Normal"/>
    <w:link w:val="HeaderChar"/>
    <w:unhideWhenUsed/>
    <w:rsid w:val="00E7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AAB"/>
    <w:rPr>
      <w:lang w:val="lv-LV"/>
    </w:rPr>
  </w:style>
  <w:style w:type="paragraph" w:styleId="Footer">
    <w:name w:val="footer"/>
    <w:basedOn w:val="Normal"/>
    <w:link w:val="FooterChar"/>
    <w:unhideWhenUsed/>
    <w:rsid w:val="00E7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AAB"/>
    <w:rPr>
      <w:lang w:val="lv-LV"/>
    </w:rPr>
  </w:style>
  <w:style w:type="character" w:styleId="Hyperlink">
    <w:name w:val="Hyperlink"/>
    <w:basedOn w:val="DefaultParagraphFont"/>
    <w:uiPriority w:val="99"/>
    <w:unhideWhenUsed/>
    <w:rsid w:val="002F7216"/>
    <w:rPr>
      <w:color w:val="467886" w:themeColor="hyperlink"/>
      <w:u w:val="single"/>
    </w:rPr>
  </w:style>
  <w:style w:type="character" w:styleId="UnresolvedMention">
    <w:name w:val="Unresolved Mention"/>
    <w:basedOn w:val="DefaultParagraphFont"/>
    <w:uiPriority w:val="99"/>
    <w:semiHidden/>
    <w:unhideWhenUsed/>
    <w:rsid w:val="002F7216"/>
    <w:rPr>
      <w:color w:val="605E5C"/>
      <w:shd w:val="clear" w:color="auto" w:fill="E1DFDD"/>
    </w:rPr>
  </w:style>
  <w:style w:type="character" w:styleId="PageNumber">
    <w:name w:val="page number"/>
    <w:basedOn w:val="DefaultParagraphFont"/>
    <w:semiHidden/>
    <w:rsid w:val="00A4328D"/>
  </w:style>
  <w:style w:type="paragraph" w:styleId="TOCHeading">
    <w:name w:val="TOC Heading"/>
    <w:basedOn w:val="Heading1"/>
    <w:next w:val="Normal"/>
    <w:uiPriority w:val="39"/>
    <w:unhideWhenUsed/>
    <w:qFormat/>
    <w:rsid w:val="002D5685"/>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787/896d79d1-en" TargetMode="External"/><Relationship Id="rId26" Type="http://schemas.openxmlformats.org/officeDocument/2006/relationships/hyperlink" Target="https://eur-lex.europa.eu/legal-content/EN/TXT/?uri=CELEX%3A02016R0679-20160504&amp;qid=1532348683434" TargetMode="External"/><Relationship Id="rId39" Type="http://schemas.openxmlformats.org/officeDocument/2006/relationships/fontTable" Target="fontTable.xml"/><Relationship Id="rId21" Type="http://schemas.openxmlformats.org/officeDocument/2006/relationships/hyperlink" Target="https://www.oecd.org/about/publishing/Corrigendum_International-Standards-for-Automatic-Exchange-of-Information-in-Tax-Matters.pdf" TargetMode="External"/><Relationship Id="rId34"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ur02.safelinks.protection.outlook.com/?url=http%3A%2F%2Flegalinstruments.oecd.org%2F&amp;data=02%7C01%7CCeline.FOLSCHE%40oecd.org%7Cd26fd3157b42496ec11d08d82e361fba%7Cac41c7d41f61460db0f4fc925a2b471c%7C0%7C1%7C637310157290660634&amp;sdata=gZV7fVXOWqYr%2FMa4Kj%2FwAho4xZX5OrZ9FTV7Tdu9vv4%3D&amp;reserved=0" TargetMode="External"/><Relationship Id="rId25" Type="http://schemas.openxmlformats.org/officeDocument/2006/relationships/image" Target="media/image6.jpeg"/><Relationship Id="rId33" Type="http://schemas.openxmlformats.org/officeDocument/2006/relationships/hyperlink" Target="http://legalinstruments.oecd.org/" TargetMode="Externa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legalinstruments.oecd.org/en/instruments/OECD-LEGAL-0407" TargetMode="External"/><Relationship Id="rId20" Type="http://schemas.openxmlformats.org/officeDocument/2006/relationships/hyperlink" Target="https://www.oecd.org/about/publishing/Corrigendum_International-Standards-for-Automatic-Exchange-of-Information-in-Tax-Matters.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egalinstruments.oecd.org/en/instruments/OECD-LEGAL-0407" TargetMode="External"/><Relationship Id="rId32" Type="http://schemas.openxmlformats.org/officeDocument/2006/relationships/hyperlink" Target="https://legalinstruments.oecd.org/en/instruments/OECD-LEGAL-0407"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oecd.org/termsandconditions" TargetMode="External"/><Relationship Id="rId28" Type="http://schemas.openxmlformats.org/officeDocument/2006/relationships/header" Target="header1.xm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doi.org/10.1787/896d79d1-en"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oecd.org/about/publishing/corrigenda.htm" TargetMode="External"/><Relationship Id="rId27" Type="http://schemas.openxmlformats.org/officeDocument/2006/relationships/hyperlink" Target="https://eur-lex.europa.eu/legal-content/EN/TXT/?uri=CELEX%3A02016R0679-20160504&amp;qid=1532348683434" TargetMode="External"/><Relationship Id="rId30" Type="http://schemas.openxmlformats.org/officeDocument/2006/relationships/header" Target="header2.xm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19974-2374-4790-AAA5-D7FC9FDC6EF8}">
  <ds:schemaRefs>
    <ds:schemaRef ds:uri="http://schemas.microsoft.com/sharepoint/v3/contenttype/forms"/>
  </ds:schemaRefs>
</ds:datastoreItem>
</file>

<file path=customXml/itemProps2.xml><?xml version="1.0" encoding="utf-8"?>
<ds:datastoreItem xmlns:ds="http://schemas.openxmlformats.org/officeDocument/2006/customXml" ds:itemID="{285DB0A2-EA29-4C9D-BFFA-E32A3C49A03B}">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615648BD-533A-43E6-8FE8-DF9AA8B9D505}"/>
</file>

<file path=customXml/itemProps4.xml><?xml version="1.0" encoding="utf-8"?>
<ds:datastoreItem xmlns:ds="http://schemas.openxmlformats.org/officeDocument/2006/customXml" ds:itemID="{6EEE64BD-76A7-48C6-BB66-C23AB1B06C83}">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142</Pages>
  <Words>68349</Words>
  <Characters>389595</Characters>
  <Application>Microsoft Office Word</Application>
  <DocSecurity>0</DocSecurity>
  <Lines>3246</Lines>
  <Paragraphs>914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2025-10-30T14:00:00Z</dcterms:created>
  <dcterms:modified xsi:type="dcterms:W3CDTF">2026-10-01T11:04:00Z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0x0101006747409639620A48BB08F713A1AC624B</vt:lpwstr>
  </property>
</Properties>
</file>