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DE2" w:rsidRPr="00C42F20" w:rsidRDefault="00D80DE2" w:rsidP="00D80DE2">
      <w:pPr>
        <w:widowControl w:val="0"/>
        <w:spacing w:after="0"/>
        <w:rPr>
          <w:rFonts w:ascii="Times New Roman" w:hAnsi="Times New Roman" w:cs="Times New Roman"/>
          <w:sz w:val="20"/>
          <w:szCs w:val="20"/>
        </w:rPr>
      </w:pPr>
      <w:r w:rsidRPr="00C42F20">
        <w:rPr>
          <w:rFonts w:ascii="Times New Roman" w:hAnsi="Times New Roman" w:cs="Times New Roman"/>
          <w:sz w:val="20"/>
          <w:szCs w:val="20"/>
        </w:rPr>
        <w:t>Text consolidated by Valsts valodas centrs (State Language Centre) with amending regulations of:</w:t>
      </w:r>
    </w:p>
    <w:p w:rsidR="00D80DE2" w:rsidRPr="00C42F20" w:rsidRDefault="00D80DE2" w:rsidP="00D80DE2">
      <w:pPr>
        <w:pStyle w:val="Tekstabloks"/>
        <w:ind w:left="0" w:right="0"/>
        <w:jc w:val="center"/>
      </w:pPr>
      <w:r w:rsidRPr="00C42F20">
        <w:t>19 February 2013 [shall come into force on 22 February 2013];</w:t>
      </w:r>
    </w:p>
    <w:p w:rsidR="00D80DE2" w:rsidRDefault="00D80DE2" w:rsidP="00D80DE2">
      <w:pPr>
        <w:pStyle w:val="Tekstabloks"/>
        <w:ind w:left="0" w:right="0"/>
        <w:jc w:val="center"/>
      </w:pPr>
      <w:r w:rsidRPr="00C42F20">
        <w:t>10 September 2013 [shall come into force on 1 January 2014</w:t>
      </w:r>
      <w:r>
        <w:t>];</w:t>
      </w:r>
    </w:p>
    <w:p w:rsidR="00D80DE2" w:rsidRDefault="00D80DE2" w:rsidP="00D80DE2">
      <w:pPr>
        <w:pStyle w:val="Tekstabloks"/>
        <w:ind w:left="0" w:right="0"/>
        <w:jc w:val="center"/>
      </w:pPr>
      <w:r>
        <w:t>23 August 2016 [shall come into force from 26 August 2016];</w:t>
      </w:r>
    </w:p>
    <w:p w:rsidR="00D80DE2" w:rsidRPr="00C42F20" w:rsidRDefault="00D80DE2" w:rsidP="00D80DE2">
      <w:pPr>
        <w:pStyle w:val="Tekstabloks"/>
        <w:ind w:left="0" w:right="0"/>
        <w:jc w:val="center"/>
      </w:pPr>
      <w:r>
        <w:t>28 March 2017 [shall come into force from 6 April 2017].</w:t>
      </w:r>
    </w:p>
    <w:p w:rsidR="00D80DE2" w:rsidRPr="00C42F20" w:rsidRDefault="00D80DE2" w:rsidP="00D80DE2">
      <w:pPr>
        <w:widowControl w:val="0"/>
        <w:spacing w:after="0"/>
        <w:rPr>
          <w:rFonts w:ascii="Times New Roman" w:hAnsi="Times New Roman" w:cs="Times New Roman"/>
          <w:sz w:val="20"/>
          <w:szCs w:val="20"/>
        </w:rPr>
      </w:pPr>
      <w:r w:rsidRPr="00C42F20">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D80DE2" w:rsidRDefault="00D80DE2" w:rsidP="00D80DE2">
      <w:pPr>
        <w:spacing w:after="0"/>
        <w:rPr>
          <w:rFonts w:ascii="Times New Roman" w:hAnsi="Times New Roman" w:cs="Times New Roman"/>
          <w:sz w:val="24"/>
          <w:szCs w:val="24"/>
        </w:rPr>
      </w:pPr>
    </w:p>
    <w:p w:rsidR="00D80DE2" w:rsidRDefault="00D80DE2" w:rsidP="00D80DE2">
      <w:pPr>
        <w:spacing w:after="0"/>
        <w:rPr>
          <w:rFonts w:ascii="Times New Roman" w:hAnsi="Times New Roman" w:cs="Times New Roman"/>
          <w:sz w:val="24"/>
          <w:szCs w:val="24"/>
        </w:rPr>
      </w:pPr>
    </w:p>
    <w:p w:rsidR="00D80DE2" w:rsidRPr="00C42F20" w:rsidRDefault="00D80DE2" w:rsidP="00D80DE2">
      <w:pPr>
        <w:spacing w:after="0"/>
        <w:jc w:val="center"/>
        <w:rPr>
          <w:rFonts w:ascii="Times New Roman" w:hAnsi="Times New Roman" w:cs="Times New Roman"/>
          <w:sz w:val="24"/>
          <w:szCs w:val="24"/>
        </w:rPr>
      </w:pPr>
      <w:r w:rsidRPr="00C42F20">
        <w:rPr>
          <w:rFonts w:ascii="Times New Roman" w:hAnsi="Times New Roman" w:cs="Times New Roman"/>
          <w:sz w:val="24"/>
          <w:szCs w:val="24"/>
        </w:rPr>
        <w:t>Republic of Latvia</w:t>
      </w:r>
    </w:p>
    <w:p w:rsidR="00D80DE2" w:rsidRPr="00DE351C" w:rsidRDefault="00D80DE2" w:rsidP="00D80DE2">
      <w:pPr>
        <w:widowControl w:val="0"/>
        <w:spacing w:after="0"/>
        <w:jc w:val="center"/>
        <w:rPr>
          <w:rFonts w:ascii="Times New Roman" w:hAnsi="Times New Roman" w:cs="Times New Roman"/>
          <w:sz w:val="24"/>
          <w:szCs w:val="24"/>
        </w:rPr>
      </w:pPr>
    </w:p>
    <w:p w:rsidR="003300F8" w:rsidRDefault="009741EF" w:rsidP="003300F8">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9741EF" w:rsidRPr="003300F8" w:rsidRDefault="009741EF" w:rsidP="003300F8">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312</w:t>
      </w:r>
    </w:p>
    <w:p w:rsidR="009741EF" w:rsidRDefault="009741EF" w:rsidP="003300F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19 April 2011</w:t>
      </w:r>
    </w:p>
    <w:p w:rsidR="003300F8" w:rsidRDefault="003300F8" w:rsidP="009741EF">
      <w:pPr>
        <w:spacing w:after="0" w:line="240" w:lineRule="auto"/>
        <w:jc w:val="both"/>
        <w:rPr>
          <w:rFonts w:ascii="Times New Roman" w:eastAsia="Times New Roman" w:hAnsi="Times New Roman" w:cs="Times New Roman"/>
          <w:noProof/>
          <w:sz w:val="24"/>
          <w:szCs w:val="24"/>
        </w:rPr>
      </w:pPr>
    </w:p>
    <w:p w:rsidR="003300F8" w:rsidRPr="009741EF" w:rsidRDefault="003300F8" w:rsidP="009741EF">
      <w:pPr>
        <w:spacing w:after="0" w:line="240" w:lineRule="auto"/>
        <w:jc w:val="both"/>
        <w:rPr>
          <w:rFonts w:ascii="Times New Roman" w:eastAsia="Times New Roman" w:hAnsi="Times New Roman" w:cs="Times New Roman"/>
          <w:noProof/>
          <w:sz w:val="24"/>
          <w:szCs w:val="24"/>
        </w:rPr>
      </w:pPr>
    </w:p>
    <w:p w:rsidR="003300F8" w:rsidRPr="00666F4E" w:rsidRDefault="009741EF" w:rsidP="00666F4E">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Supply of Energy Users and Sale of Heating Fuel During Declared Energy Crisis and in Case of Endangerment to the State</w:t>
      </w:r>
    </w:p>
    <w:p w:rsidR="00666F4E" w:rsidRPr="00596D97" w:rsidRDefault="009741EF" w:rsidP="00666F4E">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[19 February 2013]</w:t>
      </w:r>
    </w:p>
    <w:p w:rsidR="00666F4E" w:rsidRDefault="00666F4E" w:rsidP="00666F4E">
      <w:pPr>
        <w:spacing w:after="0" w:line="240" w:lineRule="auto"/>
        <w:jc w:val="center"/>
        <w:rPr>
          <w:rFonts w:ascii="Times New Roman" w:eastAsia="Times New Roman" w:hAnsi="Times New Roman" w:cs="Times New Roman"/>
          <w:i/>
          <w:noProof/>
          <w:sz w:val="24"/>
          <w:szCs w:val="24"/>
        </w:rPr>
      </w:pPr>
    </w:p>
    <w:p w:rsidR="00666F4E" w:rsidRDefault="00666F4E" w:rsidP="00666F4E">
      <w:pPr>
        <w:spacing w:after="0" w:line="240" w:lineRule="auto"/>
        <w:jc w:val="center"/>
        <w:rPr>
          <w:rFonts w:ascii="Times New Roman" w:eastAsia="Times New Roman" w:hAnsi="Times New Roman" w:cs="Times New Roman"/>
          <w:i/>
          <w:noProof/>
          <w:sz w:val="24"/>
          <w:szCs w:val="24"/>
        </w:rPr>
      </w:pPr>
    </w:p>
    <w:p w:rsidR="004C2544" w:rsidRDefault="009741EF" w:rsidP="003300F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 xml:space="preserve">Issued pursuant to </w:t>
      </w:r>
    </w:p>
    <w:p w:rsidR="004C2544" w:rsidRDefault="009741EF" w:rsidP="003300F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64, Paragraph one and Section 73 of the Energy Law and Section 9, Clause 7, Sub-clause “a” of the Mobilisation Law</w:t>
      </w:r>
    </w:p>
    <w:p w:rsidR="004C2544" w:rsidRDefault="009741EF" w:rsidP="004C2544">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[19 February 2013]</w:t>
      </w:r>
      <w:bookmarkStart w:id="0" w:name="n1"/>
      <w:bookmarkEnd w:id="0"/>
    </w:p>
    <w:p w:rsidR="004C2544" w:rsidRDefault="004C2544" w:rsidP="009741EF">
      <w:pPr>
        <w:spacing w:after="0" w:line="240" w:lineRule="auto"/>
        <w:jc w:val="both"/>
        <w:rPr>
          <w:rFonts w:ascii="Times New Roman" w:eastAsia="Times New Roman" w:hAnsi="Times New Roman" w:cs="Times New Roman"/>
          <w:noProof/>
          <w:sz w:val="24"/>
          <w:szCs w:val="24"/>
        </w:rPr>
      </w:pPr>
    </w:p>
    <w:p w:rsidR="00B66401" w:rsidRDefault="00B66401" w:rsidP="009741EF">
      <w:pPr>
        <w:spacing w:after="0" w:line="240" w:lineRule="auto"/>
        <w:jc w:val="both"/>
        <w:rPr>
          <w:rFonts w:ascii="Times New Roman" w:eastAsia="Times New Roman" w:hAnsi="Times New Roman" w:cs="Times New Roman"/>
          <w:noProof/>
          <w:sz w:val="24"/>
          <w:szCs w:val="24"/>
        </w:rPr>
      </w:pPr>
    </w:p>
    <w:p w:rsidR="009741EF" w:rsidRPr="004C2544" w:rsidRDefault="009741EF" w:rsidP="004C254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 General Provisions</w:t>
      </w:r>
    </w:p>
    <w:p w:rsidR="004C2544" w:rsidRDefault="004C2544" w:rsidP="009741EF">
      <w:pPr>
        <w:spacing w:after="0" w:line="240" w:lineRule="auto"/>
        <w:jc w:val="both"/>
        <w:rPr>
          <w:rFonts w:ascii="Times New Roman" w:eastAsia="Times New Roman" w:hAnsi="Times New Roman" w:cs="Times New Roman"/>
          <w:noProof/>
          <w:sz w:val="24"/>
          <w:szCs w:val="24"/>
        </w:rPr>
      </w:pPr>
      <w:bookmarkStart w:id="1" w:name="p1"/>
      <w:bookmarkStart w:id="2" w:name="p-392011"/>
      <w:bookmarkEnd w:id="1"/>
      <w:bookmarkEnd w:id="2"/>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energy users shall be supplied with energy during a declared State or local energy crisis, and the procedures by which the energy supply merchants, merchants ensuring and providing the security reserves service and merchants to which licences have been issued in accordance with the procedures laid down in laws and regulations for the performance of entrepreneurial activities related to fuel (hereinafter – fuel merchants) shall sell heating fuel owned by them upon request from State or local government energy crisis centre.</w:t>
      </w:r>
    </w:p>
    <w:p w:rsidR="004C2544" w:rsidRPr="009741EF" w:rsidRDefault="004C2544"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3" w:name="p1.1"/>
      <w:bookmarkStart w:id="4" w:name="p-599480"/>
      <w:bookmarkEnd w:id="3"/>
      <w:bookmarkEnd w:id="4"/>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xml:space="preserve"> The procedures laid down in this Regulation shall be applied for the provision of the National Armed Forces, the State Fire and Rescue Service, the State Police, the State Border Guard, the State Emergency Medical Service and the civil protection bodies to be mobilised with natural gas and electricity also in case of endangerment to the State.</w:t>
      </w:r>
    </w:p>
    <w:p w:rsidR="009741EF" w:rsidRPr="00E44439"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[19 February 2013; 23 August 2016]</w:t>
      </w:r>
    </w:p>
    <w:p w:rsidR="004C2544" w:rsidRPr="009741EF" w:rsidRDefault="004C2544"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5" w:name="p2"/>
      <w:bookmarkStart w:id="6" w:name="p-392012"/>
      <w:bookmarkEnd w:id="5"/>
      <w:bookmarkEnd w:id="6"/>
      <w:r>
        <w:rPr>
          <w:rFonts w:ascii="Times New Roman" w:hAnsi="Times New Roman"/>
          <w:noProof/>
          <w:sz w:val="24"/>
        </w:rPr>
        <w:t>2. A draft decision on the level of a State energy crisis shall be prepared by the State Energy Crisis Centre, but on the level of a local energy crisis – the energy crisis centre of the relevant local government. The relevant draft decision shall be prepared by complying with specific circumstances of energy supply:</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first level energy crisis – capability of ensuring the supply of energy is reduced by 7–12% of the daily (average) energy consumption;</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second level energy crisis – capability of ensuring the supply of energy is reduced by 12–17% of the daily (average) energy consumption;</w:t>
      </w:r>
    </w:p>
    <w:p w:rsid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2.3. third level energy crisis – capability of ensuring the supply of energy is reduced by more than 17% of the daily (average) energy consumption.</w:t>
      </w:r>
    </w:p>
    <w:p w:rsidR="00E44439" w:rsidRPr="009741EF" w:rsidRDefault="00E44439" w:rsidP="00E44439">
      <w:pPr>
        <w:spacing w:after="0" w:line="240" w:lineRule="auto"/>
        <w:ind w:firstLine="709"/>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7" w:name="p3"/>
      <w:bookmarkStart w:id="8" w:name="p-392013"/>
      <w:bookmarkEnd w:id="7"/>
      <w:bookmarkEnd w:id="8"/>
      <w:r>
        <w:rPr>
          <w:rFonts w:ascii="Times New Roman" w:hAnsi="Times New Roman"/>
          <w:noProof/>
          <w:sz w:val="24"/>
        </w:rPr>
        <w:t>3. In order to determine the appropriate level of a State or local energy crisis, the State Energy Crisis Centre and local government energy crisis centres shall take into account the estimated duration of the energy crisis, as well as evaluate the possibilities of diversification (substitution) of energy and heating fuel.</w:t>
      </w:r>
    </w:p>
    <w:p w:rsidR="00E44439" w:rsidRDefault="00E44439" w:rsidP="009741EF">
      <w:pPr>
        <w:spacing w:after="0" w:line="240" w:lineRule="auto"/>
        <w:jc w:val="both"/>
        <w:rPr>
          <w:rFonts w:ascii="Times New Roman" w:eastAsia="Times New Roman" w:hAnsi="Times New Roman" w:cs="Times New Roman"/>
          <w:noProof/>
          <w:sz w:val="24"/>
          <w:szCs w:val="24"/>
        </w:rPr>
      </w:pPr>
    </w:p>
    <w:p w:rsidR="009741EF" w:rsidRPr="00E44439" w:rsidRDefault="009741EF" w:rsidP="00E44439">
      <w:pPr>
        <w:spacing w:after="0" w:line="240" w:lineRule="auto"/>
        <w:jc w:val="center"/>
        <w:rPr>
          <w:rFonts w:ascii="Times New Roman" w:eastAsia="Times New Roman" w:hAnsi="Times New Roman" w:cs="Times New Roman"/>
          <w:b/>
          <w:noProof/>
          <w:sz w:val="24"/>
          <w:szCs w:val="24"/>
        </w:rPr>
      </w:pPr>
      <w:bookmarkStart w:id="9" w:name="n2"/>
      <w:bookmarkEnd w:id="9"/>
      <w:r>
        <w:rPr>
          <w:rFonts w:ascii="Times New Roman" w:hAnsi="Times New Roman"/>
          <w:b/>
          <w:noProof/>
          <w:sz w:val="24"/>
        </w:rPr>
        <w:t>II. Groups of Energy Users</w:t>
      </w:r>
    </w:p>
    <w:p w:rsidR="00E44439" w:rsidRDefault="00E44439"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10" w:name="p4"/>
      <w:bookmarkStart w:id="11" w:name="p-599468"/>
      <w:bookmarkEnd w:id="10"/>
      <w:bookmarkEnd w:id="11"/>
      <w:r>
        <w:rPr>
          <w:rFonts w:ascii="Times New Roman" w:hAnsi="Times New Roman"/>
          <w:noProof/>
          <w:sz w:val="24"/>
        </w:rPr>
        <w:t>4. If during an energy crisis the supply of electricity or thermal energy is disrupted, three energy user groups shall be identified:</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energy users of the first group – hospitals, State and local government long-term care and social rehabilitation institutions, crisis centres, social rehabilitation institutions for persons addicted to narcotic, toxic and other intoxicating substances, emergency services, telecommunications centres, the State Emergency Medical Service, the State Fire and Rescue Service, the National Armed Forces, the State Police, the State Border Guard, institutions of direct administration, water supply and sewage stations, objects of energy supply merchants, the railway, airports, bus stations (if the distance of bus itineraries (routes) in one direction exceeds 50 km), ports, institutions of deprivation of liberty, State security institutions, the State limited liability company “Latvian Environment, Geology and Meteorology Centre”, the responsible keepers of State material reserves (at sites for storage of State material reserve resources), civil protection bodies to be mobilised;</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energy users of the second group – schools, pre-school educational institutions, outpatient medical treatment institutions, food and agricultural product production facilities, local public transport (within the meaning of this Regulation – public transport of any type in cities and local government territories, if the distance of transport itinerary (route) in one direction does not exceed 50 km), food supply transport, industrial objects the discontinuation of the technological process of which may cause accidents, damage to equipment or destruction of manufactured production in large amounts, State and local government institutions not included in the first group, households;</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energy users of the third group – energy users not included in the first and second groups.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44439" w:rsidRPr="009741EF" w:rsidRDefault="00E44439"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12" w:name="p4.1"/>
      <w:bookmarkStart w:id="13" w:name="p-599469"/>
      <w:bookmarkEnd w:id="12"/>
      <w:bookmarkEnd w:id="13"/>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If during an energy crisis the supply of natural gas is disrupted, four energy user groups shall be identified:</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1 </w:t>
      </w:r>
      <w:r>
        <w:rPr>
          <w:rFonts w:ascii="Times New Roman" w:hAnsi="Times New Roman"/>
          <w:noProof/>
          <w:sz w:val="24"/>
        </w:rPr>
        <w:t>1. protected customers – households, schools, pre-school educational institutions, hospitals, State and local government long-term care and social rehabilitation institutions, crisis centres, social rehabilitation institutions for persons addicted to narcotic, toxic and other intoxicating substances, emergency services, telecommunication centres, the State Emergency Medical Service, the State Fire and Rescue Service, the National Armed Forces, the State Police, the State Border Guard, State security institutions, water supply and sewage stations, institutions of deprivation of liberty, civil protection bodies to be mobilised;</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1 </w:t>
      </w:r>
      <w:r>
        <w:rPr>
          <w:rFonts w:ascii="Times New Roman" w:hAnsi="Times New Roman"/>
          <w:noProof/>
          <w:sz w:val="24"/>
        </w:rPr>
        <w:t>2. energy users of the first group – institutions of direct administration, objects of energy supply merchants, the railway, airports, bus stations (if the distance of transport itinerary (route) in one direction exceeds 50 km), ports, the State limited liability company “Latvian Environment, Geology and Meteorology Centre”, the responsible keepers of State material reserves (at sites for storage of State material reserve resources);</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1 </w:t>
      </w:r>
      <w:r>
        <w:rPr>
          <w:rFonts w:ascii="Times New Roman" w:hAnsi="Times New Roman"/>
          <w:noProof/>
          <w:sz w:val="24"/>
        </w:rPr>
        <w:t xml:space="preserve">3. energy users of the second group – outpatient medical treatment institutions, food and agricultural product production facilities, local public transport (within the meaning of this Regulation – public transport of any type in cities and local government territories, if the </w:t>
      </w:r>
      <w:r>
        <w:rPr>
          <w:rFonts w:ascii="Times New Roman" w:hAnsi="Times New Roman"/>
          <w:noProof/>
          <w:sz w:val="24"/>
        </w:rPr>
        <w:lastRenderedPageBreak/>
        <w:t>distance of transport itinerary (route) in one direction does not exceed 50 km), food supply transport, industrial objects the discontinuation of the technological process of which may cause accidents, damage to equipment or destruction of manufactured production in large amounts, State and local government institutions not included in the first group;</w:t>
      </w:r>
    </w:p>
    <w:p w:rsidR="009741EF" w:rsidRPr="009741EF" w:rsidRDefault="009741EF" w:rsidP="00E44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1 </w:t>
      </w:r>
      <w:r>
        <w:rPr>
          <w:rFonts w:ascii="Times New Roman" w:hAnsi="Times New Roman"/>
          <w:noProof/>
          <w:sz w:val="24"/>
        </w:rPr>
        <w:t>4. energy users of the third group – energy users not included in the first and the second groups.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44439" w:rsidRPr="009741EF" w:rsidRDefault="00E44439"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14" w:name="p-392016"/>
      <w:bookmarkEnd w:id="14"/>
      <w:r>
        <w:rPr>
          <w:rFonts w:ascii="Times New Roman" w:hAnsi="Times New Roman"/>
          <w:noProof/>
          <w:sz w:val="24"/>
        </w:rPr>
        <w:t>5. When drawing up the lists referred to in Paragraphs 9 and 14 of this Regulation, the technical capability to restrict the energy supply of a particular energy user shall be taken into account depending on the configuration of networks and systems and the territorial location of the particular object.</w:t>
      </w:r>
      <w:bookmarkStart w:id="15" w:name="p5"/>
      <w:bookmarkEnd w:id="15"/>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E96EAF" w:rsidRDefault="009741EF" w:rsidP="00E96EAF">
      <w:pPr>
        <w:spacing w:after="0" w:line="240" w:lineRule="auto"/>
        <w:jc w:val="center"/>
        <w:rPr>
          <w:rFonts w:ascii="Times New Roman" w:eastAsia="Times New Roman" w:hAnsi="Times New Roman" w:cs="Times New Roman"/>
          <w:b/>
          <w:noProof/>
          <w:sz w:val="24"/>
          <w:szCs w:val="24"/>
        </w:rPr>
      </w:pPr>
      <w:bookmarkStart w:id="16" w:name="n3"/>
      <w:bookmarkEnd w:id="16"/>
      <w:r>
        <w:rPr>
          <w:rFonts w:ascii="Times New Roman" w:hAnsi="Times New Roman"/>
          <w:b/>
          <w:noProof/>
          <w:sz w:val="24"/>
        </w:rPr>
        <w:t>III. Restrictions on Energy Consumption</w:t>
      </w:r>
    </w:p>
    <w:p w:rsidR="00E44439" w:rsidRPr="009741EF" w:rsidRDefault="00E44439"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17" w:name="p-599470"/>
      <w:bookmarkEnd w:id="17"/>
      <w:r>
        <w:rPr>
          <w:rFonts w:ascii="Times New Roman" w:hAnsi="Times New Roman"/>
          <w:noProof/>
          <w:sz w:val="24"/>
        </w:rPr>
        <w:t>6. If the first level energy crisis is declared:</w:t>
      </w:r>
      <w:bookmarkStart w:id="18" w:name="p6"/>
      <w:bookmarkEnd w:id="18"/>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energy consumption for energy users of the first group and protected customers shall not be restricted;</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restrictions of energy consumption for the energy users of the second and third groups shall be determined in an amount not exceeding 20% of the daily (average) energy consumption.</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19" w:name="p-599471"/>
      <w:bookmarkEnd w:id="19"/>
      <w:r>
        <w:rPr>
          <w:rFonts w:ascii="Times New Roman" w:hAnsi="Times New Roman"/>
          <w:noProof/>
          <w:sz w:val="24"/>
        </w:rPr>
        <w:t>7. If the second level energy crisis is declared:</w:t>
      </w:r>
      <w:bookmarkStart w:id="20" w:name="p7"/>
      <w:bookmarkEnd w:id="20"/>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restrictions on energy consumption for the energy users of the first group shall be determined in an amount not exceeding 20% of the daily (average) energy consumption;</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restrictions of energy consumption for the energy users of the second group shall be determined in an amount not exceeding 40% of the daily (average) energy consumption;</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restrictions of energy consumption for the energy users of the third group shall be determined in an amount of up to 100% of the daily (average) energy consumption;</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energy consumption for protected customers shall not be restricted.</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21" w:name="p-599472"/>
      <w:bookmarkEnd w:id="21"/>
      <w:r>
        <w:rPr>
          <w:rFonts w:ascii="Times New Roman" w:hAnsi="Times New Roman"/>
          <w:noProof/>
          <w:sz w:val="24"/>
        </w:rPr>
        <w:t>8. If the third level energy crisis is declared:</w:t>
      </w:r>
      <w:bookmarkStart w:id="22" w:name="p8"/>
      <w:bookmarkEnd w:id="22"/>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restrictions on energy consumption for the energy users of the first group shall be determined in an amount not exceeding 40% of the daily (average) energy consumption, however, the energy supply may not be discontinued, thus ensuring the performance of the basic functions of the energy users of this group;</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restrictions of energy consumption for the energy users of the second group shall be determined in an amount not exceeding 80% of the daily (average) energy consumption;</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restrictions of energy consumption for the energy users of the third group shall be determined in an amount of up to 100% of the daily (average) energy consumption;</w:t>
      </w:r>
    </w:p>
    <w:p w:rsidR="009741EF" w:rsidRPr="009741EF" w:rsidRDefault="009741EF" w:rsidP="00E96E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energy consumption for protected customers shall not be restricted.</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E96EAF" w:rsidRDefault="009741EF" w:rsidP="00E96EAF">
      <w:pPr>
        <w:spacing w:after="0" w:line="240" w:lineRule="auto"/>
        <w:jc w:val="center"/>
        <w:rPr>
          <w:rFonts w:ascii="Times New Roman" w:eastAsia="Times New Roman" w:hAnsi="Times New Roman" w:cs="Times New Roman"/>
          <w:b/>
          <w:noProof/>
          <w:sz w:val="24"/>
          <w:szCs w:val="24"/>
        </w:rPr>
      </w:pPr>
      <w:bookmarkStart w:id="23" w:name="n4"/>
      <w:bookmarkEnd w:id="23"/>
      <w:r>
        <w:rPr>
          <w:rFonts w:ascii="Times New Roman" w:hAnsi="Times New Roman"/>
          <w:b/>
          <w:noProof/>
          <w:sz w:val="24"/>
        </w:rPr>
        <w:t>IV. Natural Gas and Electricity Supply</w:t>
      </w:r>
    </w:p>
    <w:p w:rsidR="009741EF" w:rsidRDefault="009741EF" w:rsidP="00DF4722">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24" w:name="p-599473"/>
      <w:bookmarkEnd w:id="24"/>
      <w:r>
        <w:rPr>
          <w:rFonts w:ascii="Times New Roman" w:hAnsi="Times New Roman"/>
          <w:noProof/>
          <w:sz w:val="24"/>
        </w:rPr>
        <w:t>9. The licenced natural gas and electricity distribution system operators shall, by taking into account the classification of energy users referred to in Sub-paragraphs 4.1, 4.2, 4.</w:t>
      </w:r>
      <w:r>
        <w:rPr>
          <w:rFonts w:ascii="Times New Roman" w:hAnsi="Times New Roman"/>
          <w:noProof/>
          <w:sz w:val="24"/>
          <w:vertAlign w:val="superscript"/>
        </w:rPr>
        <w:t xml:space="preserve">1 </w:t>
      </w:r>
      <w:r>
        <w:rPr>
          <w:rFonts w:ascii="Times New Roman" w:hAnsi="Times New Roman"/>
          <w:noProof/>
          <w:sz w:val="24"/>
        </w:rPr>
        <w:t>1, 4.</w:t>
      </w:r>
      <w:r>
        <w:rPr>
          <w:rFonts w:ascii="Times New Roman" w:hAnsi="Times New Roman"/>
          <w:noProof/>
          <w:sz w:val="24"/>
          <w:vertAlign w:val="superscript"/>
        </w:rPr>
        <w:t xml:space="preserve">1 </w:t>
      </w:r>
      <w:r>
        <w:rPr>
          <w:rFonts w:ascii="Times New Roman" w:hAnsi="Times New Roman"/>
          <w:noProof/>
          <w:sz w:val="24"/>
        </w:rPr>
        <w:t>2 and 4.</w:t>
      </w:r>
      <w:r>
        <w:rPr>
          <w:rFonts w:ascii="Times New Roman" w:hAnsi="Times New Roman"/>
          <w:noProof/>
          <w:sz w:val="24"/>
          <w:vertAlign w:val="superscript"/>
        </w:rPr>
        <w:t xml:space="preserve">1 </w:t>
      </w:r>
      <w:r>
        <w:rPr>
          <w:rFonts w:ascii="Times New Roman" w:hAnsi="Times New Roman"/>
          <w:noProof/>
          <w:sz w:val="24"/>
        </w:rPr>
        <w:t xml:space="preserve">3 of this Regulation and by coordinating it with local governments, compile a list of protected customers, energy users of the first and the second groups for the restriction of energy </w:t>
      </w:r>
      <w:r>
        <w:rPr>
          <w:rFonts w:ascii="Times New Roman" w:hAnsi="Times New Roman"/>
          <w:noProof/>
          <w:sz w:val="24"/>
        </w:rPr>
        <w:lastRenderedPageBreak/>
        <w:t>supply (hereinafter – the lists of energy users) and develop procedures for the restriction and discontinuation of electricity and natural gas supply if an energy crisis is declared. The abovementioned documents shall be submitted to the Ministry of Economics in an electronic form. The Ministry of Economics shall prepare procedures for the restriction and discontinuation of electricity and natural gas supply during a declared energy crisis and submit it to the Cabinet for approval.</w:t>
      </w:r>
      <w:bookmarkStart w:id="25" w:name="p9"/>
      <w:bookmarkEnd w:id="25"/>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26" w:name="p10"/>
      <w:bookmarkStart w:id="27" w:name="p-599478"/>
      <w:bookmarkEnd w:id="26"/>
      <w:bookmarkEnd w:id="27"/>
      <w:r>
        <w:rPr>
          <w:rFonts w:ascii="Times New Roman" w:hAnsi="Times New Roman"/>
          <w:noProof/>
          <w:sz w:val="24"/>
        </w:rPr>
        <w:t>10. The licensed gas and electricity distribution system operators shall indicate those energy users who own sources of electricity production reserves with a capacity above 200 kW in a separate group in the list of energy users.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E96EAF" w:rsidRPr="009741EF" w:rsidRDefault="00E96EA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28" w:name="p11"/>
      <w:bookmarkStart w:id="29" w:name="p-599474"/>
      <w:bookmarkEnd w:id="28"/>
      <w:bookmarkEnd w:id="29"/>
      <w:r>
        <w:rPr>
          <w:rFonts w:ascii="Times New Roman" w:hAnsi="Times New Roman"/>
          <w:noProof/>
          <w:sz w:val="24"/>
        </w:rPr>
        <w:t>11. Each year by 1 September the licensed natural gas and electricity distribution system operators shall review the lists of energy users, prepare and submit updated lists of energy users, as well as the procedures for the restriction and discontinuation of electricity and natural gas supply in electronic form to the Ministry of Economics.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30" w:name="p12"/>
      <w:bookmarkStart w:id="31" w:name="p-619190"/>
      <w:bookmarkEnd w:id="30"/>
      <w:bookmarkEnd w:id="31"/>
      <w:r>
        <w:rPr>
          <w:rFonts w:ascii="Times New Roman" w:hAnsi="Times New Roman"/>
          <w:noProof/>
          <w:sz w:val="24"/>
        </w:rPr>
        <w:t>12. Measures for the restriction or discontinuation of electricity and natural gas supply shall be taken by a licensed natural gas and electricity distribution system operator in the zone of operation of the licence thereof. After the receipt of information about the energy crisis and the disruption of the natural gas supply, the end-user of a natural gas to whom the procedures for restricting or discontinuing the natural gas supplies apply shall not be entitled to consume a larger amount of natural gas than defined by the natural gas distribution system operator.</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DC12BC" w:rsidRDefault="009741EF" w:rsidP="00DC12BC">
      <w:pPr>
        <w:spacing w:after="0" w:line="240" w:lineRule="auto"/>
        <w:jc w:val="center"/>
        <w:rPr>
          <w:rFonts w:ascii="Times New Roman" w:eastAsia="Times New Roman" w:hAnsi="Times New Roman" w:cs="Times New Roman"/>
          <w:b/>
          <w:noProof/>
          <w:sz w:val="24"/>
          <w:szCs w:val="24"/>
        </w:rPr>
      </w:pPr>
      <w:bookmarkStart w:id="32" w:name="n5"/>
      <w:bookmarkEnd w:id="32"/>
      <w:r>
        <w:rPr>
          <w:rFonts w:ascii="Times New Roman" w:hAnsi="Times New Roman"/>
          <w:b/>
          <w:noProof/>
          <w:sz w:val="24"/>
        </w:rPr>
        <w:t>V. Heat Supply</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33" w:name="p13"/>
      <w:bookmarkStart w:id="34" w:name="p-392027"/>
      <w:bookmarkEnd w:id="33"/>
      <w:bookmarkEnd w:id="34"/>
      <w:r>
        <w:rPr>
          <w:rFonts w:ascii="Times New Roman" w:hAnsi="Times New Roman"/>
          <w:noProof/>
          <w:sz w:val="24"/>
        </w:rPr>
        <w:t>13. Only a local energy crisis may be announced in relation to the heat energy supply.</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35" w:name="p14"/>
      <w:bookmarkStart w:id="36" w:name="p-392028"/>
      <w:bookmarkEnd w:id="35"/>
      <w:bookmarkEnd w:id="36"/>
      <w:r>
        <w:rPr>
          <w:rFonts w:ascii="Times New Roman" w:hAnsi="Times New Roman"/>
          <w:noProof/>
          <w:sz w:val="24"/>
        </w:rPr>
        <w:t>14. Energy supply merchants who perform heat supply (hereinafter – energy supply merchants) shall, by taking into consideration the classification referred to in Sub-paragraphs 4.1 and 4.2 of this Regulation and by coordinating it with a local government, compile lists of heat energy users of the first and second groups for the restriction of the heat energy supply and develop procedures for the restriction and discontinuation of heat energy supply if an energy crisis is declared. The abovementioned documents shall be submitted for approval to the local government in the administrative territory of which the heat supply is ensured by them.</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37" w:name="p15"/>
      <w:bookmarkStart w:id="38" w:name="p-392029"/>
      <w:bookmarkEnd w:id="37"/>
      <w:bookmarkEnd w:id="38"/>
      <w:r>
        <w:rPr>
          <w:rFonts w:ascii="Times New Roman" w:hAnsi="Times New Roman"/>
          <w:noProof/>
          <w:sz w:val="24"/>
        </w:rPr>
        <w:t>15. Energy supply merchants shall indicate those heat energy users who own sources of heat production reserves with a capacity above 300 kW in a separate group in the list of heat energy users.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39" w:name="p16"/>
      <w:bookmarkStart w:id="40" w:name="p-392030"/>
      <w:bookmarkEnd w:id="39"/>
      <w:bookmarkEnd w:id="40"/>
      <w:r>
        <w:rPr>
          <w:rFonts w:ascii="Times New Roman" w:hAnsi="Times New Roman"/>
          <w:noProof/>
          <w:sz w:val="24"/>
        </w:rPr>
        <w:t>16. Each year by 1 September the energy supply merchants shall review and, if necessary, update the lists of heat energy users and the procedures for the restriction and discontinuation of heat supply, as well as submit the updated documents for approval to the local government in the administrative territory of which they ensure the heat supply.</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41" w:name="p17"/>
      <w:bookmarkStart w:id="42" w:name="p-392031"/>
      <w:bookmarkEnd w:id="41"/>
      <w:bookmarkEnd w:id="42"/>
      <w:r>
        <w:rPr>
          <w:rFonts w:ascii="Times New Roman" w:hAnsi="Times New Roman"/>
          <w:noProof/>
          <w:sz w:val="24"/>
        </w:rPr>
        <w:t>17. The local government shall review and each year by 1 October approve the lists of heat energy users and the procedures for the restriction and discontinuation of heat energy supply for a case if a local energy crisis is declared.</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43" w:name="p18"/>
      <w:bookmarkStart w:id="44" w:name="p-392032"/>
      <w:bookmarkEnd w:id="43"/>
      <w:bookmarkEnd w:id="44"/>
      <w:r>
        <w:rPr>
          <w:rFonts w:ascii="Times New Roman" w:hAnsi="Times New Roman"/>
          <w:noProof/>
          <w:sz w:val="24"/>
        </w:rPr>
        <w:lastRenderedPageBreak/>
        <w:t>18. The documents approved by the local government referred to in Paragraph 17 of this Regulation shall be binding on the energy crisis centre of the relevant local government after the declaration of a local energy crisis.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45" w:name="p19"/>
      <w:bookmarkStart w:id="46" w:name="p-392033"/>
      <w:bookmarkEnd w:id="45"/>
      <w:bookmarkEnd w:id="46"/>
      <w:r>
        <w:rPr>
          <w:rFonts w:ascii="Times New Roman" w:hAnsi="Times New Roman"/>
          <w:noProof/>
          <w:sz w:val="24"/>
        </w:rPr>
        <w:t>19. If a local energy crisis is declared, the technical measures for the restriction or discontinuation of heat supply in the relevant territory shall be taken by an energy supply merchant who performs heat supply.</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DC12BC" w:rsidRDefault="009741EF" w:rsidP="00DC12BC">
      <w:pPr>
        <w:spacing w:after="0" w:line="240" w:lineRule="auto"/>
        <w:jc w:val="center"/>
        <w:rPr>
          <w:rFonts w:ascii="Times New Roman" w:eastAsia="Times New Roman" w:hAnsi="Times New Roman" w:cs="Times New Roman"/>
          <w:b/>
          <w:noProof/>
          <w:sz w:val="24"/>
          <w:szCs w:val="24"/>
        </w:rPr>
      </w:pPr>
      <w:bookmarkStart w:id="47" w:name="n6"/>
      <w:bookmarkEnd w:id="47"/>
      <w:r>
        <w:rPr>
          <w:rFonts w:ascii="Times New Roman" w:hAnsi="Times New Roman"/>
          <w:b/>
          <w:noProof/>
          <w:sz w:val="24"/>
        </w:rPr>
        <w:t>VI. Procedures for the Use of Heating Fuel Security Reserves and Security Reserves of Petroleum Products of Energy Supply Merchants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48" w:name="p20"/>
      <w:bookmarkStart w:id="49" w:name="p-392035"/>
      <w:bookmarkEnd w:id="48"/>
      <w:bookmarkEnd w:id="49"/>
      <w:r>
        <w:rPr>
          <w:rFonts w:ascii="Times New Roman" w:hAnsi="Times New Roman"/>
          <w:noProof/>
          <w:sz w:val="24"/>
        </w:rPr>
        <w:t>20. During a local energy crisis a draft decision on the use of the heating fuel security reserves of energy supply merchants shall be prepared by the energy crisis centre of the relevant local government.</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50" w:name="p21"/>
      <w:bookmarkStart w:id="51" w:name="p-392036"/>
      <w:bookmarkEnd w:id="50"/>
      <w:bookmarkEnd w:id="51"/>
      <w:r>
        <w:rPr>
          <w:rFonts w:ascii="Times New Roman" w:hAnsi="Times New Roman"/>
          <w:noProof/>
          <w:sz w:val="24"/>
        </w:rPr>
        <w:t>21. Taking into consideration the level of energy crisis, an energy supply merchant shall inform the local government or the Minister for Economics regarding the necessity to use the heating fuel security reserves and the security reserves of petroleum products and substantiate the necessity of the use.</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52" w:name="p22"/>
      <w:bookmarkStart w:id="53" w:name="p-392037"/>
      <w:bookmarkEnd w:id="52"/>
      <w:bookmarkEnd w:id="53"/>
      <w:r>
        <w:rPr>
          <w:rFonts w:ascii="Times New Roman" w:hAnsi="Times New Roman"/>
          <w:noProof/>
          <w:sz w:val="24"/>
        </w:rPr>
        <w:t>22. During a State energy crisis the State Energy Crisis Centre or the local government energy crisis centre, taking into consideration the specific circumstances of the crisis, shall prepare a draft decision on the specification of the ways of use of the heating fuel security reserves and the security reserves of petroleum products for energy supply merchants:</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to substitute promptly one type of heating fuel with another;</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to allow the energy supply merchant to commence the use of the heating fuel security reserves and the security reserves of petroleum products;</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to reduce the consumption of heating fuel;</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22.4. to discontinue the use of a particular heating fuel;</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22.5. to sell a specific amount of the heating fuel security reserves to the energy supply merchants indicated by the State Energy Crisis Centre;</w:t>
      </w:r>
    </w:p>
    <w:p w:rsid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22.6. to allow moving of petroleum products (fuel) from the storage site of the security reserves of petroleum products (fuel)  directly to the site of the national or local energy crisis declared.</w:t>
      </w:r>
    </w:p>
    <w:p w:rsidR="00DC12BC" w:rsidRPr="009741EF" w:rsidRDefault="00DC12BC" w:rsidP="00DC12BC">
      <w:pPr>
        <w:spacing w:after="0" w:line="240" w:lineRule="auto"/>
        <w:ind w:firstLine="709"/>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54" w:name="p23"/>
      <w:bookmarkStart w:id="55" w:name="p-392038"/>
      <w:bookmarkEnd w:id="54"/>
      <w:bookmarkEnd w:id="55"/>
      <w:r>
        <w:rPr>
          <w:rFonts w:ascii="Times New Roman" w:hAnsi="Times New Roman"/>
          <w:noProof/>
          <w:sz w:val="24"/>
        </w:rPr>
        <w:t>23. Taking into consideration the circumstances of a local energy crisis declared, the local government shall inform the Minister for Economics regarding the necessity to use the security reserves of petroleum products and substantiate the necessity of the use.</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56" w:name="p24"/>
      <w:bookmarkStart w:id="57" w:name="p-392039"/>
      <w:bookmarkEnd w:id="56"/>
      <w:bookmarkEnd w:id="57"/>
      <w:r>
        <w:rPr>
          <w:rFonts w:ascii="Times New Roman" w:hAnsi="Times New Roman"/>
          <w:noProof/>
          <w:sz w:val="24"/>
        </w:rPr>
        <w:t>24. Taking into consideration the specific circumstances of a crisis, the State Energy Crisis Centre shall prepare a draft decision on the use of the security reserves of petroleum products, allowing the fuel merchants to move petroleum products (fuel) from the storage site of the security reserves of petroleum products (fuel) directly to the site of the State or local energy crisis declared.</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58" w:name="p25"/>
      <w:bookmarkStart w:id="59" w:name="p-392040"/>
      <w:bookmarkEnd w:id="58"/>
      <w:bookmarkEnd w:id="59"/>
      <w:r>
        <w:rPr>
          <w:rFonts w:ascii="Times New Roman" w:hAnsi="Times New Roman"/>
          <w:noProof/>
          <w:sz w:val="24"/>
        </w:rPr>
        <w:t>25. If, during a State or local energy crisis, it is necessary to use the security reserves of petroleum products (fuel) and to move petroleum products (fuel) to licensed places of fuel retail trade, the State Energy Crisis Centre shall prepare a draft decision on the permission for merchants, which store the security reserves of petroleum products (fuel), or other merchants, which sell fuel, to supply petroleum products (fuel) from the storage site thereof directly to such licensed places of fuel retail trade, which are located as close to the place of energy crisis as possible.</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DC12BC" w:rsidRDefault="009741EF" w:rsidP="00DC12BC">
      <w:pPr>
        <w:spacing w:after="0" w:line="240" w:lineRule="auto"/>
        <w:jc w:val="center"/>
        <w:rPr>
          <w:rFonts w:ascii="Times New Roman" w:eastAsia="Times New Roman" w:hAnsi="Times New Roman" w:cs="Times New Roman"/>
          <w:b/>
          <w:noProof/>
          <w:sz w:val="24"/>
          <w:szCs w:val="24"/>
        </w:rPr>
      </w:pPr>
      <w:bookmarkStart w:id="60" w:name="n7"/>
      <w:bookmarkEnd w:id="60"/>
      <w:r>
        <w:rPr>
          <w:rFonts w:ascii="Times New Roman" w:hAnsi="Times New Roman"/>
          <w:b/>
          <w:noProof/>
          <w:sz w:val="24"/>
        </w:rPr>
        <w:t>VII. Purchase and Sale of Security Reserves of Heating Fuel and Petroleum Products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61" w:name="p26"/>
      <w:bookmarkStart w:id="62" w:name="p-392042"/>
      <w:bookmarkEnd w:id="61"/>
      <w:bookmarkEnd w:id="62"/>
      <w:r>
        <w:rPr>
          <w:rFonts w:ascii="Times New Roman" w:hAnsi="Times New Roman"/>
          <w:noProof/>
          <w:sz w:val="24"/>
        </w:rPr>
        <w:t>26. A draft decision on the sale of heating fuel (also reserves and security reserves of petroleum products) owned by energy supply merchants and fuel merchants during a State energy crisis shall be prepared by the State Energy Crisis Centre on the basis of the legal act by which the State energy crisis has been declared.</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63" w:name="p27"/>
      <w:bookmarkStart w:id="64" w:name="p-392043"/>
      <w:bookmarkEnd w:id="63"/>
      <w:bookmarkEnd w:id="64"/>
      <w:r>
        <w:rPr>
          <w:rFonts w:ascii="Times New Roman" w:hAnsi="Times New Roman"/>
          <w:noProof/>
          <w:sz w:val="24"/>
        </w:rPr>
        <w:t>27. If an energy crisis has been declared, the State Energy Crisis Centre may prepare a draft decision specifying a duty for energy supply and fuel merchants to perform the following activities with heating fuel owned by them:</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to sell in free circulation;</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to sell at a fixed pre-crisis price;</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to sell at a specific price, fixed in the procurement voucher issued by the State Energy Crisis Centre;</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27.4. to sell to a legal person indicated by the State Energy Crisis Centre;</w:t>
      </w:r>
    </w:p>
    <w:p w:rsid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27.5. to sell the security reserves of petroleum products at a specific price to the purchaser fixed in the procurement voucher issued by the State Energy Crisis Centre in conformity with the conditions included in procurement contracts entered into by and between the recipient of the service (the Ministry of Economics) and the provider of the service (merchant) as a result of open tenders referred to in Section 72, Paragraph two of the Energy Law. Taking into consideration the circumstances of the particular crisis, the State Energy Crisis Centre shall issue as many procurement vouchers as necessary.</w:t>
      </w:r>
    </w:p>
    <w:p w:rsidR="00DC12BC" w:rsidRPr="009741EF" w:rsidRDefault="00DC12BC" w:rsidP="00DF202B">
      <w:pPr>
        <w:spacing w:after="0" w:line="240" w:lineRule="auto"/>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65" w:name="p28"/>
      <w:bookmarkStart w:id="66" w:name="p-462471"/>
      <w:bookmarkEnd w:id="65"/>
      <w:bookmarkEnd w:id="66"/>
      <w:r>
        <w:rPr>
          <w:rFonts w:ascii="Times New Roman" w:hAnsi="Times New Roman"/>
          <w:noProof/>
          <w:sz w:val="24"/>
        </w:rPr>
        <w:t xml:space="preserve">28. The State Energy Crisis Centre shall prepare a draft decision on the duty of energy supply merchants to sell heating fuel owned by them for a fixed pre-crisis price only if the increase in the market price may significantly affect the economic stability of the State. The decision on the application of a fixed pre-crisis price shall be published in the official gazette </w:t>
      </w:r>
      <w:r>
        <w:rPr>
          <w:rFonts w:ascii="Times New Roman" w:hAnsi="Times New Roman"/>
          <w:i/>
          <w:noProof/>
          <w:sz w:val="24"/>
        </w:rPr>
        <w:t>Latvijas Vēstnesis</w:t>
      </w:r>
      <w:r>
        <w:rPr>
          <w:rFonts w:ascii="Times New Roman" w:hAnsi="Times New Roman"/>
          <w:noProof/>
          <w:sz w:val="24"/>
        </w:rPr>
        <w:t>.</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[19 February 2013]</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67" w:name="p29"/>
      <w:bookmarkStart w:id="68" w:name="p-392045"/>
      <w:bookmarkEnd w:id="67"/>
      <w:bookmarkEnd w:id="68"/>
      <w:r>
        <w:rPr>
          <w:rFonts w:ascii="Times New Roman" w:hAnsi="Times New Roman"/>
          <w:noProof/>
          <w:sz w:val="24"/>
        </w:rPr>
        <w:t>29. The State Energy Crisis Centre shall prepare a draft decision on the duty of energy supply merchants to sell heating fuel owned by them at a fixed pre-crisis price on the basis of the average market price of the relevant type of heating fuel in the previous calendar month prior to the moment when the possible crisis became known in such a way as might have affected the market price of the relevant heating fuel.</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69" w:name="p30"/>
      <w:bookmarkStart w:id="70" w:name="p-392046"/>
      <w:bookmarkEnd w:id="69"/>
      <w:bookmarkEnd w:id="70"/>
      <w:r>
        <w:rPr>
          <w:rFonts w:ascii="Times New Roman" w:hAnsi="Times New Roman"/>
          <w:noProof/>
          <w:sz w:val="24"/>
        </w:rPr>
        <w:t>30. A procurement voucher shall be a document issued to a particular legal or natural person by the State Energy Crisis Centre, which ensures the possibility of selling or purchasing a certain amount of different types of heating fuel (including the security reserves of petroleum products (fuel)) during a State energy crisis declared. The procurement voucher shall be completed in accordance with Annex to this Regulation. The procurement voucher shall be approved by the Minister for Economics.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71" w:name="p31"/>
      <w:bookmarkStart w:id="72" w:name="p-392047"/>
      <w:bookmarkEnd w:id="71"/>
      <w:bookmarkEnd w:id="72"/>
      <w:r>
        <w:rPr>
          <w:rFonts w:ascii="Times New Roman" w:hAnsi="Times New Roman"/>
          <w:noProof/>
          <w:sz w:val="24"/>
        </w:rPr>
        <w:t>31. When selling heating fuel, except the security reserves of petroleum products (fuel), the State Energy Crisis Centre or the legal person specified by the State Energy Crisis Centre and the energy supply merchant shall draw up a purchasing and selling deed, specifying the following therein:</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the legal act by which the State energy crisis has been declared and the decision on the purchasing or selling the heating fuel;</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the name and licence number of the seller – an energy supply merchant or fuel merchant;</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31.3. the type and amount of the heating fuel intended for sale;</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the officials of the purchaser and seller with the right to sign;</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31.5. the name and registration number in the Enterprise Register of the legal person from which a specific amount of heating fuel is purchased or to which it is sold;</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31.6. the performance deadline of the decision;</w:t>
      </w:r>
    </w:p>
    <w:p w:rsidR="009741EF" w:rsidRP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31.7. the procedures by which payment for the heating fuel sold shall be made; and</w:t>
      </w:r>
    </w:p>
    <w:p w:rsidR="009741EF" w:rsidRDefault="009741EF" w:rsidP="00DC1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31.8. other circumstances and information, which are significant in each particular case.</w:t>
      </w:r>
    </w:p>
    <w:p w:rsidR="00DC12BC" w:rsidRPr="009741EF" w:rsidRDefault="00DC12BC" w:rsidP="00DC12BC">
      <w:pPr>
        <w:spacing w:after="0" w:line="240" w:lineRule="auto"/>
        <w:ind w:firstLine="709"/>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73" w:name="p32"/>
      <w:bookmarkStart w:id="74" w:name="p-392048"/>
      <w:bookmarkEnd w:id="73"/>
      <w:bookmarkEnd w:id="74"/>
      <w:r>
        <w:rPr>
          <w:rFonts w:ascii="Times New Roman" w:hAnsi="Times New Roman"/>
          <w:noProof/>
          <w:sz w:val="24"/>
        </w:rPr>
        <w:t>32. The decision referred to in Paragraph 20 of this Regulation shall be taken by the relevant local government.</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75" w:name="p33"/>
      <w:bookmarkStart w:id="76" w:name="p-392049"/>
      <w:bookmarkEnd w:id="75"/>
      <w:bookmarkEnd w:id="76"/>
      <w:r>
        <w:rPr>
          <w:rFonts w:ascii="Times New Roman" w:hAnsi="Times New Roman"/>
          <w:noProof/>
          <w:sz w:val="24"/>
        </w:rPr>
        <w:t>33. The decision referred to in Paragraphs 2 and 22 of this Regulation shall be taken by the Cabinet or the relevant local government, taking into consideration the circumstances of the specific crisis.</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77" w:name="p34"/>
      <w:bookmarkStart w:id="78" w:name="p-392050"/>
      <w:bookmarkEnd w:id="77"/>
      <w:bookmarkEnd w:id="78"/>
      <w:r>
        <w:rPr>
          <w:rFonts w:ascii="Times New Roman" w:hAnsi="Times New Roman"/>
          <w:noProof/>
          <w:sz w:val="24"/>
        </w:rPr>
        <w:t>34. The decisions referred to in Paragraphs 24, 25, 26, 27, 28, 29 and Sub-paragraph 31.1 of this Regulation shall be taken by the Cabinet.</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DC12BC" w:rsidRPr="00DC12BC" w:rsidRDefault="009741EF" w:rsidP="00DC12BC">
      <w:pPr>
        <w:spacing w:after="0" w:line="240" w:lineRule="auto"/>
        <w:jc w:val="center"/>
        <w:rPr>
          <w:rFonts w:ascii="Times New Roman" w:eastAsia="Times New Roman" w:hAnsi="Times New Roman" w:cs="Times New Roman"/>
          <w:b/>
          <w:noProof/>
          <w:sz w:val="24"/>
          <w:szCs w:val="24"/>
        </w:rPr>
      </w:pPr>
      <w:bookmarkStart w:id="79" w:name="n7.1"/>
      <w:bookmarkEnd w:id="79"/>
      <w:r>
        <w:rPr>
          <w:rFonts w:ascii="Times New Roman" w:hAnsi="Times New Roman"/>
          <w:b/>
          <w:noProof/>
          <w:sz w:val="24"/>
        </w:rPr>
        <w:t>VII</w:t>
      </w:r>
      <w:r>
        <w:rPr>
          <w:rFonts w:ascii="Times New Roman" w:hAnsi="Times New Roman"/>
          <w:b/>
          <w:noProof/>
          <w:sz w:val="24"/>
          <w:vertAlign w:val="superscript"/>
        </w:rPr>
        <w:t>1</w:t>
      </w:r>
      <w:r>
        <w:rPr>
          <w:rFonts w:ascii="Times New Roman" w:hAnsi="Times New Roman"/>
          <w:b/>
          <w:noProof/>
          <w:sz w:val="24"/>
        </w:rPr>
        <w:t>. Creation of Natural Gas Security Reserves</w:t>
      </w:r>
    </w:p>
    <w:p w:rsidR="009741EF" w:rsidRDefault="009741EF" w:rsidP="00DC12BC">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[28 March 2017]</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80" w:name="p34.1"/>
      <w:bookmarkStart w:id="81" w:name="p-619192"/>
      <w:bookmarkEnd w:id="80"/>
      <w:bookmarkEnd w:id="81"/>
      <w:r>
        <w:rPr>
          <w:rFonts w:ascii="Times New Roman" w:hAnsi="Times New Roman"/>
          <w:noProof/>
          <w:sz w:val="24"/>
        </w:rPr>
        <w:t>34.</w:t>
      </w:r>
      <w:r>
        <w:rPr>
          <w:rFonts w:ascii="Times New Roman" w:hAnsi="Times New Roman"/>
          <w:noProof/>
          <w:sz w:val="24"/>
          <w:vertAlign w:val="superscript"/>
        </w:rPr>
        <w:t xml:space="preserve">1 </w:t>
      </w:r>
      <w:r>
        <w:rPr>
          <w:rFonts w:ascii="Times New Roman" w:hAnsi="Times New Roman"/>
          <w:noProof/>
          <w:sz w:val="24"/>
        </w:rPr>
        <w:t>If the supply of natural gas is disrupted during an energy crisis, the transmission system operator shall use natural gas from the natural gas security reserves (hereinafter – the reserve) which have been provided in the supply standard amount pursuant to Regulation (EU) No 994/2010 of the European Parliament and of the Council of 20 October 2010 concerning measures to safeguard security of gas supply and repealing Council Directive 2004/67/EC for providing them to the protected customers.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DC12BC" w:rsidRPr="009741EF" w:rsidRDefault="00DC12BC"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82" w:name="p34.2"/>
      <w:bookmarkStart w:id="83" w:name="p-619193"/>
      <w:bookmarkEnd w:id="82"/>
      <w:bookmarkEnd w:id="83"/>
      <w:r>
        <w:rPr>
          <w:rFonts w:ascii="Times New Roman" w:hAnsi="Times New Roman"/>
          <w:noProof/>
          <w:sz w:val="24"/>
        </w:rPr>
        <w:t>34.</w:t>
      </w:r>
      <w:r>
        <w:rPr>
          <w:rFonts w:ascii="Times New Roman" w:hAnsi="Times New Roman"/>
          <w:noProof/>
          <w:sz w:val="24"/>
          <w:vertAlign w:val="superscript"/>
        </w:rPr>
        <w:t xml:space="preserve">2 </w:t>
      </w:r>
      <w:r>
        <w:rPr>
          <w:rFonts w:ascii="Times New Roman" w:hAnsi="Times New Roman"/>
          <w:noProof/>
          <w:sz w:val="24"/>
        </w:rPr>
        <w:t>The State Energy Crisis Centre, taking into account the specific conditions of the crisis, shall prepare a draft decision on the use of the reserve.</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84" w:name="p34.3"/>
      <w:bookmarkStart w:id="85" w:name="p-619194"/>
      <w:bookmarkEnd w:id="84"/>
      <w:bookmarkEnd w:id="85"/>
      <w:r>
        <w:rPr>
          <w:rFonts w:ascii="Times New Roman" w:hAnsi="Times New Roman"/>
          <w:noProof/>
          <w:sz w:val="24"/>
        </w:rPr>
        <w:t>34.</w:t>
      </w:r>
      <w:r>
        <w:rPr>
          <w:rFonts w:ascii="Times New Roman" w:hAnsi="Times New Roman"/>
          <w:noProof/>
          <w:sz w:val="24"/>
          <w:vertAlign w:val="superscript"/>
        </w:rPr>
        <w:t xml:space="preserve">3 </w:t>
      </w:r>
      <w:r>
        <w:rPr>
          <w:rFonts w:ascii="Times New Roman" w:hAnsi="Times New Roman"/>
          <w:noProof/>
          <w:sz w:val="24"/>
        </w:rPr>
        <w:t>The reserve shall be kept in Inčukalns underground gas storage facility.</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86" w:name="p34.4"/>
      <w:bookmarkStart w:id="87" w:name="p-619195"/>
      <w:bookmarkEnd w:id="86"/>
      <w:bookmarkEnd w:id="87"/>
      <w:r>
        <w:rPr>
          <w:rFonts w:ascii="Times New Roman" w:hAnsi="Times New Roman"/>
          <w:noProof/>
          <w:sz w:val="24"/>
        </w:rPr>
        <w:t>34.</w:t>
      </w:r>
      <w:r>
        <w:rPr>
          <w:rFonts w:ascii="Times New Roman" w:hAnsi="Times New Roman"/>
          <w:noProof/>
          <w:sz w:val="24"/>
          <w:vertAlign w:val="superscript"/>
        </w:rPr>
        <w:t xml:space="preserve">4 </w:t>
      </w:r>
      <w:r>
        <w:rPr>
          <w:rFonts w:ascii="Times New Roman" w:hAnsi="Times New Roman"/>
          <w:noProof/>
          <w:sz w:val="24"/>
        </w:rPr>
        <w:t>The natural gas transmission system operator:</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4 </w:t>
      </w:r>
      <w:r>
        <w:rPr>
          <w:rFonts w:ascii="Times New Roman" w:hAnsi="Times New Roman"/>
          <w:noProof/>
          <w:sz w:val="24"/>
        </w:rPr>
        <w:t>1. shall ensure the reserve and its storage;</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4 </w:t>
      </w:r>
      <w:r>
        <w:rPr>
          <w:rFonts w:ascii="Times New Roman" w:hAnsi="Times New Roman"/>
          <w:noProof/>
          <w:sz w:val="24"/>
        </w:rPr>
        <w:t>2. shall inform the natural gas storage system operator about the amount of the reserves and agree therewith on the time line for pumping in the reserves;</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4 </w:t>
      </w:r>
      <w:r>
        <w:rPr>
          <w:rFonts w:ascii="Times New Roman" w:hAnsi="Times New Roman"/>
          <w:noProof/>
          <w:sz w:val="24"/>
        </w:rPr>
        <w:t>3. the technologically and economically substantiated costs necessary for ensuring the reserve shall be included into the eligible costs of the natural gas transmission system;</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4 </w:t>
      </w:r>
      <w:r>
        <w:rPr>
          <w:rFonts w:ascii="Times New Roman" w:hAnsi="Times New Roman"/>
          <w:noProof/>
          <w:sz w:val="24"/>
        </w:rPr>
        <w:t>4. shall reserve in good time the capacity of the storage and transmission system used during the energy crisis if the supply of natural gas is disrupted.</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 / see Paragraph 37]</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88" w:name="p34.5"/>
      <w:bookmarkStart w:id="89" w:name="p-619196"/>
      <w:bookmarkEnd w:id="88"/>
      <w:bookmarkEnd w:id="89"/>
      <w:r>
        <w:rPr>
          <w:rFonts w:ascii="Times New Roman" w:hAnsi="Times New Roman"/>
          <w:noProof/>
          <w:sz w:val="24"/>
        </w:rPr>
        <w:t>34.</w:t>
      </w:r>
      <w:r>
        <w:rPr>
          <w:rFonts w:ascii="Times New Roman" w:hAnsi="Times New Roman"/>
          <w:noProof/>
          <w:sz w:val="24"/>
          <w:vertAlign w:val="superscript"/>
        </w:rPr>
        <w:t xml:space="preserve">5 </w:t>
      </w:r>
      <w:r>
        <w:rPr>
          <w:rFonts w:ascii="Times New Roman" w:hAnsi="Times New Roman"/>
          <w:noProof/>
          <w:sz w:val="24"/>
        </w:rPr>
        <w:t>After the Cabinet has taken the decision on the use of the reserve:</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5 </w:t>
      </w:r>
      <w:r>
        <w:rPr>
          <w:rFonts w:ascii="Times New Roman" w:hAnsi="Times New Roman"/>
          <w:noProof/>
          <w:sz w:val="24"/>
        </w:rPr>
        <w:t>1. the natural gas transmission system operator shall, by using the capacity referred to in Paragraph 34.</w:t>
      </w:r>
      <w:r>
        <w:rPr>
          <w:rFonts w:ascii="Times New Roman" w:hAnsi="Times New Roman"/>
          <w:noProof/>
          <w:sz w:val="24"/>
          <w:vertAlign w:val="superscript"/>
        </w:rPr>
        <w:t>4</w:t>
      </w:r>
      <w:r>
        <w:rPr>
          <w:rFonts w:ascii="Times New Roman" w:hAnsi="Times New Roman"/>
          <w:noProof/>
          <w:sz w:val="24"/>
        </w:rPr>
        <w:t>, Sub-paragraph 4 of this Regulation, transmit the reserve to the natural gas distribution system operator in accordance with the terms of use of the natural gas transmission system;</w:t>
      </w:r>
    </w:p>
    <w:p w:rsidR="009741EF" w:rsidRPr="009741EF" w:rsidRDefault="009741EF" w:rsidP="00AC68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34.</w:t>
      </w:r>
      <w:r>
        <w:rPr>
          <w:rFonts w:ascii="Times New Roman" w:hAnsi="Times New Roman"/>
          <w:noProof/>
          <w:sz w:val="24"/>
          <w:vertAlign w:val="superscript"/>
        </w:rPr>
        <w:t>5 </w:t>
      </w:r>
      <w:r>
        <w:rPr>
          <w:rFonts w:ascii="Times New Roman" w:hAnsi="Times New Roman"/>
          <w:noProof/>
          <w:sz w:val="24"/>
        </w:rPr>
        <w:t>2. the natural gas distribution system operator shall ensure the supply of the reserve received from the natural gas transmission system operator to the protected customers.</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AC687F" w:rsidRDefault="009741EF" w:rsidP="00AC687F">
      <w:pPr>
        <w:spacing w:after="0" w:line="240" w:lineRule="auto"/>
        <w:jc w:val="center"/>
        <w:rPr>
          <w:rFonts w:ascii="Times New Roman" w:eastAsia="Times New Roman" w:hAnsi="Times New Roman" w:cs="Times New Roman"/>
          <w:b/>
          <w:noProof/>
          <w:sz w:val="24"/>
          <w:szCs w:val="24"/>
        </w:rPr>
      </w:pPr>
      <w:bookmarkStart w:id="90" w:name="n8"/>
      <w:bookmarkEnd w:id="90"/>
      <w:r>
        <w:rPr>
          <w:rFonts w:ascii="Times New Roman" w:hAnsi="Times New Roman"/>
          <w:b/>
          <w:noProof/>
          <w:sz w:val="24"/>
        </w:rPr>
        <w:t>VIII. Closing Provisions</w:t>
      </w:r>
    </w:p>
    <w:p w:rsidR="009741EF" w:rsidRDefault="009741EF" w:rsidP="00AC687F">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[23 August 2016]</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Default="009741EF" w:rsidP="009741EF">
      <w:pPr>
        <w:spacing w:after="0" w:line="240" w:lineRule="auto"/>
        <w:jc w:val="both"/>
        <w:rPr>
          <w:rFonts w:ascii="Times New Roman" w:eastAsia="Times New Roman" w:hAnsi="Times New Roman" w:cs="Times New Roman"/>
          <w:noProof/>
          <w:sz w:val="24"/>
          <w:szCs w:val="24"/>
        </w:rPr>
      </w:pPr>
      <w:bookmarkStart w:id="91" w:name="p35"/>
      <w:bookmarkStart w:id="92" w:name="p-392052"/>
      <w:bookmarkEnd w:id="91"/>
      <w:bookmarkEnd w:id="92"/>
      <w:r>
        <w:rPr>
          <w:rFonts w:ascii="Times New Roman" w:hAnsi="Times New Roman"/>
          <w:noProof/>
          <w:sz w:val="24"/>
        </w:rPr>
        <w:t>35. Cabinet Regulation No. 106 of 12 March 2002, Procedures for Supply to Energy Users and Procedures for Sale of Heating Fuel during Announced Energy Crises (Latvijas Vēstnesis, 2002, No. 42; 2006, No. 68; 2010, No. 160, 2011, No. 24), is repealed.</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93" w:name="p36"/>
      <w:bookmarkStart w:id="94" w:name="p-599476"/>
      <w:bookmarkEnd w:id="93"/>
      <w:bookmarkEnd w:id="94"/>
      <w:r>
        <w:rPr>
          <w:rFonts w:ascii="Times New Roman" w:hAnsi="Times New Roman"/>
          <w:noProof/>
          <w:sz w:val="24"/>
        </w:rPr>
        <w:t>36. The licensed natural gas and electricity distribution system operators shall submit the documents referred to in Paragraph 9 of this Regulation to the Ministry of Economics by 30 September 2016.</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August 2016]</w:t>
      </w: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Pr="009741EF" w:rsidRDefault="009741EF" w:rsidP="009741EF">
      <w:pPr>
        <w:spacing w:after="0" w:line="240" w:lineRule="auto"/>
        <w:jc w:val="both"/>
        <w:rPr>
          <w:rFonts w:ascii="Times New Roman" w:eastAsia="Times New Roman" w:hAnsi="Times New Roman" w:cs="Times New Roman"/>
          <w:noProof/>
          <w:sz w:val="24"/>
          <w:szCs w:val="24"/>
        </w:rPr>
      </w:pPr>
      <w:bookmarkStart w:id="95" w:name="p37"/>
      <w:bookmarkStart w:id="96" w:name="p-619197"/>
      <w:bookmarkEnd w:id="95"/>
      <w:bookmarkEnd w:id="96"/>
      <w:r>
        <w:rPr>
          <w:rFonts w:ascii="Times New Roman" w:hAnsi="Times New Roman"/>
          <w:noProof/>
          <w:sz w:val="24"/>
        </w:rPr>
        <w:t>37. The natural gas transmission system operator shall ensure the reserve referred to in Paragraph 34.</w:t>
      </w:r>
      <w:r>
        <w:rPr>
          <w:rFonts w:ascii="Times New Roman" w:hAnsi="Times New Roman"/>
          <w:noProof/>
          <w:sz w:val="24"/>
          <w:vertAlign w:val="superscript"/>
        </w:rPr>
        <w:t>4 </w:t>
      </w:r>
      <w:r>
        <w:rPr>
          <w:rFonts w:ascii="Times New Roman" w:hAnsi="Times New Roman"/>
          <w:noProof/>
          <w:sz w:val="24"/>
        </w:rPr>
        <w:t>, Sub-paragraph 1. of this Regulation and its storage from 1 October 2017.</w:t>
      </w:r>
    </w:p>
    <w:p w:rsidR="009741EF" w:rsidRDefault="009741EF" w:rsidP="009741E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March 2017]</w:t>
      </w:r>
    </w:p>
    <w:p w:rsidR="00AC687F" w:rsidRDefault="00AC687F" w:rsidP="009741EF">
      <w:pPr>
        <w:spacing w:after="0" w:line="240" w:lineRule="auto"/>
        <w:jc w:val="both"/>
        <w:rPr>
          <w:rFonts w:ascii="Times New Roman" w:eastAsia="Times New Roman" w:hAnsi="Times New Roman" w:cs="Times New Roman"/>
          <w:noProof/>
          <w:sz w:val="24"/>
          <w:szCs w:val="24"/>
        </w:rPr>
      </w:pPr>
    </w:p>
    <w:p w:rsidR="00AC687F" w:rsidRPr="009741EF" w:rsidRDefault="00AC687F" w:rsidP="009741EF">
      <w:pPr>
        <w:spacing w:after="0" w:line="240" w:lineRule="auto"/>
        <w:jc w:val="both"/>
        <w:rPr>
          <w:rFonts w:ascii="Times New Roman" w:eastAsia="Times New Roman" w:hAnsi="Times New Roman" w:cs="Times New Roman"/>
          <w:noProof/>
          <w:sz w:val="24"/>
          <w:szCs w:val="24"/>
        </w:rPr>
      </w:pPr>
    </w:p>
    <w:p w:rsidR="009741EF" w:rsidRDefault="00F86AA5" w:rsidP="009741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741EF">
        <w:rPr>
          <w:rFonts w:ascii="Times New Roman" w:hAnsi="Times New Roman"/>
          <w:noProof/>
          <w:sz w:val="24"/>
        </w:rPr>
        <w:t>V. Dombrovskis</w:t>
      </w:r>
    </w:p>
    <w:p w:rsidR="009741EF" w:rsidRDefault="009741EF" w:rsidP="009741EF">
      <w:pPr>
        <w:spacing w:after="0" w:line="240" w:lineRule="auto"/>
        <w:jc w:val="both"/>
        <w:rPr>
          <w:rFonts w:ascii="Times New Roman" w:eastAsia="Times New Roman" w:hAnsi="Times New Roman" w:cs="Times New Roman"/>
          <w:noProof/>
          <w:sz w:val="24"/>
          <w:szCs w:val="24"/>
        </w:rPr>
      </w:pPr>
    </w:p>
    <w:p w:rsidR="009741EF" w:rsidRPr="009741EF" w:rsidRDefault="00F86AA5" w:rsidP="009741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741EF">
        <w:rPr>
          <w:rFonts w:ascii="Times New Roman" w:hAnsi="Times New Roman"/>
          <w:noProof/>
          <w:sz w:val="24"/>
        </w:rPr>
        <w:t>A. Kampars</w:t>
      </w:r>
    </w:p>
    <w:p w:rsidR="009741EF" w:rsidRDefault="009741EF" w:rsidP="009741EF">
      <w:pPr>
        <w:spacing w:after="0" w:line="240" w:lineRule="auto"/>
        <w:jc w:val="both"/>
        <w:rPr>
          <w:rFonts w:ascii="Times New Roman" w:eastAsia="Times New Roman" w:hAnsi="Times New Roman" w:cs="Times New Roman"/>
          <w:noProof/>
          <w:sz w:val="24"/>
          <w:szCs w:val="24"/>
        </w:rPr>
      </w:pPr>
    </w:p>
    <w:p w:rsidR="00BC67EA" w:rsidRDefault="00BC67EA">
      <w:pPr>
        <w:rPr>
          <w:rFonts w:ascii="Times New Roman" w:eastAsia="Times New Roman" w:hAnsi="Times New Roman" w:cs="Times New Roman"/>
          <w:noProof/>
          <w:sz w:val="24"/>
          <w:szCs w:val="24"/>
        </w:rPr>
      </w:pPr>
      <w:r>
        <w:br w:type="page"/>
      </w:r>
    </w:p>
    <w:p w:rsidR="0081677C" w:rsidRDefault="0081677C" w:rsidP="00BC67EA">
      <w:pPr>
        <w:spacing w:after="0" w:line="240" w:lineRule="auto"/>
        <w:jc w:val="right"/>
        <w:rPr>
          <w:rFonts w:ascii="Times New Roman" w:hAnsi="Times New Roman"/>
          <w:b/>
          <w:noProof/>
          <w:sz w:val="24"/>
          <w:szCs w:val="24"/>
        </w:rPr>
      </w:pPr>
    </w:p>
    <w:p w:rsidR="009741EF" w:rsidRPr="00BC67EA" w:rsidRDefault="009741EF" w:rsidP="00BC67EA">
      <w:pPr>
        <w:spacing w:after="0" w:line="240" w:lineRule="auto"/>
        <w:jc w:val="right"/>
        <w:rPr>
          <w:rFonts w:ascii="Times New Roman" w:hAnsi="Times New Roman"/>
          <w:b/>
          <w:noProof/>
          <w:sz w:val="24"/>
          <w:szCs w:val="24"/>
        </w:rPr>
      </w:pPr>
      <w:r>
        <w:rPr>
          <w:rFonts w:ascii="Times New Roman" w:hAnsi="Times New Roman"/>
          <w:b/>
          <w:noProof/>
          <w:sz w:val="24"/>
        </w:rPr>
        <w:t>Annex</w:t>
      </w:r>
    </w:p>
    <w:p w:rsidR="009741EF" w:rsidRDefault="009741EF" w:rsidP="00BC67EA">
      <w:pPr>
        <w:spacing w:after="0" w:line="240" w:lineRule="auto"/>
        <w:jc w:val="right"/>
        <w:rPr>
          <w:rFonts w:ascii="Times New Roman" w:hAnsi="Times New Roman"/>
          <w:noProof/>
          <w:sz w:val="24"/>
          <w:szCs w:val="24"/>
        </w:rPr>
      </w:pPr>
      <w:r>
        <w:rPr>
          <w:rFonts w:ascii="Times New Roman" w:hAnsi="Times New Roman"/>
          <w:noProof/>
          <w:sz w:val="24"/>
        </w:rPr>
        <w:t>Cabinet Regulation No. 312</w:t>
      </w:r>
    </w:p>
    <w:p w:rsidR="009741EF" w:rsidRPr="009741EF" w:rsidRDefault="00BC67EA" w:rsidP="00BC67EA">
      <w:pPr>
        <w:spacing w:after="0" w:line="240" w:lineRule="auto"/>
        <w:jc w:val="right"/>
        <w:rPr>
          <w:rFonts w:ascii="Times New Roman" w:hAnsi="Times New Roman"/>
          <w:noProof/>
          <w:sz w:val="24"/>
          <w:szCs w:val="24"/>
        </w:rPr>
      </w:pPr>
      <w:r>
        <w:rPr>
          <w:rFonts w:ascii="Times New Roman" w:hAnsi="Times New Roman"/>
          <w:noProof/>
          <w:sz w:val="24"/>
        </w:rPr>
        <w:t>19 April 2011</w:t>
      </w:r>
    </w:p>
    <w:p w:rsidR="009741EF" w:rsidRPr="00BC67EA" w:rsidRDefault="009741EF" w:rsidP="00BC67EA">
      <w:pPr>
        <w:spacing w:after="0" w:line="240" w:lineRule="auto"/>
        <w:jc w:val="right"/>
        <w:rPr>
          <w:rFonts w:ascii="Times New Roman" w:hAnsi="Times New Roman"/>
          <w:iCs/>
          <w:noProof/>
          <w:sz w:val="24"/>
          <w:szCs w:val="20"/>
        </w:rPr>
      </w:pPr>
      <w:bookmarkStart w:id="97" w:name="OLE_LINK14"/>
      <w:bookmarkStart w:id="98" w:name="OLE_LINK15"/>
      <w:r>
        <w:rPr>
          <w:rFonts w:ascii="Times New Roman" w:hAnsi="Times New Roman"/>
          <w:i/>
          <w:noProof/>
          <w:sz w:val="24"/>
        </w:rPr>
        <w:t>[10 September 2013]</w:t>
      </w:r>
    </w:p>
    <w:bookmarkEnd w:id="97"/>
    <w:bookmarkEnd w:id="98"/>
    <w:p w:rsidR="009741EF" w:rsidRPr="009741EF" w:rsidRDefault="009741EF" w:rsidP="009741EF">
      <w:pPr>
        <w:spacing w:after="0" w:line="240" w:lineRule="auto"/>
        <w:jc w:val="both"/>
        <w:rPr>
          <w:rFonts w:ascii="Times New Roman" w:hAnsi="Times New Roman"/>
          <w:noProof/>
          <w:sz w:val="24"/>
          <w:szCs w:val="24"/>
        </w:rPr>
      </w:pPr>
    </w:p>
    <w:p w:rsidR="009741EF" w:rsidRPr="009741EF" w:rsidRDefault="009741EF" w:rsidP="009741EF">
      <w:pPr>
        <w:spacing w:after="0" w:line="240" w:lineRule="auto"/>
        <w:jc w:val="both"/>
        <w:rPr>
          <w:rFonts w:ascii="Times New Roman" w:hAnsi="Times New Roman"/>
          <w:noProof/>
          <w:sz w:val="24"/>
          <w:szCs w:val="24"/>
        </w:rPr>
      </w:pPr>
    </w:p>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APPROVED BY</w:t>
      </w:r>
    </w:p>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Minister for Economics – the head of the State Energy Crisis Centre</w:t>
      </w:r>
    </w:p>
    <w:p w:rsidR="009741EF" w:rsidRPr="009741EF" w:rsidRDefault="009741EF" w:rsidP="009741EF">
      <w:pPr>
        <w:spacing w:after="0" w:line="240" w:lineRule="auto"/>
        <w:jc w:val="both"/>
        <w:rPr>
          <w:rFonts w:ascii="Times New Roman" w:eastAsia="Times New Roman" w:hAnsi="Times New Roman"/>
          <w:bCs/>
          <w:noProof/>
          <w:sz w:val="24"/>
          <w:szCs w:val="24"/>
        </w:rPr>
      </w:pP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933"/>
        <w:gridCol w:w="796"/>
        <w:gridCol w:w="3342"/>
      </w:tblGrid>
      <w:tr w:rsidR="009741EF" w:rsidRPr="009741EF" w:rsidTr="0063342C">
        <w:tc>
          <w:tcPr>
            <w:tcW w:w="2719" w:type="pct"/>
            <w:tcBorders>
              <w:right w:val="nil"/>
            </w:tcBorders>
          </w:tcPr>
          <w:p w:rsidR="009741EF" w:rsidRPr="009741EF" w:rsidRDefault="009741EF" w:rsidP="009741EF">
            <w:pPr>
              <w:spacing w:after="0" w:line="240" w:lineRule="auto"/>
              <w:jc w:val="both"/>
              <w:rPr>
                <w:rFonts w:ascii="Times New Roman" w:eastAsia="Times New Roman" w:hAnsi="Times New Roman"/>
                <w:bCs/>
                <w:noProof/>
                <w:sz w:val="24"/>
                <w:szCs w:val="24"/>
              </w:rPr>
            </w:pPr>
          </w:p>
        </w:tc>
        <w:tc>
          <w:tcPr>
            <w:tcW w:w="439" w:type="pct"/>
            <w:tcBorders>
              <w:top w:val="nil"/>
              <w:left w:val="nil"/>
              <w:bottom w:val="nil"/>
              <w:right w:val="nil"/>
            </w:tcBorders>
          </w:tcPr>
          <w:p w:rsidR="009741EF" w:rsidRPr="009741EF" w:rsidRDefault="009741EF" w:rsidP="009741EF">
            <w:pPr>
              <w:spacing w:after="0" w:line="240" w:lineRule="auto"/>
              <w:jc w:val="both"/>
              <w:rPr>
                <w:rFonts w:ascii="Times New Roman" w:eastAsia="Times New Roman" w:hAnsi="Times New Roman"/>
                <w:bCs/>
                <w:noProof/>
                <w:sz w:val="24"/>
                <w:szCs w:val="24"/>
              </w:rPr>
            </w:pPr>
          </w:p>
        </w:tc>
        <w:tc>
          <w:tcPr>
            <w:tcW w:w="1842" w:type="pct"/>
            <w:tcBorders>
              <w:left w:val="nil"/>
            </w:tcBorders>
          </w:tcPr>
          <w:p w:rsidR="009741EF" w:rsidRPr="009741EF" w:rsidRDefault="009741EF" w:rsidP="009741EF">
            <w:pPr>
              <w:spacing w:after="0" w:line="240" w:lineRule="auto"/>
              <w:jc w:val="both"/>
              <w:rPr>
                <w:rFonts w:ascii="Times New Roman" w:eastAsia="Times New Roman" w:hAnsi="Times New Roman"/>
                <w:bCs/>
                <w:noProof/>
                <w:sz w:val="24"/>
                <w:szCs w:val="24"/>
              </w:rPr>
            </w:pPr>
          </w:p>
        </w:tc>
      </w:tr>
      <w:tr w:rsidR="009741EF" w:rsidRPr="009741EF" w:rsidTr="0063342C">
        <w:tc>
          <w:tcPr>
            <w:tcW w:w="2719" w:type="pct"/>
            <w:tcBorders>
              <w:right w:val="nil"/>
            </w:tcBorders>
          </w:tcPr>
          <w:p w:rsidR="009741EF" w:rsidRPr="009741EF" w:rsidRDefault="009741EF" w:rsidP="00541C9D">
            <w:pPr>
              <w:spacing w:after="0" w:line="240" w:lineRule="auto"/>
              <w:jc w:val="center"/>
              <w:rPr>
                <w:rFonts w:ascii="Times New Roman" w:eastAsia="Times New Roman" w:hAnsi="Times New Roman"/>
                <w:bCs/>
                <w:noProof/>
                <w:sz w:val="24"/>
              </w:rPr>
            </w:pPr>
            <w:r>
              <w:rPr>
                <w:rFonts w:ascii="Times New Roman" w:hAnsi="Times New Roman"/>
                <w:noProof/>
                <w:sz w:val="24"/>
              </w:rPr>
              <w:t>(given name, surname)</w:t>
            </w:r>
          </w:p>
        </w:tc>
        <w:tc>
          <w:tcPr>
            <w:tcW w:w="439" w:type="pct"/>
            <w:tcBorders>
              <w:top w:val="nil"/>
              <w:left w:val="nil"/>
              <w:bottom w:val="nil"/>
              <w:right w:val="nil"/>
            </w:tcBorders>
          </w:tcPr>
          <w:p w:rsidR="009741EF" w:rsidRPr="009741EF" w:rsidRDefault="009741EF" w:rsidP="00541C9D">
            <w:pPr>
              <w:spacing w:after="0" w:line="240" w:lineRule="auto"/>
              <w:jc w:val="center"/>
              <w:rPr>
                <w:rFonts w:ascii="Times New Roman" w:eastAsia="Times New Roman" w:hAnsi="Times New Roman"/>
                <w:bCs/>
                <w:noProof/>
                <w:sz w:val="24"/>
              </w:rPr>
            </w:pPr>
          </w:p>
        </w:tc>
        <w:tc>
          <w:tcPr>
            <w:tcW w:w="1842" w:type="pct"/>
            <w:tcBorders>
              <w:left w:val="nil"/>
            </w:tcBorders>
          </w:tcPr>
          <w:p w:rsidR="009741EF" w:rsidRPr="009741EF" w:rsidRDefault="009741EF" w:rsidP="00541C9D">
            <w:pPr>
              <w:spacing w:after="0" w:line="240" w:lineRule="auto"/>
              <w:jc w:val="center"/>
              <w:rPr>
                <w:rFonts w:ascii="Times New Roman" w:eastAsia="Times New Roman" w:hAnsi="Times New Roman"/>
                <w:bCs/>
                <w:noProof/>
                <w:sz w:val="24"/>
              </w:rPr>
            </w:pPr>
            <w:r>
              <w:rPr>
                <w:rFonts w:ascii="Times New Roman" w:hAnsi="Times New Roman"/>
                <w:noProof/>
                <w:sz w:val="24"/>
              </w:rPr>
              <w:t>(signature)</w:t>
            </w:r>
          </w:p>
        </w:tc>
      </w:tr>
    </w:tbl>
    <w:p w:rsidR="009741EF" w:rsidRPr="009741EF" w:rsidRDefault="009741EF" w:rsidP="009741EF">
      <w:pPr>
        <w:spacing w:after="0" w:line="240" w:lineRule="auto"/>
        <w:jc w:val="both"/>
        <w:rPr>
          <w:rFonts w:ascii="Times New Roman" w:eastAsia="Times New Roman" w:hAnsi="Times New Roman"/>
          <w:bCs/>
          <w:noProof/>
          <w:sz w:val="24"/>
          <w:szCs w:val="24"/>
        </w:rPr>
      </w:pPr>
    </w:p>
    <w:p w:rsidR="009741EF" w:rsidRDefault="009741EF" w:rsidP="005D15FD">
      <w:pPr>
        <w:spacing w:after="0" w:line="240" w:lineRule="auto"/>
        <w:jc w:val="center"/>
        <w:rPr>
          <w:rFonts w:ascii="Times New Roman" w:eastAsia="Times New Roman" w:hAnsi="Times New Roman"/>
          <w:b/>
          <w:bCs/>
          <w:noProof/>
          <w:sz w:val="24"/>
          <w:szCs w:val="28"/>
        </w:rPr>
      </w:pPr>
      <w:r>
        <w:rPr>
          <w:rFonts w:ascii="Times New Roman" w:hAnsi="Times New Roman"/>
          <w:b/>
          <w:noProof/>
          <w:sz w:val="24"/>
        </w:rPr>
        <w:t>PROCUREMENT VOUCHER*</w:t>
      </w:r>
    </w:p>
    <w:p w:rsidR="009741EF" w:rsidRPr="009741EF" w:rsidRDefault="009741EF" w:rsidP="005D15FD">
      <w:pPr>
        <w:spacing w:after="0" w:line="240" w:lineRule="auto"/>
        <w:jc w:val="center"/>
        <w:rPr>
          <w:rFonts w:ascii="Times New Roman" w:eastAsia="Times New Roman" w:hAnsi="Times New Roman"/>
          <w:b/>
          <w:bCs/>
          <w:noProof/>
          <w:sz w:val="24"/>
          <w:szCs w:val="28"/>
        </w:rPr>
      </w:pPr>
      <w:r>
        <w:rPr>
          <w:rFonts w:ascii="Times New Roman" w:hAnsi="Times New Roman"/>
          <w:b/>
          <w:noProof/>
          <w:sz w:val="24"/>
        </w:rPr>
        <w:t>No.____</w:t>
      </w:r>
    </w:p>
    <w:p w:rsidR="009741EF" w:rsidRPr="009741EF" w:rsidRDefault="009741EF" w:rsidP="009741EF">
      <w:pPr>
        <w:spacing w:after="0" w:line="240" w:lineRule="auto"/>
        <w:jc w:val="both"/>
        <w:rPr>
          <w:rFonts w:ascii="Times New Roman" w:eastAsia="Times New Roman" w:hAnsi="Times New Roman"/>
          <w:bCs/>
          <w:noProof/>
          <w:sz w:val="24"/>
          <w:szCs w:val="24"/>
        </w:rPr>
      </w:pPr>
    </w:p>
    <w:p w:rsidR="009741EF" w:rsidRPr="009741EF" w:rsidRDefault="009741EF" w:rsidP="009741EF">
      <w:pPr>
        <w:spacing w:after="0" w:line="240" w:lineRule="auto"/>
        <w:jc w:val="both"/>
        <w:rPr>
          <w:rFonts w:ascii="Times New Roman" w:eastAsia="Times New Roman" w:hAnsi="Times New Roman"/>
          <w:bCs/>
          <w:noProof/>
          <w:sz w:val="24"/>
          <w:szCs w:val="24"/>
        </w:rPr>
      </w:pPr>
      <w:r>
        <w:rPr>
          <w:rFonts w:ascii="Times New Roman" w:hAnsi="Times New Roman"/>
          <w:noProof/>
          <w:sz w:val="24"/>
        </w:rPr>
        <w:t>Rīga, ___ ____________ 20____</w:t>
      </w:r>
    </w:p>
    <w:p w:rsidR="009741EF" w:rsidRPr="009741EF" w:rsidRDefault="009741EF" w:rsidP="009741EF">
      <w:pPr>
        <w:spacing w:after="0" w:line="240" w:lineRule="auto"/>
        <w:jc w:val="both"/>
        <w:rPr>
          <w:rFonts w:ascii="Times New Roman" w:eastAsia="Times New Roman" w:hAnsi="Times New Roman"/>
          <w:bCs/>
          <w:noProof/>
          <w:sz w:val="24"/>
          <w:szCs w:val="24"/>
        </w:rPr>
      </w:pPr>
    </w:p>
    <w:p w:rsidR="009741EF" w:rsidRPr="009741EF" w:rsidRDefault="00541C9D"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1. The type of heating fuel (indicate the precise name of the heating fuel, for example, coal, peat) ______________</w:t>
      </w:r>
    </w:p>
    <w:p w:rsidR="009741EF" w:rsidRPr="009741EF" w:rsidRDefault="00541C9D"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2. Quantity of heating fuel (indicate the precise quantity in numbers and measuring units) _________________</w:t>
      </w:r>
    </w:p>
    <w:p w:rsidR="009741EF" w:rsidRDefault="00541C9D" w:rsidP="00541C9D">
      <w:pPr>
        <w:spacing w:after="0" w:line="240" w:lineRule="auto"/>
        <w:jc w:val="both"/>
        <w:rPr>
          <w:rFonts w:ascii="Times New Roman" w:hAnsi="Times New Roman"/>
          <w:noProof/>
          <w:sz w:val="24"/>
        </w:rPr>
      </w:pPr>
      <w:r>
        <w:rPr>
          <w:rFonts w:ascii="Times New Roman" w:hAnsi="Times New Roman"/>
          <w:noProof/>
          <w:sz w:val="24"/>
        </w:rPr>
        <w:t>3. General procedures for payment for the heating fuel sold:</w:t>
      </w:r>
    </w:p>
    <w:p w:rsidR="0063342C" w:rsidRPr="009741EF" w:rsidRDefault="0063342C" w:rsidP="00541C9D">
      <w:pPr>
        <w:spacing w:after="0" w:line="240" w:lineRule="auto"/>
        <w:jc w:val="both"/>
        <w:rPr>
          <w:rFonts w:ascii="Times New Roman" w:eastAsia="Times New Roman" w:hAnsi="Times New Roman"/>
          <w:noProof/>
          <w:sz w:val="24"/>
          <w:szCs w:val="24"/>
        </w:rPr>
      </w:pPr>
    </w:p>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3.1. This procurement voucher ensures and guarantees that the SELLER will sell</w:t>
      </w: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71"/>
      </w:tblGrid>
      <w:tr w:rsidR="009741EF" w:rsidRPr="009741EF" w:rsidTr="00DF202B">
        <w:tc>
          <w:tcPr>
            <w:tcW w:w="5000" w:type="pct"/>
          </w:tcPr>
          <w:p w:rsidR="009741EF" w:rsidRPr="009741EF" w:rsidRDefault="009741EF" w:rsidP="009741EF">
            <w:pPr>
              <w:spacing w:after="0" w:line="240" w:lineRule="auto"/>
              <w:jc w:val="both"/>
              <w:rPr>
                <w:rFonts w:ascii="Times New Roman" w:eastAsia="Times New Roman" w:hAnsi="Times New Roman"/>
                <w:noProof/>
                <w:sz w:val="24"/>
                <w:szCs w:val="24"/>
              </w:rPr>
            </w:pPr>
          </w:p>
        </w:tc>
      </w:tr>
      <w:tr w:rsidR="009741EF" w:rsidRPr="009741EF" w:rsidTr="00DF202B">
        <w:tc>
          <w:tcPr>
            <w:tcW w:w="5000" w:type="pct"/>
          </w:tcPr>
          <w:p w:rsidR="009741EF" w:rsidRPr="009741EF" w:rsidRDefault="009741EF" w:rsidP="00541C9D">
            <w:pPr>
              <w:spacing w:after="0" w:line="240" w:lineRule="auto"/>
              <w:jc w:val="center"/>
              <w:rPr>
                <w:rFonts w:ascii="Times New Roman" w:eastAsia="Times New Roman" w:hAnsi="Times New Roman"/>
                <w:noProof/>
                <w:sz w:val="24"/>
                <w:szCs w:val="24"/>
              </w:rPr>
            </w:pPr>
            <w:r>
              <w:rPr>
                <w:rFonts w:ascii="Times New Roman" w:hAnsi="Times New Roman"/>
                <w:noProof/>
                <w:sz w:val="24"/>
              </w:rPr>
              <w:t>(indicate the precise name of the heating fuel and quantity of the heating fuel in numbers and measuring units)</w:t>
            </w:r>
          </w:p>
        </w:tc>
      </w:tr>
    </w:tbl>
    <w:p w:rsidR="009741EF" w:rsidRPr="009741EF" w:rsidRDefault="00541C9D"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and the PURCHASER will purchase</w:t>
      </w:r>
    </w:p>
    <w:tbl>
      <w:tblPr>
        <w:tblW w:w="5000" w:type="pct"/>
        <w:tblBorders>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71"/>
      </w:tblGrid>
      <w:tr w:rsidR="009741EF" w:rsidRPr="009741EF" w:rsidTr="0063342C">
        <w:tc>
          <w:tcPr>
            <w:tcW w:w="5000" w:type="pct"/>
          </w:tcPr>
          <w:p w:rsidR="009741EF" w:rsidRPr="009741EF" w:rsidRDefault="009741EF" w:rsidP="009741EF">
            <w:pPr>
              <w:spacing w:after="0" w:line="240" w:lineRule="auto"/>
              <w:jc w:val="both"/>
              <w:rPr>
                <w:rFonts w:ascii="Times New Roman" w:eastAsia="Times New Roman" w:hAnsi="Times New Roman"/>
                <w:noProof/>
                <w:sz w:val="24"/>
                <w:szCs w:val="24"/>
              </w:rPr>
            </w:pPr>
          </w:p>
        </w:tc>
      </w:tr>
      <w:tr w:rsidR="009741EF" w:rsidRPr="009741EF" w:rsidTr="0063342C">
        <w:tc>
          <w:tcPr>
            <w:tcW w:w="5000" w:type="pct"/>
          </w:tcPr>
          <w:p w:rsidR="009741EF" w:rsidRPr="009741EF" w:rsidRDefault="009741EF" w:rsidP="00541C9D">
            <w:pPr>
              <w:spacing w:after="0" w:line="240" w:lineRule="auto"/>
              <w:jc w:val="center"/>
              <w:rPr>
                <w:rFonts w:ascii="Times New Roman" w:eastAsia="Times New Roman" w:hAnsi="Times New Roman"/>
                <w:noProof/>
                <w:sz w:val="24"/>
                <w:szCs w:val="24"/>
              </w:rPr>
            </w:pPr>
            <w:r>
              <w:rPr>
                <w:rFonts w:ascii="Times New Roman" w:hAnsi="Times New Roman"/>
                <w:noProof/>
                <w:sz w:val="24"/>
              </w:rPr>
              <w:t>(indicate the precise name of the heating fuel and quantity of the heating fuel in numbers and measuring units)</w:t>
            </w:r>
          </w:p>
        </w:tc>
      </w:tr>
    </w:tbl>
    <w:p w:rsidR="009741EF" w:rsidRPr="009741EF" w:rsidRDefault="009741EF" w:rsidP="009741EF">
      <w:pPr>
        <w:spacing w:after="0" w:line="240" w:lineRule="auto"/>
        <w:jc w:val="both"/>
        <w:rPr>
          <w:rFonts w:ascii="Times New Roman" w:eastAsia="Times New Roman" w:hAnsi="Times New Roman"/>
          <w:noProof/>
          <w:sz w:val="24"/>
          <w:szCs w:val="24"/>
        </w:rPr>
      </w:pPr>
    </w:p>
    <w:p w:rsidR="009741EF" w:rsidRDefault="009741EF" w:rsidP="0063342C">
      <w:pPr>
        <w:spacing w:after="0" w:line="240" w:lineRule="auto"/>
        <w:jc w:val="both"/>
        <w:rPr>
          <w:rFonts w:ascii="Times New Roman" w:hAnsi="Times New Roman"/>
          <w:noProof/>
          <w:sz w:val="24"/>
        </w:rPr>
      </w:pPr>
      <w:r>
        <w:rPr>
          <w:rFonts w:ascii="Times New Roman" w:hAnsi="Times New Roman"/>
          <w:noProof/>
          <w:sz w:val="24"/>
        </w:rPr>
        <w:t>3.2. the SELLER undertakes to sell the heating fuel referred to in Sub-clause 3.1 in the quantity indicated for the total purchase sum _________ EUR (</w:t>
      </w:r>
      <w:r>
        <w:rPr>
          <w:rFonts w:ascii="Times New Roman" w:hAnsi="Times New Roman"/>
          <w:i/>
          <w:noProof/>
          <w:sz w:val="24"/>
        </w:rPr>
        <w:t>sum in words</w:t>
      </w:r>
      <w:r>
        <w:rPr>
          <w:rFonts w:ascii="Times New Roman" w:hAnsi="Times New Roman"/>
          <w:noProof/>
          <w:sz w:val="24"/>
        </w:rPr>
        <w:t>), including value added tax rate;</w:t>
      </w:r>
    </w:p>
    <w:p w:rsidR="0063342C" w:rsidRPr="009741EF" w:rsidRDefault="0063342C" w:rsidP="0063342C">
      <w:pPr>
        <w:spacing w:after="0" w:line="240" w:lineRule="auto"/>
        <w:jc w:val="both"/>
        <w:rPr>
          <w:rFonts w:ascii="Times New Roman" w:eastAsia="Times New Roman" w:hAnsi="Times New Roman"/>
          <w:noProof/>
          <w:sz w:val="24"/>
          <w:szCs w:val="24"/>
        </w:rPr>
      </w:pPr>
    </w:p>
    <w:p w:rsidR="009741EF" w:rsidRDefault="009741EF" w:rsidP="0063342C">
      <w:pPr>
        <w:spacing w:after="0" w:line="240" w:lineRule="auto"/>
        <w:jc w:val="both"/>
        <w:rPr>
          <w:rFonts w:ascii="Times New Roman" w:hAnsi="Times New Roman"/>
          <w:noProof/>
          <w:sz w:val="24"/>
        </w:rPr>
      </w:pPr>
      <w:r>
        <w:rPr>
          <w:rFonts w:ascii="Times New Roman" w:hAnsi="Times New Roman"/>
          <w:noProof/>
          <w:sz w:val="24"/>
        </w:rPr>
        <w:t>3.3. the PURCHASER undertakes to purchase the heating fuel referred to in Sub-clause 3.1 in the quantity indicated for the total purchase sum _________ EUR (</w:t>
      </w:r>
      <w:r>
        <w:rPr>
          <w:rFonts w:ascii="Times New Roman" w:hAnsi="Times New Roman"/>
          <w:i/>
          <w:noProof/>
          <w:sz w:val="24"/>
        </w:rPr>
        <w:t>sum in words</w:t>
      </w:r>
      <w:r>
        <w:rPr>
          <w:rFonts w:ascii="Times New Roman" w:hAnsi="Times New Roman"/>
          <w:noProof/>
          <w:sz w:val="24"/>
        </w:rPr>
        <w:t>), including value added tax rate;</w:t>
      </w:r>
    </w:p>
    <w:p w:rsidR="0063342C" w:rsidRDefault="0063342C" w:rsidP="0063342C">
      <w:pPr>
        <w:spacing w:after="0" w:line="240" w:lineRule="auto"/>
        <w:jc w:val="both"/>
        <w:rPr>
          <w:rFonts w:ascii="Times New Roman" w:eastAsia="Times New Roman" w:hAnsi="Times New Roman"/>
          <w:noProof/>
          <w:sz w:val="24"/>
          <w:szCs w:val="24"/>
        </w:rPr>
      </w:pPr>
    </w:p>
    <w:p w:rsidR="009741EF" w:rsidRDefault="009741EF" w:rsidP="0063342C">
      <w:pPr>
        <w:spacing w:after="0" w:line="240" w:lineRule="auto"/>
        <w:jc w:val="both"/>
        <w:rPr>
          <w:rFonts w:ascii="Times New Roman" w:hAnsi="Times New Roman"/>
          <w:noProof/>
          <w:sz w:val="24"/>
        </w:rPr>
      </w:pPr>
      <w:r>
        <w:rPr>
          <w:rFonts w:ascii="Times New Roman" w:hAnsi="Times New Roman"/>
          <w:noProof/>
          <w:sz w:val="24"/>
        </w:rPr>
        <w:t>3.4. the SELLER and the PURCHASER shall draw up a heating fuel purchase and sale deed** or shall enter into a heating fuel purchase and sale contract***.</w:t>
      </w:r>
    </w:p>
    <w:p w:rsidR="0063342C" w:rsidRDefault="0063342C" w:rsidP="0063342C">
      <w:pPr>
        <w:spacing w:after="0" w:line="240" w:lineRule="auto"/>
        <w:jc w:val="both"/>
        <w:rPr>
          <w:rFonts w:ascii="Times New Roman" w:eastAsia="Times New Roman" w:hAnsi="Times New Roman"/>
          <w:noProof/>
          <w:sz w:val="24"/>
          <w:szCs w:val="24"/>
        </w:rPr>
      </w:pPr>
    </w:p>
    <w:p w:rsidR="009741EF" w:rsidRDefault="00541C9D" w:rsidP="00541C9D">
      <w:pPr>
        <w:spacing w:after="0" w:line="240" w:lineRule="auto"/>
        <w:jc w:val="both"/>
        <w:rPr>
          <w:rFonts w:ascii="Times New Roman" w:hAnsi="Times New Roman"/>
          <w:noProof/>
          <w:sz w:val="24"/>
        </w:rPr>
      </w:pPr>
      <w:r>
        <w:rPr>
          <w:rFonts w:ascii="Times New Roman" w:hAnsi="Times New Roman"/>
          <w:noProof/>
          <w:sz w:val="24"/>
        </w:rPr>
        <w:t>4. The procurement voucher shall enter into effect on the day of approval thereof.</w:t>
      </w:r>
    </w:p>
    <w:p w:rsidR="0063342C" w:rsidRDefault="0063342C" w:rsidP="00541C9D">
      <w:pPr>
        <w:spacing w:after="0" w:line="240" w:lineRule="auto"/>
        <w:jc w:val="both"/>
        <w:rPr>
          <w:rFonts w:ascii="Times New Roman" w:eastAsia="Times New Roman" w:hAnsi="Times New Roman"/>
          <w:noProof/>
          <w:sz w:val="24"/>
          <w:szCs w:val="24"/>
        </w:rPr>
      </w:pPr>
    </w:p>
    <w:p w:rsidR="009741EF" w:rsidRDefault="00541C9D" w:rsidP="00541C9D">
      <w:pPr>
        <w:tabs>
          <w:tab w:val="left" w:pos="426"/>
        </w:tabs>
        <w:spacing w:after="0" w:line="240" w:lineRule="auto"/>
        <w:jc w:val="both"/>
        <w:rPr>
          <w:rFonts w:ascii="Times New Roman" w:hAnsi="Times New Roman"/>
          <w:noProof/>
          <w:sz w:val="24"/>
        </w:rPr>
      </w:pPr>
      <w:r>
        <w:rPr>
          <w:rFonts w:ascii="Times New Roman" w:hAnsi="Times New Roman"/>
          <w:noProof/>
          <w:sz w:val="24"/>
        </w:rPr>
        <w:t xml:space="preserve">5. In case of purchasing and selling the security reserves of petroleum products, the State Energy Crisis Centre shall delegate the PURCHASER to make payment (the performer of the payment shall be the purchaser of petroleum products indicated in the requisites in this procurement voucher, i.e., the energy user referred to in Sub-paragraphs 4.1 and 4.2 of Cabinet Regulation No. 312 of 19 April 2011, </w:t>
      </w:r>
      <w:bookmarkStart w:id="99" w:name="OLE_LINK1"/>
      <w:bookmarkStart w:id="100" w:name="OLE_LINK2"/>
      <w:r>
        <w:rPr>
          <w:rFonts w:ascii="Times New Roman" w:hAnsi="Times New Roman"/>
          <w:i/>
          <w:noProof/>
          <w:sz w:val="24"/>
        </w:rPr>
        <w:t xml:space="preserve">Procedures for the Supply of Energy Users and Sale of </w:t>
      </w:r>
      <w:r>
        <w:rPr>
          <w:rFonts w:ascii="Times New Roman" w:hAnsi="Times New Roman"/>
          <w:i/>
          <w:noProof/>
          <w:sz w:val="24"/>
        </w:rPr>
        <w:lastRenderedPageBreak/>
        <w:t>Heating Fuel during Declared Energy Crisis</w:t>
      </w:r>
      <w:bookmarkEnd w:id="99"/>
      <w:bookmarkEnd w:id="100"/>
      <w:r>
        <w:rPr>
          <w:rFonts w:ascii="Times New Roman" w:hAnsi="Times New Roman"/>
          <w:noProof/>
          <w:sz w:val="24"/>
        </w:rPr>
        <w:t>, (hereinafter – Regulation), for example, the State Fire-fighting and Rescue Service, hospital, the State Police) for the supplied amount of petroleum products not later than within 48 hours after the issue of the procurement voucher to the SELLER. The day when the procurement voucher was approved shall be deemed the day of issue of the procurement voucher.</w:t>
      </w:r>
    </w:p>
    <w:p w:rsidR="0063342C" w:rsidRPr="009741EF" w:rsidRDefault="0063342C" w:rsidP="00541C9D">
      <w:pPr>
        <w:tabs>
          <w:tab w:val="left" w:pos="426"/>
        </w:tabs>
        <w:spacing w:after="0" w:line="240" w:lineRule="auto"/>
        <w:jc w:val="both"/>
        <w:rPr>
          <w:rFonts w:ascii="Times New Roman" w:hAnsi="Times New Roman"/>
          <w:noProof/>
          <w:sz w:val="24"/>
          <w:szCs w:val="24"/>
        </w:rPr>
      </w:pPr>
    </w:p>
    <w:p w:rsidR="009741EF" w:rsidRPr="009741EF" w:rsidRDefault="00541C9D" w:rsidP="00541C9D">
      <w:pPr>
        <w:tabs>
          <w:tab w:val="left" w:pos="426"/>
        </w:tabs>
        <w:spacing w:after="0" w:line="240" w:lineRule="auto"/>
        <w:jc w:val="both"/>
        <w:rPr>
          <w:rFonts w:ascii="Times New Roman" w:eastAsia="Times New Roman" w:hAnsi="Times New Roman"/>
          <w:noProof/>
          <w:sz w:val="24"/>
          <w:szCs w:val="24"/>
        </w:rPr>
      </w:pPr>
      <w:r>
        <w:rPr>
          <w:rFonts w:ascii="Times New Roman" w:hAnsi="Times New Roman"/>
          <w:noProof/>
          <w:sz w:val="24"/>
        </w:rPr>
        <w:t>6. Other information (complete in special cases upon the request of the seller or purchaser) ___________________________________________________________________________</w:t>
      </w:r>
    </w:p>
    <w:p w:rsidR="009741EF" w:rsidRPr="009741EF" w:rsidRDefault="009741EF" w:rsidP="009741EF">
      <w:pPr>
        <w:tabs>
          <w:tab w:val="left" w:pos="426"/>
        </w:tabs>
        <w:spacing w:after="0" w:line="240" w:lineRule="auto"/>
        <w:jc w:val="both"/>
        <w:rPr>
          <w:rFonts w:ascii="Times New Roman" w:eastAsia="Times New Roman" w:hAnsi="Times New Roman"/>
          <w:noProof/>
          <w:sz w:val="24"/>
          <w:szCs w:val="24"/>
        </w:rPr>
      </w:pPr>
      <w:r>
        <w:rPr>
          <w:rFonts w:ascii="Times New Roman" w:hAnsi="Times New Roman"/>
          <w:noProof/>
          <w:sz w:val="24"/>
        </w:rPr>
        <w:t>___________________________________________________________________________</w:t>
      </w:r>
    </w:p>
    <w:p w:rsidR="009741EF" w:rsidRPr="009741EF" w:rsidRDefault="009741EF" w:rsidP="009741EF">
      <w:pPr>
        <w:tabs>
          <w:tab w:val="left" w:pos="426"/>
        </w:tabs>
        <w:spacing w:after="0" w:line="240" w:lineRule="auto"/>
        <w:jc w:val="both"/>
        <w:rPr>
          <w:rFonts w:ascii="Times New Roman" w:eastAsia="Times New Roman" w:hAnsi="Times New Roman"/>
          <w:noProof/>
          <w:sz w:val="24"/>
          <w:szCs w:val="24"/>
        </w:rPr>
      </w:pPr>
    </w:p>
    <w:p w:rsidR="009741EF" w:rsidRPr="009741EF" w:rsidRDefault="00541C9D"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7. Legal address and requisites of the seller and purchaser</w:t>
      </w:r>
    </w:p>
    <w:p w:rsidR="009741EF" w:rsidRPr="009741EF" w:rsidRDefault="009741EF" w:rsidP="009741EF">
      <w:pPr>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162"/>
        <w:gridCol w:w="533"/>
        <w:gridCol w:w="4376"/>
      </w:tblGrid>
      <w:tr w:rsidR="009741EF" w:rsidRPr="009741EF" w:rsidTr="00C571BD">
        <w:tc>
          <w:tcPr>
            <w:tcW w:w="229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SELLER****</w:t>
            </w: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2412"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PURCHASER****</w:t>
            </w:r>
          </w:p>
        </w:tc>
      </w:tr>
      <w:tr w:rsidR="009741EF" w:rsidRPr="009741EF" w:rsidTr="00C571BD">
        <w:tc>
          <w:tcPr>
            <w:tcW w:w="2294"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2412"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C571BD">
        <w:tc>
          <w:tcPr>
            <w:tcW w:w="2294" w:type="pct"/>
            <w:tcBorders>
              <w:top w:val="single" w:sz="4" w:space="0" w:color="auto"/>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(name of the legal person)</w:t>
            </w: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2412" w:type="pct"/>
            <w:tcBorders>
              <w:top w:val="single" w:sz="4" w:space="0" w:color="auto"/>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(name of the legal person)</w:t>
            </w:r>
          </w:p>
        </w:tc>
      </w:tr>
      <w:tr w:rsidR="009741EF" w:rsidRPr="009741EF" w:rsidTr="00C571BD">
        <w:tc>
          <w:tcPr>
            <w:tcW w:w="2294"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2412"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C571BD">
        <w:tc>
          <w:tcPr>
            <w:tcW w:w="2294" w:type="pct"/>
            <w:tcBorders>
              <w:top w:val="single" w:sz="4" w:space="0" w:color="auto"/>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(legal address)</w:t>
            </w: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2412" w:type="pct"/>
            <w:tcBorders>
              <w:top w:val="single" w:sz="4" w:space="0" w:color="auto"/>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(legal address)</w:t>
            </w:r>
          </w:p>
        </w:tc>
      </w:tr>
    </w:tbl>
    <w:p w:rsidR="009741EF" w:rsidRPr="009741EF" w:rsidRDefault="009741EF" w:rsidP="009741EF">
      <w:pPr>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40"/>
        <w:gridCol w:w="1922"/>
        <w:gridCol w:w="533"/>
        <w:gridCol w:w="2348"/>
        <w:gridCol w:w="2028"/>
      </w:tblGrid>
      <w:tr w:rsidR="009741EF" w:rsidRPr="009741EF" w:rsidTr="00DB0363">
        <w:tc>
          <w:tcPr>
            <w:tcW w:w="123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Treasury or bank </w:t>
            </w:r>
          </w:p>
        </w:tc>
        <w:tc>
          <w:tcPr>
            <w:tcW w:w="1059"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129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Treasury or bank </w:t>
            </w:r>
          </w:p>
        </w:tc>
        <w:tc>
          <w:tcPr>
            <w:tcW w:w="1118"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DB03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34" w:type="pct"/>
            <w:tcBorders>
              <w:top w:val="nil"/>
              <w:left w:val="nil"/>
              <w:bottom w:val="nil"/>
              <w:right w:val="nil"/>
            </w:tcBorders>
          </w:tcPr>
          <w:p w:rsidR="009741EF" w:rsidRPr="009741EF" w:rsidRDefault="009741EF" w:rsidP="009741EF">
            <w:pPr>
              <w:spacing w:after="0" w:line="240" w:lineRule="auto"/>
              <w:jc w:val="both"/>
              <w:rPr>
                <w:rFonts w:ascii="Times New Roman" w:hAnsi="Times New Roman"/>
                <w:noProof/>
                <w:sz w:val="24"/>
                <w:szCs w:val="24"/>
              </w:rPr>
            </w:pPr>
          </w:p>
        </w:tc>
        <w:tc>
          <w:tcPr>
            <w:tcW w:w="1059" w:type="pct"/>
            <w:tcBorders>
              <w:top w:val="single" w:sz="4" w:space="0" w:color="auto"/>
              <w:left w:val="nil"/>
              <w:bottom w:val="nil"/>
              <w:right w:val="nil"/>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(name)</w:t>
            </w:r>
          </w:p>
        </w:tc>
        <w:tc>
          <w:tcPr>
            <w:tcW w:w="294" w:type="pct"/>
            <w:tcBorders>
              <w:top w:val="nil"/>
              <w:left w:val="nil"/>
              <w:bottom w:val="nil"/>
              <w:right w:val="nil"/>
            </w:tcBorders>
          </w:tcPr>
          <w:p w:rsidR="009741EF" w:rsidRPr="009741EF" w:rsidRDefault="009741EF" w:rsidP="009741EF">
            <w:pPr>
              <w:spacing w:after="0" w:line="240" w:lineRule="auto"/>
              <w:jc w:val="both"/>
              <w:rPr>
                <w:rFonts w:ascii="Times New Roman" w:hAnsi="Times New Roman"/>
                <w:noProof/>
                <w:sz w:val="24"/>
                <w:szCs w:val="24"/>
              </w:rPr>
            </w:pPr>
          </w:p>
        </w:tc>
        <w:tc>
          <w:tcPr>
            <w:tcW w:w="1294" w:type="pct"/>
            <w:tcBorders>
              <w:top w:val="nil"/>
              <w:left w:val="nil"/>
              <w:bottom w:val="nil"/>
              <w:right w:val="nil"/>
            </w:tcBorders>
          </w:tcPr>
          <w:p w:rsidR="009741EF" w:rsidRPr="009741EF" w:rsidRDefault="009741EF" w:rsidP="009741EF">
            <w:pPr>
              <w:spacing w:after="0" w:line="240" w:lineRule="auto"/>
              <w:jc w:val="both"/>
              <w:rPr>
                <w:rFonts w:ascii="Times New Roman" w:hAnsi="Times New Roman"/>
                <w:noProof/>
                <w:sz w:val="24"/>
                <w:szCs w:val="24"/>
              </w:rPr>
            </w:pPr>
          </w:p>
        </w:tc>
        <w:tc>
          <w:tcPr>
            <w:tcW w:w="1118" w:type="pct"/>
            <w:tcBorders>
              <w:top w:val="single" w:sz="4" w:space="0" w:color="auto"/>
              <w:left w:val="nil"/>
              <w:bottom w:val="nil"/>
              <w:right w:val="nil"/>
            </w:tcBorders>
          </w:tcPr>
          <w:p w:rsidR="009741EF" w:rsidRPr="009741EF" w:rsidRDefault="009741EF" w:rsidP="00541C9D">
            <w:pPr>
              <w:spacing w:after="0" w:line="240" w:lineRule="auto"/>
              <w:jc w:val="center"/>
              <w:rPr>
                <w:rFonts w:ascii="Times New Roman" w:eastAsia="Times New Roman" w:hAnsi="Times New Roman"/>
                <w:noProof/>
                <w:sz w:val="24"/>
              </w:rPr>
            </w:pPr>
            <w:r>
              <w:rPr>
                <w:rFonts w:ascii="Times New Roman" w:hAnsi="Times New Roman"/>
                <w:noProof/>
                <w:sz w:val="24"/>
              </w:rPr>
              <w:t>(name)</w:t>
            </w:r>
          </w:p>
        </w:tc>
      </w:tr>
      <w:tr w:rsidR="009741EF" w:rsidRPr="009741EF" w:rsidTr="00DB03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34" w:type="pct"/>
            <w:tcBorders>
              <w:top w:val="nil"/>
              <w:left w:val="nil"/>
              <w:bottom w:val="nil"/>
              <w:right w:val="nil"/>
            </w:tcBorders>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Registration No.</w:t>
            </w:r>
          </w:p>
        </w:tc>
        <w:tc>
          <w:tcPr>
            <w:tcW w:w="1059" w:type="pct"/>
            <w:tcBorders>
              <w:top w:val="nil"/>
              <w:left w:val="nil"/>
              <w:bottom w:val="single" w:sz="4" w:space="0" w:color="auto"/>
              <w:right w:val="nil"/>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Borders>
              <w:top w:val="nil"/>
              <w:left w:val="nil"/>
              <w:bottom w:val="nil"/>
              <w:right w:val="nil"/>
            </w:tcBorders>
          </w:tcPr>
          <w:p w:rsidR="009741EF" w:rsidRPr="009741EF" w:rsidRDefault="009741EF" w:rsidP="009741EF">
            <w:pPr>
              <w:spacing w:after="0" w:line="240" w:lineRule="auto"/>
              <w:jc w:val="both"/>
              <w:rPr>
                <w:rFonts w:ascii="Times New Roman" w:hAnsi="Times New Roman"/>
                <w:noProof/>
                <w:sz w:val="24"/>
                <w:szCs w:val="24"/>
              </w:rPr>
            </w:pPr>
          </w:p>
        </w:tc>
        <w:tc>
          <w:tcPr>
            <w:tcW w:w="1294" w:type="pct"/>
            <w:tcBorders>
              <w:top w:val="nil"/>
              <w:left w:val="nil"/>
              <w:bottom w:val="nil"/>
              <w:right w:val="nil"/>
            </w:tcBorders>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Registration No.</w:t>
            </w:r>
          </w:p>
        </w:tc>
        <w:tc>
          <w:tcPr>
            <w:tcW w:w="1118" w:type="pct"/>
            <w:tcBorders>
              <w:top w:val="nil"/>
              <w:left w:val="nil"/>
              <w:bottom w:val="single" w:sz="4" w:space="0" w:color="auto"/>
              <w:right w:val="nil"/>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DB0363">
        <w:tc>
          <w:tcPr>
            <w:tcW w:w="123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Code</w:t>
            </w:r>
          </w:p>
        </w:tc>
        <w:tc>
          <w:tcPr>
            <w:tcW w:w="1059"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129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Code</w:t>
            </w:r>
          </w:p>
        </w:tc>
        <w:tc>
          <w:tcPr>
            <w:tcW w:w="1118"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DB0363">
        <w:tc>
          <w:tcPr>
            <w:tcW w:w="123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Account</w:t>
            </w:r>
          </w:p>
        </w:tc>
        <w:tc>
          <w:tcPr>
            <w:tcW w:w="1059" w:type="pct"/>
            <w:tcBorders>
              <w:top w:val="single" w:sz="4" w:space="0" w:color="auto"/>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1294"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Account</w:t>
            </w:r>
          </w:p>
        </w:tc>
        <w:tc>
          <w:tcPr>
            <w:tcW w:w="1118" w:type="pct"/>
            <w:tcBorders>
              <w:top w:val="single" w:sz="4" w:space="0" w:color="auto"/>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bl>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Officials authorised to sign documents </w:t>
      </w:r>
      <w:r>
        <w:tab/>
      </w:r>
      <w:r>
        <w:tab/>
      </w:r>
      <w:r>
        <w:tab/>
      </w:r>
      <w:r>
        <w:rPr>
          <w:rFonts w:ascii="Times New Roman" w:hAnsi="Times New Roman"/>
          <w:noProof/>
          <w:sz w:val="24"/>
        </w:rPr>
        <w:t>Officials authorised to sign documents</w:t>
      </w:r>
    </w:p>
    <w:tbl>
      <w:tblPr>
        <w:tblW w:w="5000" w:type="pct"/>
        <w:tblCellMar>
          <w:top w:w="28" w:type="dxa"/>
          <w:left w:w="28" w:type="dxa"/>
          <w:bottom w:w="28" w:type="dxa"/>
          <w:right w:w="28" w:type="dxa"/>
        </w:tblCellMar>
        <w:tblLook w:val="01E0" w:firstRow="1" w:lastRow="1" w:firstColumn="1" w:lastColumn="1" w:noHBand="0" w:noVBand="0"/>
      </w:tblPr>
      <w:tblGrid>
        <w:gridCol w:w="2127"/>
        <w:gridCol w:w="2037"/>
        <w:gridCol w:w="533"/>
        <w:gridCol w:w="2250"/>
        <w:gridCol w:w="2124"/>
      </w:tblGrid>
      <w:tr w:rsidR="009741EF" w:rsidRPr="009741EF" w:rsidTr="00C571BD">
        <w:tc>
          <w:tcPr>
            <w:tcW w:w="1172"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position</w:t>
            </w:r>
          </w:p>
        </w:tc>
        <w:tc>
          <w:tcPr>
            <w:tcW w:w="1123"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1240"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position</w:t>
            </w:r>
          </w:p>
        </w:tc>
        <w:tc>
          <w:tcPr>
            <w:tcW w:w="1171" w:type="pct"/>
            <w:tcBorders>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r w:rsidR="009741EF" w:rsidRPr="009741EF" w:rsidTr="00C571BD">
        <w:tc>
          <w:tcPr>
            <w:tcW w:w="1172"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given name, surname</w:t>
            </w:r>
          </w:p>
        </w:tc>
        <w:tc>
          <w:tcPr>
            <w:tcW w:w="1123" w:type="pct"/>
            <w:tcBorders>
              <w:top w:val="single" w:sz="4" w:space="0" w:color="auto"/>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c>
          <w:tcPr>
            <w:tcW w:w="294" w:type="pct"/>
          </w:tcPr>
          <w:p w:rsidR="009741EF" w:rsidRPr="009741EF" w:rsidRDefault="009741EF" w:rsidP="009741EF">
            <w:pPr>
              <w:spacing w:after="0" w:line="240" w:lineRule="auto"/>
              <w:jc w:val="both"/>
              <w:rPr>
                <w:rFonts w:ascii="Times New Roman" w:hAnsi="Times New Roman"/>
                <w:noProof/>
                <w:sz w:val="24"/>
                <w:szCs w:val="24"/>
              </w:rPr>
            </w:pPr>
          </w:p>
        </w:tc>
        <w:tc>
          <w:tcPr>
            <w:tcW w:w="1240" w:type="pct"/>
          </w:tcPr>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given name, surname</w:t>
            </w:r>
          </w:p>
        </w:tc>
        <w:tc>
          <w:tcPr>
            <w:tcW w:w="1171" w:type="pct"/>
            <w:tcBorders>
              <w:top w:val="single" w:sz="4" w:space="0" w:color="auto"/>
              <w:bottom w:val="single" w:sz="4" w:space="0" w:color="auto"/>
            </w:tcBorders>
          </w:tcPr>
          <w:p w:rsidR="009741EF" w:rsidRPr="009741EF" w:rsidRDefault="009741EF" w:rsidP="009741EF">
            <w:pPr>
              <w:spacing w:after="0" w:line="240" w:lineRule="auto"/>
              <w:jc w:val="both"/>
              <w:rPr>
                <w:rFonts w:ascii="Times New Roman" w:hAnsi="Times New Roman"/>
                <w:noProof/>
                <w:sz w:val="24"/>
                <w:szCs w:val="24"/>
              </w:rPr>
            </w:pPr>
          </w:p>
        </w:tc>
      </w:tr>
    </w:tbl>
    <w:p w:rsidR="009741EF" w:rsidRPr="009741EF" w:rsidRDefault="009741EF" w:rsidP="009741EF">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__________________20____ </w:t>
      </w:r>
      <w:r>
        <w:tab/>
      </w:r>
      <w:r>
        <w:tab/>
      </w:r>
      <w:r>
        <w:rPr>
          <w:rFonts w:ascii="Times New Roman" w:hAnsi="Times New Roman"/>
          <w:noProof/>
          <w:sz w:val="24"/>
        </w:rPr>
        <w:t>_________________ 20____</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B1CB3" w:rsidTr="000B1CB3">
        <w:tc>
          <w:tcPr>
            <w:tcW w:w="4530" w:type="dxa"/>
          </w:tcPr>
          <w:p w:rsidR="000B1CB3" w:rsidRDefault="000B1CB3" w:rsidP="000B1CB3">
            <w:pPr>
              <w:jc w:val="right"/>
              <w:rPr>
                <w:rFonts w:ascii="Times New Roman" w:hAnsi="Times New Roman"/>
                <w:noProof/>
                <w:sz w:val="24"/>
              </w:rPr>
            </w:pPr>
            <w:r>
              <w:rPr>
                <w:rFonts w:ascii="Times New Roman" w:hAnsi="Times New Roman"/>
                <w:noProof/>
                <w:sz w:val="24"/>
              </w:rPr>
              <w:t>Place for a seal</w:t>
            </w:r>
          </w:p>
        </w:tc>
        <w:tc>
          <w:tcPr>
            <w:tcW w:w="4531" w:type="dxa"/>
          </w:tcPr>
          <w:p w:rsidR="000B1CB3" w:rsidRDefault="000B1CB3" w:rsidP="000B1CB3">
            <w:pPr>
              <w:jc w:val="right"/>
              <w:rPr>
                <w:rFonts w:ascii="Times New Roman" w:hAnsi="Times New Roman"/>
                <w:noProof/>
                <w:sz w:val="24"/>
              </w:rPr>
            </w:pPr>
            <w:r>
              <w:rPr>
                <w:rFonts w:ascii="Times New Roman" w:hAnsi="Times New Roman"/>
                <w:noProof/>
                <w:sz w:val="24"/>
              </w:rPr>
              <w:t>Place for a seal</w:t>
            </w:r>
          </w:p>
        </w:tc>
      </w:tr>
    </w:tbl>
    <w:p w:rsidR="009741EF" w:rsidRPr="009741EF" w:rsidRDefault="009741EF" w:rsidP="009741EF">
      <w:pPr>
        <w:spacing w:after="0" w:line="240" w:lineRule="auto"/>
        <w:jc w:val="both"/>
        <w:rPr>
          <w:rFonts w:ascii="Times New Roman" w:hAnsi="Times New Roman"/>
          <w:noProof/>
          <w:sz w:val="24"/>
          <w:szCs w:val="24"/>
        </w:rPr>
      </w:pPr>
    </w:p>
    <w:p w:rsidR="009741EF" w:rsidRDefault="009741EF"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Notes.</w:t>
      </w:r>
    </w:p>
    <w:p w:rsidR="009741EF" w:rsidRDefault="009741EF"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1. * Only the clauses of the procurement voucher needed in each particular case shall be completed.</w:t>
      </w:r>
    </w:p>
    <w:p w:rsidR="009741EF" w:rsidRPr="009741EF" w:rsidRDefault="009741EF"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2. ** The minimum requirements for a heating fuel purchase and sale deed are indicated in Paragraph 31 of Regulation.</w:t>
      </w:r>
    </w:p>
    <w:p w:rsidR="009741EF" w:rsidRPr="009741EF" w:rsidRDefault="009741EF"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3. *** A standard contract of commercial practice service may be used as a heating fuel purchase and sale contract. The minimum requirements to be included in the contract are indicated in Paragraph 31 of Regulation.</w:t>
      </w:r>
    </w:p>
    <w:p w:rsidR="009741EF" w:rsidRPr="009741EF" w:rsidRDefault="009741EF" w:rsidP="00541C9D">
      <w:pPr>
        <w:spacing w:after="0" w:line="240" w:lineRule="auto"/>
        <w:jc w:val="both"/>
        <w:rPr>
          <w:rFonts w:ascii="Times New Roman" w:eastAsia="Times New Roman" w:hAnsi="Times New Roman"/>
          <w:noProof/>
          <w:sz w:val="24"/>
          <w:szCs w:val="24"/>
        </w:rPr>
      </w:pPr>
      <w:r>
        <w:rPr>
          <w:rFonts w:ascii="Times New Roman" w:hAnsi="Times New Roman"/>
          <w:noProof/>
          <w:sz w:val="24"/>
        </w:rPr>
        <w:t>4. **** If the seller and purchaser are natural persons, the given name, surname, personal identity number, address of the actual place of residence shall be indicated in the requisites.</w:t>
      </w:r>
    </w:p>
    <w:p w:rsidR="009741EF" w:rsidRDefault="009741EF" w:rsidP="009741EF">
      <w:pPr>
        <w:spacing w:after="0" w:line="240" w:lineRule="auto"/>
        <w:jc w:val="both"/>
        <w:rPr>
          <w:rFonts w:ascii="Times New Roman" w:eastAsia="Times New Roman" w:hAnsi="Times New Roman" w:cs="Times New Roman"/>
          <w:noProof/>
          <w:sz w:val="24"/>
          <w:szCs w:val="24"/>
        </w:rPr>
      </w:pPr>
    </w:p>
    <w:p w:rsidR="0081677C" w:rsidRPr="00E01C0E" w:rsidRDefault="0081677C" w:rsidP="009741EF">
      <w:pPr>
        <w:spacing w:after="0" w:line="240" w:lineRule="auto"/>
        <w:jc w:val="both"/>
        <w:rPr>
          <w:rFonts w:ascii="Times New Roman" w:eastAsia="Times New Roman" w:hAnsi="Times New Roman" w:cs="Times New Roman"/>
          <w:noProof/>
          <w:sz w:val="24"/>
          <w:szCs w:val="24"/>
        </w:rPr>
      </w:pPr>
    </w:p>
    <w:p w:rsidR="009741EF" w:rsidRPr="009741EF" w:rsidRDefault="001E55EC" w:rsidP="009741E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101" w:name="_GoBack"/>
      <w:bookmarkEnd w:id="101"/>
      <w:r w:rsidR="009741EF">
        <w:rPr>
          <w:rFonts w:ascii="Times New Roman" w:hAnsi="Times New Roman"/>
          <w:noProof/>
          <w:sz w:val="24"/>
        </w:rPr>
        <w:t>A. Kampars</w:t>
      </w:r>
    </w:p>
    <w:p w:rsidR="009741EF" w:rsidRPr="009741EF" w:rsidRDefault="009741EF" w:rsidP="009741EF">
      <w:pPr>
        <w:spacing w:after="0" w:line="240" w:lineRule="auto"/>
        <w:jc w:val="both"/>
        <w:rPr>
          <w:rFonts w:ascii="Times New Roman" w:hAnsi="Times New Roman"/>
          <w:noProof/>
          <w:sz w:val="24"/>
        </w:rPr>
      </w:pPr>
    </w:p>
    <w:sectPr w:rsidR="009741EF" w:rsidRPr="009741EF" w:rsidSect="009741EF">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EF" w:rsidRPr="009741EF" w:rsidRDefault="009741EF" w:rsidP="009741EF">
      <w:pPr>
        <w:spacing w:after="0" w:line="240" w:lineRule="auto"/>
        <w:rPr>
          <w:noProof/>
          <w:lang w:val="en-US"/>
        </w:rPr>
      </w:pPr>
      <w:r w:rsidRPr="009741EF">
        <w:rPr>
          <w:noProof/>
          <w:lang w:val="en-US"/>
        </w:rPr>
        <w:separator/>
      </w:r>
    </w:p>
  </w:endnote>
  <w:endnote w:type="continuationSeparator" w:id="0">
    <w:p w:rsidR="009741EF" w:rsidRPr="009741EF" w:rsidRDefault="009741EF" w:rsidP="009741EF">
      <w:pPr>
        <w:spacing w:after="0" w:line="240" w:lineRule="auto"/>
        <w:rPr>
          <w:noProof/>
          <w:lang w:val="en-US"/>
        </w:rPr>
      </w:pPr>
      <w:r w:rsidRPr="009741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E2" w:rsidRPr="00124C7E" w:rsidRDefault="00D80DE2" w:rsidP="00D80DE2">
    <w:pPr>
      <w:pStyle w:val="Kjene"/>
      <w:tabs>
        <w:tab w:val="clear" w:pos="4153"/>
        <w:tab w:val="clear" w:pos="8306"/>
        <w:tab w:val="right" w:pos="9072"/>
      </w:tabs>
      <w:rPr>
        <w:rFonts w:ascii="Times New Roman" w:hAnsi="Times New Roman" w:cs="Times New Roman"/>
        <w:sz w:val="20"/>
      </w:rPr>
    </w:pPr>
  </w:p>
  <w:p w:rsidR="00D80DE2" w:rsidRPr="00124C7E" w:rsidRDefault="00D80DE2" w:rsidP="00D80DE2">
    <w:pPr>
      <w:pStyle w:val="Kjene"/>
      <w:tabs>
        <w:tab w:val="clear" w:pos="4153"/>
        <w:tab w:val="clear" w:pos="8306"/>
        <w:tab w:val="right" w:pos="9072"/>
        <w:tab w:val="right" w:pos="14459"/>
      </w:tabs>
      <w:rPr>
        <w:rFonts w:ascii="Times New Roman" w:hAnsi="Times New Roman" w:cs="Times New Roman"/>
        <w:sz w:val="20"/>
      </w:rPr>
    </w:pPr>
    <w:r w:rsidRPr="00124C7E">
      <w:rPr>
        <w:rFonts w:ascii="Times New Roman" w:hAnsi="Times New Roman" w:cs="Times New Roman"/>
        <w:sz w:val="20"/>
      </w:rPr>
      <w:t xml:space="preserve">Translation </w:t>
    </w:r>
    <w:r w:rsidRPr="00124C7E">
      <w:rPr>
        <w:rFonts w:ascii="Times New Roman" w:hAnsi="Times New Roman" w:cs="Times New Roman"/>
        <w:sz w:val="20"/>
      </w:rPr>
      <w:fldChar w:fldCharType="begin"/>
    </w:r>
    <w:r w:rsidRPr="00124C7E">
      <w:rPr>
        <w:rFonts w:ascii="Times New Roman" w:hAnsi="Times New Roman" w:cs="Times New Roman"/>
        <w:sz w:val="20"/>
      </w:rPr>
      <w:instrText>symbol 169 \f "UnivrstyRoman TL" \s 8</w:instrText>
    </w:r>
    <w:r w:rsidRPr="00124C7E">
      <w:rPr>
        <w:rFonts w:ascii="Times New Roman" w:hAnsi="Times New Roman" w:cs="Times New Roman"/>
        <w:sz w:val="20"/>
      </w:rPr>
      <w:fldChar w:fldCharType="separate"/>
    </w:r>
    <w:r w:rsidRPr="00124C7E">
      <w:rPr>
        <w:rFonts w:ascii="Times New Roman" w:hAnsi="Times New Roman" w:cs="Times New Roman"/>
        <w:sz w:val="20"/>
      </w:rPr>
      <w:t>©</w:t>
    </w:r>
    <w:r w:rsidRPr="00124C7E">
      <w:rPr>
        <w:rFonts w:ascii="Times New Roman" w:hAnsi="Times New Roman" w:cs="Times New Roman"/>
        <w:sz w:val="20"/>
      </w:rPr>
      <w:fldChar w:fldCharType="end"/>
    </w:r>
    <w:r w:rsidRPr="00124C7E">
      <w:rPr>
        <w:rFonts w:ascii="Times New Roman" w:hAnsi="Times New Roman" w:cs="Times New Roman"/>
        <w:sz w:val="20"/>
      </w:rPr>
      <w:t xml:space="preserve"> 201</w:t>
    </w:r>
    <w:r>
      <w:rPr>
        <w:rFonts w:ascii="Times New Roman" w:hAnsi="Times New Roman" w:cs="Times New Roman"/>
        <w:sz w:val="20"/>
      </w:rPr>
      <w:t>7</w:t>
    </w:r>
    <w:r w:rsidRPr="00124C7E">
      <w:rPr>
        <w:rFonts w:ascii="Times New Roman" w:hAnsi="Times New Roman" w:cs="Times New Roman"/>
        <w:sz w:val="20"/>
      </w:rPr>
      <w:t xml:space="preserve"> Valsts valodas centrs (State Language Centre)</w:t>
    </w:r>
    <w:r w:rsidRPr="00124C7E">
      <w:rPr>
        <w:rFonts w:ascii="Times New Roman" w:hAnsi="Times New Roman" w:cs="Times New Roman"/>
        <w:sz w:val="20"/>
      </w:rPr>
      <w:tab/>
    </w:r>
    <w:r w:rsidRPr="00124C7E">
      <w:rPr>
        <w:rStyle w:val="Lappusesnumurs"/>
        <w:rFonts w:ascii="Times New Roman" w:hAnsi="Times New Roman" w:cs="Times New Roman"/>
        <w:sz w:val="20"/>
      </w:rPr>
      <w:fldChar w:fldCharType="begin"/>
    </w:r>
    <w:r w:rsidRPr="00124C7E">
      <w:rPr>
        <w:rStyle w:val="Lappusesnumurs"/>
        <w:rFonts w:ascii="Times New Roman" w:hAnsi="Times New Roman" w:cs="Times New Roman"/>
        <w:sz w:val="20"/>
      </w:rPr>
      <w:instrText xml:space="preserve"> PAGE </w:instrText>
    </w:r>
    <w:r w:rsidRPr="00124C7E">
      <w:rPr>
        <w:rStyle w:val="Lappusesnumurs"/>
        <w:rFonts w:ascii="Times New Roman" w:hAnsi="Times New Roman" w:cs="Times New Roman"/>
        <w:sz w:val="20"/>
      </w:rPr>
      <w:fldChar w:fldCharType="separate"/>
    </w:r>
    <w:r w:rsidR="001E55EC">
      <w:rPr>
        <w:rStyle w:val="Lappusesnumurs"/>
        <w:rFonts w:ascii="Times New Roman" w:hAnsi="Times New Roman" w:cs="Times New Roman"/>
        <w:noProof/>
        <w:sz w:val="20"/>
      </w:rPr>
      <w:t>9</w:t>
    </w:r>
    <w:r w:rsidRPr="00124C7E">
      <w:rPr>
        <w:rStyle w:val="Lappusesnumurs"/>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E2" w:rsidRPr="00124C7E" w:rsidRDefault="00D80DE2" w:rsidP="00D80DE2">
    <w:pPr>
      <w:pStyle w:val="Kjene"/>
      <w:rPr>
        <w:rFonts w:ascii="Times New Roman" w:hAnsi="Times New Roman" w:cs="Times New Roman"/>
        <w:sz w:val="20"/>
      </w:rPr>
    </w:pPr>
  </w:p>
  <w:p w:rsidR="00D80DE2" w:rsidRPr="00124C7E" w:rsidRDefault="00D80DE2" w:rsidP="00D80DE2">
    <w:pPr>
      <w:pStyle w:val="Kjene"/>
      <w:rPr>
        <w:rFonts w:ascii="Times New Roman" w:hAnsi="Times New Roman" w:cs="Times New Roman"/>
        <w:sz w:val="20"/>
      </w:rPr>
    </w:pPr>
    <w:r w:rsidRPr="00124C7E">
      <w:rPr>
        <w:rFonts w:ascii="Times New Roman" w:hAnsi="Times New Roman" w:cs="Times New Roman"/>
        <w:sz w:val="20"/>
      </w:rPr>
      <w:t xml:space="preserve">Translation </w:t>
    </w:r>
    <w:r w:rsidRPr="00124C7E">
      <w:rPr>
        <w:rFonts w:ascii="Times New Roman" w:hAnsi="Times New Roman" w:cs="Times New Roman"/>
        <w:sz w:val="20"/>
      </w:rPr>
      <w:fldChar w:fldCharType="begin"/>
    </w:r>
    <w:r w:rsidRPr="00124C7E">
      <w:rPr>
        <w:rFonts w:ascii="Times New Roman" w:hAnsi="Times New Roman" w:cs="Times New Roman"/>
        <w:sz w:val="20"/>
      </w:rPr>
      <w:instrText>symbol 169 \f "UnivrstyRoman TL" \s 8</w:instrText>
    </w:r>
    <w:r w:rsidRPr="00124C7E">
      <w:rPr>
        <w:rFonts w:ascii="Times New Roman" w:hAnsi="Times New Roman" w:cs="Times New Roman"/>
        <w:sz w:val="20"/>
      </w:rPr>
      <w:fldChar w:fldCharType="separate"/>
    </w:r>
    <w:r w:rsidRPr="00124C7E">
      <w:rPr>
        <w:rFonts w:ascii="Times New Roman" w:hAnsi="Times New Roman" w:cs="Times New Roman"/>
        <w:sz w:val="20"/>
      </w:rPr>
      <w:t>©</w:t>
    </w:r>
    <w:r w:rsidRPr="00124C7E">
      <w:rPr>
        <w:rFonts w:ascii="Times New Roman" w:hAnsi="Times New Roman" w:cs="Times New Roman"/>
        <w:sz w:val="20"/>
      </w:rPr>
      <w:fldChar w:fldCharType="end"/>
    </w:r>
    <w:r w:rsidRPr="00124C7E">
      <w:rPr>
        <w:rFonts w:ascii="Times New Roman" w:hAnsi="Times New Roman" w:cs="Times New Roman"/>
        <w:sz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EF" w:rsidRPr="009741EF" w:rsidRDefault="009741EF" w:rsidP="009741EF">
      <w:pPr>
        <w:spacing w:after="0" w:line="240" w:lineRule="auto"/>
        <w:rPr>
          <w:noProof/>
          <w:lang w:val="en-US"/>
        </w:rPr>
      </w:pPr>
      <w:r w:rsidRPr="009741EF">
        <w:rPr>
          <w:noProof/>
          <w:lang w:val="en-US"/>
        </w:rPr>
        <w:separator/>
      </w:r>
    </w:p>
  </w:footnote>
  <w:footnote w:type="continuationSeparator" w:id="0">
    <w:p w:rsidR="009741EF" w:rsidRPr="009741EF" w:rsidRDefault="009741EF" w:rsidP="009741EF">
      <w:pPr>
        <w:spacing w:after="0" w:line="240" w:lineRule="auto"/>
        <w:rPr>
          <w:noProof/>
          <w:lang w:val="en-US"/>
        </w:rPr>
      </w:pPr>
      <w:r w:rsidRPr="009741EF">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946A4"/>
    <w:multiLevelType w:val="hybridMultilevel"/>
    <w:tmpl w:val="851E333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9A"/>
    <w:rsid w:val="000B1CB3"/>
    <w:rsid w:val="00101D8F"/>
    <w:rsid w:val="001939A1"/>
    <w:rsid w:val="001E55EC"/>
    <w:rsid w:val="002173B8"/>
    <w:rsid w:val="00292E98"/>
    <w:rsid w:val="003300F8"/>
    <w:rsid w:val="00445BF0"/>
    <w:rsid w:val="00473B9A"/>
    <w:rsid w:val="004C2544"/>
    <w:rsid w:val="005317A9"/>
    <w:rsid w:val="00541C9D"/>
    <w:rsid w:val="0056236A"/>
    <w:rsid w:val="00596D97"/>
    <w:rsid w:val="005D15FD"/>
    <w:rsid w:val="0063342C"/>
    <w:rsid w:val="00666F4E"/>
    <w:rsid w:val="007E7E0E"/>
    <w:rsid w:val="0081677C"/>
    <w:rsid w:val="008A4B81"/>
    <w:rsid w:val="009741EF"/>
    <w:rsid w:val="00AC687F"/>
    <w:rsid w:val="00B53D5C"/>
    <w:rsid w:val="00B66401"/>
    <w:rsid w:val="00BC67EA"/>
    <w:rsid w:val="00C571BD"/>
    <w:rsid w:val="00D80DE2"/>
    <w:rsid w:val="00DB0363"/>
    <w:rsid w:val="00DC12BC"/>
    <w:rsid w:val="00DF202B"/>
    <w:rsid w:val="00DF4722"/>
    <w:rsid w:val="00E01C0E"/>
    <w:rsid w:val="00E44439"/>
    <w:rsid w:val="00E827C7"/>
    <w:rsid w:val="00E90CC2"/>
    <w:rsid w:val="00E96EAF"/>
    <w:rsid w:val="00EE249E"/>
    <w:rsid w:val="00F86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2FD3"/>
  <w15:chartTrackingRefBased/>
  <w15:docId w15:val="{D21C7753-8C82-4703-A7DB-4E29B1E9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E01C0E"/>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E01C0E"/>
    <w:rPr>
      <w:color w:val="0000FF"/>
      <w:u w:val="single"/>
    </w:rPr>
  </w:style>
  <w:style w:type="character" w:customStyle="1" w:styleId="labojumupamats1">
    <w:name w:val="labojumu_pamats1"/>
    <w:basedOn w:val="Noklusjumarindkopasfonts"/>
    <w:rsid w:val="00E01C0E"/>
  </w:style>
  <w:style w:type="paragraph" w:customStyle="1" w:styleId="tv213">
    <w:name w:val="tv213"/>
    <w:basedOn w:val="Parasts"/>
    <w:rsid w:val="00E01C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E01C0E"/>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9741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41EF"/>
  </w:style>
  <w:style w:type="paragraph" w:styleId="Kjene">
    <w:name w:val="footer"/>
    <w:basedOn w:val="Parasts"/>
    <w:link w:val="KjeneRakstz"/>
    <w:unhideWhenUsed/>
    <w:rsid w:val="009741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41EF"/>
  </w:style>
  <w:style w:type="paragraph" w:styleId="Tekstabloks">
    <w:name w:val="Block Text"/>
    <w:basedOn w:val="Parasts"/>
    <w:rsid w:val="00D80DE2"/>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basedOn w:val="Noklusjumarindkopasfonts"/>
    <w:rsid w:val="00D80DE2"/>
  </w:style>
  <w:style w:type="table" w:styleId="Reatabula">
    <w:name w:val="Table Grid"/>
    <w:basedOn w:val="Parastatabula"/>
    <w:uiPriority w:val="39"/>
    <w:rsid w:val="000B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371">
      <w:bodyDiv w:val="1"/>
      <w:marLeft w:val="0"/>
      <w:marRight w:val="0"/>
      <w:marTop w:val="0"/>
      <w:marBottom w:val="0"/>
      <w:divBdr>
        <w:top w:val="none" w:sz="0" w:space="0" w:color="auto"/>
        <w:left w:val="none" w:sz="0" w:space="0" w:color="auto"/>
        <w:bottom w:val="none" w:sz="0" w:space="0" w:color="auto"/>
        <w:right w:val="none" w:sz="0" w:space="0" w:color="auto"/>
      </w:divBdr>
      <w:divsChild>
        <w:div w:id="835220731">
          <w:marLeft w:val="0"/>
          <w:marRight w:val="0"/>
          <w:marTop w:val="0"/>
          <w:marBottom w:val="0"/>
          <w:divBdr>
            <w:top w:val="none" w:sz="0" w:space="0" w:color="auto"/>
            <w:left w:val="none" w:sz="0" w:space="0" w:color="auto"/>
            <w:bottom w:val="none" w:sz="0" w:space="0" w:color="auto"/>
            <w:right w:val="none" w:sz="0" w:space="0" w:color="auto"/>
          </w:divBdr>
        </w:div>
        <w:div w:id="1683580237">
          <w:marLeft w:val="0"/>
          <w:marRight w:val="0"/>
          <w:marTop w:val="0"/>
          <w:marBottom w:val="0"/>
          <w:divBdr>
            <w:top w:val="none" w:sz="0" w:space="0" w:color="auto"/>
            <w:left w:val="none" w:sz="0" w:space="0" w:color="auto"/>
            <w:bottom w:val="none" w:sz="0" w:space="0" w:color="auto"/>
            <w:right w:val="none" w:sz="0" w:space="0" w:color="auto"/>
          </w:divBdr>
        </w:div>
        <w:div w:id="1707169472">
          <w:marLeft w:val="0"/>
          <w:marRight w:val="0"/>
          <w:marTop w:val="0"/>
          <w:marBottom w:val="0"/>
          <w:divBdr>
            <w:top w:val="none" w:sz="0" w:space="0" w:color="auto"/>
            <w:left w:val="none" w:sz="0" w:space="0" w:color="auto"/>
            <w:bottom w:val="none" w:sz="0" w:space="0" w:color="auto"/>
            <w:right w:val="none" w:sz="0" w:space="0" w:color="auto"/>
          </w:divBdr>
        </w:div>
        <w:div w:id="696076404">
          <w:marLeft w:val="0"/>
          <w:marRight w:val="0"/>
          <w:marTop w:val="0"/>
          <w:marBottom w:val="0"/>
          <w:divBdr>
            <w:top w:val="none" w:sz="0" w:space="0" w:color="auto"/>
            <w:left w:val="none" w:sz="0" w:space="0" w:color="auto"/>
            <w:bottom w:val="none" w:sz="0" w:space="0" w:color="auto"/>
            <w:right w:val="none" w:sz="0" w:space="0" w:color="auto"/>
          </w:divBdr>
        </w:div>
        <w:div w:id="675504078">
          <w:marLeft w:val="0"/>
          <w:marRight w:val="0"/>
          <w:marTop w:val="0"/>
          <w:marBottom w:val="0"/>
          <w:divBdr>
            <w:top w:val="none" w:sz="0" w:space="0" w:color="auto"/>
            <w:left w:val="none" w:sz="0" w:space="0" w:color="auto"/>
            <w:bottom w:val="none" w:sz="0" w:space="0" w:color="auto"/>
            <w:right w:val="none" w:sz="0" w:space="0" w:color="auto"/>
          </w:divBdr>
        </w:div>
        <w:div w:id="1990552202">
          <w:marLeft w:val="0"/>
          <w:marRight w:val="0"/>
          <w:marTop w:val="0"/>
          <w:marBottom w:val="0"/>
          <w:divBdr>
            <w:top w:val="none" w:sz="0" w:space="0" w:color="auto"/>
            <w:left w:val="none" w:sz="0" w:space="0" w:color="auto"/>
            <w:bottom w:val="none" w:sz="0" w:space="0" w:color="auto"/>
            <w:right w:val="none" w:sz="0" w:space="0" w:color="auto"/>
          </w:divBdr>
        </w:div>
        <w:div w:id="1344547940">
          <w:marLeft w:val="0"/>
          <w:marRight w:val="0"/>
          <w:marTop w:val="0"/>
          <w:marBottom w:val="0"/>
          <w:divBdr>
            <w:top w:val="none" w:sz="0" w:space="0" w:color="auto"/>
            <w:left w:val="none" w:sz="0" w:space="0" w:color="auto"/>
            <w:bottom w:val="none" w:sz="0" w:space="0" w:color="auto"/>
            <w:right w:val="none" w:sz="0" w:space="0" w:color="auto"/>
          </w:divBdr>
        </w:div>
        <w:div w:id="37634906">
          <w:marLeft w:val="0"/>
          <w:marRight w:val="0"/>
          <w:marTop w:val="0"/>
          <w:marBottom w:val="0"/>
          <w:divBdr>
            <w:top w:val="none" w:sz="0" w:space="0" w:color="auto"/>
            <w:left w:val="none" w:sz="0" w:space="0" w:color="auto"/>
            <w:bottom w:val="none" w:sz="0" w:space="0" w:color="auto"/>
            <w:right w:val="none" w:sz="0" w:space="0" w:color="auto"/>
          </w:divBdr>
        </w:div>
        <w:div w:id="1983196635">
          <w:marLeft w:val="0"/>
          <w:marRight w:val="0"/>
          <w:marTop w:val="0"/>
          <w:marBottom w:val="0"/>
          <w:divBdr>
            <w:top w:val="none" w:sz="0" w:space="0" w:color="auto"/>
            <w:left w:val="none" w:sz="0" w:space="0" w:color="auto"/>
            <w:bottom w:val="none" w:sz="0" w:space="0" w:color="auto"/>
            <w:right w:val="none" w:sz="0" w:space="0" w:color="auto"/>
          </w:divBdr>
        </w:div>
        <w:div w:id="1175847745">
          <w:marLeft w:val="0"/>
          <w:marRight w:val="0"/>
          <w:marTop w:val="0"/>
          <w:marBottom w:val="0"/>
          <w:divBdr>
            <w:top w:val="none" w:sz="0" w:space="0" w:color="auto"/>
            <w:left w:val="none" w:sz="0" w:space="0" w:color="auto"/>
            <w:bottom w:val="none" w:sz="0" w:space="0" w:color="auto"/>
            <w:right w:val="none" w:sz="0" w:space="0" w:color="auto"/>
          </w:divBdr>
        </w:div>
        <w:div w:id="1688286298">
          <w:marLeft w:val="0"/>
          <w:marRight w:val="0"/>
          <w:marTop w:val="0"/>
          <w:marBottom w:val="0"/>
          <w:divBdr>
            <w:top w:val="none" w:sz="0" w:space="0" w:color="auto"/>
            <w:left w:val="none" w:sz="0" w:space="0" w:color="auto"/>
            <w:bottom w:val="none" w:sz="0" w:space="0" w:color="auto"/>
            <w:right w:val="none" w:sz="0" w:space="0" w:color="auto"/>
          </w:divBdr>
        </w:div>
        <w:div w:id="181820658">
          <w:marLeft w:val="0"/>
          <w:marRight w:val="0"/>
          <w:marTop w:val="0"/>
          <w:marBottom w:val="0"/>
          <w:divBdr>
            <w:top w:val="none" w:sz="0" w:space="0" w:color="auto"/>
            <w:left w:val="none" w:sz="0" w:space="0" w:color="auto"/>
            <w:bottom w:val="none" w:sz="0" w:space="0" w:color="auto"/>
            <w:right w:val="none" w:sz="0" w:space="0" w:color="auto"/>
          </w:divBdr>
        </w:div>
        <w:div w:id="1470853974">
          <w:marLeft w:val="0"/>
          <w:marRight w:val="0"/>
          <w:marTop w:val="0"/>
          <w:marBottom w:val="0"/>
          <w:divBdr>
            <w:top w:val="none" w:sz="0" w:space="0" w:color="auto"/>
            <w:left w:val="none" w:sz="0" w:space="0" w:color="auto"/>
            <w:bottom w:val="none" w:sz="0" w:space="0" w:color="auto"/>
            <w:right w:val="none" w:sz="0" w:space="0" w:color="auto"/>
          </w:divBdr>
        </w:div>
        <w:div w:id="1155415534">
          <w:marLeft w:val="0"/>
          <w:marRight w:val="0"/>
          <w:marTop w:val="0"/>
          <w:marBottom w:val="0"/>
          <w:divBdr>
            <w:top w:val="none" w:sz="0" w:space="0" w:color="auto"/>
            <w:left w:val="none" w:sz="0" w:space="0" w:color="auto"/>
            <w:bottom w:val="none" w:sz="0" w:space="0" w:color="auto"/>
            <w:right w:val="none" w:sz="0" w:space="0" w:color="auto"/>
          </w:divBdr>
        </w:div>
        <w:div w:id="1996520509">
          <w:marLeft w:val="0"/>
          <w:marRight w:val="0"/>
          <w:marTop w:val="0"/>
          <w:marBottom w:val="0"/>
          <w:divBdr>
            <w:top w:val="none" w:sz="0" w:space="0" w:color="auto"/>
            <w:left w:val="none" w:sz="0" w:space="0" w:color="auto"/>
            <w:bottom w:val="none" w:sz="0" w:space="0" w:color="auto"/>
            <w:right w:val="none" w:sz="0" w:space="0" w:color="auto"/>
          </w:divBdr>
        </w:div>
        <w:div w:id="1539775118">
          <w:marLeft w:val="0"/>
          <w:marRight w:val="0"/>
          <w:marTop w:val="0"/>
          <w:marBottom w:val="0"/>
          <w:divBdr>
            <w:top w:val="none" w:sz="0" w:space="0" w:color="auto"/>
            <w:left w:val="none" w:sz="0" w:space="0" w:color="auto"/>
            <w:bottom w:val="none" w:sz="0" w:space="0" w:color="auto"/>
            <w:right w:val="none" w:sz="0" w:space="0" w:color="auto"/>
          </w:divBdr>
        </w:div>
        <w:div w:id="1457137500">
          <w:marLeft w:val="0"/>
          <w:marRight w:val="0"/>
          <w:marTop w:val="0"/>
          <w:marBottom w:val="0"/>
          <w:divBdr>
            <w:top w:val="none" w:sz="0" w:space="0" w:color="auto"/>
            <w:left w:val="none" w:sz="0" w:space="0" w:color="auto"/>
            <w:bottom w:val="none" w:sz="0" w:space="0" w:color="auto"/>
            <w:right w:val="none" w:sz="0" w:space="0" w:color="auto"/>
          </w:divBdr>
        </w:div>
        <w:div w:id="432484225">
          <w:marLeft w:val="0"/>
          <w:marRight w:val="0"/>
          <w:marTop w:val="0"/>
          <w:marBottom w:val="0"/>
          <w:divBdr>
            <w:top w:val="none" w:sz="0" w:space="0" w:color="auto"/>
            <w:left w:val="none" w:sz="0" w:space="0" w:color="auto"/>
            <w:bottom w:val="none" w:sz="0" w:space="0" w:color="auto"/>
            <w:right w:val="none" w:sz="0" w:space="0" w:color="auto"/>
          </w:divBdr>
        </w:div>
        <w:div w:id="68499377">
          <w:marLeft w:val="0"/>
          <w:marRight w:val="0"/>
          <w:marTop w:val="0"/>
          <w:marBottom w:val="0"/>
          <w:divBdr>
            <w:top w:val="none" w:sz="0" w:space="0" w:color="auto"/>
            <w:left w:val="none" w:sz="0" w:space="0" w:color="auto"/>
            <w:bottom w:val="none" w:sz="0" w:space="0" w:color="auto"/>
            <w:right w:val="none" w:sz="0" w:space="0" w:color="auto"/>
          </w:divBdr>
        </w:div>
        <w:div w:id="333921475">
          <w:marLeft w:val="0"/>
          <w:marRight w:val="0"/>
          <w:marTop w:val="0"/>
          <w:marBottom w:val="0"/>
          <w:divBdr>
            <w:top w:val="none" w:sz="0" w:space="0" w:color="auto"/>
            <w:left w:val="none" w:sz="0" w:space="0" w:color="auto"/>
            <w:bottom w:val="none" w:sz="0" w:space="0" w:color="auto"/>
            <w:right w:val="none" w:sz="0" w:space="0" w:color="auto"/>
          </w:divBdr>
        </w:div>
        <w:div w:id="387193261">
          <w:marLeft w:val="0"/>
          <w:marRight w:val="0"/>
          <w:marTop w:val="0"/>
          <w:marBottom w:val="0"/>
          <w:divBdr>
            <w:top w:val="none" w:sz="0" w:space="0" w:color="auto"/>
            <w:left w:val="none" w:sz="0" w:space="0" w:color="auto"/>
            <w:bottom w:val="none" w:sz="0" w:space="0" w:color="auto"/>
            <w:right w:val="none" w:sz="0" w:space="0" w:color="auto"/>
          </w:divBdr>
        </w:div>
        <w:div w:id="290134831">
          <w:marLeft w:val="0"/>
          <w:marRight w:val="0"/>
          <w:marTop w:val="0"/>
          <w:marBottom w:val="0"/>
          <w:divBdr>
            <w:top w:val="none" w:sz="0" w:space="0" w:color="auto"/>
            <w:left w:val="none" w:sz="0" w:space="0" w:color="auto"/>
            <w:bottom w:val="none" w:sz="0" w:space="0" w:color="auto"/>
            <w:right w:val="none" w:sz="0" w:space="0" w:color="auto"/>
          </w:divBdr>
        </w:div>
        <w:div w:id="2084178346">
          <w:marLeft w:val="0"/>
          <w:marRight w:val="0"/>
          <w:marTop w:val="0"/>
          <w:marBottom w:val="0"/>
          <w:divBdr>
            <w:top w:val="none" w:sz="0" w:space="0" w:color="auto"/>
            <w:left w:val="none" w:sz="0" w:space="0" w:color="auto"/>
            <w:bottom w:val="none" w:sz="0" w:space="0" w:color="auto"/>
            <w:right w:val="none" w:sz="0" w:space="0" w:color="auto"/>
          </w:divBdr>
        </w:div>
        <w:div w:id="1441954062">
          <w:marLeft w:val="0"/>
          <w:marRight w:val="0"/>
          <w:marTop w:val="0"/>
          <w:marBottom w:val="0"/>
          <w:divBdr>
            <w:top w:val="none" w:sz="0" w:space="0" w:color="auto"/>
            <w:left w:val="none" w:sz="0" w:space="0" w:color="auto"/>
            <w:bottom w:val="none" w:sz="0" w:space="0" w:color="auto"/>
            <w:right w:val="none" w:sz="0" w:space="0" w:color="auto"/>
          </w:divBdr>
        </w:div>
        <w:div w:id="724718585">
          <w:marLeft w:val="0"/>
          <w:marRight w:val="0"/>
          <w:marTop w:val="0"/>
          <w:marBottom w:val="0"/>
          <w:divBdr>
            <w:top w:val="none" w:sz="0" w:space="0" w:color="auto"/>
            <w:left w:val="none" w:sz="0" w:space="0" w:color="auto"/>
            <w:bottom w:val="none" w:sz="0" w:space="0" w:color="auto"/>
            <w:right w:val="none" w:sz="0" w:space="0" w:color="auto"/>
          </w:divBdr>
        </w:div>
        <w:div w:id="641738919">
          <w:marLeft w:val="0"/>
          <w:marRight w:val="0"/>
          <w:marTop w:val="0"/>
          <w:marBottom w:val="0"/>
          <w:divBdr>
            <w:top w:val="none" w:sz="0" w:space="0" w:color="auto"/>
            <w:left w:val="none" w:sz="0" w:space="0" w:color="auto"/>
            <w:bottom w:val="none" w:sz="0" w:space="0" w:color="auto"/>
            <w:right w:val="none" w:sz="0" w:space="0" w:color="auto"/>
          </w:divBdr>
        </w:div>
        <w:div w:id="373046167">
          <w:marLeft w:val="0"/>
          <w:marRight w:val="0"/>
          <w:marTop w:val="0"/>
          <w:marBottom w:val="0"/>
          <w:divBdr>
            <w:top w:val="none" w:sz="0" w:space="0" w:color="auto"/>
            <w:left w:val="none" w:sz="0" w:space="0" w:color="auto"/>
            <w:bottom w:val="none" w:sz="0" w:space="0" w:color="auto"/>
            <w:right w:val="none" w:sz="0" w:space="0" w:color="auto"/>
          </w:divBdr>
        </w:div>
        <w:div w:id="622928122">
          <w:marLeft w:val="0"/>
          <w:marRight w:val="0"/>
          <w:marTop w:val="0"/>
          <w:marBottom w:val="0"/>
          <w:divBdr>
            <w:top w:val="none" w:sz="0" w:space="0" w:color="auto"/>
            <w:left w:val="none" w:sz="0" w:space="0" w:color="auto"/>
            <w:bottom w:val="none" w:sz="0" w:space="0" w:color="auto"/>
            <w:right w:val="none" w:sz="0" w:space="0" w:color="auto"/>
          </w:divBdr>
        </w:div>
        <w:div w:id="941642491">
          <w:marLeft w:val="0"/>
          <w:marRight w:val="0"/>
          <w:marTop w:val="0"/>
          <w:marBottom w:val="0"/>
          <w:divBdr>
            <w:top w:val="none" w:sz="0" w:space="0" w:color="auto"/>
            <w:left w:val="none" w:sz="0" w:space="0" w:color="auto"/>
            <w:bottom w:val="none" w:sz="0" w:space="0" w:color="auto"/>
            <w:right w:val="none" w:sz="0" w:space="0" w:color="auto"/>
          </w:divBdr>
        </w:div>
        <w:div w:id="363017083">
          <w:marLeft w:val="0"/>
          <w:marRight w:val="0"/>
          <w:marTop w:val="0"/>
          <w:marBottom w:val="0"/>
          <w:divBdr>
            <w:top w:val="none" w:sz="0" w:space="0" w:color="auto"/>
            <w:left w:val="none" w:sz="0" w:space="0" w:color="auto"/>
            <w:bottom w:val="none" w:sz="0" w:space="0" w:color="auto"/>
            <w:right w:val="none" w:sz="0" w:space="0" w:color="auto"/>
          </w:divBdr>
        </w:div>
        <w:div w:id="286863884">
          <w:marLeft w:val="0"/>
          <w:marRight w:val="0"/>
          <w:marTop w:val="0"/>
          <w:marBottom w:val="0"/>
          <w:divBdr>
            <w:top w:val="none" w:sz="0" w:space="0" w:color="auto"/>
            <w:left w:val="none" w:sz="0" w:space="0" w:color="auto"/>
            <w:bottom w:val="none" w:sz="0" w:space="0" w:color="auto"/>
            <w:right w:val="none" w:sz="0" w:space="0" w:color="auto"/>
          </w:divBdr>
        </w:div>
        <w:div w:id="156657513">
          <w:marLeft w:val="0"/>
          <w:marRight w:val="0"/>
          <w:marTop w:val="0"/>
          <w:marBottom w:val="0"/>
          <w:divBdr>
            <w:top w:val="none" w:sz="0" w:space="0" w:color="auto"/>
            <w:left w:val="none" w:sz="0" w:space="0" w:color="auto"/>
            <w:bottom w:val="none" w:sz="0" w:space="0" w:color="auto"/>
            <w:right w:val="none" w:sz="0" w:space="0" w:color="auto"/>
          </w:divBdr>
        </w:div>
        <w:div w:id="1107500530">
          <w:marLeft w:val="0"/>
          <w:marRight w:val="0"/>
          <w:marTop w:val="0"/>
          <w:marBottom w:val="0"/>
          <w:divBdr>
            <w:top w:val="none" w:sz="0" w:space="0" w:color="auto"/>
            <w:left w:val="none" w:sz="0" w:space="0" w:color="auto"/>
            <w:bottom w:val="none" w:sz="0" w:space="0" w:color="auto"/>
            <w:right w:val="none" w:sz="0" w:space="0" w:color="auto"/>
          </w:divBdr>
        </w:div>
        <w:div w:id="1666088570">
          <w:marLeft w:val="0"/>
          <w:marRight w:val="0"/>
          <w:marTop w:val="0"/>
          <w:marBottom w:val="0"/>
          <w:divBdr>
            <w:top w:val="none" w:sz="0" w:space="0" w:color="auto"/>
            <w:left w:val="none" w:sz="0" w:space="0" w:color="auto"/>
            <w:bottom w:val="none" w:sz="0" w:space="0" w:color="auto"/>
            <w:right w:val="none" w:sz="0" w:space="0" w:color="auto"/>
          </w:divBdr>
        </w:div>
        <w:div w:id="1271161513">
          <w:marLeft w:val="0"/>
          <w:marRight w:val="0"/>
          <w:marTop w:val="0"/>
          <w:marBottom w:val="0"/>
          <w:divBdr>
            <w:top w:val="none" w:sz="0" w:space="0" w:color="auto"/>
            <w:left w:val="none" w:sz="0" w:space="0" w:color="auto"/>
            <w:bottom w:val="none" w:sz="0" w:space="0" w:color="auto"/>
            <w:right w:val="none" w:sz="0" w:space="0" w:color="auto"/>
          </w:divBdr>
        </w:div>
        <w:div w:id="133182385">
          <w:marLeft w:val="0"/>
          <w:marRight w:val="0"/>
          <w:marTop w:val="0"/>
          <w:marBottom w:val="0"/>
          <w:divBdr>
            <w:top w:val="none" w:sz="0" w:space="0" w:color="auto"/>
            <w:left w:val="none" w:sz="0" w:space="0" w:color="auto"/>
            <w:bottom w:val="none" w:sz="0" w:space="0" w:color="auto"/>
            <w:right w:val="none" w:sz="0" w:space="0" w:color="auto"/>
          </w:divBdr>
        </w:div>
        <w:div w:id="745879746">
          <w:marLeft w:val="0"/>
          <w:marRight w:val="0"/>
          <w:marTop w:val="0"/>
          <w:marBottom w:val="0"/>
          <w:divBdr>
            <w:top w:val="none" w:sz="0" w:space="0" w:color="auto"/>
            <w:left w:val="none" w:sz="0" w:space="0" w:color="auto"/>
            <w:bottom w:val="none" w:sz="0" w:space="0" w:color="auto"/>
            <w:right w:val="none" w:sz="0" w:space="0" w:color="auto"/>
          </w:divBdr>
        </w:div>
        <w:div w:id="306906487">
          <w:marLeft w:val="0"/>
          <w:marRight w:val="0"/>
          <w:marTop w:val="0"/>
          <w:marBottom w:val="0"/>
          <w:divBdr>
            <w:top w:val="none" w:sz="0" w:space="0" w:color="auto"/>
            <w:left w:val="none" w:sz="0" w:space="0" w:color="auto"/>
            <w:bottom w:val="none" w:sz="0" w:space="0" w:color="auto"/>
            <w:right w:val="none" w:sz="0" w:space="0" w:color="auto"/>
          </w:divBdr>
        </w:div>
        <w:div w:id="517933516">
          <w:marLeft w:val="0"/>
          <w:marRight w:val="0"/>
          <w:marTop w:val="0"/>
          <w:marBottom w:val="0"/>
          <w:divBdr>
            <w:top w:val="none" w:sz="0" w:space="0" w:color="auto"/>
            <w:left w:val="none" w:sz="0" w:space="0" w:color="auto"/>
            <w:bottom w:val="none" w:sz="0" w:space="0" w:color="auto"/>
            <w:right w:val="none" w:sz="0" w:space="0" w:color="auto"/>
          </w:divBdr>
        </w:div>
        <w:div w:id="1878463912">
          <w:marLeft w:val="0"/>
          <w:marRight w:val="0"/>
          <w:marTop w:val="0"/>
          <w:marBottom w:val="0"/>
          <w:divBdr>
            <w:top w:val="none" w:sz="0" w:space="0" w:color="auto"/>
            <w:left w:val="none" w:sz="0" w:space="0" w:color="auto"/>
            <w:bottom w:val="none" w:sz="0" w:space="0" w:color="auto"/>
            <w:right w:val="none" w:sz="0" w:space="0" w:color="auto"/>
          </w:divBdr>
        </w:div>
        <w:div w:id="1848667236">
          <w:marLeft w:val="0"/>
          <w:marRight w:val="0"/>
          <w:marTop w:val="0"/>
          <w:marBottom w:val="0"/>
          <w:divBdr>
            <w:top w:val="none" w:sz="0" w:space="0" w:color="auto"/>
            <w:left w:val="none" w:sz="0" w:space="0" w:color="auto"/>
            <w:bottom w:val="none" w:sz="0" w:space="0" w:color="auto"/>
            <w:right w:val="none" w:sz="0" w:space="0" w:color="auto"/>
          </w:divBdr>
        </w:div>
        <w:div w:id="1786073984">
          <w:marLeft w:val="0"/>
          <w:marRight w:val="0"/>
          <w:marTop w:val="0"/>
          <w:marBottom w:val="0"/>
          <w:divBdr>
            <w:top w:val="none" w:sz="0" w:space="0" w:color="auto"/>
            <w:left w:val="none" w:sz="0" w:space="0" w:color="auto"/>
            <w:bottom w:val="none" w:sz="0" w:space="0" w:color="auto"/>
            <w:right w:val="none" w:sz="0" w:space="0" w:color="auto"/>
          </w:divBdr>
        </w:div>
        <w:div w:id="1801805180">
          <w:marLeft w:val="0"/>
          <w:marRight w:val="0"/>
          <w:marTop w:val="0"/>
          <w:marBottom w:val="0"/>
          <w:divBdr>
            <w:top w:val="none" w:sz="0" w:space="0" w:color="auto"/>
            <w:left w:val="none" w:sz="0" w:space="0" w:color="auto"/>
            <w:bottom w:val="none" w:sz="0" w:space="0" w:color="auto"/>
            <w:right w:val="none" w:sz="0" w:space="0" w:color="auto"/>
          </w:divBdr>
        </w:div>
        <w:div w:id="295334799">
          <w:marLeft w:val="0"/>
          <w:marRight w:val="0"/>
          <w:marTop w:val="0"/>
          <w:marBottom w:val="0"/>
          <w:divBdr>
            <w:top w:val="none" w:sz="0" w:space="0" w:color="auto"/>
            <w:left w:val="none" w:sz="0" w:space="0" w:color="auto"/>
            <w:bottom w:val="none" w:sz="0" w:space="0" w:color="auto"/>
            <w:right w:val="none" w:sz="0" w:space="0" w:color="auto"/>
          </w:divBdr>
        </w:div>
        <w:div w:id="1750227579">
          <w:marLeft w:val="0"/>
          <w:marRight w:val="0"/>
          <w:marTop w:val="0"/>
          <w:marBottom w:val="0"/>
          <w:divBdr>
            <w:top w:val="none" w:sz="0" w:space="0" w:color="auto"/>
            <w:left w:val="none" w:sz="0" w:space="0" w:color="auto"/>
            <w:bottom w:val="none" w:sz="0" w:space="0" w:color="auto"/>
            <w:right w:val="none" w:sz="0" w:space="0" w:color="auto"/>
          </w:divBdr>
        </w:div>
        <w:div w:id="1332248224">
          <w:marLeft w:val="0"/>
          <w:marRight w:val="0"/>
          <w:marTop w:val="0"/>
          <w:marBottom w:val="0"/>
          <w:divBdr>
            <w:top w:val="none" w:sz="0" w:space="0" w:color="auto"/>
            <w:left w:val="none" w:sz="0" w:space="0" w:color="auto"/>
            <w:bottom w:val="none" w:sz="0" w:space="0" w:color="auto"/>
            <w:right w:val="none" w:sz="0" w:space="0" w:color="auto"/>
          </w:divBdr>
        </w:div>
        <w:div w:id="1799913251">
          <w:marLeft w:val="0"/>
          <w:marRight w:val="0"/>
          <w:marTop w:val="0"/>
          <w:marBottom w:val="0"/>
          <w:divBdr>
            <w:top w:val="none" w:sz="0" w:space="0" w:color="auto"/>
            <w:left w:val="none" w:sz="0" w:space="0" w:color="auto"/>
            <w:bottom w:val="none" w:sz="0" w:space="0" w:color="auto"/>
            <w:right w:val="none" w:sz="0" w:space="0" w:color="auto"/>
          </w:divBdr>
        </w:div>
        <w:div w:id="304773950">
          <w:marLeft w:val="0"/>
          <w:marRight w:val="0"/>
          <w:marTop w:val="0"/>
          <w:marBottom w:val="0"/>
          <w:divBdr>
            <w:top w:val="none" w:sz="0" w:space="0" w:color="auto"/>
            <w:left w:val="none" w:sz="0" w:space="0" w:color="auto"/>
            <w:bottom w:val="none" w:sz="0" w:space="0" w:color="auto"/>
            <w:right w:val="none" w:sz="0" w:space="0" w:color="auto"/>
          </w:divBdr>
        </w:div>
        <w:div w:id="743450286">
          <w:marLeft w:val="0"/>
          <w:marRight w:val="0"/>
          <w:marTop w:val="0"/>
          <w:marBottom w:val="0"/>
          <w:divBdr>
            <w:top w:val="none" w:sz="0" w:space="0" w:color="auto"/>
            <w:left w:val="none" w:sz="0" w:space="0" w:color="auto"/>
            <w:bottom w:val="none" w:sz="0" w:space="0" w:color="auto"/>
            <w:right w:val="none" w:sz="0" w:space="0" w:color="auto"/>
          </w:divBdr>
        </w:div>
        <w:div w:id="1781992374">
          <w:marLeft w:val="0"/>
          <w:marRight w:val="0"/>
          <w:marTop w:val="0"/>
          <w:marBottom w:val="0"/>
          <w:divBdr>
            <w:top w:val="none" w:sz="0" w:space="0" w:color="auto"/>
            <w:left w:val="none" w:sz="0" w:space="0" w:color="auto"/>
            <w:bottom w:val="none" w:sz="0" w:space="0" w:color="auto"/>
            <w:right w:val="none" w:sz="0" w:space="0" w:color="auto"/>
          </w:divBdr>
        </w:div>
        <w:div w:id="1385640159">
          <w:marLeft w:val="0"/>
          <w:marRight w:val="0"/>
          <w:marTop w:val="0"/>
          <w:marBottom w:val="0"/>
          <w:divBdr>
            <w:top w:val="none" w:sz="0" w:space="0" w:color="auto"/>
            <w:left w:val="none" w:sz="0" w:space="0" w:color="auto"/>
            <w:bottom w:val="none" w:sz="0" w:space="0" w:color="auto"/>
            <w:right w:val="none" w:sz="0" w:space="0" w:color="auto"/>
          </w:divBdr>
        </w:div>
        <w:div w:id="2054454514">
          <w:marLeft w:val="0"/>
          <w:marRight w:val="0"/>
          <w:marTop w:val="0"/>
          <w:marBottom w:val="0"/>
          <w:divBdr>
            <w:top w:val="none" w:sz="0" w:space="0" w:color="auto"/>
            <w:left w:val="none" w:sz="0" w:space="0" w:color="auto"/>
            <w:bottom w:val="none" w:sz="0" w:space="0" w:color="auto"/>
            <w:right w:val="none" w:sz="0" w:space="0" w:color="auto"/>
          </w:divBdr>
        </w:div>
        <w:div w:id="1897858808">
          <w:marLeft w:val="0"/>
          <w:marRight w:val="0"/>
          <w:marTop w:val="0"/>
          <w:marBottom w:val="0"/>
          <w:divBdr>
            <w:top w:val="none" w:sz="0" w:space="0" w:color="auto"/>
            <w:left w:val="none" w:sz="0" w:space="0" w:color="auto"/>
            <w:bottom w:val="none" w:sz="0" w:space="0" w:color="auto"/>
            <w:right w:val="none" w:sz="0" w:space="0" w:color="auto"/>
          </w:divBdr>
        </w:div>
        <w:div w:id="1352953242">
          <w:marLeft w:val="0"/>
          <w:marRight w:val="0"/>
          <w:marTop w:val="0"/>
          <w:marBottom w:val="0"/>
          <w:divBdr>
            <w:top w:val="none" w:sz="0" w:space="0" w:color="auto"/>
            <w:left w:val="none" w:sz="0" w:space="0" w:color="auto"/>
            <w:bottom w:val="none" w:sz="0" w:space="0" w:color="auto"/>
            <w:right w:val="none" w:sz="0" w:space="0" w:color="auto"/>
          </w:divBdr>
        </w:div>
        <w:div w:id="1507792909">
          <w:marLeft w:val="0"/>
          <w:marRight w:val="0"/>
          <w:marTop w:val="0"/>
          <w:marBottom w:val="0"/>
          <w:divBdr>
            <w:top w:val="none" w:sz="0" w:space="0" w:color="auto"/>
            <w:left w:val="none" w:sz="0" w:space="0" w:color="auto"/>
            <w:bottom w:val="none" w:sz="0" w:space="0" w:color="auto"/>
            <w:right w:val="none" w:sz="0" w:space="0" w:color="auto"/>
          </w:divBdr>
        </w:div>
        <w:div w:id="986974882">
          <w:marLeft w:val="0"/>
          <w:marRight w:val="0"/>
          <w:marTop w:val="0"/>
          <w:marBottom w:val="0"/>
          <w:divBdr>
            <w:top w:val="none" w:sz="0" w:space="0" w:color="auto"/>
            <w:left w:val="none" w:sz="0" w:space="0" w:color="auto"/>
            <w:bottom w:val="none" w:sz="0" w:space="0" w:color="auto"/>
            <w:right w:val="none" w:sz="0" w:space="0" w:color="auto"/>
          </w:divBdr>
        </w:div>
        <w:div w:id="2130197765">
          <w:marLeft w:val="0"/>
          <w:marRight w:val="0"/>
          <w:marTop w:val="0"/>
          <w:marBottom w:val="0"/>
          <w:divBdr>
            <w:top w:val="none" w:sz="0" w:space="0" w:color="auto"/>
            <w:left w:val="none" w:sz="0" w:space="0" w:color="auto"/>
            <w:bottom w:val="none" w:sz="0" w:space="0" w:color="auto"/>
            <w:right w:val="none" w:sz="0" w:space="0" w:color="auto"/>
          </w:divBdr>
        </w:div>
        <w:div w:id="178129200">
          <w:marLeft w:val="0"/>
          <w:marRight w:val="0"/>
          <w:marTop w:val="0"/>
          <w:marBottom w:val="0"/>
          <w:divBdr>
            <w:top w:val="none" w:sz="0" w:space="0" w:color="auto"/>
            <w:left w:val="none" w:sz="0" w:space="0" w:color="auto"/>
            <w:bottom w:val="none" w:sz="0" w:space="0" w:color="auto"/>
            <w:right w:val="none" w:sz="0" w:space="0" w:color="auto"/>
          </w:divBdr>
        </w:div>
        <w:div w:id="1932467417">
          <w:marLeft w:val="0"/>
          <w:marRight w:val="0"/>
          <w:marTop w:val="0"/>
          <w:marBottom w:val="0"/>
          <w:divBdr>
            <w:top w:val="none" w:sz="0" w:space="0" w:color="auto"/>
            <w:left w:val="none" w:sz="0" w:space="0" w:color="auto"/>
            <w:bottom w:val="none" w:sz="0" w:space="0" w:color="auto"/>
            <w:right w:val="none" w:sz="0" w:space="0" w:color="auto"/>
          </w:divBdr>
        </w:div>
        <w:div w:id="126499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17373</Words>
  <Characters>9903</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Beāte Paula</cp:lastModifiedBy>
  <cp:revision>43</cp:revision>
  <dcterms:created xsi:type="dcterms:W3CDTF">2017-04-26T07:44:00Z</dcterms:created>
  <dcterms:modified xsi:type="dcterms:W3CDTF">2017-08-21T12:31:00Z</dcterms:modified>
</cp:coreProperties>
</file>