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735" w14:textId="77777777" w:rsidR="002D40A3" w:rsidRPr="002D40A3" w:rsidRDefault="002D40A3" w:rsidP="002D40A3">
      <w:pPr>
        <w:widowControl w:val="0"/>
        <w:spacing w:after="0" w:line="240" w:lineRule="auto"/>
        <w:jc w:val="both"/>
        <w:rPr>
          <w:rFonts w:ascii="Times New Roman" w:hAnsi="Times New Roman"/>
          <w:noProof/>
          <w:color w:val="0D0D0D" w:themeColor="text1" w:themeTint="F2"/>
          <w:sz w:val="20"/>
          <w:szCs w:val="24"/>
          <w:lang w:val="en-US"/>
        </w:rPr>
      </w:pPr>
    </w:p>
    <w:p w14:paraId="09C6BBE7" w14:textId="77777777" w:rsidR="002D40A3" w:rsidRPr="002D40A3" w:rsidRDefault="002D40A3" w:rsidP="002D40A3">
      <w:pPr>
        <w:widowControl w:val="0"/>
        <w:spacing w:after="0" w:line="240" w:lineRule="auto"/>
        <w:jc w:val="both"/>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Text consolidated by Valsts valodas centrs (State Language Centre) with amending regulations of:</w:t>
      </w:r>
    </w:p>
    <w:p w14:paraId="282332E9" w14:textId="77777777" w:rsidR="002D40A3" w:rsidRPr="002D40A3" w:rsidRDefault="002D40A3" w:rsidP="002D40A3">
      <w:pPr>
        <w:widowControl w:val="0"/>
        <w:spacing w:after="0" w:line="240" w:lineRule="auto"/>
        <w:jc w:val="center"/>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21 October 2014 [shall come into force on 24 October 2014];</w:t>
      </w:r>
    </w:p>
    <w:p w14:paraId="6964CBA4" w14:textId="77777777" w:rsidR="002D40A3" w:rsidRPr="002D40A3" w:rsidRDefault="002D40A3" w:rsidP="002D40A3">
      <w:pPr>
        <w:widowControl w:val="0"/>
        <w:spacing w:after="0" w:line="240" w:lineRule="auto"/>
        <w:jc w:val="center"/>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22 December 2015 [shall come into force on 1 January 2016];</w:t>
      </w:r>
    </w:p>
    <w:p w14:paraId="5AE538DB" w14:textId="77777777" w:rsidR="002D40A3" w:rsidRPr="002D40A3" w:rsidRDefault="002D40A3" w:rsidP="002D40A3">
      <w:pPr>
        <w:widowControl w:val="0"/>
        <w:spacing w:after="0" w:line="240" w:lineRule="auto"/>
        <w:jc w:val="center"/>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27 March 2018 [shall come into force on 1 April 2018];</w:t>
      </w:r>
    </w:p>
    <w:p w14:paraId="26C30114" w14:textId="77777777" w:rsidR="002D40A3" w:rsidRPr="002D40A3" w:rsidRDefault="002D40A3" w:rsidP="002D40A3">
      <w:pPr>
        <w:widowControl w:val="0"/>
        <w:spacing w:after="0" w:line="240" w:lineRule="auto"/>
        <w:jc w:val="center"/>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18 June 2019 [shall come into force on 21 June 2019];</w:t>
      </w:r>
    </w:p>
    <w:p w14:paraId="220D15BD" w14:textId="77777777" w:rsidR="002D40A3" w:rsidRPr="002D40A3" w:rsidRDefault="002D40A3" w:rsidP="002D40A3">
      <w:pPr>
        <w:widowControl w:val="0"/>
        <w:spacing w:after="0" w:line="240" w:lineRule="auto"/>
        <w:jc w:val="center"/>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1 April 2021 [shall come into force on 13 April 2021].</w:t>
      </w:r>
    </w:p>
    <w:p w14:paraId="6B07B359" w14:textId="77777777" w:rsidR="002D40A3" w:rsidRPr="002D40A3" w:rsidRDefault="002D40A3" w:rsidP="002D40A3">
      <w:pPr>
        <w:widowControl w:val="0"/>
        <w:spacing w:after="0" w:line="240" w:lineRule="auto"/>
        <w:jc w:val="both"/>
        <w:rPr>
          <w:rFonts w:ascii="Times New Roman" w:hAnsi="Times New Roman"/>
          <w:noProof/>
          <w:color w:val="0D0D0D" w:themeColor="text1" w:themeTint="F2"/>
          <w:sz w:val="20"/>
          <w:szCs w:val="24"/>
          <w:lang w:val="en-US"/>
        </w:rPr>
      </w:pPr>
      <w:r w:rsidRPr="002D40A3">
        <w:rPr>
          <w:rFonts w:ascii="Times New Roman" w:hAnsi="Times New Roman"/>
          <w:noProof/>
          <w:color w:val="0D0D0D" w:themeColor="text1" w:themeTint="F2"/>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178464F" w14:textId="77777777" w:rsidR="002D40A3" w:rsidRPr="002D40A3" w:rsidRDefault="002D40A3" w:rsidP="002D40A3">
      <w:pPr>
        <w:spacing w:after="0" w:line="240" w:lineRule="auto"/>
        <w:rPr>
          <w:rFonts w:ascii="Times New Roman" w:hAnsi="Times New Roman"/>
          <w:noProof/>
          <w:sz w:val="24"/>
          <w:lang w:val="en-US"/>
        </w:rPr>
      </w:pPr>
    </w:p>
    <w:p w14:paraId="1E2E0A9C" w14:textId="77777777" w:rsidR="002D40A3" w:rsidRPr="002D40A3" w:rsidRDefault="002D40A3" w:rsidP="002D40A3">
      <w:pPr>
        <w:spacing w:after="0" w:line="240" w:lineRule="auto"/>
        <w:rPr>
          <w:rFonts w:ascii="Times New Roman" w:hAnsi="Times New Roman"/>
          <w:noProof/>
          <w:sz w:val="24"/>
          <w:lang w:val="en-US"/>
        </w:rPr>
      </w:pPr>
    </w:p>
    <w:p w14:paraId="6759C834" w14:textId="77777777" w:rsidR="002D40A3" w:rsidRPr="002D40A3" w:rsidRDefault="002D40A3" w:rsidP="002D40A3">
      <w:pPr>
        <w:spacing w:after="0" w:line="240" w:lineRule="auto"/>
        <w:jc w:val="center"/>
        <w:rPr>
          <w:rFonts w:ascii="Times New Roman" w:hAnsi="Times New Roman"/>
          <w:noProof/>
          <w:sz w:val="24"/>
          <w:lang w:val="en-US"/>
        </w:rPr>
      </w:pPr>
      <w:r w:rsidRPr="002D40A3">
        <w:rPr>
          <w:rFonts w:ascii="Times New Roman" w:hAnsi="Times New Roman"/>
          <w:noProof/>
          <w:sz w:val="24"/>
          <w:lang w:val="en-US"/>
        </w:rPr>
        <w:t>Republic of Latvia</w:t>
      </w:r>
    </w:p>
    <w:p w14:paraId="7A62624E" w14:textId="77777777" w:rsidR="002D40A3" w:rsidRPr="002D40A3" w:rsidRDefault="002D40A3" w:rsidP="002D40A3">
      <w:pPr>
        <w:spacing w:after="0" w:line="240" w:lineRule="auto"/>
        <w:jc w:val="center"/>
        <w:rPr>
          <w:rFonts w:ascii="Times New Roman" w:hAnsi="Times New Roman"/>
          <w:noProof/>
          <w:sz w:val="24"/>
          <w:lang w:val="en-US"/>
        </w:rPr>
      </w:pPr>
    </w:p>
    <w:p w14:paraId="2B624E5C" w14:textId="77777777" w:rsidR="002D40A3" w:rsidRPr="002D40A3" w:rsidRDefault="002D40A3" w:rsidP="002D40A3">
      <w:pPr>
        <w:spacing w:after="0" w:line="240" w:lineRule="auto"/>
        <w:jc w:val="center"/>
        <w:rPr>
          <w:rFonts w:ascii="Times New Roman" w:hAnsi="Times New Roman"/>
          <w:noProof/>
          <w:sz w:val="24"/>
          <w:lang w:val="en-US"/>
        </w:rPr>
      </w:pPr>
      <w:r w:rsidRPr="002D40A3">
        <w:rPr>
          <w:rFonts w:ascii="Times New Roman" w:hAnsi="Times New Roman"/>
          <w:noProof/>
          <w:sz w:val="24"/>
          <w:lang w:val="en-US"/>
        </w:rPr>
        <w:t>Cabinet</w:t>
      </w:r>
    </w:p>
    <w:p w14:paraId="7564FB5B" w14:textId="77777777" w:rsidR="002D40A3" w:rsidRPr="002D40A3" w:rsidRDefault="002D40A3" w:rsidP="002D40A3">
      <w:pPr>
        <w:spacing w:after="0" w:line="240" w:lineRule="auto"/>
        <w:jc w:val="center"/>
        <w:rPr>
          <w:rFonts w:ascii="Times New Roman" w:hAnsi="Times New Roman"/>
          <w:noProof/>
          <w:sz w:val="24"/>
          <w:lang w:val="en-US"/>
        </w:rPr>
      </w:pPr>
      <w:r w:rsidRPr="002D40A3">
        <w:rPr>
          <w:rFonts w:ascii="Times New Roman" w:hAnsi="Times New Roman"/>
          <w:noProof/>
          <w:sz w:val="24"/>
          <w:lang w:val="en-US"/>
        </w:rPr>
        <w:t>Regulation No. 1419</w:t>
      </w:r>
    </w:p>
    <w:p w14:paraId="3E0BCD64" w14:textId="77777777" w:rsidR="002D40A3" w:rsidRPr="002D40A3" w:rsidRDefault="002D40A3" w:rsidP="002D40A3">
      <w:pPr>
        <w:spacing w:after="0" w:line="240" w:lineRule="auto"/>
        <w:jc w:val="center"/>
        <w:rPr>
          <w:rFonts w:ascii="Times New Roman" w:hAnsi="Times New Roman"/>
          <w:noProof/>
          <w:sz w:val="24"/>
          <w:lang w:val="en-US"/>
        </w:rPr>
      </w:pPr>
      <w:r w:rsidRPr="002D40A3">
        <w:rPr>
          <w:rFonts w:ascii="Times New Roman" w:hAnsi="Times New Roman"/>
          <w:noProof/>
          <w:sz w:val="24"/>
          <w:lang w:val="en-US"/>
        </w:rPr>
        <w:t>Adopted 15 December 2009</w:t>
      </w:r>
    </w:p>
    <w:p w14:paraId="65D34E91"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7679F753"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40122583" w14:textId="77777777" w:rsidR="002D40A3" w:rsidRPr="002D40A3" w:rsidRDefault="002D40A3" w:rsidP="002D40A3">
      <w:pPr>
        <w:spacing w:after="0" w:line="240" w:lineRule="auto"/>
        <w:jc w:val="center"/>
        <w:rPr>
          <w:rFonts w:ascii="Times New Roman" w:hAnsi="Times New Roman"/>
          <w:b/>
          <w:noProof/>
          <w:sz w:val="28"/>
          <w:lang w:val="en-US"/>
        </w:rPr>
      </w:pPr>
      <w:r w:rsidRPr="002D40A3">
        <w:rPr>
          <w:rFonts w:ascii="Times New Roman" w:hAnsi="Times New Roman"/>
          <w:b/>
          <w:noProof/>
          <w:sz w:val="28"/>
          <w:lang w:val="en-US"/>
        </w:rPr>
        <w:t>By-laws of the Cadet Force Centre</w:t>
      </w:r>
    </w:p>
    <w:p w14:paraId="1335DDE5" w14:textId="77777777" w:rsidR="002D40A3" w:rsidRPr="002D40A3" w:rsidRDefault="002D40A3" w:rsidP="002D40A3">
      <w:pPr>
        <w:spacing w:after="0" w:line="240" w:lineRule="auto"/>
        <w:jc w:val="center"/>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22 December 2015; 18 June 2019</w:t>
      </w:r>
      <w:r w:rsidRPr="002D40A3">
        <w:rPr>
          <w:rFonts w:ascii="Times New Roman" w:hAnsi="Times New Roman"/>
          <w:noProof/>
          <w:sz w:val="24"/>
          <w:lang w:val="en-US"/>
        </w:rPr>
        <w:t>]</w:t>
      </w:r>
    </w:p>
    <w:p w14:paraId="148E62BA"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356E2674"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5DC60269" w14:textId="77777777" w:rsidR="002D40A3" w:rsidRPr="002D40A3" w:rsidRDefault="002D40A3" w:rsidP="002D40A3">
      <w:pPr>
        <w:spacing w:after="0" w:line="240" w:lineRule="auto"/>
        <w:jc w:val="right"/>
        <w:rPr>
          <w:rFonts w:ascii="Times New Roman" w:hAnsi="Times New Roman"/>
          <w:i/>
          <w:noProof/>
          <w:sz w:val="24"/>
          <w:lang w:val="en-US"/>
        </w:rPr>
      </w:pPr>
      <w:r w:rsidRPr="002D40A3">
        <w:rPr>
          <w:rFonts w:ascii="Times New Roman" w:hAnsi="Times New Roman"/>
          <w:i/>
          <w:noProof/>
          <w:sz w:val="24"/>
          <w:lang w:val="en-US"/>
        </w:rPr>
        <w:t>Issued pursuant to</w:t>
      </w:r>
    </w:p>
    <w:p w14:paraId="105760EC" w14:textId="77777777" w:rsidR="002D40A3" w:rsidRPr="002D40A3" w:rsidRDefault="002D40A3" w:rsidP="002D40A3">
      <w:pPr>
        <w:spacing w:after="0" w:line="240" w:lineRule="auto"/>
        <w:jc w:val="right"/>
        <w:rPr>
          <w:rFonts w:ascii="Times New Roman" w:hAnsi="Times New Roman"/>
          <w:i/>
          <w:noProof/>
          <w:sz w:val="24"/>
          <w:lang w:val="en-US"/>
        </w:rPr>
      </w:pPr>
      <w:r w:rsidRPr="002D40A3">
        <w:rPr>
          <w:rFonts w:ascii="Times New Roman" w:hAnsi="Times New Roman"/>
          <w:i/>
          <w:noProof/>
          <w:sz w:val="24"/>
          <w:lang w:val="en-US"/>
        </w:rPr>
        <w:t>Section 16, Paragraph one of the State Administration Structure Law</w:t>
      </w:r>
    </w:p>
    <w:p w14:paraId="032DEAFF"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139CE107"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0471795B" w14:textId="77777777" w:rsidR="002D40A3" w:rsidRPr="002D40A3" w:rsidRDefault="002D40A3" w:rsidP="002D40A3">
      <w:pPr>
        <w:spacing w:after="0" w:line="240" w:lineRule="auto"/>
        <w:jc w:val="center"/>
        <w:rPr>
          <w:rFonts w:ascii="Times New Roman" w:hAnsi="Times New Roman"/>
          <w:b/>
          <w:noProof/>
          <w:sz w:val="24"/>
          <w:lang w:val="en-US"/>
        </w:rPr>
      </w:pPr>
      <w:bookmarkStart w:id="0" w:name="n-317402"/>
      <w:bookmarkStart w:id="1" w:name="n1"/>
      <w:bookmarkEnd w:id="0"/>
      <w:bookmarkEnd w:id="1"/>
      <w:r w:rsidRPr="002D40A3">
        <w:rPr>
          <w:rFonts w:ascii="Times New Roman" w:hAnsi="Times New Roman"/>
          <w:b/>
          <w:noProof/>
          <w:sz w:val="24"/>
          <w:lang w:val="en-US"/>
        </w:rPr>
        <w:t>I. General Provisions</w:t>
      </w:r>
    </w:p>
    <w:p w14:paraId="104937D5"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63EF9A74" w14:textId="77777777" w:rsidR="002D40A3" w:rsidRPr="002D40A3" w:rsidRDefault="002D40A3" w:rsidP="002D40A3">
      <w:pPr>
        <w:spacing w:after="0" w:line="240" w:lineRule="auto"/>
        <w:jc w:val="both"/>
        <w:rPr>
          <w:rFonts w:ascii="Times New Roman" w:hAnsi="Times New Roman"/>
          <w:noProof/>
          <w:sz w:val="24"/>
          <w:lang w:val="en-US"/>
        </w:rPr>
      </w:pPr>
      <w:bookmarkStart w:id="2" w:name="p-693729"/>
      <w:bookmarkEnd w:id="2"/>
      <w:r w:rsidRPr="002D40A3">
        <w:rPr>
          <w:rFonts w:ascii="Times New Roman" w:hAnsi="Times New Roman"/>
          <w:noProof/>
          <w:sz w:val="24"/>
          <w:lang w:val="en-US"/>
        </w:rPr>
        <w:t>1. The Cadet Force Centre (hereinafter – the Centre) is an institution of direct administration under subordination of the Minister for Defence. The Minister for Defence shall implement subordination of the Centre through the Ministry of Defence.</w:t>
      </w:r>
      <w:bookmarkStart w:id="3" w:name="p1"/>
      <w:bookmarkEnd w:id="3"/>
    </w:p>
    <w:p w14:paraId="7A053731"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22 December 2015; 18 June 2019</w:t>
      </w:r>
      <w:r w:rsidRPr="002D40A3">
        <w:rPr>
          <w:rFonts w:ascii="Times New Roman" w:hAnsi="Times New Roman"/>
          <w:noProof/>
          <w:sz w:val="24"/>
          <w:lang w:val="en-US"/>
        </w:rPr>
        <w:t>]</w:t>
      </w:r>
    </w:p>
    <w:p w14:paraId="352357F3"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4" w:name="p-777576"/>
      <w:bookmarkEnd w:id="4"/>
    </w:p>
    <w:p w14:paraId="27F1D694"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2. The activities of the Centre are aimed at promoting the involvement of Latvian youth in comprehensive national defence and their understanding of it.</w:t>
      </w:r>
      <w:bookmarkStart w:id="5" w:name="p2"/>
      <w:bookmarkEnd w:id="5"/>
    </w:p>
    <w:p w14:paraId="03C1A251"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1 April 2021</w:t>
      </w:r>
      <w:r w:rsidRPr="002D40A3">
        <w:rPr>
          <w:rFonts w:ascii="Times New Roman" w:hAnsi="Times New Roman"/>
          <w:noProof/>
          <w:sz w:val="24"/>
          <w:lang w:val="en-US"/>
        </w:rPr>
        <w:t>]</w:t>
      </w:r>
    </w:p>
    <w:p w14:paraId="367CB9E5"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6" w:name="n-317406"/>
      <w:bookmarkStart w:id="7" w:name="n2"/>
      <w:bookmarkEnd w:id="6"/>
      <w:bookmarkEnd w:id="7"/>
    </w:p>
    <w:p w14:paraId="69F45012" w14:textId="77777777" w:rsidR="002D40A3" w:rsidRPr="002D40A3" w:rsidRDefault="002D40A3" w:rsidP="002D40A3">
      <w:pPr>
        <w:spacing w:after="0" w:line="240" w:lineRule="auto"/>
        <w:jc w:val="center"/>
        <w:rPr>
          <w:rFonts w:ascii="Times New Roman" w:hAnsi="Times New Roman"/>
          <w:b/>
          <w:noProof/>
          <w:sz w:val="24"/>
          <w:lang w:val="en-US"/>
        </w:rPr>
      </w:pPr>
      <w:r w:rsidRPr="002D40A3">
        <w:rPr>
          <w:rFonts w:ascii="Times New Roman" w:hAnsi="Times New Roman"/>
          <w:b/>
          <w:noProof/>
          <w:sz w:val="24"/>
          <w:lang w:val="en-US"/>
        </w:rPr>
        <w:t>II. Functions, Tasks and Rights of the Centre</w:t>
      </w:r>
    </w:p>
    <w:p w14:paraId="5CB0A020"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8" w:name="p-777577"/>
      <w:bookmarkEnd w:id="8"/>
    </w:p>
    <w:p w14:paraId="7EFBC071"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3. The Centre shall have the following functions:</w:t>
      </w:r>
      <w:bookmarkStart w:id="9" w:name="p3"/>
      <w:bookmarkEnd w:id="9"/>
    </w:p>
    <w:p w14:paraId="1B12A092"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3.1. [22 December 2015];</w:t>
      </w:r>
    </w:p>
    <w:p w14:paraId="34A6BBB5"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3.2. to educate youth in the field of national defence;</w:t>
      </w:r>
    </w:p>
    <w:p w14:paraId="7B7BF135"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3.3. to promote civic consciousness and patriotism in youth;</w:t>
      </w:r>
    </w:p>
    <w:p w14:paraId="5CE17204"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3.4. [27 March 2018];</w:t>
      </w:r>
    </w:p>
    <w:p w14:paraId="4FDFF5B8"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3.5. to implement cooperation with associations, foundations, and youth organisations in the fields related to the organisation of the national defence training and the Cadet Force movement;</w:t>
      </w:r>
    </w:p>
    <w:p w14:paraId="5DE26DC2"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3.6. [27 March 2018];</w:t>
      </w:r>
    </w:p>
    <w:p w14:paraId="5299841E"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3.7. [27 March 2018];</w:t>
      </w:r>
    </w:p>
    <w:p w14:paraId="666E482A"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3.8. to develop the physical preparedness of youth and the skills required for comprehensive national defence.</w:t>
      </w:r>
    </w:p>
    <w:p w14:paraId="2FD36839"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1 April 2021</w:t>
      </w:r>
      <w:r w:rsidRPr="002D40A3">
        <w:rPr>
          <w:rFonts w:ascii="Times New Roman" w:hAnsi="Times New Roman"/>
          <w:noProof/>
          <w:sz w:val="24"/>
          <w:lang w:val="en-US"/>
        </w:rPr>
        <w:t>]</w:t>
      </w:r>
    </w:p>
    <w:p w14:paraId="5C521AF0"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10" w:name="p-777578"/>
      <w:bookmarkEnd w:id="10"/>
    </w:p>
    <w:p w14:paraId="54E046EC"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4. In order to ensure the fulfilment of the functions, the Centre shall perform the following tasks:</w:t>
      </w:r>
      <w:bookmarkStart w:id="11" w:name="p4"/>
      <w:bookmarkEnd w:id="11"/>
    </w:p>
    <w:p w14:paraId="3B0DAE7E"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 [22 December 2015];</w:t>
      </w:r>
    </w:p>
    <w:p w14:paraId="16EBDAB0"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4.2. ensure educational process in the Cadet Force and implement an interest education programme for youth guards;</w:t>
      </w:r>
    </w:p>
    <w:p w14:paraId="71314D47" w14:textId="77777777" w:rsidR="002D40A3" w:rsidRPr="002D40A3" w:rsidRDefault="002D40A3" w:rsidP="002D40A3">
      <w:pPr>
        <w:spacing w:after="0" w:line="240" w:lineRule="auto"/>
        <w:ind w:firstLine="709"/>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4.2.</w:t>
      </w:r>
      <w:r w:rsidRPr="002D40A3">
        <w:rPr>
          <w:rFonts w:ascii="Times New Roman" w:hAnsi="Times New Roman"/>
          <w:noProof/>
          <w:sz w:val="24"/>
          <w:vertAlign w:val="superscript"/>
          <w:lang w:val="en-US"/>
        </w:rPr>
        <w:t xml:space="preserve">1 </w:t>
      </w:r>
      <w:r w:rsidRPr="002D40A3">
        <w:rPr>
          <w:rFonts w:ascii="Times New Roman" w:hAnsi="Times New Roman"/>
          <w:noProof/>
          <w:sz w:val="24"/>
          <w:lang w:val="en-US"/>
        </w:rPr>
        <w:t>ensure the acquisition of the subject of national defence training and organise national defence training camps;</w:t>
      </w:r>
    </w:p>
    <w:p w14:paraId="0B6E979B"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4.3. organise informative and educational activities and other activities involving young people who are not youth guards and do not undergo the national defence training;</w:t>
      </w:r>
    </w:p>
    <w:p w14:paraId="2CBABDB2" w14:textId="77777777" w:rsidR="002D40A3" w:rsidRPr="002D40A3" w:rsidRDefault="002D40A3" w:rsidP="002D40A3">
      <w:pPr>
        <w:spacing w:after="0" w:line="240" w:lineRule="auto"/>
        <w:ind w:firstLine="709"/>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4.4. [1 January 2019 / See Paragraph 11.</w:t>
      </w:r>
      <w:r w:rsidRPr="002D40A3">
        <w:rPr>
          <w:rFonts w:ascii="Times New Roman" w:hAnsi="Times New Roman"/>
          <w:noProof/>
          <w:sz w:val="24"/>
          <w:vertAlign w:val="superscript"/>
          <w:lang w:val="en-US"/>
        </w:rPr>
        <w:t>1</w:t>
      </w:r>
      <w:r w:rsidRPr="002D40A3">
        <w:rPr>
          <w:rFonts w:ascii="Times New Roman" w:hAnsi="Times New Roman"/>
          <w:noProof/>
          <w:sz w:val="24"/>
          <w:lang w:val="en-US"/>
        </w:rPr>
        <w:t>];</w:t>
      </w:r>
    </w:p>
    <w:p w14:paraId="130C2BD6"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4.5. [27 March 2018];</w:t>
      </w:r>
    </w:p>
    <w:p w14:paraId="54FA5FDF"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4.6. prepare methodological and information materials and textbooks for the national defence training and the interest education programme for youth guards;</w:t>
      </w:r>
    </w:p>
    <w:p w14:paraId="243CD185"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4.7. [27 March 2018];</w:t>
      </w:r>
    </w:p>
    <w:p w14:paraId="4C3E972F"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4.8. [18 June 2019];</w:t>
      </w:r>
    </w:p>
    <w:p w14:paraId="183AC4F0"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4.9. [27 March 2018];</w:t>
      </w:r>
    </w:p>
    <w:p w14:paraId="21A1DD04"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4.10. plan the funding necessary for the operation of the Centre and submit proposals about it to the Ministry of Defence; provide review of effective and proper implementation of the funds allocated from the State basic budget;</w:t>
      </w:r>
    </w:p>
    <w:p w14:paraId="59A8B446"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4.11. provide reviews and reports to the Ministry of Defence on the performance of tasks entrusted to the Centre;</w:t>
      </w:r>
    </w:p>
    <w:p w14:paraId="3818C8C2"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4.12. provide training and in-service training to the employees of the Centre and perform other staff training functions prescribed in laws and regulations;</w:t>
      </w:r>
    </w:p>
    <w:p w14:paraId="29DA8076"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4.13. within its competence, make proposals for the issuance of new laws and regulations or amendments to the existing laws and regulations, and also prepare opinions on draft laws and regulations;</w:t>
      </w:r>
    </w:p>
    <w:p w14:paraId="3E7EFB5F"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4.14. plan and carry out public procurement in accordance with the allotted funds;</w:t>
      </w:r>
    </w:p>
    <w:p w14:paraId="287E3073"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4.15. perform other tasks laid down in the laws and regulations.</w:t>
      </w:r>
    </w:p>
    <w:p w14:paraId="0C156374"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21 October 2014; 18 June 2019; 1 April 2021</w:t>
      </w:r>
      <w:r w:rsidRPr="002D40A3">
        <w:rPr>
          <w:rFonts w:ascii="Times New Roman" w:hAnsi="Times New Roman"/>
          <w:noProof/>
          <w:sz w:val="24"/>
          <w:lang w:val="en-US"/>
        </w:rPr>
        <w:t>]</w:t>
      </w:r>
    </w:p>
    <w:p w14:paraId="2B950B0B"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12" w:name="p-777579"/>
      <w:bookmarkEnd w:id="12"/>
    </w:p>
    <w:p w14:paraId="0FD57DCA"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5. The Centre shall have the following rights:</w:t>
      </w:r>
      <w:bookmarkStart w:id="13" w:name="p5"/>
      <w:bookmarkEnd w:id="13"/>
    </w:p>
    <w:p w14:paraId="0C476B3A"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5.1. in the cases laid down in external laws and regulations, to request and receive free of charge information necessary for the performance of the functions and tasks of the Centre from State and local government authorities as well as from private individuals;</w:t>
      </w:r>
    </w:p>
    <w:p w14:paraId="2AE9566E"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5.2. ensuring the performance of its functions, to act with the State budget funds allocated for this purpose;</w:t>
      </w:r>
    </w:p>
    <w:p w14:paraId="54A582F1"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5.3. to create territorial units;</w:t>
      </w:r>
    </w:p>
    <w:p w14:paraId="6C9D2E3E"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5.4. to create groups of experts, advisory councils and task forces, as well as to develop projects for performing tasks within the competence of the Centre;</w:t>
      </w:r>
    </w:p>
    <w:p w14:paraId="6503E06E"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5.5. [1 April 2021];</w:t>
      </w:r>
    </w:p>
    <w:p w14:paraId="60C5C8FB"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5.6. [1 April 2021].</w:t>
      </w:r>
    </w:p>
    <w:p w14:paraId="1EBC2A0A"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14" w:name="n-317411"/>
      <w:bookmarkStart w:id="15" w:name="n3"/>
      <w:bookmarkEnd w:id="14"/>
      <w:bookmarkEnd w:id="15"/>
    </w:p>
    <w:p w14:paraId="33A587D7" w14:textId="77777777" w:rsidR="002D40A3" w:rsidRPr="002D40A3" w:rsidRDefault="002D40A3" w:rsidP="002D40A3">
      <w:pPr>
        <w:spacing w:after="0" w:line="240" w:lineRule="auto"/>
        <w:jc w:val="center"/>
        <w:rPr>
          <w:rFonts w:ascii="Times New Roman" w:hAnsi="Times New Roman"/>
          <w:b/>
          <w:noProof/>
          <w:sz w:val="24"/>
          <w:lang w:val="en-US"/>
        </w:rPr>
      </w:pPr>
      <w:r w:rsidRPr="002D40A3">
        <w:rPr>
          <w:rFonts w:ascii="Times New Roman" w:hAnsi="Times New Roman"/>
          <w:b/>
          <w:noProof/>
          <w:sz w:val="24"/>
          <w:lang w:val="en-US"/>
        </w:rPr>
        <w:t>III. Administration of the Centre</w:t>
      </w:r>
    </w:p>
    <w:p w14:paraId="70592482"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16" w:name="p-317413"/>
      <w:bookmarkEnd w:id="16"/>
    </w:p>
    <w:p w14:paraId="26DA9487"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6. The Centre shall be managed by the Director of the Centre. The Director of the Centre shall carry out the functions of the manager of an institution of direct administration laid down in the State Administration Structure Law. The Director of the Centre shall be appointed and removed from the office by the Minister for Defence.</w:t>
      </w:r>
      <w:bookmarkStart w:id="17" w:name="p6"/>
      <w:bookmarkEnd w:id="17"/>
    </w:p>
    <w:p w14:paraId="2A80B7EA"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18" w:name="p-317414"/>
      <w:bookmarkEnd w:id="18"/>
    </w:p>
    <w:p w14:paraId="271C60AE"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7. The Director of the Centre may have Deputy Directors.</w:t>
      </w:r>
      <w:bookmarkStart w:id="19" w:name="p7"/>
      <w:bookmarkEnd w:id="19"/>
    </w:p>
    <w:p w14:paraId="06B5B06E"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20" w:name="n-317416"/>
      <w:bookmarkStart w:id="21" w:name="n4"/>
      <w:bookmarkEnd w:id="20"/>
      <w:bookmarkEnd w:id="21"/>
    </w:p>
    <w:p w14:paraId="033E2ECD" w14:textId="77777777" w:rsidR="002D40A3" w:rsidRPr="002D40A3" w:rsidRDefault="002D40A3" w:rsidP="002D40A3">
      <w:pPr>
        <w:spacing w:after="0" w:line="240" w:lineRule="auto"/>
        <w:jc w:val="center"/>
        <w:rPr>
          <w:rFonts w:ascii="Times New Roman" w:hAnsi="Times New Roman"/>
          <w:b/>
          <w:noProof/>
          <w:sz w:val="24"/>
          <w:lang w:val="en-US"/>
        </w:rPr>
      </w:pPr>
      <w:r w:rsidRPr="002D40A3">
        <w:rPr>
          <w:rFonts w:ascii="Times New Roman" w:hAnsi="Times New Roman"/>
          <w:b/>
          <w:noProof/>
          <w:sz w:val="24"/>
          <w:lang w:val="en-US"/>
        </w:rPr>
        <w:t>IV. Ensuring the Rule of Law of Operation of the Centre and Reviews of Operation of the Centre</w:t>
      </w:r>
    </w:p>
    <w:p w14:paraId="039622DA"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22" w:name="p-317417"/>
      <w:bookmarkEnd w:id="22"/>
    </w:p>
    <w:p w14:paraId="31C3B767"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8. The rule of law of operation of the Centre shall be ensured by the Director of the Centre. The Director of the Centre shall be responsible for the creation and operation of the system for verification of administrative decisions.</w:t>
      </w:r>
      <w:bookmarkStart w:id="23" w:name="p8"/>
      <w:bookmarkEnd w:id="23"/>
    </w:p>
    <w:p w14:paraId="3C5FA959"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24" w:name="p-317418"/>
      <w:bookmarkEnd w:id="24"/>
    </w:p>
    <w:p w14:paraId="3CF09C1A"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9. The administrative acts and actual action of the Centre officials may be contested by submitting a relevant submission to the Director of the Centre. The administrative acts and actual actions of the Director of the Centre may be contested to the Ministry of Defence. The decision taken by the Ministry of Defence may be appealed to a court.</w:t>
      </w:r>
      <w:bookmarkStart w:id="25" w:name="p9"/>
      <w:bookmarkEnd w:id="25"/>
    </w:p>
    <w:p w14:paraId="75A16EA7"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26" w:name="p-317419"/>
      <w:bookmarkEnd w:id="26"/>
    </w:p>
    <w:p w14:paraId="4D1EFB5F"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10. The Director of the Centre shall, not less than once a year, provide a report to the Minister for Defence on the implementation of sectoral policy, the performance of the functions of the Centre and the implementation of budget resources, as well as prepare an annual public report on the implementation of sectoral policy in accordance with the procedures laid down in the laws and regulations.</w:t>
      </w:r>
      <w:bookmarkStart w:id="27" w:name="p10"/>
      <w:bookmarkEnd w:id="27"/>
    </w:p>
    <w:p w14:paraId="389E4B59"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28" w:name="n-317420"/>
      <w:bookmarkStart w:id="29" w:name="n5"/>
      <w:bookmarkEnd w:id="28"/>
      <w:bookmarkEnd w:id="29"/>
    </w:p>
    <w:p w14:paraId="2BBD5506" w14:textId="77777777" w:rsidR="002D40A3" w:rsidRPr="002D40A3" w:rsidRDefault="002D40A3" w:rsidP="002D40A3">
      <w:pPr>
        <w:spacing w:after="0" w:line="240" w:lineRule="auto"/>
        <w:jc w:val="center"/>
        <w:rPr>
          <w:rFonts w:ascii="Times New Roman" w:hAnsi="Times New Roman"/>
          <w:b/>
          <w:noProof/>
          <w:sz w:val="24"/>
          <w:lang w:val="en-US"/>
        </w:rPr>
      </w:pPr>
      <w:r w:rsidRPr="002D40A3">
        <w:rPr>
          <w:rFonts w:ascii="Times New Roman" w:hAnsi="Times New Roman"/>
          <w:b/>
          <w:noProof/>
          <w:sz w:val="24"/>
          <w:lang w:val="en-US"/>
        </w:rPr>
        <w:t>V. Closing Provisions</w:t>
      </w:r>
    </w:p>
    <w:p w14:paraId="197389CB"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30" w:name="p-317421"/>
      <w:bookmarkEnd w:id="30"/>
    </w:p>
    <w:p w14:paraId="0079F695"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11. To declare null and void:</w:t>
      </w:r>
      <w:bookmarkStart w:id="31" w:name="p11"/>
      <w:bookmarkEnd w:id="31"/>
    </w:p>
    <w:p w14:paraId="61F570B1"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11.1. Cabinet Regulation No. 529 of 8 June 2004, By-laws of the Youth Guard Centre (</w:t>
      </w:r>
      <w:r w:rsidRPr="002D40A3">
        <w:rPr>
          <w:rFonts w:ascii="Times New Roman" w:hAnsi="Times New Roman"/>
          <w:i/>
          <w:iCs/>
          <w:noProof/>
          <w:sz w:val="24"/>
          <w:lang w:val="en-US"/>
        </w:rPr>
        <w:t>Latvijas Vēstnesis</w:t>
      </w:r>
      <w:r w:rsidRPr="002D40A3">
        <w:rPr>
          <w:rFonts w:ascii="Times New Roman" w:hAnsi="Times New Roman"/>
          <w:noProof/>
          <w:sz w:val="24"/>
          <w:lang w:val="en-US"/>
        </w:rPr>
        <w:t>, 2004, No. 94);</w:t>
      </w:r>
    </w:p>
    <w:p w14:paraId="1FF129D8" w14:textId="77777777" w:rsidR="002D40A3" w:rsidRPr="002D40A3" w:rsidRDefault="002D40A3" w:rsidP="002D40A3">
      <w:pPr>
        <w:spacing w:after="0" w:line="240" w:lineRule="auto"/>
        <w:ind w:firstLine="709"/>
        <w:jc w:val="both"/>
        <w:rPr>
          <w:rFonts w:ascii="Times New Roman" w:hAnsi="Times New Roman"/>
          <w:noProof/>
          <w:sz w:val="24"/>
          <w:lang w:val="en-US"/>
        </w:rPr>
      </w:pPr>
      <w:r w:rsidRPr="002D40A3">
        <w:rPr>
          <w:rFonts w:ascii="Times New Roman" w:hAnsi="Times New Roman"/>
          <w:noProof/>
          <w:sz w:val="24"/>
          <w:lang w:val="en-US"/>
        </w:rPr>
        <w:t>11.2. Cabinet Regulation No. 575 of 2 August 2005, By-laws of the State Agency “Tēvijas sargs” (</w:t>
      </w:r>
      <w:r w:rsidRPr="002D40A3">
        <w:rPr>
          <w:rFonts w:ascii="Times New Roman" w:hAnsi="Times New Roman"/>
          <w:i/>
          <w:iCs/>
          <w:noProof/>
          <w:sz w:val="24"/>
          <w:lang w:val="en-US"/>
        </w:rPr>
        <w:t>Latvijas Vēstnesis</w:t>
      </w:r>
      <w:r w:rsidRPr="002D40A3">
        <w:rPr>
          <w:rFonts w:ascii="Times New Roman" w:hAnsi="Times New Roman"/>
          <w:noProof/>
          <w:sz w:val="24"/>
          <w:lang w:val="en-US"/>
        </w:rPr>
        <w:t>, 2005, No. 122; 2008, No. 161).</w:t>
      </w:r>
    </w:p>
    <w:p w14:paraId="01DF05DC" w14:textId="77777777" w:rsidR="002D40A3" w:rsidRPr="002D40A3" w:rsidRDefault="002D40A3" w:rsidP="002D40A3">
      <w:pPr>
        <w:spacing w:after="0" w:line="240" w:lineRule="auto"/>
        <w:jc w:val="both"/>
        <w:rPr>
          <w:rFonts w:ascii="Times New Roman" w:hAnsi="Times New Roman"/>
          <w:noProof/>
          <w:sz w:val="24"/>
          <w:lang w:val="en-US"/>
        </w:rPr>
      </w:pPr>
      <w:bookmarkStart w:id="32" w:name="p-651757"/>
      <w:bookmarkEnd w:id="32"/>
    </w:p>
    <w:p w14:paraId="63F079D9"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11.</w:t>
      </w:r>
      <w:r w:rsidRPr="002D40A3">
        <w:rPr>
          <w:rFonts w:ascii="Times New Roman" w:hAnsi="Times New Roman"/>
          <w:noProof/>
          <w:sz w:val="24"/>
          <w:vertAlign w:val="superscript"/>
          <w:lang w:val="en-US"/>
        </w:rPr>
        <w:t xml:space="preserve">1 </w:t>
      </w:r>
      <w:r w:rsidRPr="002D40A3">
        <w:rPr>
          <w:rFonts w:ascii="Times New Roman" w:hAnsi="Times New Roman"/>
          <w:noProof/>
          <w:sz w:val="24"/>
          <w:lang w:val="en-US"/>
        </w:rPr>
        <w:t>Sub-paragraph 4.4 of this Regulation is repealed from 1 January 2019.</w:t>
      </w:r>
      <w:bookmarkStart w:id="33" w:name="p11_1"/>
      <w:bookmarkEnd w:id="33"/>
    </w:p>
    <w:p w14:paraId="1B7F6B21"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r w:rsidRPr="002D40A3">
        <w:rPr>
          <w:rFonts w:ascii="Times New Roman" w:hAnsi="Times New Roman"/>
          <w:noProof/>
          <w:sz w:val="24"/>
          <w:lang w:val="en-US"/>
        </w:rPr>
        <w:t>[</w:t>
      </w:r>
      <w:r w:rsidRPr="002D40A3">
        <w:rPr>
          <w:rFonts w:ascii="Times New Roman" w:hAnsi="Times New Roman"/>
          <w:i/>
          <w:iCs/>
          <w:noProof/>
          <w:sz w:val="24"/>
          <w:lang w:val="en-US"/>
        </w:rPr>
        <w:t>27 March 2018</w:t>
      </w:r>
      <w:r w:rsidRPr="002D40A3">
        <w:rPr>
          <w:rFonts w:ascii="Times New Roman" w:hAnsi="Times New Roman"/>
          <w:noProof/>
          <w:sz w:val="24"/>
          <w:lang w:val="en-US"/>
        </w:rPr>
        <w:t>]</w:t>
      </w:r>
    </w:p>
    <w:p w14:paraId="023D8DAF"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bookmarkStart w:id="34" w:name="p-317423"/>
      <w:bookmarkEnd w:id="34"/>
    </w:p>
    <w:p w14:paraId="0E712B00" w14:textId="77777777" w:rsidR="002D40A3" w:rsidRPr="002D40A3" w:rsidRDefault="002D40A3" w:rsidP="002D40A3">
      <w:pPr>
        <w:spacing w:after="0" w:line="240" w:lineRule="auto"/>
        <w:jc w:val="both"/>
        <w:rPr>
          <w:rFonts w:ascii="Times New Roman" w:hAnsi="Times New Roman"/>
          <w:noProof/>
          <w:sz w:val="24"/>
          <w:lang w:val="en-US"/>
        </w:rPr>
      </w:pPr>
      <w:r w:rsidRPr="002D40A3">
        <w:rPr>
          <w:rFonts w:ascii="Times New Roman" w:hAnsi="Times New Roman"/>
          <w:noProof/>
          <w:sz w:val="24"/>
          <w:lang w:val="en-US"/>
        </w:rPr>
        <w:t>12. The Regulation shall come into force on 1 January 2010.</w:t>
      </w:r>
      <w:bookmarkStart w:id="35" w:name="p12"/>
      <w:bookmarkEnd w:id="35"/>
    </w:p>
    <w:p w14:paraId="268B49DD"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489D69DE"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59F34788" w14:textId="77777777" w:rsidR="002D40A3" w:rsidRPr="002D40A3" w:rsidRDefault="002D40A3" w:rsidP="002D40A3">
      <w:pPr>
        <w:tabs>
          <w:tab w:val="left" w:pos="7371"/>
        </w:tabs>
        <w:spacing w:after="0" w:line="240" w:lineRule="auto"/>
        <w:jc w:val="both"/>
        <w:rPr>
          <w:rFonts w:ascii="Times New Roman" w:hAnsi="Times New Roman"/>
          <w:noProof/>
          <w:sz w:val="24"/>
          <w:lang w:val="en-US"/>
        </w:rPr>
      </w:pPr>
      <w:r w:rsidRPr="002D40A3">
        <w:rPr>
          <w:rFonts w:ascii="Times New Roman" w:hAnsi="Times New Roman"/>
          <w:noProof/>
          <w:sz w:val="24"/>
          <w:lang w:val="en-US"/>
        </w:rPr>
        <w:t>Prime Minister</w:t>
      </w:r>
      <w:r w:rsidRPr="002D40A3">
        <w:rPr>
          <w:rFonts w:ascii="Times New Roman" w:hAnsi="Times New Roman"/>
          <w:noProof/>
          <w:sz w:val="24"/>
          <w:lang w:val="en-US"/>
        </w:rPr>
        <w:tab/>
        <w:t>V. Dombrovskis</w:t>
      </w:r>
    </w:p>
    <w:p w14:paraId="650C1D19"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eastAsia="lv-LV"/>
        </w:rPr>
      </w:pPr>
    </w:p>
    <w:p w14:paraId="1CC5291E" w14:textId="77777777" w:rsidR="002D40A3" w:rsidRPr="002D40A3" w:rsidRDefault="002D40A3" w:rsidP="002D40A3">
      <w:pPr>
        <w:tabs>
          <w:tab w:val="left" w:pos="7938"/>
        </w:tabs>
        <w:spacing w:after="0" w:line="240" w:lineRule="auto"/>
        <w:jc w:val="both"/>
        <w:rPr>
          <w:rFonts w:ascii="Times New Roman" w:hAnsi="Times New Roman"/>
          <w:noProof/>
          <w:sz w:val="24"/>
          <w:lang w:val="en-US"/>
        </w:rPr>
      </w:pPr>
      <w:r w:rsidRPr="002D40A3">
        <w:rPr>
          <w:rFonts w:ascii="Times New Roman" w:hAnsi="Times New Roman"/>
          <w:noProof/>
          <w:sz w:val="24"/>
          <w:lang w:val="en-US"/>
        </w:rPr>
        <w:t>Minister for Defence</w:t>
      </w:r>
      <w:r w:rsidRPr="002D40A3">
        <w:rPr>
          <w:rFonts w:ascii="Times New Roman" w:hAnsi="Times New Roman"/>
          <w:noProof/>
          <w:sz w:val="24"/>
          <w:lang w:val="en-US"/>
        </w:rPr>
        <w:tab/>
        <w:t>I. V. Lieģis</w:t>
      </w:r>
    </w:p>
    <w:p w14:paraId="52C71FFD" w14:textId="77777777" w:rsidR="002D40A3" w:rsidRPr="002D40A3" w:rsidRDefault="002D40A3" w:rsidP="002D40A3">
      <w:pPr>
        <w:spacing w:after="0" w:line="240" w:lineRule="auto"/>
        <w:jc w:val="both"/>
        <w:rPr>
          <w:rFonts w:ascii="Times New Roman" w:eastAsia="Times New Roman" w:hAnsi="Times New Roman" w:cs="Times New Roman"/>
          <w:noProof/>
          <w:sz w:val="24"/>
          <w:szCs w:val="24"/>
          <w:lang w:val="en-US"/>
        </w:rPr>
      </w:pPr>
    </w:p>
    <w:sectPr w:rsidR="002D40A3" w:rsidRPr="002D40A3" w:rsidSect="00B4715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02D2" w14:textId="77777777" w:rsidR="00732E8D" w:rsidRPr="002D40A3" w:rsidRDefault="00732E8D" w:rsidP="00732E8D">
      <w:pPr>
        <w:spacing w:after="0" w:line="240" w:lineRule="auto"/>
        <w:rPr>
          <w:noProof/>
          <w:lang w:val="en-US"/>
        </w:rPr>
      </w:pPr>
      <w:r w:rsidRPr="002D40A3">
        <w:rPr>
          <w:noProof/>
          <w:lang w:val="en-US"/>
        </w:rPr>
        <w:separator/>
      </w:r>
    </w:p>
  </w:endnote>
  <w:endnote w:type="continuationSeparator" w:id="0">
    <w:p w14:paraId="3B5DB4BE" w14:textId="77777777" w:rsidR="00732E8D" w:rsidRPr="002D40A3" w:rsidRDefault="00732E8D" w:rsidP="00732E8D">
      <w:pPr>
        <w:spacing w:after="0" w:line="240" w:lineRule="auto"/>
        <w:rPr>
          <w:noProof/>
          <w:lang w:val="en-US"/>
        </w:rPr>
      </w:pPr>
      <w:r w:rsidRPr="002D40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08AF" w14:textId="77777777" w:rsidR="002D40A3" w:rsidRDefault="002D4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0A64" w14:textId="77777777" w:rsidR="00983C02" w:rsidRPr="002D40A3" w:rsidRDefault="00983C02" w:rsidP="00983C02">
    <w:pPr>
      <w:pStyle w:val="Footer"/>
      <w:tabs>
        <w:tab w:val="right" w:pos="9072"/>
      </w:tabs>
      <w:rPr>
        <w:rFonts w:ascii="Times New Roman" w:hAnsi="Times New Roman"/>
        <w:noProof/>
        <w:sz w:val="20"/>
        <w:lang w:val="en-US"/>
      </w:rPr>
    </w:pPr>
  </w:p>
  <w:p w14:paraId="45A6C3C8" w14:textId="4AFEB38C" w:rsidR="0034139A" w:rsidRPr="002D40A3" w:rsidRDefault="00983C02" w:rsidP="00983C02">
    <w:pPr>
      <w:pStyle w:val="Footer"/>
      <w:tabs>
        <w:tab w:val="right" w:pos="9072"/>
      </w:tabs>
      <w:rPr>
        <w:rFonts w:ascii="Times New Roman" w:hAnsi="Times New Roman"/>
        <w:noProof/>
        <w:sz w:val="20"/>
        <w:lang w:val="en-US"/>
      </w:rPr>
    </w:pPr>
    <w:r w:rsidRPr="002D40A3">
      <w:rPr>
        <w:rFonts w:ascii="Times New Roman" w:hAnsi="Times New Roman"/>
        <w:noProof/>
        <w:sz w:val="20"/>
        <w:lang w:val="en-US"/>
      </w:rPr>
      <w:t xml:space="preserve">Translation </w:t>
    </w:r>
    <w:r w:rsidRPr="002D40A3">
      <w:rPr>
        <w:rFonts w:ascii="Times New Roman" w:hAnsi="Times New Roman"/>
        <w:noProof/>
        <w:sz w:val="20"/>
        <w:lang w:val="en-US"/>
      </w:rPr>
      <w:fldChar w:fldCharType="begin"/>
    </w:r>
    <w:r w:rsidRPr="002D40A3">
      <w:rPr>
        <w:rFonts w:ascii="Times New Roman" w:hAnsi="Times New Roman"/>
        <w:noProof/>
        <w:sz w:val="20"/>
        <w:lang w:val="en-US"/>
      </w:rPr>
      <w:instrText>symbol 169 \f "UnivrstyRoman TL" \s 8</w:instrText>
    </w:r>
    <w:r w:rsidRPr="002D40A3">
      <w:rPr>
        <w:rFonts w:ascii="Times New Roman" w:hAnsi="Times New Roman"/>
        <w:noProof/>
        <w:sz w:val="20"/>
        <w:lang w:val="en-US"/>
      </w:rPr>
      <w:fldChar w:fldCharType="separate"/>
    </w:r>
    <w:r w:rsidRPr="002D40A3">
      <w:rPr>
        <w:rFonts w:ascii="Times New Roman" w:hAnsi="Times New Roman"/>
        <w:noProof/>
        <w:sz w:val="20"/>
        <w:lang w:val="en-US"/>
      </w:rPr>
      <w:t>©</w:t>
    </w:r>
    <w:r w:rsidRPr="002D40A3">
      <w:rPr>
        <w:rFonts w:ascii="Times New Roman" w:hAnsi="Times New Roman"/>
        <w:noProof/>
        <w:sz w:val="20"/>
        <w:lang w:val="en-US"/>
      </w:rPr>
      <w:fldChar w:fldCharType="end"/>
    </w:r>
    <w:r w:rsidRPr="002D40A3">
      <w:rPr>
        <w:rFonts w:ascii="Times New Roman" w:hAnsi="Times New Roman"/>
        <w:noProof/>
        <w:sz w:val="20"/>
        <w:lang w:val="en-US"/>
      </w:rPr>
      <w:t xml:space="preserve"> 2022 Valsts valodas centrs (State Language Centre)</w:t>
    </w:r>
    <w:r w:rsidRPr="002D40A3">
      <w:rPr>
        <w:rFonts w:ascii="Times New Roman" w:hAnsi="Times New Roman"/>
        <w:noProof/>
        <w:sz w:val="20"/>
        <w:lang w:val="en-US"/>
      </w:rPr>
      <w:tab/>
    </w:r>
    <w:r w:rsidRPr="002D40A3">
      <w:rPr>
        <w:rStyle w:val="PageNumber"/>
        <w:rFonts w:ascii="Times New Roman" w:hAnsi="Times New Roman"/>
        <w:noProof/>
        <w:sz w:val="20"/>
        <w:lang w:val="en-US"/>
      </w:rPr>
      <w:fldChar w:fldCharType="begin"/>
    </w:r>
    <w:r w:rsidRPr="002D40A3">
      <w:rPr>
        <w:rStyle w:val="PageNumber"/>
        <w:rFonts w:ascii="Times New Roman" w:hAnsi="Times New Roman"/>
        <w:noProof/>
        <w:sz w:val="20"/>
        <w:lang w:val="en-US"/>
      </w:rPr>
      <w:instrText xml:space="preserve"> PAGE </w:instrText>
    </w:r>
    <w:r w:rsidRPr="002D40A3">
      <w:rPr>
        <w:rStyle w:val="PageNumber"/>
        <w:rFonts w:ascii="Times New Roman" w:hAnsi="Times New Roman"/>
        <w:noProof/>
        <w:sz w:val="20"/>
        <w:lang w:val="en-US"/>
      </w:rPr>
      <w:fldChar w:fldCharType="separate"/>
    </w:r>
    <w:r w:rsidRPr="002D40A3">
      <w:rPr>
        <w:rStyle w:val="PageNumber"/>
        <w:rFonts w:ascii="Times New Roman" w:hAnsi="Times New Roman"/>
        <w:noProof/>
        <w:sz w:val="20"/>
        <w:lang w:val="en-US"/>
      </w:rPr>
      <w:t>2</w:t>
    </w:r>
    <w:r w:rsidRPr="002D40A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4E91" w14:textId="77777777" w:rsidR="0034139A" w:rsidRPr="002D40A3" w:rsidRDefault="0034139A" w:rsidP="0034139A">
    <w:pPr>
      <w:pStyle w:val="Footer"/>
      <w:rPr>
        <w:rFonts w:ascii="Times New Roman" w:hAnsi="Times New Roman"/>
        <w:noProof/>
        <w:sz w:val="20"/>
        <w:lang w:val="en-US"/>
      </w:rPr>
    </w:pPr>
  </w:p>
  <w:p w14:paraId="24A2B3B1" w14:textId="21419A76" w:rsidR="0034139A" w:rsidRPr="002D40A3" w:rsidRDefault="0034139A">
    <w:pPr>
      <w:pStyle w:val="Footer"/>
      <w:rPr>
        <w:rFonts w:ascii="Times New Roman" w:hAnsi="Times New Roman"/>
        <w:noProof/>
        <w:sz w:val="20"/>
        <w:lang w:val="en-US"/>
      </w:rPr>
    </w:pPr>
    <w:r w:rsidRPr="002D40A3">
      <w:rPr>
        <w:rFonts w:ascii="Times New Roman" w:hAnsi="Times New Roman"/>
        <w:noProof/>
        <w:sz w:val="20"/>
        <w:lang w:val="en-US"/>
      </w:rPr>
      <w:t xml:space="preserve">Translation </w:t>
    </w:r>
    <w:r w:rsidRPr="002D40A3">
      <w:rPr>
        <w:rFonts w:ascii="Times New Roman" w:hAnsi="Times New Roman"/>
        <w:noProof/>
        <w:sz w:val="20"/>
        <w:lang w:val="en-US"/>
      </w:rPr>
      <w:fldChar w:fldCharType="begin"/>
    </w:r>
    <w:r w:rsidRPr="002D40A3">
      <w:rPr>
        <w:rFonts w:ascii="Times New Roman" w:hAnsi="Times New Roman"/>
        <w:noProof/>
        <w:sz w:val="20"/>
        <w:lang w:val="en-US"/>
      </w:rPr>
      <w:instrText>symbol 169 \f "UnivrstyRoman TL" \s 8</w:instrText>
    </w:r>
    <w:r w:rsidRPr="002D40A3">
      <w:rPr>
        <w:rFonts w:ascii="Times New Roman" w:hAnsi="Times New Roman"/>
        <w:noProof/>
        <w:sz w:val="20"/>
        <w:lang w:val="en-US"/>
      </w:rPr>
      <w:fldChar w:fldCharType="separate"/>
    </w:r>
    <w:r w:rsidRPr="002D40A3">
      <w:rPr>
        <w:rFonts w:ascii="Times New Roman" w:hAnsi="Times New Roman"/>
        <w:noProof/>
        <w:sz w:val="20"/>
        <w:lang w:val="en-US"/>
      </w:rPr>
      <w:t>©</w:t>
    </w:r>
    <w:r w:rsidRPr="002D40A3">
      <w:rPr>
        <w:rFonts w:ascii="Times New Roman" w:hAnsi="Times New Roman"/>
        <w:noProof/>
        <w:sz w:val="20"/>
        <w:lang w:val="en-US"/>
      </w:rPr>
      <w:fldChar w:fldCharType="end"/>
    </w:r>
    <w:r w:rsidRPr="002D40A3">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5F5B" w14:textId="77777777" w:rsidR="00732E8D" w:rsidRPr="002D40A3" w:rsidRDefault="00732E8D" w:rsidP="00732E8D">
      <w:pPr>
        <w:spacing w:after="0" w:line="240" w:lineRule="auto"/>
        <w:rPr>
          <w:noProof/>
          <w:lang w:val="en-US"/>
        </w:rPr>
      </w:pPr>
      <w:r w:rsidRPr="002D40A3">
        <w:rPr>
          <w:noProof/>
          <w:lang w:val="en-US"/>
        </w:rPr>
        <w:separator/>
      </w:r>
    </w:p>
  </w:footnote>
  <w:footnote w:type="continuationSeparator" w:id="0">
    <w:p w14:paraId="0C3786AC" w14:textId="77777777" w:rsidR="00732E8D" w:rsidRPr="002D40A3" w:rsidRDefault="00732E8D" w:rsidP="00732E8D">
      <w:pPr>
        <w:spacing w:after="0" w:line="240" w:lineRule="auto"/>
        <w:rPr>
          <w:noProof/>
          <w:lang w:val="en-US"/>
        </w:rPr>
      </w:pPr>
      <w:r w:rsidRPr="002D40A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0656" w14:textId="77777777" w:rsidR="002D40A3" w:rsidRDefault="002D4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4ACF" w14:textId="77777777" w:rsidR="002D40A3" w:rsidRDefault="002D4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E76F" w14:textId="77777777" w:rsidR="002D40A3" w:rsidRDefault="002D4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0"/>
    <w:rsid w:val="00155EFE"/>
    <w:rsid w:val="00172AE8"/>
    <w:rsid w:val="002D40A3"/>
    <w:rsid w:val="0034139A"/>
    <w:rsid w:val="003B08D9"/>
    <w:rsid w:val="00612425"/>
    <w:rsid w:val="00732E8D"/>
    <w:rsid w:val="00794607"/>
    <w:rsid w:val="008569EB"/>
    <w:rsid w:val="009207B6"/>
    <w:rsid w:val="00921840"/>
    <w:rsid w:val="00983C02"/>
    <w:rsid w:val="00B4715F"/>
    <w:rsid w:val="00B608FD"/>
    <w:rsid w:val="00D948D3"/>
    <w:rsid w:val="00F310C5"/>
    <w:rsid w:val="00F32F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2C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732E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32E8D"/>
    <w:rPr>
      <w:color w:val="0000FF"/>
      <w:u w:val="single"/>
    </w:rPr>
  </w:style>
  <w:style w:type="paragraph" w:customStyle="1" w:styleId="tv213">
    <w:name w:val="tv213"/>
    <w:basedOn w:val="Normal"/>
    <w:rsid w:val="00732E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32E8D"/>
  </w:style>
  <w:style w:type="paragraph" w:styleId="Header">
    <w:name w:val="header"/>
    <w:basedOn w:val="Normal"/>
    <w:link w:val="HeaderChar"/>
    <w:uiPriority w:val="99"/>
    <w:unhideWhenUsed/>
    <w:rsid w:val="0073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E8D"/>
  </w:style>
  <w:style w:type="paragraph" w:styleId="Footer">
    <w:name w:val="footer"/>
    <w:basedOn w:val="Normal"/>
    <w:link w:val="FooterChar"/>
    <w:unhideWhenUsed/>
    <w:rsid w:val="0073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E8D"/>
  </w:style>
  <w:style w:type="character" w:styleId="PageNumber">
    <w:name w:val="page number"/>
    <w:rsid w:val="0098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9974">
      <w:bodyDiv w:val="1"/>
      <w:marLeft w:val="0"/>
      <w:marRight w:val="0"/>
      <w:marTop w:val="0"/>
      <w:marBottom w:val="0"/>
      <w:divBdr>
        <w:top w:val="none" w:sz="0" w:space="0" w:color="auto"/>
        <w:left w:val="none" w:sz="0" w:space="0" w:color="auto"/>
        <w:bottom w:val="none" w:sz="0" w:space="0" w:color="auto"/>
        <w:right w:val="none" w:sz="0" w:space="0" w:color="auto"/>
      </w:divBdr>
      <w:divsChild>
        <w:div w:id="529997261">
          <w:marLeft w:val="0"/>
          <w:marRight w:val="0"/>
          <w:marTop w:val="0"/>
          <w:marBottom w:val="0"/>
          <w:divBdr>
            <w:top w:val="none" w:sz="0" w:space="0" w:color="auto"/>
            <w:left w:val="none" w:sz="0" w:space="0" w:color="auto"/>
            <w:bottom w:val="none" w:sz="0" w:space="0" w:color="auto"/>
            <w:right w:val="none" w:sz="0" w:space="0" w:color="auto"/>
          </w:divBdr>
          <w:divsChild>
            <w:div w:id="1580165621">
              <w:marLeft w:val="0"/>
              <w:marRight w:val="0"/>
              <w:marTop w:val="0"/>
              <w:marBottom w:val="0"/>
              <w:divBdr>
                <w:top w:val="none" w:sz="0" w:space="0" w:color="auto"/>
                <w:left w:val="none" w:sz="0" w:space="0" w:color="auto"/>
                <w:bottom w:val="none" w:sz="0" w:space="0" w:color="auto"/>
                <w:right w:val="none" w:sz="0" w:space="0" w:color="auto"/>
              </w:divBdr>
            </w:div>
            <w:div w:id="103041843">
              <w:marLeft w:val="0"/>
              <w:marRight w:val="0"/>
              <w:marTop w:val="0"/>
              <w:marBottom w:val="0"/>
              <w:divBdr>
                <w:top w:val="none" w:sz="0" w:space="0" w:color="auto"/>
                <w:left w:val="none" w:sz="0" w:space="0" w:color="auto"/>
                <w:bottom w:val="none" w:sz="0" w:space="0" w:color="auto"/>
                <w:right w:val="none" w:sz="0" w:space="0" w:color="auto"/>
              </w:divBdr>
            </w:div>
            <w:div w:id="224537971">
              <w:marLeft w:val="0"/>
              <w:marRight w:val="0"/>
              <w:marTop w:val="0"/>
              <w:marBottom w:val="0"/>
              <w:divBdr>
                <w:top w:val="none" w:sz="0" w:space="0" w:color="auto"/>
                <w:left w:val="none" w:sz="0" w:space="0" w:color="auto"/>
                <w:bottom w:val="none" w:sz="0" w:space="0" w:color="auto"/>
                <w:right w:val="none" w:sz="0" w:space="0" w:color="auto"/>
              </w:divBdr>
            </w:div>
            <w:div w:id="696346623">
              <w:marLeft w:val="0"/>
              <w:marRight w:val="0"/>
              <w:marTop w:val="0"/>
              <w:marBottom w:val="0"/>
              <w:divBdr>
                <w:top w:val="none" w:sz="0" w:space="0" w:color="auto"/>
                <w:left w:val="none" w:sz="0" w:space="0" w:color="auto"/>
                <w:bottom w:val="none" w:sz="0" w:space="0" w:color="auto"/>
                <w:right w:val="none" w:sz="0" w:space="0" w:color="auto"/>
              </w:divBdr>
            </w:div>
            <w:div w:id="1350058718">
              <w:marLeft w:val="0"/>
              <w:marRight w:val="0"/>
              <w:marTop w:val="0"/>
              <w:marBottom w:val="0"/>
              <w:divBdr>
                <w:top w:val="none" w:sz="0" w:space="0" w:color="auto"/>
                <w:left w:val="none" w:sz="0" w:space="0" w:color="auto"/>
                <w:bottom w:val="none" w:sz="0" w:space="0" w:color="auto"/>
                <w:right w:val="none" w:sz="0" w:space="0" w:color="auto"/>
              </w:divBdr>
            </w:div>
            <w:div w:id="1522745186">
              <w:marLeft w:val="0"/>
              <w:marRight w:val="0"/>
              <w:marTop w:val="0"/>
              <w:marBottom w:val="0"/>
              <w:divBdr>
                <w:top w:val="none" w:sz="0" w:space="0" w:color="auto"/>
                <w:left w:val="none" w:sz="0" w:space="0" w:color="auto"/>
                <w:bottom w:val="none" w:sz="0" w:space="0" w:color="auto"/>
                <w:right w:val="none" w:sz="0" w:space="0" w:color="auto"/>
              </w:divBdr>
            </w:div>
            <w:div w:id="1042941452">
              <w:marLeft w:val="0"/>
              <w:marRight w:val="0"/>
              <w:marTop w:val="0"/>
              <w:marBottom w:val="0"/>
              <w:divBdr>
                <w:top w:val="none" w:sz="0" w:space="0" w:color="auto"/>
                <w:left w:val="none" w:sz="0" w:space="0" w:color="auto"/>
                <w:bottom w:val="none" w:sz="0" w:space="0" w:color="auto"/>
                <w:right w:val="none" w:sz="0" w:space="0" w:color="auto"/>
              </w:divBdr>
            </w:div>
            <w:div w:id="2054688433">
              <w:marLeft w:val="0"/>
              <w:marRight w:val="0"/>
              <w:marTop w:val="0"/>
              <w:marBottom w:val="0"/>
              <w:divBdr>
                <w:top w:val="none" w:sz="0" w:space="0" w:color="auto"/>
                <w:left w:val="none" w:sz="0" w:space="0" w:color="auto"/>
                <w:bottom w:val="none" w:sz="0" w:space="0" w:color="auto"/>
                <w:right w:val="none" w:sz="0" w:space="0" w:color="auto"/>
              </w:divBdr>
            </w:div>
            <w:div w:id="584846649">
              <w:marLeft w:val="0"/>
              <w:marRight w:val="0"/>
              <w:marTop w:val="0"/>
              <w:marBottom w:val="0"/>
              <w:divBdr>
                <w:top w:val="none" w:sz="0" w:space="0" w:color="auto"/>
                <w:left w:val="none" w:sz="0" w:space="0" w:color="auto"/>
                <w:bottom w:val="none" w:sz="0" w:space="0" w:color="auto"/>
                <w:right w:val="none" w:sz="0" w:space="0" w:color="auto"/>
              </w:divBdr>
            </w:div>
            <w:div w:id="1418165217">
              <w:marLeft w:val="0"/>
              <w:marRight w:val="0"/>
              <w:marTop w:val="0"/>
              <w:marBottom w:val="0"/>
              <w:divBdr>
                <w:top w:val="none" w:sz="0" w:space="0" w:color="auto"/>
                <w:left w:val="none" w:sz="0" w:space="0" w:color="auto"/>
                <w:bottom w:val="none" w:sz="0" w:space="0" w:color="auto"/>
                <w:right w:val="none" w:sz="0" w:space="0" w:color="auto"/>
              </w:divBdr>
            </w:div>
            <w:div w:id="174538337">
              <w:marLeft w:val="0"/>
              <w:marRight w:val="0"/>
              <w:marTop w:val="0"/>
              <w:marBottom w:val="0"/>
              <w:divBdr>
                <w:top w:val="none" w:sz="0" w:space="0" w:color="auto"/>
                <w:left w:val="none" w:sz="0" w:space="0" w:color="auto"/>
                <w:bottom w:val="none" w:sz="0" w:space="0" w:color="auto"/>
                <w:right w:val="none" w:sz="0" w:space="0" w:color="auto"/>
              </w:divBdr>
            </w:div>
            <w:div w:id="379790664">
              <w:marLeft w:val="0"/>
              <w:marRight w:val="0"/>
              <w:marTop w:val="0"/>
              <w:marBottom w:val="0"/>
              <w:divBdr>
                <w:top w:val="none" w:sz="0" w:space="0" w:color="auto"/>
                <w:left w:val="none" w:sz="0" w:space="0" w:color="auto"/>
                <w:bottom w:val="none" w:sz="0" w:space="0" w:color="auto"/>
                <w:right w:val="none" w:sz="0" w:space="0" w:color="auto"/>
              </w:divBdr>
            </w:div>
            <w:div w:id="1011837161">
              <w:marLeft w:val="0"/>
              <w:marRight w:val="0"/>
              <w:marTop w:val="0"/>
              <w:marBottom w:val="0"/>
              <w:divBdr>
                <w:top w:val="none" w:sz="0" w:space="0" w:color="auto"/>
                <w:left w:val="none" w:sz="0" w:space="0" w:color="auto"/>
                <w:bottom w:val="none" w:sz="0" w:space="0" w:color="auto"/>
                <w:right w:val="none" w:sz="0" w:space="0" w:color="auto"/>
              </w:divBdr>
            </w:div>
            <w:div w:id="1557661796">
              <w:marLeft w:val="0"/>
              <w:marRight w:val="0"/>
              <w:marTop w:val="0"/>
              <w:marBottom w:val="0"/>
              <w:divBdr>
                <w:top w:val="none" w:sz="0" w:space="0" w:color="auto"/>
                <w:left w:val="none" w:sz="0" w:space="0" w:color="auto"/>
                <w:bottom w:val="none" w:sz="0" w:space="0" w:color="auto"/>
                <w:right w:val="none" w:sz="0" w:space="0" w:color="auto"/>
              </w:divBdr>
            </w:div>
            <w:div w:id="1982032471">
              <w:marLeft w:val="0"/>
              <w:marRight w:val="0"/>
              <w:marTop w:val="0"/>
              <w:marBottom w:val="0"/>
              <w:divBdr>
                <w:top w:val="none" w:sz="0" w:space="0" w:color="auto"/>
                <w:left w:val="none" w:sz="0" w:space="0" w:color="auto"/>
                <w:bottom w:val="none" w:sz="0" w:space="0" w:color="auto"/>
                <w:right w:val="none" w:sz="0" w:space="0" w:color="auto"/>
              </w:divBdr>
            </w:div>
            <w:div w:id="595400897">
              <w:marLeft w:val="0"/>
              <w:marRight w:val="0"/>
              <w:marTop w:val="0"/>
              <w:marBottom w:val="0"/>
              <w:divBdr>
                <w:top w:val="none" w:sz="0" w:space="0" w:color="auto"/>
                <w:left w:val="none" w:sz="0" w:space="0" w:color="auto"/>
                <w:bottom w:val="none" w:sz="0" w:space="0" w:color="auto"/>
                <w:right w:val="none" w:sz="0" w:space="0" w:color="auto"/>
              </w:divBdr>
            </w:div>
            <w:div w:id="665209483">
              <w:marLeft w:val="0"/>
              <w:marRight w:val="0"/>
              <w:marTop w:val="0"/>
              <w:marBottom w:val="0"/>
              <w:divBdr>
                <w:top w:val="none" w:sz="0" w:space="0" w:color="auto"/>
                <w:left w:val="none" w:sz="0" w:space="0" w:color="auto"/>
                <w:bottom w:val="none" w:sz="0" w:space="0" w:color="auto"/>
                <w:right w:val="none" w:sz="0" w:space="0" w:color="auto"/>
              </w:divBdr>
            </w:div>
            <w:div w:id="1192112770">
              <w:marLeft w:val="0"/>
              <w:marRight w:val="0"/>
              <w:marTop w:val="0"/>
              <w:marBottom w:val="0"/>
              <w:divBdr>
                <w:top w:val="none" w:sz="0" w:space="0" w:color="auto"/>
                <w:left w:val="none" w:sz="0" w:space="0" w:color="auto"/>
                <w:bottom w:val="none" w:sz="0" w:space="0" w:color="auto"/>
                <w:right w:val="none" w:sz="0" w:space="0" w:color="auto"/>
              </w:divBdr>
            </w:div>
            <w:div w:id="1287543489">
              <w:marLeft w:val="0"/>
              <w:marRight w:val="0"/>
              <w:marTop w:val="0"/>
              <w:marBottom w:val="0"/>
              <w:divBdr>
                <w:top w:val="none" w:sz="0" w:space="0" w:color="auto"/>
                <w:left w:val="none" w:sz="0" w:space="0" w:color="auto"/>
                <w:bottom w:val="none" w:sz="0" w:space="0" w:color="auto"/>
                <w:right w:val="none" w:sz="0" w:space="0" w:color="auto"/>
              </w:divBdr>
            </w:div>
            <w:div w:id="824902846">
              <w:marLeft w:val="0"/>
              <w:marRight w:val="0"/>
              <w:marTop w:val="0"/>
              <w:marBottom w:val="0"/>
              <w:divBdr>
                <w:top w:val="none" w:sz="0" w:space="0" w:color="auto"/>
                <w:left w:val="none" w:sz="0" w:space="0" w:color="auto"/>
                <w:bottom w:val="none" w:sz="0" w:space="0" w:color="auto"/>
                <w:right w:val="none" w:sz="0" w:space="0" w:color="auto"/>
              </w:divBdr>
            </w:div>
            <w:div w:id="1824422892">
              <w:marLeft w:val="0"/>
              <w:marRight w:val="0"/>
              <w:marTop w:val="0"/>
              <w:marBottom w:val="0"/>
              <w:divBdr>
                <w:top w:val="none" w:sz="0" w:space="0" w:color="auto"/>
                <w:left w:val="none" w:sz="0" w:space="0" w:color="auto"/>
                <w:bottom w:val="none" w:sz="0" w:space="0" w:color="auto"/>
                <w:right w:val="none" w:sz="0" w:space="0" w:color="auto"/>
              </w:divBdr>
            </w:div>
            <w:div w:id="11046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3AF77-8E14-41A7-A45D-560EE9BCA663}">
  <ds:schemaRefs>
    <ds:schemaRef ds:uri="http://schemas.microsoft.com/sharepoint/v3/contenttype/forms"/>
  </ds:schemaRefs>
</ds:datastoreItem>
</file>

<file path=customXml/itemProps2.xml><?xml version="1.0" encoding="utf-8"?>
<ds:datastoreItem xmlns:ds="http://schemas.openxmlformats.org/officeDocument/2006/customXml" ds:itemID="{CFC99EFC-7978-4769-8D93-1BB1330C7D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9A94C7F-6CA4-46C6-BC92-467A014B6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5375</Characters>
  <Application>Microsoft Office Word</Application>
  <DocSecurity>0</DocSecurity>
  <Lines>141</Lines>
  <Paragraphs>85</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2022-07-18T11:17:00Z</dcterms:created>
  <dcterms:modified xsi:type="dcterms:W3CDTF">2022-08-02T09:33:00Z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