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DD306" w14:textId="125D047B" w:rsidR="009F727D" w:rsidRDefault="009F727D" w:rsidP="0045192A">
      <w:pPr>
        <w:spacing w:after="0" w:line="240" w:lineRule="auto"/>
        <w:jc w:val="center"/>
        <w:rPr>
          <w:rFonts w:ascii="Times New Roman" w:hAnsi="Times New Roman"/>
          <w:sz w:val="24"/>
        </w:rPr>
      </w:pPr>
      <w:r>
        <w:rPr>
          <w:rFonts w:ascii="Times New Roman" w:hAnsi="Times New Roman"/>
          <w:sz w:val="24"/>
        </w:rPr>
        <w:t>Republic of Latvia</w:t>
      </w:r>
    </w:p>
    <w:p w14:paraId="25096B6B" w14:textId="77777777" w:rsidR="009F727D" w:rsidRDefault="009F727D" w:rsidP="0045192A">
      <w:pPr>
        <w:spacing w:after="0" w:line="240" w:lineRule="auto"/>
        <w:jc w:val="center"/>
        <w:rPr>
          <w:rFonts w:ascii="Times New Roman" w:hAnsi="Times New Roman"/>
          <w:sz w:val="24"/>
        </w:rPr>
      </w:pPr>
    </w:p>
    <w:p w14:paraId="633ED1E3" w14:textId="0A4570EA" w:rsidR="0045192A" w:rsidRPr="0045192A" w:rsidRDefault="0045192A" w:rsidP="004519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F45D01D" w14:textId="3946913E" w:rsidR="0045192A" w:rsidRPr="0045192A" w:rsidRDefault="0045192A" w:rsidP="004519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24</w:t>
      </w:r>
    </w:p>
    <w:p w14:paraId="2D5F8A35" w14:textId="7243A55B" w:rsidR="0045192A" w:rsidRDefault="0045192A" w:rsidP="004519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14 January 2020</w:t>
      </w:r>
    </w:p>
    <w:p w14:paraId="25F34B69" w14:textId="77777777" w:rsid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0EC1EB87" w14:textId="77777777" w:rsid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5D5922F2" w14:textId="282B9024" w:rsidR="0045192A" w:rsidRPr="0045192A" w:rsidRDefault="0045192A" w:rsidP="0045192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Spending of the State Budget Financing Granted to Political Organisations (Parties)</w:t>
      </w:r>
    </w:p>
    <w:p w14:paraId="2A458720" w14:textId="485DAC7E" w:rsid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4CAF3DC2" w14:textId="77777777" w:rsidR="0045192A" w:rsidRP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79E4AA5D" w14:textId="77777777" w:rsidR="0045192A" w:rsidRPr="0045192A" w:rsidRDefault="0045192A" w:rsidP="0045192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F9E9679" w14:textId="747EB4F8" w:rsidR="0045192A" w:rsidRPr="0045192A" w:rsidRDefault="0045192A" w:rsidP="0045192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7.</w:t>
      </w:r>
      <w:r>
        <w:rPr>
          <w:rFonts w:ascii="Times New Roman" w:hAnsi="Times New Roman"/>
          <w:i/>
          <w:sz w:val="24"/>
          <w:vertAlign w:val="superscript"/>
        </w:rPr>
        <w:t>4</w:t>
      </w:r>
      <w:r>
        <w:rPr>
          <w:rFonts w:ascii="Times New Roman" w:hAnsi="Times New Roman"/>
          <w:i/>
          <w:sz w:val="24"/>
        </w:rPr>
        <w:t>, Paragraphs 1.</w:t>
      </w:r>
      <w:r>
        <w:rPr>
          <w:rFonts w:ascii="Times New Roman" w:hAnsi="Times New Roman"/>
          <w:i/>
          <w:sz w:val="24"/>
          <w:vertAlign w:val="superscript"/>
        </w:rPr>
        <w:t>1</w:t>
      </w:r>
      <w:r>
        <w:rPr>
          <w:rFonts w:ascii="Times New Roman" w:hAnsi="Times New Roman"/>
          <w:i/>
          <w:sz w:val="24"/>
        </w:rPr>
        <w:t xml:space="preserve"> and three of the Law on Financing of Political Organisations (Parties)</w:t>
      </w:r>
    </w:p>
    <w:p w14:paraId="3BF18215" w14:textId="3B18405D" w:rsid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2C69F65E" w14:textId="77777777" w:rsidR="0045192A" w:rsidRP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41FF83C3" w14:textId="77777777" w:rsidR="0045192A" w:rsidRPr="0045192A" w:rsidRDefault="0045192A" w:rsidP="0045192A">
      <w:pPr>
        <w:spacing w:after="0" w:line="240" w:lineRule="auto"/>
        <w:jc w:val="both"/>
        <w:rPr>
          <w:rFonts w:ascii="Times New Roman" w:eastAsia="Times New Roman" w:hAnsi="Times New Roman" w:cs="Times New Roman"/>
          <w:noProof/>
          <w:sz w:val="24"/>
          <w:szCs w:val="24"/>
        </w:rPr>
      </w:pPr>
      <w:bookmarkStart w:id="0" w:name="p-718092"/>
      <w:bookmarkEnd w:id="0"/>
      <w:r>
        <w:rPr>
          <w:rFonts w:ascii="Times New Roman" w:hAnsi="Times New Roman"/>
          <w:sz w:val="24"/>
        </w:rPr>
        <w:t>1. The Regulation prescribes:</w:t>
      </w:r>
      <w:bookmarkStart w:id="1" w:name="p1"/>
      <w:bookmarkEnd w:id="1"/>
    </w:p>
    <w:p w14:paraId="026EA796"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types of the target groups for spending of the State budget financing granted to political organisations (parties) and alliances of political organisations (parties) and the permissible expenses;</w:t>
      </w:r>
    </w:p>
    <w:p w14:paraId="6A1FCD80"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submission of documents justifying the spending of the State budget financing to the Corruption Prevention and Combating Bureau.</w:t>
      </w:r>
    </w:p>
    <w:p w14:paraId="6FA101DD"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2" w:name="p-718093"/>
      <w:bookmarkEnd w:id="2"/>
    </w:p>
    <w:p w14:paraId="611BA78E" w14:textId="2CAC78BF"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political organisation (party) and alliance of political organisations (parties) are entitled to use the State budget financing only for the purposes provided for in the Law on Financing of Political Organisations (Parties) and in compliance with the restrictions on spending of the State budget financing referred to in this Regulation.</w:t>
      </w:r>
      <w:bookmarkStart w:id="3" w:name="p2"/>
      <w:bookmarkEnd w:id="3"/>
    </w:p>
    <w:p w14:paraId="12E619E8"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4" w:name="p-718094"/>
      <w:bookmarkEnd w:id="4"/>
    </w:p>
    <w:p w14:paraId="7CF7CD52" w14:textId="0ED16A42"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political organisation (party) and alliance of political organisations (parties) shall administer the State budget financing granted rationally:</w:t>
      </w:r>
      <w:bookmarkStart w:id="5" w:name="p3"/>
      <w:bookmarkEnd w:id="5"/>
    </w:p>
    <w:p w14:paraId="498CC1B8"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achieve the objective with the minimum utilisation of financing;</w:t>
      </w:r>
    </w:p>
    <w:p w14:paraId="37F07E4B"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ownership or use of property and service shall be purchased for as favourable a price as possible.</w:t>
      </w:r>
    </w:p>
    <w:p w14:paraId="1B6C74B2"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6" w:name="p-718095"/>
      <w:bookmarkEnd w:id="6"/>
    </w:p>
    <w:p w14:paraId="2029E3E8" w14:textId="3515ABCC"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use the State budget financing granted for the provision of political and economic activity of the political organisations (parties) and alliances thereof:</w:t>
      </w:r>
      <w:bookmarkStart w:id="7" w:name="p4"/>
      <w:bookmarkEnd w:id="7"/>
    </w:p>
    <w:p w14:paraId="0218FAE6"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for private needs;</w:t>
      </w:r>
    </w:p>
    <w:p w14:paraId="135E0533"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for needs other than related to political activity;</w:t>
      </w:r>
    </w:p>
    <w:p w14:paraId="18FA3F7D"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for gifts and donations, except for souvenirs with logo of the political organisation (party) and alliance of political organisations (parties);</w:t>
      </w:r>
    </w:p>
    <w:p w14:paraId="53624D3D"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for purchasing tobacco products and alcoholic beverages;</w:t>
      </w:r>
    </w:p>
    <w:p w14:paraId="7D3A0B27"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for purchasing exclusive or unreasonably expensive goods or services, except for the cases when the political organisation (party) and alliance of political organisations (parties) may provide objective justification as to why it is necessary for the provision of political and economic activity;</w:t>
      </w:r>
    </w:p>
    <w:p w14:paraId="36CAC9E2"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for remuneration of the public officials referred to in Section 4, Paragraph one, Clauses 1, 2, 3, 4, 5, 6, 7, 8, 9, 10, 11, 12, 13, 14, 16, 18, 19, 19.</w:t>
      </w:r>
      <w:r>
        <w:rPr>
          <w:rFonts w:ascii="Times New Roman" w:hAnsi="Times New Roman"/>
          <w:sz w:val="24"/>
          <w:vertAlign w:val="superscript"/>
        </w:rPr>
        <w:t>1</w:t>
      </w:r>
      <w:r>
        <w:rPr>
          <w:rFonts w:ascii="Times New Roman" w:hAnsi="Times New Roman"/>
          <w:sz w:val="24"/>
        </w:rPr>
        <w:t>, 21, and 26 of the law On Prevention of Conflict of Interest in Activities of Public Officials;</w:t>
      </w:r>
    </w:p>
    <w:p w14:paraId="1CAFC08A"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for covering such part of remuneration of the remaining public officials which exceeds the amount of one minimum monthly wage.</w:t>
      </w:r>
    </w:p>
    <w:p w14:paraId="75658624"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8" w:name="p-718096"/>
      <w:bookmarkEnd w:id="8"/>
    </w:p>
    <w:p w14:paraId="1D7A3504" w14:textId="7ECC0EED"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Corruption Prevention and Combating Bureau shall apply the following, when verifying whether the purchased goods or service is exclusive and corresponds to the market value:</w:t>
      </w:r>
      <w:bookmarkStart w:id="9" w:name="p5"/>
      <w:bookmarkEnd w:id="9"/>
    </w:p>
    <w:p w14:paraId="7450ADD8"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direct assessment method, i.e. shall rely on the data indicated in the accounting records and supporting documents of a political organisation (party);</w:t>
      </w:r>
    </w:p>
    <w:p w14:paraId="562A3E0A"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indirect assessment method, i.e. calculate the actual transaction value on the basis of the information at the disposal of the Corruption Prevention and Combating Bureau.</w:t>
      </w:r>
    </w:p>
    <w:p w14:paraId="167E4C36"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10" w:name="p-718097"/>
      <w:bookmarkEnd w:id="10"/>
    </w:p>
    <w:p w14:paraId="2D9AE82A" w14:textId="269E004D"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It is prohibited to use the State budget financing granted to an alliance of political organisations (parties) for political campaigning of such political organisation (party) forming an alliance of political organisations (parties) which submits a separate list of candidates for the </w:t>
      </w:r>
      <w:r>
        <w:rPr>
          <w:rFonts w:ascii="Times New Roman" w:hAnsi="Times New Roman"/>
          <w:i/>
          <w:iCs/>
          <w:sz w:val="24"/>
        </w:rPr>
        <w:t>Saeima</w:t>
      </w:r>
      <w:r>
        <w:rPr>
          <w:rFonts w:ascii="Times New Roman" w:hAnsi="Times New Roman"/>
          <w:sz w:val="24"/>
        </w:rPr>
        <w:t xml:space="preserve"> or European Parliament elections.</w:t>
      </w:r>
      <w:bookmarkStart w:id="11" w:name="p6"/>
      <w:bookmarkEnd w:id="11"/>
    </w:p>
    <w:p w14:paraId="264D2FA1"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12" w:name="p-718098"/>
      <w:bookmarkEnd w:id="12"/>
    </w:p>
    <w:p w14:paraId="2AC967A1" w14:textId="063E7CFA"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political organisations (parties) form alliances, it is prohibited to use the State budget financing:</w:t>
      </w:r>
      <w:bookmarkStart w:id="13" w:name="p7"/>
      <w:bookmarkEnd w:id="13"/>
    </w:p>
    <w:p w14:paraId="0B995333"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for the provision of political and economic activity of such political organisations (parties) and alliances thereof which do not receive the State budget financing but with which the political organisation (party) or alliance thereof that receives the financing has formed an alliance. The abovementioned condition does not apply to the joint political campaigning;</w:t>
      </w:r>
    </w:p>
    <w:p w14:paraId="1419787D" w14:textId="77777777" w:rsidR="0045192A" w:rsidRPr="0045192A" w:rsidRDefault="0045192A" w:rsidP="0045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for the provision of political and economic activity of such political organisations (parties) and alliances thereof which do not receive the State budget financing but with which the political organisation (party) or alliance thereof that receives the financing submits a joint list of candidates for the elections of a local government council. The abovementioned condition does not apply to the joint political campaigning.</w:t>
      </w:r>
    </w:p>
    <w:p w14:paraId="2DC420EF"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14" w:name="p-718099"/>
      <w:bookmarkEnd w:id="14"/>
    </w:p>
    <w:p w14:paraId="3030064A" w14:textId="70FCCFFD"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political organisation (party) and alliance of political organisations (parties) shall submit the documents justifying the spending of the State budget financing to the Corruption Prevention and Combating Bureau within a month of submitting an annual report.</w:t>
      </w:r>
      <w:bookmarkStart w:id="15" w:name="p8"/>
      <w:bookmarkEnd w:id="15"/>
    </w:p>
    <w:p w14:paraId="4FFDA9CF" w14:textId="77777777" w:rsidR="0045192A" w:rsidRDefault="0045192A" w:rsidP="0045192A">
      <w:pPr>
        <w:spacing w:after="0" w:line="240" w:lineRule="auto"/>
        <w:jc w:val="both"/>
        <w:rPr>
          <w:rFonts w:ascii="Times New Roman" w:eastAsia="Times New Roman" w:hAnsi="Times New Roman" w:cs="Times New Roman"/>
          <w:noProof/>
          <w:sz w:val="24"/>
          <w:szCs w:val="24"/>
        </w:rPr>
      </w:pPr>
      <w:bookmarkStart w:id="16" w:name="p-718100"/>
      <w:bookmarkEnd w:id="16"/>
    </w:p>
    <w:p w14:paraId="3D6E052C" w14:textId="58304CC3"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Regulation shall come into force on 15 January 2020.</w:t>
      </w:r>
      <w:bookmarkStart w:id="17" w:name="p9"/>
      <w:bookmarkEnd w:id="17"/>
    </w:p>
    <w:p w14:paraId="27EA469A" w14:textId="77777777" w:rsid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4DA13DC4" w14:textId="77777777" w:rsid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59868BB0" w14:textId="3565FB8F"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Pr>
          <w:rFonts w:ascii="Times New Roman" w:hAnsi="Times New Roman"/>
          <w:sz w:val="24"/>
        </w:rPr>
        <w:t>A. K. Kariņš</w:t>
      </w:r>
    </w:p>
    <w:p w14:paraId="2280D52B" w14:textId="77777777" w:rsidR="0045192A" w:rsidRPr="0045192A" w:rsidRDefault="0045192A" w:rsidP="0045192A">
      <w:pPr>
        <w:spacing w:after="0" w:line="240" w:lineRule="auto"/>
        <w:jc w:val="both"/>
        <w:rPr>
          <w:rFonts w:ascii="Times New Roman" w:eastAsia="Times New Roman" w:hAnsi="Times New Roman" w:cs="Times New Roman"/>
          <w:noProof/>
          <w:sz w:val="24"/>
          <w:szCs w:val="24"/>
          <w:lang w:val="en-US" w:eastAsia="lv-LV"/>
        </w:rPr>
      </w:pPr>
    </w:p>
    <w:p w14:paraId="40C93CFB" w14:textId="2F3E11E4" w:rsidR="0045192A" w:rsidRPr="0045192A" w:rsidRDefault="0045192A" w:rsidP="004519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Justice</w:t>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sidR="008A7554">
        <w:rPr>
          <w:rFonts w:ascii="Times New Roman" w:hAnsi="Times New Roman"/>
          <w:sz w:val="24"/>
        </w:rPr>
        <w:tab/>
      </w:r>
      <w:r>
        <w:rPr>
          <w:rFonts w:ascii="Times New Roman" w:hAnsi="Times New Roman"/>
          <w:sz w:val="24"/>
        </w:rPr>
        <w:t>J. Bordāns</w:t>
      </w:r>
    </w:p>
    <w:p w14:paraId="0335346A" w14:textId="03DF04BD" w:rsidR="0045192A" w:rsidRPr="0045192A" w:rsidRDefault="0045192A" w:rsidP="0045192A">
      <w:pPr>
        <w:spacing w:after="0" w:line="240" w:lineRule="auto"/>
        <w:jc w:val="both"/>
        <w:rPr>
          <w:rFonts w:ascii="Times New Roman" w:eastAsia="Times New Roman" w:hAnsi="Times New Roman" w:cs="Times New Roman"/>
          <w:noProof/>
          <w:sz w:val="24"/>
          <w:szCs w:val="24"/>
          <w:lang w:val="en-US"/>
        </w:rPr>
      </w:pPr>
    </w:p>
    <w:p w14:paraId="1DC580CF" w14:textId="77777777" w:rsidR="0045192A" w:rsidRPr="0045192A" w:rsidRDefault="0045192A" w:rsidP="0045192A">
      <w:pPr>
        <w:spacing w:after="0" w:line="240" w:lineRule="auto"/>
        <w:jc w:val="both"/>
        <w:rPr>
          <w:rFonts w:ascii="Times New Roman" w:eastAsia="Times New Roman" w:hAnsi="Times New Roman" w:cs="Times New Roman"/>
          <w:noProof/>
          <w:sz w:val="24"/>
          <w:szCs w:val="24"/>
          <w:lang w:val="en-US"/>
        </w:rPr>
      </w:pPr>
    </w:p>
    <w:sectPr w:rsidR="0045192A" w:rsidRPr="0045192A" w:rsidSect="0045192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A37AA" w14:textId="77777777" w:rsidR="0045192A" w:rsidRPr="0045192A" w:rsidRDefault="0045192A" w:rsidP="0045192A">
      <w:pPr>
        <w:spacing w:after="0" w:line="240" w:lineRule="auto"/>
        <w:rPr>
          <w:noProof/>
          <w:lang w:val="en-US"/>
        </w:rPr>
      </w:pPr>
      <w:r w:rsidRPr="0045192A">
        <w:rPr>
          <w:noProof/>
          <w:lang w:val="en-US"/>
        </w:rPr>
        <w:separator/>
      </w:r>
    </w:p>
  </w:endnote>
  <w:endnote w:type="continuationSeparator" w:id="0">
    <w:p w14:paraId="7A894B26" w14:textId="77777777" w:rsidR="0045192A" w:rsidRPr="0045192A" w:rsidRDefault="0045192A" w:rsidP="0045192A">
      <w:pPr>
        <w:spacing w:after="0" w:line="240" w:lineRule="auto"/>
        <w:rPr>
          <w:noProof/>
          <w:lang w:val="en-US"/>
        </w:rPr>
      </w:pPr>
      <w:r w:rsidRPr="004519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38EB9" w14:textId="77777777" w:rsidR="001C3933" w:rsidRPr="00750961" w:rsidRDefault="001C3933" w:rsidP="001C3933">
    <w:pPr>
      <w:pStyle w:val="Kjene"/>
      <w:tabs>
        <w:tab w:val="right" w:pos="9072"/>
      </w:tabs>
      <w:rPr>
        <w:rFonts w:ascii="Times New Roman" w:hAnsi="Times New Roman"/>
        <w:sz w:val="20"/>
      </w:rPr>
    </w:pPr>
  </w:p>
  <w:p w14:paraId="16770E99" w14:textId="77777777" w:rsidR="001C3933" w:rsidRPr="000523BF" w:rsidRDefault="001C3933" w:rsidP="001C3933">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5007D" w14:textId="77777777" w:rsidR="00637049" w:rsidRPr="00750961" w:rsidRDefault="00637049" w:rsidP="00637049">
    <w:pPr>
      <w:pStyle w:val="Kjene"/>
      <w:rPr>
        <w:rFonts w:ascii="Times New Roman" w:hAnsi="Times New Roman"/>
        <w:sz w:val="20"/>
      </w:rPr>
    </w:pPr>
    <w:bookmarkStart w:id="18" w:name="_Hlk60653308"/>
    <w:bookmarkStart w:id="19" w:name="_Hlk60653309"/>
  </w:p>
  <w:p w14:paraId="5ED07494" w14:textId="77777777" w:rsidR="00637049" w:rsidRPr="000523BF" w:rsidRDefault="00637049" w:rsidP="00637049">
    <w:pPr>
      <w:pStyle w:val="Kjene"/>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BB9D4" w14:textId="77777777" w:rsidR="0045192A" w:rsidRPr="0045192A" w:rsidRDefault="0045192A" w:rsidP="0045192A">
      <w:pPr>
        <w:spacing w:after="0" w:line="240" w:lineRule="auto"/>
        <w:rPr>
          <w:noProof/>
          <w:lang w:val="en-US"/>
        </w:rPr>
      </w:pPr>
      <w:r w:rsidRPr="0045192A">
        <w:rPr>
          <w:noProof/>
          <w:lang w:val="en-US"/>
        </w:rPr>
        <w:separator/>
      </w:r>
    </w:p>
  </w:footnote>
  <w:footnote w:type="continuationSeparator" w:id="0">
    <w:p w14:paraId="2185F45B" w14:textId="77777777" w:rsidR="0045192A" w:rsidRPr="0045192A" w:rsidRDefault="0045192A" w:rsidP="0045192A">
      <w:pPr>
        <w:spacing w:after="0" w:line="240" w:lineRule="auto"/>
        <w:rPr>
          <w:noProof/>
          <w:lang w:val="en-US"/>
        </w:rPr>
      </w:pPr>
      <w:r w:rsidRPr="0045192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63"/>
    <w:rsid w:val="001C3933"/>
    <w:rsid w:val="0045192A"/>
    <w:rsid w:val="00637049"/>
    <w:rsid w:val="006D4B91"/>
    <w:rsid w:val="008A7554"/>
    <w:rsid w:val="009F727D"/>
    <w:rsid w:val="00AD2495"/>
    <w:rsid w:val="00D92D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C690"/>
  <w15:chartTrackingRefBased/>
  <w15:docId w15:val="{2990D4FD-AC62-45D3-B5A8-D8D8093C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5192A"/>
    <w:rPr>
      <w:color w:val="0000FF"/>
      <w:u w:val="single"/>
    </w:rPr>
  </w:style>
  <w:style w:type="paragraph" w:customStyle="1" w:styleId="tv213">
    <w:name w:val="tv213"/>
    <w:basedOn w:val="Parasts"/>
    <w:rsid w:val="004519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5192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5192A"/>
  </w:style>
  <w:style w:type="paragraph" w:styleId="Kjene">
    <w:name w:val="footer"/>
    <w:basedOn w:val="Parasts"/>
    <w:link w:val="KjeneRakstz"/>
    <w:unhideWhenUsed/>
    <w:rsid w:val="0045192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5192A"/>
  </w:style>
  <w:style w:type="character" w:styleId="Lappusesnumurs">
    <w:name w:val="page number"/>
    <w:rsid w:val="001C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142045">
      <w:bodyDiv w:val="1"/>
      <w:marLeft w:val="0"/>
      <w:marRight w:val="0"/>
      <w:marTop w:val="0"/>
      <w:marBottom w:val="0"/>
      <w:divBdr>
        <w:top w:val="none" w:sz="0" w:space="0" w:color="auto"/>
        <w:left w:val="none" w:sz="0" w:space="0" w:color="auto"/>
        <w:bottom w:val="none" w:sz="0" w:space="0" w:color="auto"/>
        <w:right w:val="none" w:sz="0" w:space="0" w:color="auto"/>
      </w:divBdr>
      <w:divsChild>
        <w:div w:id="1961452513">
          <w:marLeft w:val="0"/>
          <w:marRight w:val="0"/>
          <w:marTop w:val="0"/>
          <w:marBottom w:val="0"/>
          <w:divBdr>
            <w:top w:val="none" w:sz="0" w:space="0" w:color="auto"/>
            <w:left w:val="none" w:sz="0" w:space="0" w:color="auto"/>
            <w:bottom w:val="none" w:sz="0" w:space="0" w:color="auto"/>
            <w:right w:val="none" w:sz="0" w:space="0" w:color="auto"/>
          </w:divBdr>
          <w:divsChild>
            <w:div w:id="153837885">
              <w:marLeft w:val="0"/>
              <w:marRight w:val="0"/>
              <w:marTop w:val="0"/>
              <w:marBottom w:val="0"/>
              <w:divBdr>
                <w:top w:val="none" w:sz="0" w:space="0" w:color="auto"/>
                <w:left w:val="none" w:sz="0" w:space="0" w:color="auto"/>
                <w:bottom w:val="none" w:sz="0" w:space="0" w:color="auto"/>
                <w:right w:val="none" w:sz="0" w:space="0" w:color="auto"/>
              </w:divBdr>
            </w:div>
            <w:div w:id="1978601602">
              <w:marLeft w:val="0"/>
              <w:marRight w:val="0"/>
              <w:marTop w:val="0"/>
              <w:marBottom w:val="0"/>
              <w:divBdr>
                <w:top w:val="none" w:sz="0" w:space="0" w:color="auto"/>
                <w:left w:val="none" w:sz="0" w:space="0" w:color="auto"/>
                <w:bottom w:val="none" w:sz="0" w:space="0" w:color="auto"/>
                <w:right w:val="none" w:sz="0" w:space="0" w:color="auto"/>
              </w:divBdr>
            </w:div>
            <w:div w:id="1673527535">
              <w:marLeft w:val="0"/>
              <w:marRight w:val="0"/>
              <w:marTop w:val="0"/>
              <w:marBottom w:val="0"/>
              <w:divBdr>
                <w:top w:val="none" w:sz="0" w:space="0" w:color="auto"/>
                <w:left w:val="none" w:sz="0" w:space="0" w:color="auto"/>
                <w:bottom w:val="none" w:sz="0" w:space="0" w:color="auto"/>
                <w:right w:val="none" w:sz="0" w:space="0" w:color="auto"/>
              </w:divBdr>
            </w:div>
            <w:div w:id="1475951695">
              <w:marLeft w:val="0"/>
              <w:marRight w:val="0"/>
              <w:marTop w:val="0"/>
              <w:marBottom w:val="0"/>
              <w:divBdr>
                <w:top w:val="none" w:sz="0" w:space="0" w:color="auto"/>
                <w:left w:val="none" w:sz="0" w:space="0" w:color="auto"/>
                <w:bottom w:val="none" w:sz="0" w:space="0" w:color="auto"/>
                <w:right w:val="none" w:sz="0" w:space="0" w:color="auto"/>
              </w:divBdr>
            </w:div>
            <w:div w:id="964195717">
              <w:marLeft w:val="0"/>
              <w:marRight w:val="0"/>
              <w:marTop w:val="0"/>
              <w:marBottom w:val="0"/>
              <w:divBdr>
                <w:top w:val="none" w:sz="0" w:space="0" w:color="auto"/>
                <w:left w:val="none" w:sz="0" w:space="0" w:color="auto"/>
                <w:bottom w:val="none" w:sz="0" w:space="0" w:color="auto"/>
                <w:right w:val="none" w:sz="0" w:space="0" w:color="auto"/>
              </w:divBdr>
            </w:div>
            <w:div w:id="685330686">
              <w:marLeft w:val="0"/>
              <w:marRight w:val="0"/>
              <w:marTop w:val="0"/>
              <w:marBottom w:val="0"/>
              <w:divBdr>
                <w:top w:val="none" w:sz="0" w:space="0" w:color="auto"/>
                <w:left w:val="none" w:sz="0" w:space="0" w:color="auto"/>
                <w:bottom w:val="none" w:sz="0" w:space="0" w:color="auto"/>
                <w:right w:val="none" w:sz="0" w:space="0" w:color="auto"/>
              </w:divBdr>
            </w:div>
            <w:div w:id="961426269">
              <w:marLeft w:val="0"/>
              <w:marRight w:val="0"/>
              <w:marTop w:val="0"/>
              <w:marBottom w:val="0"/>
              <w:divBdr>
                <w:top w:val="none" w:sz="0" w:space="0" w:color="auto"/>
                <w:left w:val="none" w:sz="0" w:space="0" w:color="auto"/>
                <w:bottom w:val="none" w:sz="0" w:space="0" w:color="auto"/>
                <w:right w:val="none" w:sz="0" w:space="0" w:color="auto"/>
              </w:divBdr>
            </w:div>
            <w:div w:id="481967857">
              <w:marLeft w:val="0"/>
              <w:marRight w:val="0"/>
              <w:marTop w:val="0"/>
              <w:marBottom w:val="0"/>
              <w:divBdr>
                <w:top w:val="none" w:sz="0" w:space="0" w:color="auto"/>
                <w:left w:val="none" w:sz="0" w:space="0" w:color="auto"/>
                <w:bottom w:val="none" w:sz="0" w:space="0" w:color="auto"/>
                <w:right w:val="none" w:sz="0" w:space="0" w:color="auto"/>
              </w:divBdr>
            </w:div>
            <w:div w:id="933561572">
              <w:marLeft w:val="0"/>
              <w:marRight w:val="0"/>
              <w:marTop w:val="0"/>
              <w:marBottom w:val="0"/>
              <w:divBdr>
                <w:top w:val="none" w:sz="0" w:space="0" w:color="auto"/>
                <w:left w:val="none" w:sz="0" w:space="0" w:color="auto"/>
                <w:bottom w:val="none" w:sz="0" w:space="0" w:color="auto"/>
                <w:right w:val="none" w:sz="0" w:space="0" w:color="auto"/>
              </w:divBdr>
            </w:div>
            <w:div w:id="556356072">
              <w:marLeft w:val="0"/>
              <w:marRight w:val="0"/>
              <w:marTop w:val="0"/>
              <w:marBottom w:val="0"/>
              <w:divBdr>
                <w:top w:val="none" w:sz="0" w:space="0" w:color="auto"/>
                <w:left w:val="none" w:sz="0" w:space="0" w:color="auto"/>
                <w:bottom w:val="none" w:sz="0" w:space="0" w:color="auto"/>
                <w:right w:val="none" w:sz="0" w:space="0" w:color="auto"/>
              </w:divBdr>
            </w:div>
            <w:div w:id="1051029407">
              <w:marLeft w:val="0"/>
              <w:marRight w:val="0"/>
              <w:marTop w:val="0"/>
              <w:marBottom w:val="0"/>
              <w:divBdr>
                <w:top w:val="none" w:sz="0" w:space="0" w:color="auto"/>
                <w:left w:val="none" w:sz="0" w:space="0" w:color="auto"/>
                <w:bottom w:val="none" w:sz="0" w:space="0" w:color="auto"/>
                <w:right w:val="none" w:sz="0" w:space="0" w:color="auto"/>
              </w:divBdr>
            </w:div>
            <w:div w:id="1231114554">
              <w:marLeft w:val="0"/>
              <w:marRight w:val="0"/>
              <w:marTop w:val="0"/>
              <w:marBottom w:val="0"/>
              <w:divBdr>
                <w:top w:val="none" w:sz="0" w:space="0" w:color="auto"/>
                <w:left w:val="none" w:sz="0" w:space="0" w:color="auto"/>
                <w:bottom w:val="none" w:sz="0" w:space="0" w:color="auto"/>
                <w:right w:val="none" w:sz="0" w:space="0" w:color="auto"/>
              </w:divBdr>
            </w:div>
            <w:div w:id="918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1A022-6EAA-4FD6-BE5F-81C10FBE4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A89E6-B69F-4741-A7DD-5237FC022859}">
  <ds:schemaRefs>
    <ds:schemaRef ds:uri="http://schemas.microsoft.com/sharepoint/v3/contenttype/forms"/>
  </ds:schemaRefs>
</ds:datastoreItem>
</file>

<file path=customXml/itemProps3.xml><?xml version="1.0" encoding="utf-8"?>
<ds:datastoreItem xmlns:ds="http://schemas.openxmlformats.org/officeDocument/2006/customXml" ds:itemID="{D01F7563-F3BD-40DD-99C3-C8A35D56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2992</Words>
  <Characters>1707</Characters>
  <Application>Microsoft Office Word</Application>
  <DocSecurity>0</DocSecurity>
  <Lines>14</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2021-03-31T12:01:00Z</dcterms:created>
  <dcterms:modified xsi:type="dcterms:W3CDTF">2021-04-16T09:35:00Z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