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171" w:rsidRDefault="007B7171" w:rsidP="00C86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Republic of Latvia</w:t>
      </w:r>
    </w:p>
    <w:p w:rsidR="007B7171" w:rsidRDefault="007B7171" w:rsidP="00C86F11">
      <w:pPr>
        <w:spacing w:after="0" w:line="240" w:lineRule="auto"/>
        <w:jc w:val="center"/>
        <w:rPr>
          <w:rFonts w:ascii="Times New Roman" w:hAnsi="Times New Roman" w:cs="Times New Roman"/>
          <w:bCs/>
          <w:sz w:val="24"/>
          <w:szCs w:val="24"/>
        </w:rPr>
      </w:pPr>
    </w:p>
    <w:p w:rsidR="00C86F11" w:rsidRPr="00F67610" w:rsidRDefault="00F67610" w:rsidP="00C86F11">
      <w:pPr>
        <w:spacing w:after="0" w:line="240" w:lineRule="auto"/>
        <w:jc w:val="center"/>
        <w:rPr>
          <w:rFonts w:ascii="Times New Roman" w:eastAsia="Times New Roman" w:hAnsi="Times New Roman" w:cs="Times New Roman"/>
          <w:bCs/>
          <w:noProof/>
          <w:sz w:val="24"/>
          <w:szCs w:val="24"/>
        </w:rPr>
      </w:pPr>
      <w:r>
        <w:rPr>
          <w:rFonts w:ascii="Times New Roman" w:hAnsi="Times New Roman" w:cs="Times New Roman"/>
          <w:bCs/>
          <w:sz w:val="24"/>
          <w:szCs w:val="24"/>
        </w:rPr>
        <w:t>C</w:t>
      </w:r>
      <w:r w:rsidR="00C86F11" w:rsidRPr="00F67610">
        <w:rPr>
          <w:rFonts w:ascii="Times New Roman" w:hAnsi="Times New Roman" w:cs="Times New Roman"/>
          <w:bCs/>
          <w:sz w:val="24"/>
          <w:szCs w:val="24"/>
        </w:rPr>
        <w:t>abinet</w:t>
      </w:r>
    </w:p>
    <w:p w:rsidR="00C86F11" w:rsidRPr="00F67610" w:rsidRDefault="00C86F11" w:rsidP="00C86F11">
      <w:pPr>
        <w:spacing w:after="0" w:line="240" w:lineRule="auto"/>
        <w:jc w:val="center"/>
        <w:rPr>
          <w:rFonts w:ascii="Times New Roman" w:eastAsia="Times New Roman" w:hAnsi="Times New Roman" w:cs="Times New Roman"/>
          <w:bCs/>
          <w:noProof/>
          <w:sz w:val="24"/>
          <w:szCs w:val="24"/>
        </w:rPr>
      </w:pPr>
      <w:r w:rsidRPr="00F67610">
        <w:rPr>
          <w:rFonts w:ascii="Times New Roman" w:hAnsi="Times New Roman" w:cs="Times New Roman"/>
          <w:bCs/>
          <w:sz w:val="24"/>
          <w:szCs w:val="24"/>
        </w:rPr>
        <w:t>Regulation No. 294</w:t>
      </w:r>
    </w:p>
    <w:p w:rsidR="00C86F11" w:rsidRPr="00F67610" w:rsidRDefault="00C86F11" w:rsidP="00C86F11">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Adopted 17 May 2016</w:t>
      </w:r>
    </w:p>
    <w:p w:rsidR="00C86F11" w:rsidRPr="00F67610" w:rsidRDefault="00C86F11"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9E7AB2">
      <w:pPr>
        <w:spacing w:after="0" w:line="240" w:lineRule="auto"/>
        <w:jc w:val="center"/>
        <w:rPr>
          <w:rFonts w:ascii="Times New Roman" w:eastAsia="Times New Roman" w:hAnsi="Times New Roman" w:cs="Times New Roman"/>
          <w:b/>
          <w:noProof/>
          <w:sz w:val="28"/>
          <w:szCs w:val="28"/>
        </w:rPr>
      </w:pPr>
      <w:r w:rsidRPr="00F67610">
        <w:rPr>
          <w:rFonts w:ascii="Times New Roman" w:hAnsi="Times New Roman" w:cs="Times New Roman"/>
          <w:b/>
          <w:sz w:val="28"/>
          <w:szCs w:val="28"/>
        </w:rPr>
        <w:t>Procedures for Calculating Savings of Primary Energy Produced by Cogeneration Plants</w:t>
      </w:r>
    </w:p>
    <w:p w:rsidR="009E7AB2" w:rsidRPr="00F67610" w:rsidRDefault="009E7AB2" w:rsidP="00C86F11">
      <w:pPr>
        <w:spacing w:after="0" w:line="240" w:lineRule="auto"/>
        <w:jc w:val="both"/>
        <w:rPr>
          <w:rFonts w:ascii="Times New Roman" w:eastAsia="Times New Roman" w:hAnsi="Times New Roman" w:cs="Times New Roman"/>
          <w:noProof/>
          <w:sz w:val="24"/>
          <w:szCs w:val="24"/>
          <w:lang w:val="en-US" w:eastAsia="lv-LV"/>
        </w:rPr>
      </w:pPr>
    </w:p>
    <w:p w:rsidR="009E7AB2" w:rsidRPr="00F67610" w:rsidRDefault="009E7AB2" w:rsidP="00C86F11">
      <w:pPr>
        <w:spacing w:after="0" w:line="240" w:lineRule="auto"/>
        <w:jc w:val="both"/>
        <w:rPr>
          <w:rFonts w:ascii="Times New Roman" w:eastAsia="Times New Roman" w:hAnsi="Times New Roman" w:cs="Times New Roman"/>
          <w:noProof/>
          <w:sz w:val="24"/>
          <w:szCs w:val="24"/>
          <w:lang w:val="en-US" w:eastAsia="lv-LV"/>
        </w:rPr>
      </w:pPr>
    </w:p>
    <w:p w:rsidR="009E7AB2" w:rsidRPr="00F67610" w:rsidRDefault="00C86F11" w:rsidP="009E7AB2">
      <w:pPr>
        <w:spacing w:after="0" w:line="240" w:lineRule="auto"/>
        <w:jc w:val="right"/>
        <w:rPr>
          <w:rFonts w:ascii="Times New Roman" w:eastAsia="Times New Roman" w:hAnsi="Times New Roman" w:cs="Times New Roman"/>
          <w:i/>
          <w:noProof/>
          <w:sz w:val="24"/>
          <w:szCs w:val="24"/>
        </w:rPr>
      </w:pPr>
      <w:r w:rsidRPr="00F67610">
        <w:rPr>
          <w:rFonts w:ascii="Times New Roman" w:hAnsi="Times New Roman" w:cs="Times New Roman"/>
          <w:i/>
          <w:sz w:val="24"/>
          <w:szCs w:val="24"/>
        </w:rPr>
        <w:t>Issued pursuant to</w:t>
      </w:r>
    </w:p>
    <w:p w:rsidR="00C86F11" w:rsidRPr="00F67610" w:rsidRDefault="00C86F11" w:rsidP="009E7AB2">
      <w:pPr>
        <w:spacing w:after="0" w:line="240" w:lineRule="auto"/>
        <w:jc w:val="right"/>
        <w:rPr>
          <w:rFonts w:ascii="Times New Roman" w:eastAsia="Times New Roman" w:hAnsi="Times New Roman" w:cs="Times New Roman"/>
          <w:i/>
          <w:noProof/>
          <w:sz w:val="24"/>
          <w:szCs w:val="24"/>
        </w:rPr>
      </w:pPr>
      <w:r w:rsidRPr="00F67610">
        <w:rPr>
          <w:rFonts w:ascii="Times New Roman" w:hAnsi="Times New Roman" w:cs="Times New Roman"/>
          <w:i/>
          <w:sz w:val="24"/>
          <w:szCs w:val="24"/>
        </w:rPr>
        <w:t>Section 46, Paragraph five of the Energy Law</w:t>
      </w:r>
    </w:p>
    <w:p w:rsidR="009E7AB2" w:rsidRPr="00F67610" w:rsidRDefault="009E7AB2" w:rsidP="00C86F11">
      <w:pPr>
        <w:spacing w:after="0" w:line="240" w:lineRule="auto"/>
        <w:jc w:val="both"/>
        <w:rPr>
          <w:rFonts w:ascii="Times New Roman" w:eastAsia="Times New Roman" w:hAnsi="Times New Roman" w:cs="Times New Roman"/>
          <w:noProof/>
          <w:sz w:val="24"/>
          <w:szCs w:val="24"/>
          <w:lang w:val="en-US" w:eastAsia="lv-LV"/>
        </w:rPr>
      </w:pPr>
    </w:p>
    <w:p w:rsidR="009E7AB2" w:rsidRPr="00F67610" w:rsidRDefault="009E7AB2"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C86F11">
      <w:pPr>
        <w:spacing w:after="0" w:line="240" w:lineRule="auto"/>
        <w:jc w:val="both"/>
        <w:rPr>
          <w:rFonts w:ascii="Times New Roman" w:eastAsia="Times New Roman" w:hAnsi="Times New Roman" w:cs="Times New Roman"/>
          <w:noProof/>
          <w:sz w:val="24"/>
          <w:szCs w:val="24"/>
        </w:rPr>
      </w:pPr>
      <w:bookmarkStart w:id="0" w:name="p-590321"/>
      <w:bookmarkEnd w:id="0"/>
      <w:r w:rsidRPr="00F67610">
        <w:rPr>
          <w:rFonts w:ascii="Times New Roman" w:hAnsi="Times New Roman" w:cs="Times New Roman"/>
          <w:sz w:val="24"/>
          <w:szCs w:val="24"/>
        </w:rPr>
        <w:t>1. The Regulation prescribes the procedures by which savings of primary energy produced by cogeneration plants shall be calculated.</w:t>
      </w:r>
      <w:bookmarkStart w:id="1" w:name="p1"/>
      <w:bookmarkEnd w:id="1"/>
    </w:p>
    <w:p w:rsidR="009E7AB2" w:rsidRPr="00F67610" w:rsidRDefault="009E7AB2" w:rsidP="00C86F11">
      <w:pPr>
        <w:spacing w:after="0" w:line="240" w:lineRule="auto"/>
        <w:jc w:val="both"/>
        <w:rPr>
          <w:rFonts w:ascii="Times New Roman" w:eastAsia="Times New Roman" w:hAnsi="Times New Roman" w:cs="Times New Roman"/>
          <w:noProof/>
          <w:sz w:val="24"/>
          <w:szCs w:val="24"/>
        </w:rPr>
      </w:pPr>
      <w:bookmarkStart w:id="2" w:name="p-590322"/>
      <w:bookmarkEnd w:id="2"/>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2. The values which are used for the calculation of electricity produced in cogeneration, shall be determined on the basis of the expected or actual operation of the installation under normal conditions of use. In relation to micro-cogeneration installations such calculations may be based on approved values.</w:t>
      </w:r>
      <w:bookmarkStart w:id="3" w:name="p2"/>
      <w:bookmarkEnd w:id="3"/>
    </w:p>
    <w:p w:rsidR="009E7AB2" w:rsidRPr="00F67610" w:rsidRDefault="009E7AB2" w:rsidP="00C86F11">
      <w:pPr>
        <w:spacing w:after="0" w:line="240" w:lineRule="auto"/>
        <w:jc w:val="both"/>
        <w:rPr>
          <w:rFonts w:ascii="Times New Roman" w:eastAsia="Times New Roman" w:hAnsi="Times New Roman" w:cs="Times New Roman"/>
          <w:noProof/>
          <w:sz w:val="24"/>
          <w:szCs w:val="24"/>
        </w:rPr>
      </w:pPr>
      <w:bookmarkStart w:id="4" w:name="p-590323"/>
      <w:bookmarkEnd w:id="4"/>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3. The amount of electricity produced in cogeneration during the time period for the settlement of accounts which is left after utilisation of electricity for the needs of the cogeneration plant, shall be determined as follows:</w:t>
      </w:r>
      <w:bookmarkStart w:id="5" w:name="p3"/>
      <w:bookmarkEnd w:id="5"/>
    </w:p>
    <w:p w:rsidR="00C86F11" w:rsidRPr="00F67610" w:rsidRDefault="00C86F11" w:rsidP="009E7AB2">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3.1. the total actual efficiency coefficient of energy production for the cogeneration plant shall be calculated</w:t>
      </w:r>
    </w:p>
    <w:p w:rsidR="00C86F11" w:rsidRPr="00F67610" w:rsidRDefault="00C86F11" w:rsidP="009E7AB2">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w:t>
      </w:r>
      <w:r w:rsidR="009E7AB2" w:rsidRPr="00F67610">
        <w:rPr>
          <w:rFonts w:ascii="Times New Roman" w:eastAsia="Times New Roman" w:hAnsi="Times New Roman" w:cs="Times New Roman"/>
          <w:noProof/>
          <w:sz w:val="24"/>
          <w:szCs w:val="24"/>
        </w:rPr>
        <w:drawing>
          <wp:inline distT="0" distB="0" distL="0" distR="0">
            <wp:extent cx="428625" cy="2667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Pr="00F67610">
        <w:rPr>
          <w:rFonts w:ascii="Times New Roman" w:hAnsi="Times New Roman" w:cs="Times New Roman"/>
          <w:sz w:val="24"/>
          <w:szCs w:val="24"/>
        </w:rPr>
        <w:t>), using the following formula:</w:t>
      </w:r>
    </w:p>
    <w:p w:rsidR="009E7AB2" w:rsidRPr="00F67610" w:rsidRDefault="009E7AB2" w:rsidP="009E7AB2">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4266"/>
      </w:tblGrid>
      <w:tr w:rsidR="00C86F11" w:rsidRPr="00F67610" w:rsidTr="00CA1789">
        <w:trPr>
          <w:tblCellSpacing w:w="15" w:type="dxa"/>
          <w:jc w:val="center"/>
        </w:trPr>
        <w:tc>
          <w:tcPr>
            <w:tcW w:w="0" w:type="auto"/>
            <w:noWrap/>
            <w:vAlign w:val="center"/>
            <w:hideMark/>
          </w:tcPr>
          <w:p w:rsidR="00C86F11" w:rsidRPr="00F67610" w:rsidRDefault="00C86F11" w:rsidP="009E7AB2">
            <w:pPr>
              <w:spacing w:after="0" w:line="240" w:lineRule="auto"/>
              <w:ind w:firstLine="709"/>
              <w:jc w:val="both"/>
              <w:rPr>
                <w:rFonts w:ascii="Times New Roman" w:eastAsia="Times New Roman" w:hAnsi="Times New Roman" w:cs="Times New Roman"/>
                <w:noProof/>
                <w:sz w:val="24"/>
                <w:szCs w:val="24"/>
                <w:lang w:val="en-US" w:eastAsia="lv-LV"/>
              </w:rPr>
            </w:pPr>
          </w:p>
        </w:tc>
        <w:tc>
          <w:tcPr>
            <w:tcW w:w="0" w:type="auto"/>
            <w:noWrap/>
            <w:vAlign w:val="center"/>
            <w:hideMark/>
          </w:tcPr>
          <w:p w:rsidR="00C86F11" w:rsidRPr="00F67610" w:rsidRDefault="009E7AB2" w:rsidP="009E7AB2">
            <w:pPr>
              <w:spacing w:after="0" w:line="240" w:lineRule="auto"/>
              <w:ind w:firstLine="709"/>
              <w:jc w:val="center"/>
              <w:rPr>
                <w:rFonts w:ascii="Times New Roman" w:eastAsia="Times New Roman" w:hAnsi="Times New Roman" w:cs="Times New Roman"/>
                <w:noProof/>
                <w:sz w:val="24"/>
                <w:szCs w:val="24"/>
              </w:rPr>
            </w:pPr>
            <w:r w:rsidRPr="00F67610">
              <w:rPr>
                <w:rFonts w:ascii="Times New Roman" w:hAnsi="Times New Roman" w:cs="Times New Roman"/>
              </w:rPr>
              <w:object w:dxaOrig="2715"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32.25pt" o:ole="">
                  <v:imagedata r:id="rId7" o:title=""/>
                </v:shape>
                <o:OLEObject Type="Embed" ProgID="PBrush" ShapeID="_x0000_i1025" DrawAspect="Content" ObjectID="_1561984614" r:id="rId8"/>
              </w:object>
            </w:r>
            <w:r w:rsidRPr="00F67610">
              <w:rPr>
                <w:rFonts w:ascii="Times New Roman" w:hAnsi="Times New Roman" w:cs="Times New Roman"/>
                <w:sz w:val="24"/>
                <w:szCs w:val="24"/>
              </w:rPr>
              <w:t xml:space="preserve"> , where</w:t>
            </w:r>
          </w:p>
        </w:tc>
      </w:tr>
    </w:tbl>
    <w:p w:rsidR="00C86F11" w:rsidRPr="00F67610" w:rsidRDefault="009E7AB2" w:rsidP="009E7AB2">
      <w:pPr>
        <w:spacing w:after="0" w:line="240" w:lineRule="auto"/>
        <w:ind w:firstLine="709"/>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noProof/>
          <w:sz w:val="24"/>
          <w:szCs w:val="24"/>
        </w:rPr>
        <w:drawing>
          <wp:inline distT="0" distB="0" distL="0" distR="0">
            <wp:extent cx="314325" cy="2571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Pr="00F67610">
        <w:rPr>
          <w:rFonts w:ascii="Times New Roman" w:hAnsi="Times New Roman" w:cs="Times New Roman"/>
        </w:rPr>
        <w:t xml:space="preserve"> – is the amount of electricity produced in cogeneration installations installed in a cogeneration plant during the period of time for the settlement of accounts which is determined according to the readings of the meters at the generator output (MWh);</w:t>
      </w:r>
    </w:p>
    <w:p w:rsidR="00C86F11" w:rsidRPr="00F67610" w:rsidRDefault="009E7AB2" w:rsidP="009E7AB2">
      <w:pPr>
        <w:spacing w:after="0" w:line="240" w:lineRule="auto"/>
        <w:ind w:firstLine="709"/>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noProof/>
          <w:sz w:val="24"/>
          <w:szCs w:val="24"/>
        </w:rPr>
        <w:drawing>
          <wp:inline distT="0" distB="0" distL="0" distR="0">
            <wp:extent cx="32385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F67610">
        <w:rPr>
          <w:rFonts w:ascii="Times New Roman" w:hAnsi="Times New Roman" w:cs="Times New Roman"/>
        </w:rPr>
        <w:t xml:space="preserve"> – is the amount of the useful thermal energy produced in cogeneration installations installed in a cogeneration plant during the period of time for the settlement of accounts (MWh);</w:t>
      </w:r>
    </w:p>
    <w:p w:rsidR="00C86F11" w:rsidRPr="00F67610" w:rsidRDefault="009E7AB2" w:rsidP="009E7AB2">
      <w:pPr>
        <w:spacing w:after="0" w:line="240" w:lineRule="auto"/>
        <w:ind w:firstLine="709"/>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i/>
          <w:iCs/>
          <w:noProof/>
          <w:sz w:val="24"/>
          <w:szCs w:val="24"/>
        </w:rPr>
        <w:drawing>
          <wp:inline distT="0" distB="0" distL="0" distR="0">
            <wp:extent cx="323850" cy="2190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a:ln>
                      <a:noFill/>
                    </a:ln>
                  </pic:spPr>
                </pic:pic>
              </a:graphicData>
            </a:graphic>
          </wp:inline>
        </w:drawing>
      </w:r>
      <w:r w:rsidRPr="00F67610">
        <w:rPr>
          <w:rFonts w:ascii="Times New Roman" w:hAnsi="Times New Roman" w:cs="Times New Roman"/>
        </w:rPr>
        <w:t xml:space="preserve"> – is the amount of fuel consumed in cogeneration installations installed in a cogeneration plant during the period of time for the settlement of accounts (MWh);</w:t>
      </w:r>
    </w:p>
    <w:p w:rsidR="009E7AB2" w:rsidRPr="00F67610" w:rsidRDefault="009E7AB2" w:rsidP="009E7AB2">
      <w:pPr>
        <w:spacing w:after="0" w:line="240" w:lineRule="auto"/>
        <w:ind w:firstLine="709"/>
        <w:jc w:val="both"/>
        <w:rPr>
          <w:rFonts w:ascii="Times New Roman" w:eastAsia="Times New Roman" w:hAnsi="Times New Roman" w:cs="Times New Roman"/>
          <w:noProof/>
          <w:sz w:val="24"/>
          <w:szCs w:val="24"/>
          <w:lang w:val="en-US" w:eastAsia="lv-LV"/>
        </w:rPr>
      </w:pPr>
    </w:p>
    <w:p w:rsidR="00C86F11" w:rsidRPr="00F67610" w:rsidRDefault="00C86F11" w:rsidP="009E7AB2">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3.2. it shall be assumed that the amount of electricity produced in cogeneration remaining after utilisation of electricity for the needs of the cogeneration plant is equal to the amount of electricity exported to the electricity grid during the period of time for the settlement of accounts, if one of the following conditions is conformed to:</w:t>
      </w:r>
    </w:p>
    <w:p w:rsidR="00C86F11" w:rsidRPr="00F67610" w:rsidRDefault="00C86F11" w:rsidP="009E7AB2">
      <w:pPr>
        <w:spacing w:after="0" w:line="240" w:lineRule="auto"/>
        <w:ind w:left="709"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3.2.1. the total actual efficiency coefficient of energy production for the cogeneration plant in which the technology referred to in Sub-paragraph 4.1 or 4.3 of this Regulation is used, is 80 % or more;</w:t>
      </w:r>
    </w:p>
    <w:p w:rsidR="00C86F11" w:rsidRPr="00F67610" w:rsidRDefault="00C86F11" w:rsidP="009E7AB2">
      <w:pPr>
        <w:spacing w:after="0" w:line="240" w:lineRule="auto"/>
        <w:ind w:left="709"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3.2.2. the total actual efficiency coefficient of energy production for the cogeneration plant in which any of the technologies referred to in Sub-paragraph 4.2, 4.4, 4.5, 4.6, 4.7, 4.8, 4.9, 4.10 or 4.11 of this Regulation is used, is 75 % or more;</w:t>
      </w:r>
    </w:p>
    <w:p w:rsidR="00C86F11" w:rsidRPr="00F67610" w:rsidRDefault="00C86F11" w:rsidP="009E7AB2">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lastRenderedPageBreak/>
        <w:t xml:space="preserve">3.3. if the calculated total actual efficiency coefficient of the cogeneration plant is less than the values referred to in Sub-paragraph 3.2.1 or 3.2.2 of this Regulation, the amount of electricity produced in cogeneration remaining after utilisation for the needs of the cogeneration plant </w:t>
      </w:r>
      <w:r w:rsidR="00A21EE6" w:rsidRPr="00F67610">
        <w:rPr>
          <w:rFonts w:ascii="Times New Roman" w:eastAsia="Times New Roman" w:hAnsi="Times New Roman" w:cs="Times New Roman"/>
          <w:noProof/>
          <w:sz w:val="24"/>
          <w:szCs w:val="24"/>
        </w:rPr>
        <w:drawing>
          <wp:inline distT="0" distB="0" distL="0" distR="0">
            <wp:extent cx="552450" cy="2667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Pr="00F67610">
        <w:rPr>
          <w:rFonts w:ascii="Times New Roman" w:hAnsi="Times New Roman" w:cs="Times New Roman"/>
          <w:sz w:val="24"/>
          <w:szCs w:val="24"/>
        </w:rPr>
        <w:t xml:space="preserve"> shall be calculated, using the following formula:</w:t>
      </w:r>
    </w:p>
    <w:p w:rsidR="00A21EE6" w:rsidRPr="00F67610" w:rsidRDefault="00A21EE6" w:rsidP="009E7AB2">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3576"/>
      </w:tblGrid>
      <w:tr w:rsidR="00C86F11" w:rsidRPr="00F67610" w:rsidTr="00CA1789">
        <w:trPr>
          <w:tblCellSpacing w:w="15" w:type="dxa"/>
          <w:jc w:val="center"/>
        </w:trPr>
        <w:tc>
          <w:tcPr>
            <w:tcW w:w="0" w:type="auto"/>
            <w:noWrap/>
            <w:vAlign w:val="center"/>
            <w:hideMark/>
          </w:tcPr>
          <w:p w:rsidR="00C86F11" w:rsidRPr="00F67610" w:rsidRDefault="00C86F11" w:rsidP="009E7AB2">
            <w:pPr>
              <w:spacing w:after="0" w:line="240" w:lineRule="auto"/>
              <w:ind w:firstLine="709"/>
              <w:jc w:val="both"/>
              <w:rPr>
                <w:rFonts w:ascii="Times New Roman" w:eastAsia="Times New Roman" w:hAnsi="Times New Roman" w:cs="Times New Roman"/>
                <w:noProof/>
                <w:sz w:val="24"/>
                <w:szCs w:val="24"/>
                <w:lang w:val="en-US" w:eastAsia="lv-LV"/>
              </w:rPr>
            </w:pPr>
          </w:p>
        </w:tc>
        <w:tc>
          <w:tcPr>
            <w:tcW w:w="0" w:type="auto"/>
            <w:noWrap/>
            <w:vAlign w:val="center"/>
            <w:hideMark/>
          </w:tcPr>
          <w:p w:rsidR="00C86F11" w:rsidRPr="00F67610" w:rsidRDefault="00A21EE6" w:rsidP="009E7AB2">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rPr>
              <w:object w:dxaOrig="2025" w:dyaOrig="480">
                <v:shape id="_x0000_i1026" type="#_x0000_t75" style="width:101.25pt;height:24pt" o:ole="">
                  <v:imagedata r:id="rId13" o:title=""/>
                </v:shape>
                <o:OLEObject Type="Embed" ProgID="PBrush" ShapeID="_x0000_i1026" DrawAspect="Content" ObjectID="_1561984615" r:id="rId14"/>
              </w:object>
            </w:r>
            <w:r w:rsidRPr="00F67610">
              <w:rPr>
                <w:rFonts w:ascii="Times New Roman" w:hAnsi="Times New Roman" w:cs="Times New Roman"/>
                <w:sz w:val="24"/>
                <w:szCs w:val="24"/>
              </w:rPr>
              <w:t xml:space="preserve"> , where</w:t>
            </w:r>
          </w:p>
        </w:tc>
      </w:tr>
    </w:tbl>
    <w:p w:rsidR="00C86F11" w:rsidRPr="00F67610" w:rsidRDefault="00A21EE6" w:rsidP="009E7AB2">
      <w:pPr>
        <w:spacing w:after="0" w:line="240" w:lineRule="auto"/>
        <w:ind w:firstLine="709"/>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noProof/>
          <w:sz w:val="24"/>
          <w:szCs w:val="24"/>
        </w:rPr>
        <w:drawing>
          <wp:inline distT="0" distB="0" distL="0" distR="0">
            <wp:extent cx="314325" cy="2667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F67610">
        <w:rPr>
          <w:rFonts w:ascii="Times New Roman" w:hAnsi="Times New Roman" w:cs="Times New Roman"/>
        </w:rPr>
        <w:t xml:space="preserve"> – is the amount of the useful thermal energy produced in cogeneration installations installed in a cogeneration plant during the period of time for the settlement of accounts (MWh);</w:t>
      </w:r>
    </w:p>
    <w:p w:rsidR="00C86F11" w:rsidRPr="00F67610" w:rsidRDefault="00C86F11" w:rsidP="009E7AB2">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i/>
          <w:iCs/>
          <w:sz w:val="24"/>
          <w:szCs w:val="24"/>
        </w:rPr>
        <w:t xml:space="preserve">α </w:t>
      </w:r>
      <w:r w:rsidRPr="00F67610">
        <w:rPr>
          <w:rFonts w:ascii="Times New Roman" w:hAnsi="Times New Roman" w:cs="Times New Roman"/>
          <w:sz w:val="24"/>
          <w:szCs w:val="24"/>
        </w:rPr>
        <w:t>– is the proportion between the electricity produced in cogeneration and useful thermal energy which, using the data of the technical passport of the relevant installation, is calculated when the installation is fully operating in cogeneration. If such data are not available, the abovementioned value shall be determined depending on the cogeneration technology used (Annex 1).</w:t>
      </w:r>
    </w:p>
    <w:p w:rsidR="00A21EE6" w:rsidRPr="00F67610" w:rsidRDefault="00A21EE6" w:rsidP="00C86F11">
      <w:pPr>
        <w:spacing w:after="0" w:line="240" w:lineRule="auto"/>
        <w:jc w:val="both"/>
        <w:rPr>
          <w:rFonts w:ascii="Times New Roman" w:eastAsia="Times New Roman" w:hAnsi="Times New Roman" w:cs="Times New Roman"/>
          <w:noProof/>
          <w:sz w:val="24"/>
          <w:szCs w:val="24"/>
        </w:rPr>
      </w:pPr>
      <w:bookmarkStart w:id="6" w:name="p-590325"/>
      <w:bookmarkEnd w:id="6"/>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4. Savings of primary energy in cogeneration plants which consist of the cogeneration installation and one or several boilers for production of thermal energy or only from a cogeneration installation and which concurrently produce electricity and useful thermal energy, shall be calculated for one or several of the following production technologies:</w:t>
      </w:r>
      <w:bookmarkStart w:id="7" w:name="p4"/>
      <w:bookmarkEnd w:id="7"/>
    </w:p>
    <w:p w:rsidR="00C86F11" w:rsidRPr="00F67610" w:rsidRDefault="00C86F11" w:rsidP="00A21EE6">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4.1. a combined cycle gas turbine with heat recovery;</w:t>
      </w:r>
    </w:p>
    <w:p w:rsidR="00C86F11" w:rsidRPr="00F67610" w:rsidRDefault="00C86F11" w:rsidP="00A21EE6">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4.2. a steam backpressure turbine;</w:t>
      </w:r>
    </w:p>
    <w:p w:rsidR="00C86F11" w:rsidRPr="00F67610" w:rsidRDefault="00C86F11" w:rsidP="00A21EE6">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4.3. a steam condensing extraction turbine with a steam discharge pipeline for heat supply;</w:t>
      </w:r>
    </w:p>
    <w:p w:rsidR="00C86F11" w:rsidRPr="00F67610" w:rsidRDefault="00C86F11" w:rsidP="00A21EE6">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4.4. a gas turbine with heat recovery;</w:t>
      </w:r>
    </w:p>
    <w:p w:rsidR="00C86F11" w:rsidRPr="00F67610" w:rsidRDefault="00C86F11" w:rsidP="00A21EE6">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4.5. an internal combustion engine;</w:t>
      </w:r>
    </w:p>
    <w:p w:rsidR="00C86F11" w:rsidRPr="00F67610" w:rsidRDefault="00C86F11" w:rsidP="00A21EE6">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4.6. a micro-turbine;</w:t>
      </w:r>
    </w:p>
    <w:p w:rsidR="00C86F11" w:rsidRPr="00F67610" w:rsidRDefault="00C86F11" w:rsidP="00A21EE6">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4.7. Stirling engines;</w:t>
      </w:r>
    </w:p>
    <w:p w:rsidR="00C86F11" w:rsidRPr="00F67610" w:rsidRDefault="00C86F11" w:rsidP="00A21EE6">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4.8. fuel cells;</w:t>
      </w:r>
    </w:p>
    <w:p w:rsidR="00C86F11" w:rsidRPr="00F67610" w:rsidRDefault="00C86F11" w:rsidP="00A21EE6">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4.9. steam engines;</w:t>
      </w:r>
    </w:p>
    <w:p w:rsidR="00C86F11" w:rsidRPr="00F67610" w:rsidRDefault="00C86F11" w:rsidP="00A21EE6">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4.10. organic Rankine cycle;</w:t>
      </w:r>
    </w:p>
    <w:p w:rsidR="00C86F11" w:rsidRPr="00F67610" w:rsidRDefault="00C86F11" w:rsidP="00A21EE6">
      <w:pPr>
        <w:spacing w:after="0" w:line="240" w:lineRule="auto"/>
        <w:ind w:firstLine="709"/>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4.11. other technologies or combinations thereof if by using them it is possible to produce electricity and useful thermal energy concurrently.</w:t>
      </w:r>
    </w:p>
    <w:p w:rsidR="00A21EE6" w:rsidRPr="00F67610" w:rsidRDefault="00A21EE6" w:rsidP="00C86F11">
      <w:pPr>
        <w:spacing w:after="0" w:line="240" w:lineRule="auto"/>
        <w:jc w:val="both"/>
        <w:rPr>
          <w:rFonts w:ascii="Times New Roman" w:eastAsia="Times New Roman" w:hAnsi="Times New Roman" w:cs="Times New Roman"/>
          <w:noProof/>
          <w:sz w:val="24"/>
          <w:szCs w:val="24"/>
        </w:rPr>
      </w:pPr>
      <w:bookmarkStart w:id="8" w:name="p-590326"/>
      <w:bookmarkEnd w:id="8"/>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5. The values which are used for the calculation of cogeneration efficiency and savings of primary energy, shall be determined on the basis of foreseeable or actual operation of the installation under normal conditions of use. In relation to micro-cogeneration installations the savings of primary energy may be calculated on the basis of approved data.</w:t>
      </w:r>
      <w:bookmarkStart w:id="9" w:name="p5"/>
      <w:bookmarkEnd w:id="9"/>
    </w:p>
    <w:p w:rsidR="00A21EE6" w:rsidRPr="00F67610" w:rsidRDefault="00A21EE6" w:rsidP="00C86F11">
      <w:pPr>
        <w:spacing w:after="0" w:line="240" w:lineRule="auto"/>
        <w:jc w:val="both"/>
        <w:rPr>
          <w:rFonts w:ascii="Times New Roman" w:eastAsia="Times New Roman" w:hAnsi="Times New Roman" w:cs="Times New Roman"/>
          <w:noProof/>
          <w:sz w:val="24"/>
          <w:szCs w:val="24"/>
        </w:rPr>
      </w:pPr>
      <w:bookmarkStart w:id="10" w:name="p-590327"/>
      <w:bookmarkEnd w:id="10"/>
    </w:p>
    <w:p w:rsidR="00C86F11" w:rsidRPr="00F67610" w:rsidRDefault="00C86F11" w:rsidP="00C86F11">
      <w:pPr>
        <w:spacing w:after="0" w:line="240" w:lineRule="auto"/>
        <w:jc w:val="both"/>
        <w:rPr>
          <w:rFonts w:ascii="Times New Roman" w:hAnsi="Times New Roman" w:cs="Times New Roman"/>
          <w:sz w:val="24"/>
          <w:szCs w:val="24"/>
        </w:rPr>
      </w:pPr>
      <w:r w:rsidRPr="00F67610">
        <w:rPr>
          <w:rFonts w:ascii="Times New Roman" w:hAnsi="Times New Roman" w:cs="Times New Roman"/>
          <w:sz w:val="24"/>
          <w:szCs w:val="24"/>
        </w:rPr>
        <w:t>6. In order to determine the efficiency of a cogeneration plant, the primary energy savings (PES) which are obtained when the cogeneration plant produces energy in cogeneration, shall be calculated. The following formula shall be used for the calculations:</w:t>
      </w:r>
      <w:bookmarkStart w:id="11" w:name="p6"/>
      <w:bookmarkEnd w:id="11"/>
    </w:p>
    <w:p w:rsidR="006B29A7" w:rsidRPr="00F67610" w:rsidRDefault="006B29A7" w:rsidP="00C86F11">
      <w:pPr>
        <w:spacing w:after="0" w:line="240" w:lineRule="auto"/>
        <w:jc w:val="both"/>
        <w:rPr>
          <w:rFonts w:ascii="Times New Roman" w:eastAsia="Times New Roman" w:hAnsi="Times New Roman" w:cs="Times New Roman"/>
          <w:noProof/>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469"/>
        <w:gridCol w:w="782"/>
      </w:tblGrid>
      <w:tr w:rsidR="006B29A7" w:rsidRPr="00F67610" w:rsidTr="00A170A1">
        <w:trPr>
          <w:tblCellSpacing w:w="15" w:type="dxa"/>
          <w:jc w:val="center"/>
        </w:trPr>
        <w:tc>
          <w:tcPr>
            <w:tcW w:w="0" w:type="auto"/>
            <w:noWrap/>
            <w:vAlign w:val="center"/>
            <w:hideMark/>
          </w:tcPr>
          <w:p w:rsidR="006B29A7" w:rsidRPr="00F67610" w:rsidRDefault="006B29A7" w:rsidP="00A170A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object w:dxaOrig="4394" w:dyaOrig="1350">
                <v:shape id="_x0000_i1034" type="#_x0000_t75" style="width:219.75pt;height:67.5pt" o:ole="">
                  <v:imagedata r:id="rId16" o:title=""/>
                </v:shape>
                <o:OLEObject Type="Embed" ProgID="PBrush" ShapeID="_x0000_i1034" DrawAspect="Content" ObjectID="_1561984616" r:id="rId17"/>
              </w:object>
            </w:r>
          </w:p>
        </w:tc>
        <w:tc>
          <w:tcPr>
            <w:tcW w:w="0" w:type="auto"/>
            <w:noWrap/>
            <w:vAlign w:val="center"/>
            <w:hideMark/>
          </w:tcPr>
          <w:p w:rsidR="006B29A7" w:rsidRPr="00F67610" w:rsidRDefault="006B29A7" w:rsidP="00A170A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 where</w:t>
            </w:r>
          </w:p>
        </w:tc>
      </w:tr>
    </w:tbl>
    <w:p w:rsidR="00C86F11" w:rsidRPr="00F67610" w:rsidRDefault="00A21EE6" w:rsidP="00C86F11">
      <w:pPr>
        <w:spacing w:after="0" w:line="240" w:lineRule="auto"/>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noProof/>
          <w:sz w:val="24"/>
          <w:szCs w:val="24"/>
        </w:rPr>
        <w:drawing>
          <wp:inline distT="0" distB="0" distL="0" distR="0">
            <wp:extent cx="419100" cy="2667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noFill/>
                    <a:ln>
                      <a:noFill/>
                    </a:ln>
                  </pic:spPr>
                </pic:pic>
              </a:graphicData>
            </a:graphic>
          </wp:inline>
        </w:drawing>
      </w:r>
      <w:r w:rsidRPr="00F67610">
        <w:rPr>
          <w:rFonts w:ascii="Times New Roman" w:hAnsi="Times New Roman" w:cs="Times New Roman"/>
        </w:rPr>
        <w:t xml:space="preserve"> – is the electric efficiency coefficient of cogeneration installations installed in a cogeneration plant within a certain period of time which is calculated using the formula referred to in Paragraph 7 of this Regulation;</w:t>
      </w:r>
    </w:p>
    <w:p w:rsidR="00C86F11" w:rsidRPr="00F67610" w:rsidRDefault="00A21EE6" w:rsidP="00C86F11">
      <w:pPr>
        <w:spacing w:after="0" w:line="240" w:lineRule="auto"/>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noProof/>
          <w:sz w:val="24"/>
          <w:szCs w:val="24"/>
        </w:rPr>
        <w:drawing>
          <wp:inline distT="0" distB="0" distL="0" distR="0">
            <wp:extent cx="419100" cy="2476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rsidRPr="00F67610">
        <w:rPr>
          <w:rFonts w:ascii="Times New Roman" w:hAnsi="Times New Roman" w:cs="Times New Roman"/>
        </w:rPr>
        <w:t xml:space="preserve"> – is the heat efficiency coefficient of cogeneration installations installed in a cogeneration plant within a certain period of time which is calculated using the formula referred to in Paragraph 8 of this Regulation;</w:t>
      </w:r>
    </w:p>
    <w:p w:rsidR="00C86F11" w:rsidRPr="00F67610" w:rsidRDefault="00A21EE6" w:rsidP="00C86F11">
      <w:pPr>
        <w:spacing w:after="0" w:line="240" w:lineRule="auto"/>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noProof/>
          <w:sz w:val="24"/>
          <w:szCs w:val="24"/>
        </w:rPr>
        <w:drawing>
          <wp:inline distT="0" distB="0" distL="0" distR="0">
            <wp:extent cx="381000" cy="304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sidRPr="00F67610">
        <w:rPr>
          <w:rFonts w:ascii="Times New Roman" w:hAnsi="Times New Roman" w:cs="Times New Roman"/>
        </w:rPr>
        <w:t xml:space="preserve"> – is the efficiency coefficient for an individual production of thermal energy depending on the type of fuel used (Annex 2);</w:t>
      </w:r>
    </w:p>
    <w:p w:rsidR="00C86F11" w:rsidRPr="00F67610" w:rsidRDefault="00A21EE6" w:rsidP="00C86F11">
      <w:pPr>
        <w:spacing w:after="0" w:line="240" w:lineRule="auto"/>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noProof/>
          <w:sz w:val="24"/>
          <w:szCs w:val="24"/>
        </w:rPr>
        <w:drawing>
          <wp:inline distT="0" distB="0" distL="0" distR="0">
            <wp:extent cx="371475" cy="2857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r w:rsidRPr="00F67610">
        <w:rPr>
          <w:rFonts w:ascii="Times New Roman" w:hAnsi="Times New Roman" w:cs="Times New Roman"/>
        </w:rPr>
        <w:t xml:space="preserve"> – is the efficiency coefficient for an individual production of thermal energy depending on the type of fuel used (if firewood or biogas is used in a cogeneration plant, </w:t>
      </w:r>
      <w:r w:rsidRPr="00F67610">
        <w:rPr>
          <w:rFonts w:ascii="Times New Roman" w:eastAsia="Times New Roman" w:hAnsi="Times New Roman" w:cs="Times New Roman"/>
          <w:noProof/>
          <w:sz w:val="24"/>
          <w:szCs w:val="24"/>
        </w:rPr>
        <w:drawing>
          <wp:inline distT="0" distB="0" distL="0" distR="0">
            <wp:extent cx="1066800" cy="3238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6800" cy="323850"/>
                    </a:xfrm>
                    <a:prstGeom prst="rect">
                      <a:avLst/>
                    </a:prstGeom>
                    <a:noFill/>
                    <a:ln>
                      <a:noFill/>
                    </a:ln>
                  </pic:spPr>
                </pic:pic>
              </a:graphicData>
            </a:graphic>
          </wp:inline>
        </w:drawing>
      </w:r>
      <w:r w:rsidRPr="00F67610">
        <w:rPr>
          <w:rFonts w:ascii="Times New Roman" w:hAnsi="Times New Roman" w:cs="Times New Roman"/>
        </w:rPr>
        <w:t xml:space="preserve"> shall be assumed), which is calculated using the following formula:</w:t>
      </w:r>
    </w:p>
    <w:p w:rsidR="00A21EE6" w:rsidRPr="00F67610" w:rsidRDefault="00A21EE6" w:rsidP="00C86F11">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05"/>
        <w:gridCol w:w="782"/>
      </w:tblGrid>
      <w:tr w:rsidR="00C86F11" w:rsidRPr="00F67610" w:rsidTr="00CA1789">
        <w:trPr>
          <w:tblCellSpacing w:w="15" w:type="dxa"/>
          <w:jc w:val="center"/>
        </w:trPr>
        <w:tc>
          <w:tcPr>
            <w:tcW w:w="0" w:type="auto"/>
            <w:noWrap/>
            <w:vAlign w:val="center"/>
            <w:hideMark/>
          </w:tcPr>
          <w:p w:rsidR="00C86F11" w:rsidRPr="00F67610" w:rsidRDefault="00A21EE6"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rPr>
              <w:object w:dxaOrig="6330" w:dyaOrig="495">
                <v:shape id="_x0000_i1028" type="#_x0000_t75" style="width:316.5pt;height:24.75pt" o:ole="">
                  <v:imagedata r:id="rId23" o:title=""/>
                </v:shape>
                <o:OLEObject Type="Embed" ProgID="PBrush" ShapeID="_x0000_i1028" DrawAspect="Content" ObjectID="_1561984617" r:id="rId24"/>
              </w:object>
            </w:r>
          </w:p>
        </w:tc>
        <w:tc>
          <w:tcPr>
            <w:tcW w:w="0" w:type="auto"/>
            <w:noWrap/>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 where</w:t>
            </w:r>
          </w:p>
        </w:tc>
      </w:tr>
    </w:tbl>
    <w:p w:rsidR="00C86F11" w:rsidRPr="00F67610" w:rsidRDefault="00A21EE6" w:rsidP="00C86F11">
      <w:pPr>
        <w:spacing w:after="0" w:line="240" w:lineRule="auto"/>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noProof/>
          <w:sz w:val="24"/>
          <w:szCs w:val="24"/>
        </w:rPr>
        <w:drawing>
          <wp:inline distT="0" distB="0" distL="0" distR="0">
            <wp:extent cx="514350" cy="228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4350" cy="228600"/>
                    </a:xfrm>
                    <a:prstGeom prst="rect">
                      <a:avLst/>
                    </a:prstGeom>
                    <a:noFill/>
                    <a:ln>
                      <a:noFill/>
                    </a:ln>
                  </pic:spPr>
                </pic:pic>
              </a:graphicData>
            </a:graphic>
          </wp:inline>
        </w:drawing>
      </w:r>
      <w:r w:rsidRPr="00F67610">
        <w:rPr>
          <w:rFonts w:ascii="Times New Roman" w:hAnsi="Times New Roman" w:cs="Times New Roman"/>
        </w:rPr>
        <w:t xml:space="preserve"> – is the harmonised efficiency coefficient with a climate correction for an individual production of electricity depending on the fuel used and the year in which the cogeneration plant was put into service (Annex 2);</w:t>
      </w:r>
    </w:p>
    <w:p w:rsidR="00C86F11" w:rsidRPr="00F67610" w:rsidRDefault="00A21EE6" w:rsidP="00C86F11">
      <w:pPr>
        <w:spacing w:after="0" w:line="240" w:lineRule="auto"/>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noProof/>
          <w:sz w:val="24"/>
          <w:szCs w:val="24"/>
        </w:rPr>
        <w:drawing>
          <wp:inline distT="0" distB="0" distL="0" distR="0">
            <wp:extent cx="409575" cy="2000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9575" cy="200025"/>
                    </a:xfrm>
                    <a:prstGeom prst="rect">
                      <a:avLst/>
                    </a:prstGeom>
                    <a:noFill/>
                    <a:ln>
                      <a:noFill/>
                    </a:ln>
                  </pic:spPr>
                </pic:pic>
              </a:graphicData>
            </a:graphic>
          </wp:inline>
        </w:drawing>
      </w:r>
      <w:r w:rsidRPr="00F67610">
        <w:rPr>
          <w:rFonts w:ascii="Times New Roman" w:hAnsi="Times New Roman" w:cs="Times New Roman"/>
        </w:rPr>
        <w:t xml:space="preserve"> – is the own consumption coefficient of a cogeneration plant which is calculated by dividing the annual amount of electricity consumed by a cogeneration plant with the annual amount of electricity produced in a cogeneration plant;</w:t>
      </w:r>
    </w:p>
    <w:p w:rsidR="00C86F11" w:rsidRPr="00F67610" w:rsidRDefault="00A21EE6" w:rsidP="00C86F11">
      <w:pPr>
        <w:spacing w:after="0" w:line="240" w:lineRule="auto"/>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noProof/>
          <w:sz w:val="24"/>
          <w:szCs w:val="24"/>
        </w:rPr>
        <w:drawing>
          <wp:inline distT="0" distB="0" distL="0" distR="0">
            <wp:extent cx="409575" cy="1905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pic:spPr>
                </pic:pic>
              </a:graphicData>
            </a:graphic>
          </wp:inline>
        </w:drawing>
      </w:r>
      <w:r w:rsidRPr="00F67610">
        <w:rPr>
          <w:rFonts w:ascii="Times New Roman" w:hAnsi="Times New Roman" w:cs="Times New Roman"/>
        </w:rPr>
        <w:t xml:space="preserve"> – is the correction coefficient for avoided grid losses in relation to electricity that is consumed in a cogeneration plant (Annex 3);</w:t>
      </w:r>
    </w:p>
    <w:p w:rsidR="00C86F11" w:rsidRPr="00F67610" w:rsidRDefault="00A21EE6" w:rsidP="00C86F11">
      <w:pPr>
        <w:spacing w:after="0" w:line="240" w:lineRule="auto"/>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noProof/>
          <w:sz w:val="24"/>
          <w:szCs w:val="24"/>
        </w:rPr>
        <w:drawing>
          <wp:inline distT="0" distB="0" distL="0" distR="0">
            <wp:extent cx="352425" cy="1714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2425" cy="171450"/>
                    </a:xfrm>
                    <a:prstGeom prst="rect">
                      <a:avLst/>
                    </a:prstGeom>
                    <a:noFill/>
                    <a:ln>
                      <a:noFill/>
                    </a:ln>
                  </pic:spPr>
                </pic:pic>
              </a:graphicData>
            </a:graphic>
          </wp:inline>
        </w:drawing>
      </w:r>
      <w:r w:rsidRPr="00F67610">
        <w:rPr>
          <w:rFonts w:ascii="Times New Roman" w:hAnsi="Times New Roman" w:cs="Times New Roman"/>
        </w:rPr>
        <w:t xml:space="preserve"> – is the correction coefficient for avoided grid losses in relation to electricity that is transferred into the grid (Annex 3).</w:t>
      </w:r>
    </w:p>
    <w:p w:rsidR="00A21EE6" w:rsidRPr="00F67610" w:rsidRDefault="00A21EE6"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 xml:space="preserve">7. The electrical efficiency coefficient </w:t>
      </w:r>
      <w:r w:rsidR="00A21EE6" w:rsidRPr="00F67610">
        <w:rPr>
          <w:rFonts w:ascii="Times New Roman" w:eastAsia="Times New Roman" w:hAnsi="Times New Roman" w:cs="Times New Roman"/>
          <w:noProof/>
          <w:sz w:val="24"/>
          <w:szCs w:val="24"/>
        </w:rPr>
        <w:drawing>
          <wp:inline distT="0" distB="0" distL="0" distR="0">
            <wp:extent cx="514350" cy="2381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 cy="238125"/>
                    </a:xfrm>
                    <a:prstGeom prst="rect">
                      <a:avLst/>
                    </a:prstGeom>
                    <a:noFill/>
                    <a:ln>
                      <a:noFill/>
                    </a:ln>
                  </pic:spPr>
                </pic:pic>
              </a:graphicData>
            </a:graphic>
          </wp:inline>
        </w:drawing>
      </w:r>
      <w:r w:rsidRPr="00F67610">
        <w:rPr>
          <w:rFonts w:ascii="Times New Roman" w:hAnsi="Times New Roman" w:cs="Times New Roman"/>
          <w:sz w:val="24"/>
          <w:szCs w:val="24"/>
        </w:rPr>
        <w:t xml:space="preserve"> of cogeneration installations installed in a cogeneration plant within a certain period of time which is not less than four months, shall be calculated, using the following formula:</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65"/>
        <w:gridCol w:w="782"/>
      </w:tblGrid>
      <w:tr w:rsidR="00C86F11" w:rsidRPr="00F67610" w:rsidTr="00CA1789">
        <w:trPr>
          <w:tblCellSpacing w:w="15" w:type="dxa"/>
          <w:jc w:val="center"/>
        </w:trPr>
        <w:tc>
          <w:tcPr>
            <w:tcW w:w="0" w:type="auto"/>
            <w:noWrap/>
            <w:vAlign w:val="center"/>
            <w:hideMark/>
          </w:tcPr>
          <w:p w:rsidR="00C86F11" w:rsidRPr="00F67610" w:rsidRDefault="00A21EE6"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rPr>
              <w:object w:dxaOrig="1590" w:dyaOrig="630">
                <v:shape id="_x0000_i1029" type="#_x0000_t75" style="width:79.5pt;height:31.5pt" o:ole="">
                  <v:imagedata r:id="rId30" o:title=""/>
                </v:shape>
                <o:OLEObject Type="Embed" ProgID="PBrush" ShapeID="_x0000_i1029" DrawAspect="Content" ObjectID="_1561984618" r:id="rId31"/>
              </w:object>
            </w:r>
          </w:p>
        </w:tc>
        <w:tc>
          <w:tcPr>
            <w:tcW w:w="0" w:type="auto"/>
            <w:noWrap/>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 where</w:t>
            </w:r>
          </w:p>
        </w:tc>
      </w:tr>
    </w:tbl>
    <w:p w:rsidR="00C86F11" w:rsidRPr="00F67610" w:rsidRDefault="00A21EE6" w:rsidP="00C86F11">
      <w:pPr>
        <w:spacing w:after="0" w:line="240" w:lineRule="auto"/>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noProof/>
          <w:sz w:val="24"/>
          <w:szCs w:val="24"/>
        </w:rPr>
        <w:drawing>
          <wp:inline distT="0" distB="0" distL="0" distR="0">
            <wp:extent cx="4191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F67610">
        <w:rPr>
          <w:rFonts w:ascii="Times New Roman" w:hAnsi="Times New Roman" w:cs="Times New Roman"/>
        </w:rPr>
        <w:t xml:space="preserve"> – is the amount of electricity produced in cogeneration installations installed in a cogeneration plant within the relevant period of time which is not less than four months (MWh);</w:t>
      </w:r>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i/>
          <w:iCs/>
          <w:sz w:val="24"/>
          <w:szCs w:val="24"/>
        </w:rPr>
        <w:t>B</w:t>
      </w:r>
      <w:r w:rsidRPr="00F67610">
        <w:rPr>
          <w:rFonts w:ascii="Times New Roman" w:hAnsi="Times New Roman" w:cs="Times New Roman"/>
          <w:sz w:val="24"/>
          <w:szCs w:val="24"/>
        </w:rPr>
        <w:t xml:space="preserve"> – is the total amount of fuel consumed for the production of electricity and useful thermal energy in the cogeneration installations installed in a cogeneration plant within the relevant period of time which is not less than four months (MWh).</w:t>
      </w:r>
    </w:p>
    <w:p w:rsidR="00A21EE6" w:rsidRPr="00F67610" w:rsidRDefault="00A21EE6"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 xml:space="preserve">8. The heat efficiency coefficient </w:t>
      </w:r>
      <w:r w:rsidR="00A21EE6" w:rsidRPr="00F67610">
        <w:rPr>
          <w:rFonts w:ascii="Times New Roman" w:eastAsia="Times New Roman" w:hAnsi="Times New Roman" w:cs="Times New Roman"/>
          <w:noProof/>
          <w:sz w:val="24"/>
          <w:szCs w:val="24"/>
        </w:rPr>
        <w:drawing>
          <wp:inline distT="0" distB="0" distL="0" distR="0">
            <wp:extent cx="504825" cy="2381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F67610">
        <w:rPr>
          <w:rFonts w:ascii="Times New Roman" w:hAnsi="Times New Roman" w:cs="Times New Roman"/>
          <w:sz w:val="24"/>
          <w:szCs w:val="24"/>
        </w:rPr>
        <w:t xml:space="preserve"> of cogeneration installations installed in a cogeneration plant within a certain period of time which is not less than four months, shall be calculated, using the following formula:</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75"/>
        <w:gridCol w:w="782"/>
      </w:tblGrid>
      <w:tr w:rsidR="00C86F11" w:rsidRPr="00F67610" w:rsidTr="00CA1789">
        <w:trPr>
          <w:tblCellSpacing w:w="15" w:type="dxa"/>
          <w:jc w:val="center"/>
        </w:trPr>
        <w:tc>
          <w:tcPr>
            <w:tcW w:w="0" w:type="auto"/>
            <w:noWrap/>
            <w:vAlign w:val="center"/>
            <w:hideMark/>
          </w:tcPr>
          <w:p w:rsidR="00C86F11" w:rsidRPr="00F67610" w:rsidRDefault="00946715"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rPr>
              <w:object w:dxaOrig="1500" w:dyaOrig="615">
                <v:shape id="_x0000_i1030" type="#_x0000_t75" style="width:75pt;height:30.75pt" o:ole="">
                  <v:imagedata r:id="rId34" o:title=""/>
                </v:shape>
                <o:OLEObject Type="Embed" ProgID="PBrush" ShapeID="_x0000_i1030" DrawAspect="Content" ObjectID="_1561984619" r:id="rId35"/>
              </w:object>
            </w:r>
          </w:p>
        </w:tc>
        <w:tc>
          <w:tcPr>
            <w:tcW w:w="0" w:type="auto"/>
            <w:noWrap/>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 where</w:t>
            </w:r>
          </w:p>
        </w:tc>
      </w:tr>
    </w:tbl>
    <w:p w:rsidR="00C86F11" w:rsidRPr="00F67610" w:rsidRDefault="00946715" w:rsidP="00C86F11">
      <w:pPr>
        <w:spacing w:after="0" w:line="240" w:lineRule="auto"/>
        <w:jc w:val="both"/>
        <w:rPr>
          <w:rFonts w:ascii="Times New Roman" w:eastAsia="Times New Roman" w:hAnsi="Times New Roman" w:cs="Times New Roman"/>
          <w:noProof/>
          <w:sz w:val="24"/>
          <w:szCs w:val="24"/>
        </w:rPr>
      </w:pPr>
      <w:r w:rsidRPr="00F67610">
        <w:rPr>
          <w:rFonts w:ascii="Times New Roman" w:eastAsia="Times New Roman" w:hAnsi="Times New Roman" w:cs="Times New Roman"/>
          <w:noProof/>
          <w:sz w:val="24"/>
          <w:szCs w:val="24"/>
        </w:rPr>
        <w:drawing>
          <wp:inline distT="0" distB="0" distL="0" distR="0">
            <wp:extent cx="428625" cy="2000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F67610">
        <w:rPr>
          <w:rFonts w:ascii="Times New Roman" w:hAnsi="Times New Roman" w:cs="Times New Roman"/>
        </w:rPr>
        <w:t xml:space="preserve"> – is the amount of the useful thermal energy produced in cogeneration installations installed in a cogeneration plant within the relevant period of time which is not less than four months (MWh);</w:t>
      </w:r>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i/>
          <w:iCs/>
          <w:sz w:val="24"/>
          <w:szCs w:val="24"/>
        </w:rPr>
        <w:t>B</w:t>
      </w:r>
      <w:r w:rsidRPr="00F67610">
        <w:rPr>
          <w:rFonts w:ascii="Times New Roman" w:hAnsi="Times New Roman" w:cs="Times New Roman"/>
          <w:sz w:val="24"/>
          <w:szCs w:val="24"/>
        </w:rPr>
        <w:t xml:space="preserve"> – is the total amount of fuel consumed for the production of electricity and useful thermal energy in the cogeneration installations installed in a cogeneration plant within the relevant period of time which is not less than four months (MWh).</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946715">
      <w:pPr>
        <w:spacing w:after="0" w:line="240" w:lineRule="auto"/>
        <w:jc w:val="center"/>
        <w:rPr>
          <w:rFonts w:ascii="Times New Roman" w:eastAsia="Times New Roman" w:hAnsi="Times New Roman" w:cs="Times New Roman"/>
          <w:b/>
          <w:noProof/>
          <w:sz w:val="24"/>
          <w:szCs w:val="24"/>
        </w:rPr>
      </w:pPr>
      <w:bookmarkStart w:id="12" w:name="590330"/>
      <w:bookmarkEnd w:id="12"/>
      <w:r w:rsidRPr="00F67610">
        <w:rPr>
          <w:rFonts w:ascii="Times New Roman" w:hAnsi="Times New Roman" w:cs="Times New Roman"/>
          <w:b/>
          <w:sz w:val="24"/>
          <w:szCs w:val="24"/>
        </w:rPr>
        <w:t>Informative Reference to the European Union Directive</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946715">
      <w:pPr>
        <w:spacing w:after="0" w:line="240" w:lineRule="auto"/>
        <w:ind w:firstLine="709"/>
        <w:jc w:val="both"/>
        <w:rPr>
          <w:rFonts w:ascii="Times New Roman" w:eastAsia="Times New Roman" w:hAnsi="Times New Roman" w:cs="Times New Roman"/>
          <w:noProof/>
          <w:sz w:val="24"/>
          <w:szCs w:val="24"/>
        </w:rPr>
      </w:pPr>
      <w:bookmarkStart w:id="13" w:name="p-590331"/>
      <w:bookmarkEnd w:id="13"/>
      <w:r w:rsidRPr="00F67610">
        <w:rPr>
          <w:rFonts w:ascii="Times New Roman" w:hAnsi="Times New Roman" w:cs="Times New Roman"/>
          <w:sz w:val="24"/>
          <w:szCs w:val="24"/>
        </w:rPr>
        <w:t>This Regulation contains legal norms arising from Directive 2012/27/EU of the European Parliament and of the Council of 25 October 2012 on energy efficiency, amending Directives 2009/125/EC and 2010/30/EU and repealing Directives 2004/8/EC and 2006/32/EC.</w:t>
      </w:r>
      <w:bookmarkStart w:id="14" w:name="p2012"/>
      <w:bookmarkEnd w:id="14"/>
    </w:p>
    <w:p w:rsidR="00946715" w:rsidRPr="00F67610" w:rsidRDefault="00946715" w:rsidP="00946715">
      <w:pPr>
        <w:spacing w:after="0" w:line="240" w:lineRule="auto"/>
        <w:jc w:val="both"/>
        <w:rPr>
          <w:rFonts w:ascii="Times New Roman" w:eastAsia="Times New Roman" w:hAnsi="Times New Roman" w:cs="Times New Roman"/>
          <w:noProof/>
          <w:sz w:val="24"/>
          <w:szCs w:val="24"/>
          <w:lang w:val="en-US" w:eastAsia="lv-LV"/>
        </w:rPr>
      </w:pPr>
    </w:p>
    <w:p w:rsidR="00946715" w:rsidRPr="00F67610" w:rsidRDefault="00946715" w:rsidP="00946715">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A36A55" w:rsidP="00C86F11">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sz w:val="24"/>
          <w:szCs w:val="24"/>
        </w:rPr>
        <w:t>Prime Minister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86F11" w:rsidRPr="00F67610">
        <w:rPr>
          <w:rFonts w:ascii="Times New Roman" w:hAnsi="Times New Roman" w:cs="Times New Roman"/>
          <w:sz w:val="24"/>
          <w:szCs w:val="24"/>
        </w:rPr>
        <w:t>Māris Kučinskis</w:t>
      </w:r>
    </w:p>
    <w:p w:rsidR="00C86F11" w:rsidRPr="00F67610" w:rsidRDefault="00C86F11"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Deputy Prime M</w:t>
      </w:r>
      <w:r w:rsidR="00A36A55">
        <w:rPr>
          <w:rFonts w:ascii="Times New Roman" w:hAnsi="Times New Roman" w:cs="Times New Roman"/>
          <w:sz w:val="24"/>
          <w:szCs w:val="24"/>
        </w:rPr>
        <w:t>inister, Minister for Economics</w:t>
      </w:r>
      <w:r w:rsidR="00A36A55">
        <w:rPr>
          <w:rFonts w:ascii="Times New Roman" w:hAnsi="Times New Roman" w:cs="Times New Roman"/>
          <w:sz w:val="24"/>
          <w:szCs w:val="24"/>
        </w:rPr>
        <w:tab/>
      </w:r>
      <w:r w:rsidR="00A36A55">
        <w:rPr>
          <w:rFonts w:ascii="Times New Roman" w:hAnsi="Times New Roman" w:cs="Times New Roman"/>
          <w:sz w:val="24"/>
          <w:szCs w:val="24"/>
        </w:rPr>
        <w:tab/>
      </w:r>
      <w:r w:rsidR="00A36A55">
        <w:rPr>
          <w:rFonts w:ascii="Times New Roman" w:hAnsi="Times New Roman" w:cs="Times New Roman"/>
          <w:sz w:val="24"/>
          <w:szCs w:val="24"/>
        </w:rPr>
        <w:tab/>
      </w:r>
      <w:r w:rsidR="00A36A55">
        <w:rPr>
          <w:rFonts w:ascii="Times New Roman" w:hAnsi="Times New Roman" w:cs="Times New Roman"/>
          <w:sz w:val="24"/>
          <w:szCs w:val="24"/>
        </w:rPr>
        <w:tab/>
      </w:r>
      <w:r w:rsidRPr="00F67610">
        <w:rPr>
          <w:rFonts w:ascii="Times New Roman" w:hAnsi="Times New Roman" w:cs="Times New Roman"/>
          <w:sz w:val="24"/>
          <w:szCs w:val="24"/>
        </w:rPr>
        <w:t>Arvils Ašeradens</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946715" w:rsidRPr="00F67610" w:rsidRDefault="00946715">
      <w:pPr>
        <w:rPr>
          <w:rFonts w:ascii="Times New Roman" w:eastAsia="Times New Roman" w:hAnsi="Times New Roman" w:cs="Times New Roman"/>
          <w:noProof/>
          <w:sz w:val="24"/>
          <w:szCs w:val="24"/>
        </w:rPr>
      </w:pPr>
      <w:r w:rsidRPr="00F67610">
        <w:rPr>
          <w:rFonts w:ascii="Times New Roman" w:hAnsi="Times New Roman" w:cs="Times New Roman"/>
        </w:rPr>
        <w:br w:type="page"/>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946715">
      <w:pPr>
        <w:spacing w:after="0" w:line="240" w:lineRule="auto"/>
        <w:jc w:val="right"/>
        <w:rPr>
          <w:rFonts w:ascii="Times New Roman" w:eastAsia="Times New Roman" w:hAnsi="Times New Roman" w:cs="Times New Roman"/>
          <w:b/>
          <w:noProof/>
          <w:sz w:val="24"/>
          <w:szCs w:val="24"/>
        </w:rPr>
      </w:pPr>
      <w:r w:rsidRPr="00F67610">
        <w:rPr>
          <w:rFonts w:ascii="Times New Roman" w:hAnsi="Times New Roman" w:cs="Times New Roman"/>
          <w:b/>
          <w:sz w:val="24"/>
          <w:szCs w:val="24"/>
        </w:rPr>
        <w:t>Annex 1</w:t>
      </w:r>
    </w:p>
    <w:p w:rsidR="00C86F11" w:rsidRPr="00F67610" w:rsidRDefault="00FD0568" w:rsidP="00FD0568">
      <w:pPr>
        <w:spacing w:after="0" w:line="240" w:lineRule="auto"/>
        <w:jc w:val="right"/>
        <w:rPr>
          <w:rFonts w:ascii="Times New Roman" w:eastAsia="Times New Roman" w:hAnsi="Times New Roman" w:cs="Times New Roman"/>
          <w:noProof/>
          <w:sz w:val="24"/>
          <w:szCs w:val="24"/>
        </w:rPr>
      </w:pPr>
      <w:r>
        <w:rPr>
          <w:rFonts w:ascii="Times New Roman" w:hAnsi="Times New Roman" w:cs="Times New Roman"/>
          <w:sz w:val="24"/>
          <w:szCs w:val="24"/>
        </w:rPr>
        <w:t xml:space="preserve">Cabinet </w:t>
      </w:r>
      <w:r w:rsidR="00C86F11" w:rsidRPr="00F67610">
        <w:rPr>
          <w:rFonts w:ascii="Times New Roman" w:hAnsi="Times New Roman" w:cs="Times New Roman"/>
          <w:sz w:val="24"/>
          <w:szCs w:val="24"/>
        </w:rPr>
        <w:t>Regulation No. 294</w:t>
      </w:r>
    </w:p>
    <w:p w:rsidR="00C86F11" w:rsidRPr="00F67610" w:rsidRDefault="00C86F11" w:rsidP="00946715">
      <w:pPr>
        <w:spacing w:after="0" w:line="240" w:lineRule="auto"/>
        <w:jc w:val="right"/>
        <w:rPr>
          <w:rFonts w:ascii="Times New Roman" w:eastAsia="Times New Roman" w:hAnsi="Times New Roman" w:cs="Times New Roman"/>
          <w:noProof/>
          <w:sz w:val="24"/>
          <w:szCs w:val="24"/>
        </w:rPr>
      </w:pPr>
      <w:r w:rsidRPr="00F67610">
        <w:rPr>
          <w:rFonts w:ascii="Times New Roman" w:hAnsi="Times New Roman" w:cs="Times New Roman"/>
          <w:sz w:val="24"/>
          <w:szCs w:val="24"/>
        </w:rPr>
        <w:t>17 May 2016</w:t>
      </w:r>
      <w:bookmarkStart w:id="15" w:name="piel1"/>
      <w:bookmarkEnd w:id="15"/>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946715">
      <w:pPr>
        <w:spacing w:after="0" w:line="240" w:lineRule="auto"/>
        <w:jc w:val="center"/>
        <w:rPr>
          <w:rFonts w:ascii="Times New Roman" w:eastAsia="Times New Roman" w:hAnsi="Times New Roman" w:cs="Times New Roman"/>
          <w:b/>
          <w:noProof/>
          <w:sz w:val="28"/>
          <w:szCs w:val="28"/>
        </w:rPr>
      </w:pPr>
      <w:bookmarkStart w:id="16" w:name="590334"/>
      <w:bookmarkEnd w:id="16"/>
      <w:r w:rsidRPr="00F67610">
        <w:rPr>
          <w:rFonts w:ascii="Times New Roman" w:hAnsi="Times New Roman" w:cs="Times New Roman"/>
          <w:b/>
          <w:sz w:val="28"/>
          <w:szCs w:val="28"/>
        </w:rPr>
        <w:t>Proportion between Electricity Produced in Cogeneration and Useful Thermal Energy for Different Cogeneration Technologies</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7"/>
        <w:gridCol w:w="5069"/>
        <w:gridCol w:w="3119"/>
      </w:tblGrid>
      <w:tr w:rsidR="00C86F11" w:rsidRPr="00F67610" w:rsidTr="00A36A55">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No.</w:t>
            </w:r>
          </w:p>
        </w:tc>
        <w:tc>
          <w:tcPr>
            <w:tcW w:w="278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Cogeneration technology</w:t>
            </w:r>
          </w:p>
        </w:tc>
        <w:tc>
          <w:tcPr>
            <w:tcW w:w="169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Energy and heat proportion α</w:t>
            </w:r>
          </w:p>
        </w:tc>
      </w:tr>
      <w:tr w:rsidR="00C86F11" w:rsidRPr="00F67610" w:rsidTr="00A36A55">
        <w:trPr>
          <w:tblCellSpacing w:w="15" w:type="dxa"/>
        </w:trPr>
        <w:tc>
          <w:tcPr>
            <w:tcW w:w="454" w:type="pct"/>
            <w:tcBorders>
              <w:top w:val="outset" w:sz="6" w:space="0" w:color="auto"/>
              <w:left w:val="outset" w:sz="6" w:space="0" w:color="auto"/>
              <w:bottom w:val="outset" w:sz="6" w:space="0" w:color="auto"/>
              <w:right w:val="outset" w:sz="6" w:space="0" w:color="auto"/>
            </w:tcBorders>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1.</w:t>
            </w:r>
          </w:p>
        </w:tc>
        <w:tc>
          <w:tcPr>
            <w:tcW w:w="2782" w:type="pct"/>
            <w:tcBorders>
              <w:top w:val="outset" w:sz="6" w:space="0" w:color="auto"/>
              <w:left w:val="outset" w:sz="6" w:space="0" w:color="auto"/>
              <w:bottom w:val="outset" w:sz="6" w:space="0" w:color="auto"/>
              <w:right w:val="outset" w:sz="6" w:space="0" w:color="auto"/>
            </w:tcBorders>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Combined cycle gas turbine with heat recovery</w:t>
            </w:r>
          </w:p>
        </w:tc>
        <w:tc>
          <w:tcPr>
            <w:tcW w:w="1697" w:type="pct"/>
            <w:tcBorders>
              <w:top w:val="outset" w:sz="6" w:space="0" w:color="auto"/>
              <w:left w:val="outset" w:sz="6" w:space="0" w:color="auto"/>
              <w:bottom w:val="outset" w:sz="6" w:space="0" w:color="auto"/>
              <w:right w:val="outset" w:sz="6" w:space="0" w:color="auto"/>
            </w:tcBorders>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0.95</w:t>
            </w:r>
          </w:p>
        </w:tc>
      </w:tr>
      <w:tr w:rsidR="00C86F11" w:rsidRPr="00F67610" w:rsidTr="00A36A55">
        <w:trPr>
          <w:tblCellSpacing w:w="15" w:type="dxa"/>
        </w:trPr>
        <w:tc>
          <w:tcPr>
            <w:tcW w:w="454" w:type="pct"/>
            <w:tcBorders>
              <w:top w:val="outset" w:sz="6" w:space="0" w:color="auto"/>
              <w:left w:val="outset" w:sz="6" w:space="0" w:color="auto"/>
              <w:bottom w:val="outset" w:sz="6" w:space="0" w:color="auto"/>
              <w:right w:val="outset" w:sz="6" w:space="0" w:color="auto"/>
            </w:tcBorders>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2.</w:t>
            </w:r>
          </w:p>
        </w:tc>
        <w:tc>
          <w:tcPr>
            <w:tcW w:w="278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Steam condensing extraction turbine with a steam discharge pipeline for heat supply</w:t>
            </w:r>
          </w:p>
        </w:tc>
        <w:tc>
          <w:tcPr>
            <w:tcW w:w="169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0.45</w:t>
            </w:r>
          </w:p>
        </w:tc>
      </w:tr>
      <w:tr w:rsidR="00C86F11" w:rsidRPr="00F67610" w:rsidTr="00A36A55">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3.</w:t>
            </w:r>
          </w:p>
        </w:tc>
        <w:tc>
          <w:tcPr>
            <w:tcW w:w="278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Steam backpressure turbine</w:t>
            </w:r>
          </w:p>
        </w:tc>
        <w:tc>
          <w:tcPr>
            <w:tcW w:w="169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0.45</w:t>
            </w:r>
          </w:p>
        </w:tc>
      </w:tr>
      <w:tr w:rsidR="00C86F11" w:rsidRPr="00F67610" w:rsidTr="00A36A55">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4.</w:t>
            </w:r>
          </w:p>
        </w:tc>
        <w:tc>
          <w:tcPr>
            <w:tcW w:w="278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Gas turbine with heat recovery</w:t>
            </w:r>
          </w:p>
        </w:tc>
        <w:tc>
          <w:tcPr>
            <w:tcW w:w="169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0.55</w:t>
            </w:r>
          </w:p>
        </w:tc>
      </w:tr>
      <w:tr w:rsidR="00C86F11" w:rsidRPr="00F67610" w:rsidTr="00A36A55">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5.</w:t>
            </w:r>
          </w:p>
        </w:tc>
        <w:tc>
          <w:tcPr>
            <w:tcW w:w="278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Internal combustion engine</w:t>
            </w:r>
          </w:p>
        </w:tc>
        <w:tc>
          <w:tcPr>
            <w:tcW w:w="169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0.75</w:t>
            </w:r>
          </w:p>
        </w:tc>
      </w:tr>
    </w:tbl>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Deputy Prime M</w:t>
      </w:r>
      <w:r w:rsidR="00FD0568">
        <w:rPr>
          <w:rFonts w:ascii="Times New Roman" w:hAnsi="Times New Roman" w:cs="Times New Roman"/>
          <w:sz w:val="24"/>
          <w:szCs w:val="24"/>
        </w:rPr>
        <w:t>inister, Minister for Economics</w:t>
      </w:r>
      <w:r w:rsidR="00FD0568">
        <w:rPr>
          <w:rFonts w:ascii="Times New Roman" w:hAnsi="Times New Roman" w:cs="Times New Roman"/>
          <w:sz w:val="24"/>
          <w:szCs w:val="24"/>
        </w:rPr>
        <w:tab/>
      </w:r>
      <w:r w:rsidR="00FD0568">
        <w:rPr>
          <w:rFonts w:ascii="Times New Roman" w:hAnsi="Times New Roman" w:cs="Times New Roman"/>
          <w:sz w:val="24"/>
          <w:szCs w:val="24"/>
        </w:rPr>
        <w:tab/>
      </w:r>
      <w:r w:rsidR="00FD0568">
        <w:rPr>
          <w:rFonts w:ascii="Times New Roman" w:hAnsi="Times New Roman" w:cs="Times New Roman"/>
          <w:sz w:val="24"/>
          <w:szCs w:val="24"/>
        </w:rPr>
        <w:tab/>
      </w:r>
      <w:r w:rsidR="00FD0568">
        <w:rPr>
          <w:rFonts w:ascii="Times New Roman" w:hAnsi="Times New Roman" w:cs="Times New Roman"/>
          <w:sz w:val="24"/>
          <w:szCs w:val="24"/>
        </w:rPr>
        <w:tab/>
      </w:r>
      <w:r w:rsidRPr="00F67610">
        <w:rPr>
          <w:rFonts w:ascii="Times New Roman" w:hAnsi="Times New Roman" w:cs="Times New Roman"/>
          <w:sz w:val="24"/>
          <w:szCs w:val="24"/>
        </w:rPr>
        <w:t>Arvils Ašeradens</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946715" w:rsidRPr="00F67610" w:rsidRDefault="00946715">
      <w:pPr>
        <w:rPr>
          <w:rFonts w:ascii="Times New Roman" w:eastAsia="Times New Roman" w:hAnsi="Times New Roman" w:cs="Times New Roman"/>
          <w:noProof/>
          <w:sz w:val="24"/>
          <w:szCs w:val="24"/>
        </w:rPr>
      </w:pPr>
      <w:r w:rsidRPr="00F67610">
        <w:rPr>
          <w:rFonts w:ascii="Times New Roman" w:hAnsi="Times New Roman" w:cs="Times New Roman"/>
        </w:rPr>
        <w:br w:type="page"/>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946715">
      <w:pPr>
        <w:spacing w:after="0" w:line="240" w:lineRule="auto"/>
        <w:jc w:val="right"/>
        <w:rPr>
          <w:rFonts w:ascii="Times New Roman" w:eastAsia="Times New Roman" w:hAnsi="Times New Roman" w:cs="Times New Roman"/>
          <w:b/>
          <w:noProof/>
          <w:sz w:val="24"/>
          <w:szCs w:val="24"/>
        </w:rPr>
      </w:pPr>
      <w:r w:rsidRPr="00F67610">
        <w:rPr>
          <w:rFonts w:ascii="Times New Roman" w:hAnsi="Times New Roman" w:cs="Times New Roman"/>
          <w:b/>
          <w:sz w:val="24"/>
          <w:szCs w:val="24"/>
        </w:rPr>
        <w:t>Annex 2</w:t>
      </w:r>
    </w:p>
    <w:p w:rsidR="00C86F11" w:rsidRPr="00F67610" w:rsidRDefault="00C86F11" w:rsidP="00C5728D">
      <w:pPr>
        <w:spacing w:after="0" w:line="240" w:lineRule="auto"/>
        <w:jc w:val="right"/>
        <w:rPr>
          <w:rFonts w:ascii="Times New Roman" w:eastAsia="Times New Roman" w:hAnsi="Times New Roman" w:cs="Times New Roman"/>
          <w:noProof/>
          <w:sz w:val="24"/>
          <w:szCs w:val="24"/>
        </w:rPr>
      </w:pPr>
      <w:r w:rsidRPr="00F67610">
        <w:rPr>
          <w:rFonts w:ascii="Times New Roman" w:hAnsi="Times New Roman" w:cs="Times New Roman"/>
          <w:sz w:val="24"/>
          <w:szCs w:val="24"/>
        </w:rPr>
        <w:t>Cabinet</w:t>
      </w:r>
      <w:r w:rsidR="00C5728D">
        <w:rPr>
          <w:rFonts w:ascii="Times New Roman" w:eastAsia="Times New Roman" w:hAnsi="Times New Roman" w:cs="Times New Roman"/>
          <w:noProof/>
          <w:sz w:val="24"/>
          <w:szCs w:val="24"/>
        </w:rPr>
        <w:t xml:space="preserve"> </w:t>
      </w:r>
      <w:r w:rsidRPr="00F67610">
        <w:rPr>
          <w:rFonts w:ascii="Times New Roman" w:hAnsi="Times New Roman" w:cs="Times New Roman"/>
          <w:sz w:val="24"/>
          <w:szCs w:val="24"/>
        </w:rPr>
        <w:t>Regulation No. 294</w:t>
      </w:r>
    </w:p>
    <w:p w:rsidR="00C86F11" w:rsidRPr="00F67610" w:rsidRDefault="00C86F11" w:rsidP="00946715">
      <w:pPr>
        <w:spacing w:after="0" w:line="240" w:lineRule="auto"/>
        <w:jc w:val="right"/>
        <w:rPr>
          <w:rFonts w:ascii="Times New Roman" w:eastAsia="Times New Roman" w:hAnsi="Times New Roman" w:cs="Times New Roman"/>
          <w:noProof/>
          <w:sz w:val="24"/>
          <w:szCs w:val="24"/>
        </w:rPr>
      </w:pPr>
      <w:r w:rsidRPr="00F67610">
        <w:rPr>
          <w:rFonts w:ascii="Times New Roman" w:hAnsi="Times New Roman" w:cs="Times New Roman"/>
          <w:sz w:val="24"/>
          <w:szCs w:val="24"/>
        </w:rPr>
        <w:t>17 May 2016</w:t>
      </w:r>
      <w:bookmarkStart w:id="17" w:name="piel2"/>
      <w:bookmarkEnd w:id="17"/>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946715">
      <w:pPr>
        <w:spacing w:after="0" w:line="240" w:lineRule="auto"/>
        <w:jc w:val="center"/>
        <w:rPr>
          <w:rFonts w:ascii="Times New Roman" w:eastAsia="Times New Roman" w:hAnsi="Times New Roman" w:cs="Times New Roman"/>
          <w:b/>
          <w:noProof/>
          <w:sz w:val="28"/>
          <w:szCs w:val="28"/>
        </w:rPr>
      </w:pPr>
      <w:bookmarkStart w:id="18" w:name="590338"/>
      <w:bookmarkEnd w:id="18"/>
      <w:r w:rsidRPr="00F67610">
        <w:rPr>
          <w:rFonts w:ascii="Times New Roman" w:hAnsi="Times New Roman" w:cs="Times New Roman"/>
          <w:b/>
          <w:sz w:val="28"/>
          <w:szCs w:val="28"/>
        </w:rPr>
        <w:t>Efficiency Coefficients</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946715">
      <w:pPr>
        <w:spacing w:after="0" w:line="240" w:lineRule="auto"/>
        <w:jc w:val="center"/>
        <w:rPr>
          <w:rFonts w:ascii="Times New Roman" w:eastAsia="Times New Roman" w:hAnsi="Times New Roman" w:cs="Times New Roman"/>
          <w:b/>
          <w:bCs/>
          <w:noProof/>
          <w:sz w:val="24"/>
          <w:szCs w:val="24"/>
        </w:rPr>
      </w:pPr>
      <w:r w:rsidRPr="00F67610">
        <w:rPr>
          <w:rFonts w:ascii="Times New Roman" w:hAnsi="Times New Roman" w:cs="Times New Roman"/>
          <w:b/>
          <w:bCs/>
          <w:sz w:val="24"/>
          <w:szCs w:val="24"/>
        </w:rPr>
        <w:t>I. Harmonised efficiency reference values with climate correction for individual production of electricity</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946715">
      <w:pPr>
        <w:spacing w:after="0" w:line="240" w:lineRule="auto"/>
        <w:jc w:val="right"/>
        <w:rPr>
          <w:rFonts w:ascii="Times New Roman" w:eastAsia="Times New Roman" w:hAnsi="Times New Roman" w:cs="Times New Roman"/>
          <w:noProof/>
          <w:sz w:val="24"/>
          <w:szCs w:val="24"/>
        </w:rPr>
      </w:pPr>
      <w:r w:rsidRPr="00F67610">
        <w:rPr>
          <w:rFonts w:ascii="Times New Roman" w:hAnsi="Times New Roman" w:cs="Times New Roman"/>
          <w:sz w:val="24"/>
          <w:szCs w:val="24"/>
        </w:rPr>
        <w:t>Table 1</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60"/>
        <w:gridCol w:w="1118"/>
        <w:gridCol w:w="3598"/>
        <w:gridCol w:w="983"/>
        <w:gridCol w:w="983"/>
        <w:gridCol w:w="1113"/>
      </w:tblGrid>
      <w:tr w:rsidR="00C86F11" w:rsidRPr="00F67610" w:rsidTr="00902ACF">
        <w:trPr>
          <w:tblCellSpacing w:w="15" w:type="dxa"/>
        </w:trPr>
        <w:tc>
          <w:tcPr>
            <w:tcW w:w="675"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Fuel</w:t>
            </w:r>
          </w:p>
        </w:tc>
        <w:tc>
          <w:tcPr>
            <w:tcW w:w="605"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Category</w:t>
            </w:r>
          </w:p>
        </w:tc>
        <w:tc>
          <w:tcPr>
            <w:tcW w:w="1984"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Type of fuel</w:t>
            </w:r>
          </w:p>
        </w:tc>
        <w:tc>
          <w:tcPr>
            <w:tcW w:w="1654" w:type="pct"/>
            <w:gridSpan w:val="3"/>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The year of the putting into service of a cogeneration plant</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1984"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lang w:val="en-US" w:eastAsia="lv-LV"/>
              </w:rPr>
            </w:pP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2012 and earlier</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2012-2015</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2016 and later</w:t>
            </w:r>
          </w:p>
        </w:tc>
      </w:tr>
      <w:tr w:rsidR="00C86F11" w:rsidRPr="00F67610" w:rsidTr="00902ACF">
        <w:trPr>
          <w:tblCellSpacing w:w="15" w:type="dxa"/>
        </w:trPr>
        <w:tc>
          <w:tcPr>
            <w:tcW w:w="675"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Solid fuel</w:t>
            </w: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S1</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Hard coal, including anthracite, bituminous coal, sub-bituminous coal, coke, semicoke, petroleum coke</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0.442</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0.442</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0.442</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S2</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Lignite, lignite briquettes, shale oil</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0.418</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0.418</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0.418</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S3</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Peat, peat briquettes</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0.390</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0.390</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0.390</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S4</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Dry biomass, including wood pellets and briquettes, dried woodchips, clean wood residues, nutshells and olive and other stones</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0.330</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0.330</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0.370</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S5</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Other solid biomass, including solid biomass of all types which is not listed in Category S4, as well as black and brown liquor</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0.250</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0.250</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0.300</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S6</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Municipal and industrial waste (non-renewable) and renewable/biologically degradable waste</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0.250</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0.250</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0.250</w:t>
            </w:r>
          </w:p>
        </w:tc>
      </w:tr>
      <w:tr w:rsidR="00C86F11" w:rsidRPr="00F67610" w:rsidTr="00902ACF">
        <w:trPr>
          <w:tblCellSpacing w:w="15" w:type="dxa"/>
        </w:trPr>
        <w:tc>
          <w:tcPr>
            <w:tcW w:w="675"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Liquid fuel</w:t>
            </w: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L7</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Heavy fuel oil, gas oil, diesel oil, other oil products</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0.442</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0.442</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0.442</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L8</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Biofuels, including biomethanol, bioethanol, biobutanol, biodiesel and other biofuels</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0.442</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0.442</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0.442</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L9</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Liquid waste, including biologically degradable waste and non-renewable waste (including pyrolysis oil, melted fat, fat, and spent grain)</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0.250</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0.250</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0.290</w:t>
            </w:r>
          </w:p>
        </w:tc>
      </w:tr>
      <w:tr w:rsidR="00C86F11" w:rsidRPr="00F67610" w:rsidTr="00902ACF">
        <w:trPr>
          <w:tblCellSpacing w:w="15" w:type="dxa"/>
        </w:trPr>
        <w:tc>
          <w:tcPr>
            <w:tcW w:w="675"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Gaseous fuel</w:t>
            </w: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G10</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Natural gas, LPG, LNG and biomethane</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0.533</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0.533</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0.538</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G11</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Refinery gas, hydrogen and synthesis gas</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0.450</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0.450</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0.450</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G12</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Biogas which has been obtained from anaerobic digestion, waste landfill and sewage treatment</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0.428</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0.428</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0.428</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G13</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Coke gas, blast furnace gas, mining gas and other recoverable gases (except refinery gas)</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0.358</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0.358</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0.358</w:t>
            </w:r>
          </w:p>
        </w:tc>
      </w:tr>
      <w:tr w:rsidR="00C86F11" w:rsidRPr="00F67610" w:rsidTr="00902ACF">
        <w:trPr>
          <w:tblCellSpacing w:w="15" w:type="dxa"/>
        </w:trPr>
        <w:tc>
          <w:tcPr>
            <w:tcW w:w="675"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Other</w:t>
            </w: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O14</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Waste heat (including exhaust gases of high temperature processes, products of exothermic chemical reaction)</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0.300</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O15</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Nuclear energy</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0.300</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O16</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Solar energy</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0.300</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O17</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Geothermal energy</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0.300</w:t>
            </w:r>
          </w:p>
        </w:tc>
      </w:tr>
      <w:tr w:rsidR="00C86F11" w:rsidRPr="00F67610" w:rsidTr="00902ACF">
        <w:trPr>
          <w:tblCellSpacing w:w="15" w:type="dxa"/>
        </w:trPr>
        <w:tc>
          <w:tcPr>
            <w:tcW w:w="675"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O18</w:t>
            </w:r>
          </w:p>
        </w:tc>
        <w:tc>
          <w:tcPr>
            <w:tcW w:w="19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Other fuel which is not referred to in this Table</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c>
          <w:tcPr>
            <w:tcW w:w="530"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c>
          <w:tcPr>
            <w:tcW w:w="562"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0.300</w:t>
            </w:r>
          </w:p>
        </w:tc>
      </w:tr>
    </w:tbl>
    <w:p w:rsidR="00946715" w:rsidRPr="00F67610" w:rsidRDefault="00946715" w:rsidP="00C86F11">
      <w:pPr>
        <w:spacing w:after="0" w:line="240" w:lineRule="auto"/>
        <w:jc w:val="both"/>
        <w:rPr>
          <w:rFonts w:ascii="Times New Roman" w:eastAsia="Times New Roman" w:hAnsi="Times New Roman" w:cs="Times New Roman"/>
          <w:b/>
          <w:bCs/>
          <w:noProof/>
          <w:sz w:val="24"/>
          <w:szCs w:val="24"/>
          <w:lang w:val="en-US" w:eastAsia="lv-LV"/>
        </w:rPr>
      </w:pPr>
    </w:p>
    <w:p w:rsidR="00C86F11" w:rsidRPr="00F67610" w:rsidRDefault="00C86F11" w:rsidP="00946715">
      <w:pPr>
        <w:spacing w:after="0" w:line="240" w:lineRule="auto"/>
        <w:jc w:val="center"/>
        <w:rPr>
          <w:rFonts w:ascii="Times New Roman" w:eastAsia="Times New Roman" w:hAnsi="Times New Roman" w:cs="Times New Roman"/>
          <w:b/>
          <w:bCs/>
          <w:noProof/>
          <w:sz w:val="24"/>
          <w:szCs w:val="24"/>
        </w:rPr>
      </w:pPr>
      <w:r w:rsidRPr="00F67610">
        <w:rPr>
          <w:rFonts w:ascii="Times New Roman" w:hAnsi="Times New Roman" w:cs="Times New Roman"/>
          <w:b/>
          <w:bCs/>
          <w:sz w:val="24"/>
          <w:szCs w:val="24"/>
        </w:rPr>
        <w:t>II. Efficiency Coefficients for Separate Production of Thermal Energy</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946715">
      <w:pPr>
        <w:spacing w:after="0" w:line="240" w:lineRule="auto"/>
        <w:jc w:val="right"/>
        <w:rPr>
          <w:rFonts w:ascii="Times New Roman" w:eastAsia="Times New Roman" w:hAnsi="Times New Roman" w:cs="Times New Roman"/>
          <w:noProof/>
          <w:sz w:val="24"/>
          <w:szCs w:val="24"/>
        </w:rPr>
      </w:pPr>
      <w:r w:rsidRPr="00F67610">
        <w:rPr>
          <w:rFonts w:ascii="Times New Roman" w:hAnsi="Times New Roman" w:cs="Times New Roman"/>
          <w:sz w:val="24"/>
          <w:szCs w:val="24"/>
        </w:rPr>
        <w:t>Table 2</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32"/>
        <w:gridCol w:w="1111"/>
        <w:gridCol w:w="3255"/>
        <w:gridCol w:w="886"/>
        <w:gridCol w:w="960"/>
        <w:gridCol w:w="1611"/>
      </w:tblGrid>
      <w:tr w:rsidR="00C86F11" w:rsidRPr="00F67610" w:rsidTr="00946715">
        <w:trPr>
          <w:tblCellSpacing w:w="15" w:type="dxa"/>
        </w:trPr>
        <w:tc>
          <w:tcPr>
            <w:tcW w:w="668"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Fuel</w:t>
            </w:r>
          </w:p>
        </w:tc>
        <w:tc>
          <w:tcPr>
            <w:tcW w:w="609"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Category</w:t>
            </w:r>
          </w:p>
        </w:tc>
        <w:tc>
          <w:tcPr>
            <w:tcW w:w="1801"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Type of fuel</w:t>
            </w:r>
          </w:p>
        </w:tc>
        <w:tc>
          <w:tcPr>
            <w:tcW w:w="1839" w:type="pct"/>
            <w:gridSpan w:val="3"/>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Type of use of thermal energy</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1801"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lang w:val="en-US" w:eastAsia="lv-LV"/>
              </w:rPr>
            </w:pP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Hot water</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Vapour*</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Direct use of waste gases**</w:t>
            </w:r>
          </w:p>
        </w:tc>
      </w:tr>
      <w:tr w:rsidR="00C86F11" w:rsidRPr="00F67610" w:rsidTr="00946715">
        <w:trPr>
          <w:tblCellSpacing w:w="15" w:type="dxa"/>
        </w:trPr>
        <w:tc>
          <w:tcPr>
            <w:tcW w:w="668"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Solid fuel</w:t>
            </w: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S1</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Hard coal, including anthracite, bituminous coal, sub-bituminous coal, coke, semicoke, petroleum coke</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0.88</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0.83</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0.80</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S2</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Lignite, lignite briquettes, shale oil</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0.86</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0.81</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0.78</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S3</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Peat, peat briquettes</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0.86</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0.81</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0.78</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S4</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Dry biomass, including wood pellets and briquettes, dried woodchips, clean wood residues, nutshells and olive and other stones</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0.86</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0.81</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0.78</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S5</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Other solid biomass, including solid biomass of all types which is not listed in Category S4, as well as black and brown liquor</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0.80</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0.75</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0.72</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S6</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Municipal and industrial waste (non-renewable) and renewable/biologically degradable waste</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0.80</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0.75</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0.72</w:t>
            </w:r>
          </w:p>
        </w:tc>
      </w:tr>
      <w:tr w:rsidR="00C86F11" w:rsidRPr="00F67610" w:rsidTr="00946715">
        <w:trPr>
          <w:tblCellSpacing w:w="15" w:type="dxa"/>
        </w:trPr>
        <w:tc>
          <w:tcPr>
            <w:tcW w:w="668"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Liquid fuel</w:t>
            </w: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L7</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Heavy fuel oil, gas oil, diesel oil, other oil products</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0.85</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0.80</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0.77</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L8</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Biofuels, including biomethanol, bioethanol, biobutanol, biodiesel and other biofuels</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0.85</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0.80</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0.77</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L9</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Liquid waste, including biologically degradable waste and non-renewable waste (including pyrolysis oil, melted fat, fat, and spent grain)</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0.75</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0.70</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0.67</w:t>
            </w:r>
          </w:p>
        </w:tc>
      </w:tr>
      <w:tr w:rsidR="00C86F11" w:rsidRPr="00F67610" w:rsidTr="00946715">
        <w:trPr>
          <w:tblCellSpacing w:w="15" w:type="dxa"/>
        </w:trPr>
        <w:tc>
          <w:tcPr>
            <w:tcW w:w="668"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Gaseous fuel</w:t>
            </w: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G10</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Natural gas, LPG, LNG and biomethane</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0.92</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0.87</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0.84</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G11</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Refinery gas, hydrogen and synthesis gas</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0.90</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0.85</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0.82</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G12</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Biogas which has been obtained from anaerobic digestion, waste landfill and sewage treatment</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0.80</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0.75</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0.72</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G13</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Coke gas, blast furnace gas, mining gas and other recoverable gases (except refinery gas)</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0.80</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0.75</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0.72</w:t>
            </w:r>
          </w:p>
        </w:tc>
      </w:tr>
      <w:tr w:rsidR="00C86F11" w:rsidRPr="00F67610" w:rsidTr="00946715">
        <w:trPr>
          <w:tblCellSpacing w:w="15" w:type="dxa"/>
        </w:trPr>
        <w:tc>
          <w:tcPr>
            <w:tcW w:w="668" w:type="pct"/>
            <w:vMerge w:val="restar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Other</w:t>
            </w: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O14</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Waste heat (including exhaust gases of high temperature processes, products of exothermic chemical reaction)</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0.92</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0.87</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O15</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Nuclear energy</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0.92</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0.87</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O16</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Solar energy</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0.92</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0.87</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O17</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Geothermal energy</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0.92</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0.87</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r>
      <w:tr w:rsidR="00C86F11" w:rsidRPr="00F67610" w:rsidTr="00946715">
        <w:trPr>
          <w:tblCellSpacing w:w="15" w:type="dxa"/>
        </w:trPr>
        <w:tc>
          <w:tcPr>
            <w:tcW w:w="668" w:type="pct"/>
            <w:vMerge/>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lang w:val="en-US" w:eastAsia="lv-LV"/>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O18</w:t>
            </w:r>
          </w:p>
        </w:tc>
        <w:tc>
          <w:tcPr>
            <w:tcW w:w="1801"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Other fuel which is not referred to in this Table</w:t>
            </w:r>
          </w:p>
        </w:tc>
        <w:tc>
          <w:tcPr>
            <w:tcW w:w="484"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0.92</w:t>
            </w:r>
          </w:p>
        </w:tc>
        <w:tc>
          <w:tcPr>
            <w:tcW w:w="477"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0.87</w:t>
            </w:r>
          </w:p>
        </w:tc>
        <w:tc>
          <w:tcPr>
            <w:tcW w:w="845" w:type="pct"/>
            <w:tcBorders>
              <w:top w:val="outset" w:sz="6" w:space="0" w:color="auto"/>
              <w:left w:val="outset" w:sz="6" w:space="0" w:color="auto"/>
              <w:bottom w:val="outset" w:sz="6" w:space="0" w:color="auto"/>
              <w:right w:val="outset" w:sz="6" w:space="0" w:color="auto"/>
            </w:tcBorders>
            <w:vAlign w:val="center"/>
            <w:hideMark/>
          </w:tcPr>
          <w:p w:rsidR="00C86F11" w:rsidRPr="00F67610" w:rsidRDefault="00C86F11" w:rsidP="00946715">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w:t>
            </w:r>
          </w:p>
        </w:tc>
      </w:tr>
    </w:tbl>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Notes.</w:t>
      </w:r>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1. * These values must be used by units which operate with vapour and have been put into operation after 31 December 2015. If such units, upon calculating the efficiency coefficient for individual production of thermal energy, do not take into account recovery of condensate, then the values indicated in the Table in case of vapour must be increased by 5 per cent by volume.</w:t>
      </w:r>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2. ** Such values must be used, if the temperature of waste gases is 250°C or higher.</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Deputy Prime M</w:t>
      </w:r>
      <w:r w:rsidR="00902ACF">
        <w:rPr>
          <w:rFonts w:ascii="Times New Roman" w:hAnsi="Times New Roman" w:cs="Times New Roman"/>
          <w:sz w:val="24"/>
          <w:szCs w:val="24"/>
        </w:rPr>
        <w:t>inister, Minister for Economics</w:t>
      </w:r>
      <w:r w:rsidR="00902ACF">
        <w:rPr>
          <w:rFonts w:ascii="Times New Roman" w:hAnsi="Times New Roman" w:cs="Times New Roman"/>
          <w:sz w:val="24"/>
          <w:szCs w:val="24"/>
        </w:rPr>
        <w:tab/>
      </w:r>
      <w:r w:rsidR="00902ACF">
        <w:rPr>
          <w:rFonts w:ascii="Times New Roman" w:hAnsi="Times New Roman" w:cs="Times New Roman"/>
          <w:sz w:val="24"/>
          <w:szCs w:val="24"/>
        </w:rPr>
        <w:tab/>
      </w:r>
      <w:r w:rsidR="00902ACF">
        <w:rPr>
          <w:rFonts w:ascii="Times New Roman" w:hAnsi="Times New Roman" w:cs="Times New Roman"/>
          <w:sz w:val="24"/>
          <w:szCs w:val="24"/>
        </w:rPr>
        <w:tab/>
      </w:r>
      <w:r w:rsidR="00902ACF">
        <w:rPr>
          <w:rFonts w:ascii="Times New Roman" w:hAnsi="Times New Roman" w:cs="Times New Roman"/>
          <w:sz w:val="24"/>
          <w:szCs w:val="24"/>
        </w:rPr>
        <w:tab/>
      </w:r>
      <w:r w:rsidRPr="00F67610">
        <w:rPr>
          <w:rFonts w:ascii="Times New Roman" w:hAnsi="Times New Roman" w:cs="Times New Roman"/>
          <w:sz w:val="24"/>
          <w:szCs w:val="24"/>
        </w:rPr>
        <w:t>Arvils Ašeradens</w:t>
      </w: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946715" w:rsidRPr="00F67610" w:rsidRDefault="00946715"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7B7A60">
      <w:pPr>
        <w:spacing w:after="0" w:line="240" w:lineRule="auto"/>
        <w:jc w:val="right"/>
        <w:rPr>
          <w:rFonts w:ascii="Times New Roman" w:eastAsia="Times New Roman" w:hAnsi="Times New Roman" w:cs="Times New Roman"/>
          <w:b/>
          <w:noProof/>
          <w:sz w:val="24"/>
          <w:szCs w:val="24"/>
        </w:rPr>
      </w:pPr>
      <w:r w:rsidRPr="00F67610">
        <w:rPr>
          <w:rFonts w:ascii="Times New Roman" w:hAnsi="Times New Roman" w:cs="Times New Roman"/>
          <w:b/>
          <w:sz w:val="24"/>
          <w:szCs w:val="24"/>
        </w:rPr>
        <w:t>Annex 3</w:t>
      </w:r>
    </w:p>
    <w:p w:rsidR="00C86F11" w:rsidRPr="00F67610" w:rsidRDefault="00C86F11" w:rsidP="00902ACF">
      <w:pPr>
        <w:spacing w:after="0" w:line="240" w:lineRule="auto"/>
        <w:jc w:val="right"/>
        <w:rPr>
          <w:rFonts w:ascii="Times New Roman" w:eastAsia="Times New Roman" w:hAnsi="Times New Roman" w:cs="Times New Roman"/>
          <w:noProof/>
          <w:sz w:val="24"/>
          <w:szCs w:val="24"/>
        </w:rPr>
      </w:pPr>
      <w:r w:rsidRPr="00F67610">
        <w:rPr>
          <w:rFonts w:ascii="Times New Roman" w:hAnsi="Times New Roman" w:cs="Times New Roman"/>
          <w:sz w:val="24"/>
          <w:szCs w:val="24"/>
        </w:rPr>
        <w:t>Cabinet</w:t>
      </w:r>
      <w:r w:rsidR="00902ACF">
        <w:rPr>
          <w:rFonts w:ascii="Times New Roman" w:eastAsia="Times New Roman" w:hAnsi="Times New Roman" w:cs="Times New Roman"/>
          <w:noProof/>
          <w:sz w:val="24"/>
          <w:szCs w:val="24"/>
        </w:rPr>
        <w:t xml:space="preserve"> </w:t>
      </w:r>
      <w:r w:rsidRPr="00F67610">
        <w:rPr>
          <w:rFonts w:ascii="Times New Roman" w:hAnsi="Times New Roman" w:cs="Times New Roman"/>
          <w:sz w:val="24"/>
          <w:szCs w:val="24"/>
        </w:rPr>
        <w:t>Regulation No. 294</w:t>
      </w:r>
    </w:p>
    <w:p w:rsidR="00C86F11" w:rsidRPr="00F67610" w:rsidRDefault="00C86F11" w:rsidP="007B7A60">
      <w:pPr>
        <w:spacing w:after="0" w:line="240" w:lineRule="auto"/>
        <w:jc w:val="right"/>
        <w:rPr>
          <w:rFonts w:ascii="Times New Roman" w:eastAsia="Times New Roman" w:hAnsi="Times New Roman" w:cs="Times New Roman"/>
          <w:noProof/>
          <w:sz w:val="24"/>
          <w:szCs w:val="24"/>
        </w:rPr>
      </w:pPr>
      <w:r w:rsidRPr="00F67610">
        <w:rPr>
          <w:rFonts w:ascii="Times New Roman" w:hAnsi="Times New Roman" w:cs="Times New Roman"/>
          <w:sz w:val="24"/>
          <w:szCs w:val="24"/>
        </w:rPr>
        <w:t>17 May 2016</w:t>
      </w:r>
      <w:bookmarkStart w:id="19" w:name="piel3"/>
      <w:bookmarkEnd w:id="19"/>
    </w:p>
    <w:p w:rsidR="007B7A60" w:rsidRPr="00F67610" w:rsidRDefault="007B7A60" w:rsidP="00C86F11">
      <w:pPr>
        <w:spacing w:after="0" w:line="240" w:lineRule="auto"/>
        <w:jc w:val="both"/>
        <w:rPr>
          <w:rFonts w:ascii="Times New Roman" w:eastAsia="Times New Roman" w:hAnsi="Times New Roman" w:cs="Times New Roman"/>
          <w:noProof/>
          <w:sz w:val="24"/>
          <w:szCs w:val="24"/>
          <w:lang w:val="en-US" w:eastAsia="lv-LV"/>
        </w:rPr>
      </w:pPr>
    </w:p>
    <w:p w:rsidR="007B7A60" w:rsidRPr="00F67610" w:rsidRDefault="007B7A60"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7B7A60">
      <w:pPr>
        <w:spacing w:after="0" w:line="240" w:lineRule="auto"/>
        <w:jc w:val="center"/>
        <w:rPr>
          <w:rFonts w:ascii="Times New Roman" w:eastAsia="Times New Roman" w:hAnsi="Times New Roman" w:cs="Times New Roman"/>
          <w:b/>
          <w:noProof/>
          <w:sz w:val="28"/>
          <w:szCs w:val="28"/>
        </w:rPr>
      </w:pPr>
      <w:bookmarkStart w:id="20" w:name="590342"/>
      <w:bookmarkEnd w:id="20"/>
      <w:r w:rsidRPr="00F67610">
        <w:rPr>
          <w:rFonts w:ascii="Times New Roman" w:hAnsi="Times New Roman" w:cs="Times New Roman"/>
          <w:b/>
          <w:sz w:val="28"/>
          <w:szCs w:val="28"/>
        </w:rPr>
        <w:t>Correction Factors z for Avoided Grid Losses that are Applicable to the Calculation of Efficiency Coefficient for Separate Production of Electricity</w:t>
      </w:r>
    </w:p>
    <w:p w:rsidR="007B7A60" w:rsidRPr="00F67610" w:rsidRDefault="007B7A60" w:rsidP="00C86F11">
      <w:pPr>
        <w:spacing w:after="0" w:line="240" w:lineRule="auto"/>
        <w:jc w:val="both"/>
        <w:rPr>
          <w:rFonts w:ascii="Times New Roman" w:eastAsia="Times New Roman" w:hAnsi="Times New Roman" w:cs="Times New Roman"/>
          <w:noProof/>
          <w:sz w:val="24"/>
          <w:szCs w:val="24"/>
          <w:lang w:val="en-US" w:eastAsia="lv-LV"/>
        </w:rPr>
      </w:pPr>
    </w:p>
    <w:p w:rsidR="007B7A60" w:rsidRPr="00F67610" w:rsidRDefault="007B7A60" w:rsidP="00C86F11">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42"/>
        <w:gridCol w:w="3189"/>
        <w:gridCol w:w="3024"/>
      </w:tblGrid>
      <w:tr w:rsidR="00C86F11" w:rsidRPr="00F67610" w:rsidTr="00902ACF">
        <w:trPr>
          <w:tblCellSpacing w:w="15" w:type="dxa"/>
        </w:trPr>
        <w:tc>
          <w:tcPr>
            <w:tcW w:w="15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Voltage in the grid to which a cogeneration plant is connected</w:t>
            </w:r>
          </w:p>
        </w:tc>
        <w:tc>
          <w:tcPr>
            <w:tcW w:w="17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For electricity exported to the grid</w:t>
            </w:r>
          </w:p>
        </w:tc>
        <w:tc>
          <w:tcPr>
            <w:tcW w:w="1645"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For electricity consumed in a cogeneration plant</w:t>
            </w:r>
          </w:p>
        </w:tc>
      </w:tr>
      <w:tr w:rsidR="00C86F11" w:rsidRPr="00F67610" w:rsidTr="00902ACF">
        <w:trPr>
          <w:tblCellSpacing w:w="15" w:type="dxa"/>
        </w:trPr>
        <w:tc>
          <w:tcPr>
            <w:tcW w:w="15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345 kV or higher</w:t>
            </w:r>
          </w:p>
        </w:tc>
        <w:tc>
          <w:tcPr>
            <w:tcW w:w="17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1</w:t>
            </w:r>
          </w:p>
        </w:tc>
        <w:tc>
          <w:tcPr>
            <w:tcW w:w="1645"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0.976</w:t>
            </w:r>
          </w:p>
        </w:tc>
      </w:tr>
      <w:tr w:rsidR="00C86F11" w:rsidRPr="00F67610" w:rsidTr="00902ACF">
        <w:trPr>
          <w:tblCellSpacing w:w="15" w:type="dxa"/>
        </w:trPr>
        <w:tc>
          <w:tcPr>
            <w:tcW w:w="15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From 200 up to 345 kV (not included)</w:t>
            </w:r>
          </w:p>
        </w:tc>
        <w:tc>
          <w:tcPr>
            <w:tcW w:w="17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0.972</w:t>
            </w:r>
          </w:p>
        </w:tc>
        <w:tc>
          <w:tcPr>
            <w:tcW w:w="1645"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0.963</w:t>
            </w:r>
          </w:p>
        </w:tc>
      </w:tr>
      <w:tr w:rsidR="00C86F11" w:rsidRPr="00F67610" w:rsidTr="00902ACF">
        <w:trPr>
          <w:tblCellSpacing w:w="15" w:type="dxa"/>
        </w:trPr>
        <w:tc>
          <w:tcPr>
            <w:tcW w:w="15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From 100 up to 200 kV (not included)</w:t>
            </w:r>
          </w:p>
        </w:tc>
        <w:tc>
          <w:tcPr>
            <w:tcW w:w="17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0.963</w:t>
            </w:r>
          </w:p>
        </w:tc>
        <w:tc>
          <w:tcPr>
            <w:tcW w:w="1645"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0.951</w:t>
            </w:r>
          </w:p>
        </w:tc>
      </w:tr>
      <w:tr w:rsidR="00C86F11" w:rsidRPr="00F67610" w:rsidTr="00902ACF">
        <w:trPr>
          <w:tblCellSpacing w:w="15" w:type="dxa"/>
        </w:trPr>
        <w:tc>
          <w:tcPr>
            <w:tcW w:w="15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From 50 up to 100 kV (not included)</w:t>
            </w:r>
          </w:p>
        </w:tc>
        <w:tc>
          <w:tcPr>
            <w:tcW w:w="17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0.952</w:t>
            </w:r>
          </w:p>
        </w:tc>
        <w:tc>
          <w:tcPr>
            <w:tcW w:w="1645"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0.936</w:t>
            </w:r>
          </w:p>
        </w:tc>
      </w:tr>
      <w:tr w:rsidR="00C86F11" w:rsidRPr="00F67610" w:rsidTr="00902ACF">
        <w:trPr>
          <w:tblCellSpacing w:w="15" w:type="dxa"/>
        </w:trPr>
        <w:tc>
          <w:tcPr>
            <w:tcW w:w="15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From 12 up to 50 kV (not included)</w:t>
            </w:r>
          </w:p>
        </w:tc>
        <w:tc>
          <w:tcPr>
            <w:tcW w:w="17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0.935</w:t>
            </w:r>
          </w:p>
        </w:tc>
        <w:tc>
          <w:tcPr>
            <w:tcW w:w="1645"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0.914</w:t>
            </w:r>
          </w:p>
        </w:tc>
      </w:tr>
      <w:tr w:rsidR="00C86F11" w:rsidRPr="00F67610" w:rsidTr="00902ACF">
        <w:trPr>
          <w:tblCellSpacing w:w="15" w:type="dxa"/>
        </w:trPr>
        <w:tc>
          <w:tcPr>
            <w:tcW w:w="15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From 0.45 up to 12 kV (not included)</w:t>
            </w:r>
          </w:p>
        </w:tc>
        <w:tc>
          <w:tcPr>
            <w:tcW w:w="17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0.918</w:t>
            </w:r>
          </w:p>
        </w:tc>
        <w:tc>
          <w:tcPr>
            <w:tcW w:w="1645"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0.891</w:t>
            </w:r>
          </w:p>
        </w:tc>
      </w:tr>
      <w:tr w:rsidR="00C86F11" w:rsidRPr="00F67610" w:rsidTr="00902ACF">
        <w:trPr>
          <w:tblCellSpacing w:w="15" w:type="dxa"/>
        </w:trPr>
        <w:tc>
          <w:tcPr>
            <w:tcW w:w="15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Less than 0.45 kV</w:t>
            </w:r>
          </w:p>
        </w:tc>
        <w:tc>
          <w:tcPr>
            <w:tcW w:w="1744"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0.888</w:t>
            </w:r>
          </w:p>
        </w:tc>
        <w:tc>
          <w:tcPr>
            <w:tcW w:w="1645" w:type="pct"/>
            <w:tcBorders>
              <w:top w:val="outset" w:sz="6" w:space="0" w:color="414142"/>
              <w:left w:val="outset" w:sz="6" w:space="0" w:color="414142"/>
              <w:bottom w:val="outset" w:sz="6" w:space="0" w:color="414142"/>
              <w:right w:val="outset" w:sz="6" w:space="0" w:color="414142"/>
            </w:tcBorders>
            <w:vAlign w:val="center"/>
            <w:hideMark/>
          </w:tcPr>
          <w:p w:rsidR="00C86F11" w:rsidRPr="00F67610" w:rsidRDefault="00C86F11" w:rsidP="007B7A60">
            <w:pPr>
              <w:spacing w:after="0" w:line="240" w:lineRule="auto"/>
              <w:jc w:val="center"/>
              <w:rPr>
                <w:rFonts w:ascii="Times New Roman" w:eastAsia="Times New Roman" w:hAnsi="Times New Roman" w:cs="Times New Roman"/>
                <w:noProof/>
                <w:sz w:val="24"/>
                <w:szCs w:val="24"/>
              </w:rPr>
            </w:pPr>
            <w:r w:rsidRPr="00F67610">
              <w:rPr>
                <w:rFonts w:ascii="Times New Roman" w:hAnsi="Times New Roman" w:cs="Times New Roman"/>
                <w:sz w:val="24"/>
                <w:szCs w:val="24"/>
              </w:rPr>
              <w:t>0.851</w:t>
            </w:r>
          </w:p>
        </w:tc>
      </w:tr>
    </w:tbl>
    <w:p w:rsidR="007B7A60" w:rsidRPr="00F67610" w:rsidRDefault="007B7A60" w:rsidP="00C86F11">
      <w:pPr>
        <w:spacing w:after="0" w:line="240" w:lineRule="auto"/>
        <w:jc w:val="both"/>
        <w:rPr>
          <w:rFonts w:ascii="Times New Roman" w:eastAsia="Times New Roman" w:hAnsi="Times New Roman" w:cs="Times New Roman"/>
          <w:noProof/>
          <w:sz w:val="24"/>
          <w:szCs w:val="24"/>
          <w:lang w:val="en-US" w:eastAsia="lv-LV"/>
        </w:rPr>
      </w:pPr>
    </w:p>
    <w:p w:rsidR="007B7A60" w:rsidRPr="00F67610" w:rsidRDefault="007B7A60" w:rsidP="00C86F11">
      <w:pPr>
        <w:spacing w:after="0" w:line="240" w:lineRule="auto"/>
        <w:jc w:val="both"/>
        <w:rPr>
          <w:rFonts w:ascii="Times New Roman" w:eastAsia="Times New Roman" w:hAnsi="Times New Roman" w:cs="Times New Roman"/>
          <w:noProof/>
          <w:sz w:val="24"/>
          <w:szCs w:val="24"/>
          <w:lang w:val="en-US" w:eastAsia="lv-LV"/>
        </w:rPr>
      </w:pPr>
    </w:p>
    <w:p w:rsidR="00C86F11" w:rsidRPr="00F67610" w:rsidRDefault="00C86F11" w:rsidP="00C86F11">
      <w:pPr>
        <w:spacing w:after="0" w:line="240" w:lineRule="auto"/>
        <w:jc w:val="both"/>
        <w:rPr>
          <w:rFonts w:ascii="Times New Roman" w:eastAsia="Times New Roman" w:hAnsi="Times New Roman" w:cs="Times New Roman"/>
          <w:noProof/>
          <w:sz w:val="24"/>
          <w:szCs w:val="24"/>
        </w:rPr>
      </w:pPr>
      <w:r w:rsidRPr="00F67610">
        <w:rPr>
          <w:rFonts w:ascii="Times New Roman" w:hAnsi="Times New Roman" w:cs="Times New Roman"/>
          <w:sz w:val="24"/>
          <w:szCs w:val="24"/>
        </w:rPr>
        <w:t>Deputy Prime M</w:t>
      </w:r>
      <w:r w:rsidR="0002625C">
        <w:rPr>
          <w:rFonts w:ascii="Times New Roman" w:hAnsi="Times New Roman" w:cs="Times New Roman"/>
          <w:sz w:val="24"/>
          <w:szCs w:val="24"/>
        </w:rPr>
        <w:t>inister, Minister for Economics</w:t>
      </w:r>
      <w:r w:rsidR="0002625C">
        <w:rPr>
          <w:rFonts w:ascii="Times New Roman" w:hAnsi="Times New Roman" w:cs="Times New Roman"/>
          <w:sz w:val="24"/>
          <w:szCs w:val="24"/>
        </w:rPr>
        <w:tab/>
      </w:r>
      <w:r w:rsidR="0002625C">
        <w:rPr>
          <w:rFonts w:ascii="Times New Roman" w:hAnsi="Times New Roman" w:cs="Times New Roman"/>
          <w:sz w:val="24"/>
          <w:szCs w:val="24"/>
        </w:rPr>
        <w:tab/>
      </w:r>
      <w:r w:rsidR="0002625C">
        <w:rPr>
          <w:rFonts w:ascii="Times New Roman" w:hAnsi="Times New Roman" w:cs="Times New Roman"/>
          <w:sz w:val="24"/>
          <w:szCs w:val="24"/>
        </w:rPr>
        <w:tab/>
      </w:r>
      <w:r w:rsidR="0002625C">
        <w:rPr>
          <w:rFonts w:ascii="Times New Roman" w:hAnsi="Times New Roman" w:cs="Times New Roman"/>
          <w:sz w:val="24"/>
          <w:szCs w:val="24"/>
        </w:rPr>
        <w:tab/>
      </w:r>
      <w:r w:rsidRPr="00F67610">
        <w:rPr>
          <w:rFonts w:ascii="Times New Roman" w:hAnsi="Times New Roman" w:cs="Times New Roman"/>
          <w:sz w:val="24"/>
          <w:szCs w:val="24"/>
        </w:rPr>
        <w:t>Arvils Ašeradens</w:t>
      </w:r>
    </w:p>
    <w:p w:rsidR="00C86F11" w:rsidRPr="00F67610" w:rsidRDefault="00C86F11" w:rsidP="00C86F11">
      <w:pPr>
        <w:spacing w:after="0" w:line="240" w:lineRule="auto"/>
        <w:jc w:val="both"/>
        <w:rPr>
          <w:rFonts w:ascii="Times New Roman" w:hAnsi="Times New Roman" w:cs="Times New Roman"/>
          <w:noProof/>
          <w:sz w:val="24"/>
          <w:lang w:val="en-US"/>
        </w:rPr>
      </w:pPr>
    </w:p>
    <w:p w:rsidR="00C86F11" w:rsidRPr="00F67610" w:rsidRDefault="00C86F11">
      <w:pPr>
        <w:spacing w:after="0" w:line="240" w:lineRule="auto"/>
        <w:jc w:val="both"/>
        <w:rPr>
          <w:rFonts w:ascii="Times New Roman" w:hAnsi="Times New Roman" w:cs="Times New Roman"/>
          <w:noProof/>
          <w:sz w:val="24"/>
          <w:lang w:val="en-US"/>
        </w:rPr>
      </w:pPr>
      <w:bookmarkStart w:id="21" w:name="_GoBack"/>
      <w:bookmarkEnd w:id="21"/>
    </w:p>
    <w:sectPr w:rsidR="00C86F11" w:rsidRPr="00F67610" w:rsidSect="00C86F11">
      <w:footerReference w:type="default" r:id="rId37"/>
      <w:footerReference w:type="first" r:id="rId3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F11" w:rsidRPr="00C86F11" w:rsidRDefault="00C86F11" w:rsidP="00C86F11">
      <w:pPr>
        <w:spacing w:after="0" w:line="240" w:lineRule="auto"/>
        <w:rPr>
          <w:noProof/>
          <w:lang w:val="en-US"/>
        </w:rPr>
      </w:pPr>
      <w:r w:rsidRPr="00C86F11">
        <w:rPr>
          <w:noProof/>
          <w:lang w:val="en-US"/>
        </w:rPr>
        <w:separator/>
      </w:r>
    </w:p>
  </w:endnote>
  <w:endnote w:type="continuationSeparator" w:id="0">
    <w:p w:rsidR="00C86F11" w:rsidRPr="00C86F11" w:rsidRDefault="00C86F11" w:rsidP="00C86F11">
      <w:pPr>
        <w:spacing w:after="0" w:line="240" w:lineRule="auto"/>
        <w:rPr>
          <w:noProof/>
          <w:lang w:val="en-US"/>
        </w:rPr>
      </w:pPr>
      <w:r w:rsidRPr="00C86F1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171" w:rsidRPr="00750961" w:rsidRDefault="007B7171" w:rsidP="007B7171">
    <w:pPr>
      <w:pStyle w:val="Kjene"/>
      <w:tabs>
        <w:tab w:val="clear" w:pos="4153"/>
        <w:tab w:val="clear" w:pos="8306"/>
        <w:tab w:val="right" w:pos="9072"/>
      </w:tabs>
      <w:rPr>
        <w:rFonts w:ascii="Times New Roman" w:hAnsi="Times New Roman"/>
        <w:sz w:val="20"/>
      </w:rPr>
    </w:pPr>
  </w:p>
  <w:p w:rsidR="007B7171" w:rsidRPr="000523BF" w:rsidRDefault="007B7171" w:rsidP="007B717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02625C">
      <w:rPr>
        <w:rStyle w:val="Lappusesnumurs"/>
        <w:rFonts w:ascii="Times New Roman" w:hAnsi="Times New Roman"/>
        <w:noProof/>
        <w:sz w:val="20"/>
      </w:rPr>
      <w:t>8</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171" w:rsidRPr="00750961" w:rsidRDefault="007B7171" w:rsidP="007B7171">
    <w:pPr>
      <w:pStyle w:val="Kjene"/>
      <w:rPr>
        <w:rFonts w:ascii="Times New Roman" w:hAnsi="Times New Roman"/>
        <w:sz w:val="20"/>
      </w:rPr>
    </w:pPr>
  </w:p>
  <w:p w:rsidR="007B7171" w:rsidRPr="000523BF" w:rsidRDefault="007B7171" w:rsidP="007B7171">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F11" w:rsidRPr="00C86F11" w:rsidRDefault="00C86F11" w:rsidP="00C86F11">
      <w:pPr>
        <w:spacing w:after="0" w:line="240" w:lineRule="auto"/>
        <w:rPr>
          <w:noProof/>
          <w:lang w:val="en-US"/>
        </w:rPr>
      </w:pPr>
      <w:r w:rsidRPr="00C86F11">
        <w:rPr>
          <w:noProof/>
          <w:lang w:val="en-US"/>
        </w:rPr>
        <w:separator/>
      </w:r>
    </w:p>
  </w:footnote>
  <w:footnote w:type="continuationSeparator" w:id="0">
    <w:p w:rsidR="00C86F11" w:rsidRPr="00C86F11" w:rsidRDefault="00C86F11" w:rsidP="00C86F11">
      <w:pPr>
        <w:spacing w:after="0" w:line="240" w:lineRule="auto"/>
        <w:rPr>
          <w:noProof/>
          <w:lang w:val="en-US"/>
        </w:rPr>
      </w:pPr>
      <w:r w:rsidRPr="00C86F1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8F"/>
    <w:rsid w:val="00016237"/>
    <w:rsid w:val="0002625C"/>
    <w:rsid w:val="0054699C"/>
    <w:rsid w:val="006B29A7"/>
    <w:rsid w:val="007B7171"/>
    <w:rsid w:val="007B7A60"/>
    <w:rsid w:val="00902ACF"/>
    <w:rsid w:val="00946715"/>
    <w:rsid w:val="009E7AB2"/>
    <w:rsid w:val="00A21EE6"/>
    <w:rsid w:val="00A36A55"/>
    <w:rsid w:val="00C5728D"/>
    <w:rsid w:val="00C86F11"/>
    <w:rsid w:val="00F67610"/>
    <w:rsid w:val="00FB488F"/>
    <w:rsid w:val="00FD05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3EC212E"/>
  <w15:chartTrackingRefBased/>
  <w15:docId w15:val="{D21F3D9F-45A8-4F15-AA97-7930D1D7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86F11"/>
    <w:rPr>
      <w:color w:val="0000FF"/>
      <w:u w:val="single"/>
    </w:rPr>
  </w:style>
  <w:style w:type="paragraph" w:customStyle="1" w:styleId="tv213">
    <w:name w:val="tv213"/>
    <w:basedOn w:val="Parasts"/>
    <w:rsid w:val="00C86F1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C86F1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86F1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86F11"/>
  </w:style>
  <w:style w:type="paragraph" w:styleId="Kjene">
    <w:name w:val="footer"/>
    <w:basedOn w:val="Parasts"/>
    <w:link w:val="KjeneRakstz"/>
    <w:unhideWhenUsed/>
    <w:rsid w:val="00C86F1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86F11"/>
  </w:style>
  <w:style w:type="paragraph" w:styleId="Sarakstarindkopa">
    <w:name w:val="List Paragraph"/>
    <w:basedOn w:val="Parasts"/>
    <w:uiPriority w:val="34"/>
    <w:qFormat/>
    <w:rsid w:val="00946715"/>
    <w:pPr>
      <w:ind w:left="720"/>
      <w:contextualSpacing/>
    </w:pPr>
  </w:style>
  <w:style w:type="character" w:styleId="Lappusesnumurs">
    <w:name w:val="page number"/>
    <w:rsid w:val="007B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616951">
      <w:bodyDiv w:val="1"/>
      <w:marLeft w:val="0"/>
      <w:marRight w:val="0"/>
      <w:marTop w:val="0"/>
      <w:marBottom w:val="0"/>
      <w:divBdr>
        <w:top w:val="none" w:sz="0" w:space="0" w:color="auto"/>
        <w:left w:val="none" w:sz="0" w:space="0" w:color="auto"/>
        <w:bottom w:val="none" w:sz="0" w:space="0" w:color="auto"/>
        <w:right w:val="none" w:sz="0" w:space="0" w:color="auto"/>
      </w:divBdr>
      <w:divsChild>
        <w:div w:id="1604611291">
          <w:marLeft w:val="0"/>
          <w:marRight w:val="0"/>
          <w:marTop w:val="0"/>
          <w:marBottom w:val="0"/>
          <w:divBdr>
            <w:top w:val="none" w:sz="0" w:space="0" w:color="auto"/>
            <w:left w:val="none" w:sz="0" w:space="0" w:color="auto"/>
            <w:bottom w:val="none" w:sz="0" w:space="0" w:color="auto"/>
            <w:right w:val="none" w:sz="0" w:space="0" w:color="auto"/>
          </w:divBdr>
        </w:div>
        <w:div w:id="957838704">
          <w:marLeft w:val="0"/>
          <w:marRight w:val="0"/>
          <w:marTop w:val="0"/>
          <w:marBottom w:val="0"/>
          <w:divBdr>
            <w:top w:val="none" w:sz="0" w:space="0" w:color="auto"/>
            <w:left w:val="none" w:sz="0" w:space="0" w:color="auto"/>
            <w:bottom w:val="none" w:sz="0" w:space="0" w:color="auto"/>
            <w:right w:val="none" w:sz="0" w:space="0" w:color="auto"/>
          </w:divBdr>
        </w:div>
        <w:div w:id="1669602741">
          <w:marLeft w:val="0"/>
          <w:marRight w:val="0"/>
          <w:marTop w:val="0"/>
          <w:marBottom w:val="0"/>
          <w:divBdr>
            <w:top w:val="none" w:sz="0" w:space="0" w:color="auto"/>
            <w:left w:val="none" w:sz="0" w:space="0" w:color="auto"/>
            <w:bottom w:val="none" w:sz="0" w:space="0" w:color="auto"/>
            <w:right w:val="none" w:sz="0" w:space="0" w:color="auto"/>
          </w:divBdr>
        </w:div>
        <w:div w:id="1091851626">
          <w:marLeft w:val="0"/>
          <w:marRight w:val="0"/>
          <w:marTop w:val="0"/>
          <w:marBottom w:val="0"/>
          <w:divBdr>
            <w:top w:val="none" w:sz="0" w:space="0" w:color="auto"/>
            <w:left w:val="none" w:sz="0" w:space="0" w:color="auto"/>
            <w:bottom w:val="none" w:sz="0" w:space="0" w:color="auto"/>
            <w:right w:val="none" w:sz="0" w:space="0" w:color="auto"/>
          </w:divBdr>
        </w:div>
        <w:div w:id="1990788452">
          <w:marLeft w:val="0"/>
          <w:marRight w:val="0"/>
          <w:marTop w:val="0"/>
          <w:marBottom w:val="0"/>
          <w:divBdr>
            <w:top w:val="none" w:sz="0" w:space="0" w:color="auto"/>
            <w:left w:val="none" w:sz="0" w:space="0" w:color="auto"/>
            <w:bottom w:val="none" w:sz="0" w:space="0" w:color="auto"/>
            <w:right w:val="none" w:sz="0" w:space="0" w:color="auto"/>
          </w:divBdr>
        </w:div>
        <w:div w:id="1773476122">
          <w:marLeft w:val="0"/>
          <w:marRight w:val="0"/>
          <w:marTop w:val="0"/>
          <w:marBottom w:val="0"/>
          <w:divBdr>
            <w:top w:val="none" w:sz="0" w:space="0" w:color="auto"/>
            <w:left w:val="none" w:sz="0" w:space="0" w:color="auto"/>
            <w:bottom w:val="none" w:sz="0" w:space="0" w:color="auto"/>
            <w:right w:val="none" w:sz="0" w:space="0" w:color="auto"/>
          </w:divBdr>
        </w:div>
        <w:div w:id="1750426715">
          <w:marLeft w:val="0"/>
          <w:marRight w:val="0"/>
          <w:marTop w:val="0"/>
          <w:marBottom w:val="0"/>
          <w:divBdr>
            <w:top w:val="none" w:sz="0" w:space="0" w:color="auto"/>
            <w:left w:val="none" w:sz="0" w:space="0" w:color="auto"/>
            <w:bottom w:val="none" w:sz="0" w:space="0" w:color="auto"/>
            <w:right w:val="none" w:sz="0" w:space="0" w:color="auto"/>
          </w:divBdr>
        </w:div>
        <w:div w:id="759914862">
          <w:marLeft w:val="0"/>
          <w:marRight w:val="0"/>
          <w:marTop w:val="0"/>
          <w:marBottom w:val="0"/>
          <w:divBdr>
            <w:top w:val="none" w:sz="0" w:space="0" w:color="auto"/>
            <w:left w:val="none" w:sz="0" w:space="0" w:color="auto"/>
            <w:bottom w:val="none" w:sz="0" w:space="0" w:color="auto"/>
            <w:right w:val="none" w:sz="0" w:space="0" w:color="auto"/>
          </w:divBdr>
        </w:div>
        <w:div w:id="1728601130">
          <w:marLeft w:val="0"/>
          <w:marRight w:val="0"/>
          <w:marTop w:val="0"/>
          <w:marBottom w:val="0"/>
          <w:divBdr>
            <w:top w:val="none" w:sz="0" w:space="0" w:color="auto"/>
            <w:left w:val="none" w:sz="0" w:space="0" w:color="auto"/>
            <w:bottom w:val="none" w:sz="0" w:space="0" w:color="auto"/>
            <w:right w:val="none" w:sz="0" w:space="0" w:color="auto"/>
          </w:divBdr>
        </w:div>
        <w:div w:id="1482312697">
          <w:marLeft w:val="0"/>
          <w:marRight w:val="0"/>
          <w:marTop w:val="0"/>
          <w:marBottom w:val="0"/>
          <w:divBdr>
            <w:top w:val="none" w:sz="0" w:space="0" w:color="auto"/>
            <w:left w:val="none" w:sz="0" w:space="0" w:color="auto"/>
            <w:bottom w:val="none" w:sz="0" w:space="0" w:color="auto"/>
            <w:right w:val="none" w:sz="0" w:space="0" w:color="auto"/>
          </w:divBdr>
        </w:div>
        <w:div w:id="1003125588">
          <w:marLeft w:val="0"/>
          <w:marRight w:val="0"/>
          <w:marTop w:val="0"/>
          <w:marBottom w:val="0"/>
          <w:divBdr>
            <w:top w:val="none" w:sz="0" w:space="0" w:color="auto"/>
            <w:left w:val="none" w:sz="0" w:space="0" w:color="auto"/>
            <w:bottom w:val="none" w:sz="0" w:space="0" w:color="auto"/>
            <w:right w:val="none" w:sz="0" w:space="0" w:color="auto"/>
          </w:divBdr>
        </w:div>
        <w:div w:id="1951662590">
          <w:marLeft w:val="0"/>
          <w:marRight w:val="0"/>
          <w:marTop w:val="0"/>
          <w:marBottom w:val="0"/>
          <w:divBdr>
            <w:top w:val="none" w:sz="0" w:space="0" w:color="auto"/>
            <w:left w:val="none" w:sz="0" w:space="0" w:color="auto"/>
            <w:bottom w:val="none" w:sz="0" w:space="0" w:color="auto"/>
            <w:right w:val="none" w:sz="0" w:space="0" w:color="auto"/>
          </w:divBdr>
        </w:div>
        <w:div w:id="83303712">
          <w:marLeft w:val="0"/>
          <w:marRight w:val="0"/>
          <w:marTop w:val="0"/>
          <w:marBottom w:val="0"/>
          <w:divBdr>
            <w:top w:val="none" w:sz="0" w:space="0" w:color="auto"/>
            <w:left w:val="none" w:sz="0" w:space="0" w:color="auto"/>
            <w:bottom w:val="none" w:sz="0" w:space="0" w:color="auto"/>
            <w:right w:val="none" w:sz="0" w:space="0" w:color="auto"/>
          </w:divBdr>
        </w:div>
        <w:div w:id="1393190240">
          <w:marLeft w:val="0"/>
          <w:marRight w:val="0"/>
          <w:marTop w:val="0"/>
          <w:marBottom w:val="0"/>
          <w:divBdr>
            <w:top w:val="none" w:sz="0" w:space="0" w:color="auto"/>
            <w:left w:val="none" w:sz="0" w:space="0" w:color="auto"/>
            <w:bottom w:val="none" w:sz="0" w:space="0" w:color="auto"/>
            <w:right w:val="none" w:sz="0" w:space="0" w:color="auto"/>
          </w:divBdr>
        </w:div>
        <w:div w:id="815806263">
          <w:marLeft w:val="0"/>
          <w:marRight w:val="0"/>
          <w:marTop w:val="0"/>
          <w:marBottom w:val="0"/>
          <w:divBdr>
            <w:top w:val="none" w:sz="0" w:space="0" w:color="auto"/>
            <w:left w:val="none" w:sz="0" w:space="0" w:color="auto"/>
            <w:bottom w:val="none" w:sz="0" w:space="0" w:color="auto"/>
            <w:right w:val="none" w:sz="0" w:space="0" w:color="auto"/>
          </w:divBdr>
        </w:div>
        <w:div w:id="1524706624">
          <w:marLeft w:val="0"/>
          <w:marRight w:val="0"/>
          <w:marTop w:val="0"/>
          <w:marBottom w:val="0"/>
          <w:divBdr>
            <w:top w:val="none" w:sz="0" w:space="0" w:color="auto"/>
            <w:left w:val="none" w:sz="0" w:space="0" w:color="auto"/>
            <w:bottom w:val="none" w:sz="0" w:space="0" w:color="auto"/>
            <w:right w:val="none" w:sz="0" w:space="0" w:color="auto"/>
          </w:divBdr>
        </w:div>
        <w:div w:id="2013794543">
          <w:marLeft w:val="0"/>
          <w:marRight w:val="0"/>
          <w:marTop w:val="0"/>
          <w:marBottom w:val="0"/>
          <w:divBdr>
            <w:top w:val="none" w:sz="0" w:space="0" w:color="auto"/>
            <w:left w:val="none" w:sz="0" w:space="0" w:color="auto"/>
            <w:bottom w:val="none" w:sz="0" w:space="0" w:color="auto"/>
            <w:right w:val="none" w:sz="0" w:space="0" w:color="auto"/>
          </w:divBdr>
        </w:div>
        <w:div w:id="1528056352">
          <w:marLeft w:val="0"/>
          <w:marRight w:val="0"/>
          <w:marTop w:val="0"/>
          <w:marBottom w:val="0"/>
          <w:divBdr>
            <w:top w:val="none" w:sz="0" w:space="0" w:color="auto"/>
            <w:left w:val="none" w:sz="0" w:space="0" w:color="auto"/>
            <w:bottom w:val="none" w:sz="0" w:space="0" w:color="auto"/>
            <w:right w:val="none" w:sz="0" w:space="0" w:color="auto"/>
          </w:divBdr>
        </w:div>
        <w:div w:id="1307855538">
          <w:marLeft w:val="0"/>
          <w:marRight w:val="0"/>
          <w:marTop w:val="0"/>
          <w:marBottom w:val="0"/>
          <w:divBdr>
            <w:top w:val="none" w:sz="0" w:space="0" w:color="auto"/>
            <w:left w:val="none" w:sz="0" w:space="0" w:color="auto"/>
            <w:bottom w:val="none" w:sz="0" w:space="0" w:color="auto"/>
            <w:right w:val="none" w:sz="0" w:space="0" w:color="auto"/>
          </w:divBdr>
        </w:div>
        <w:div w:id="673068088">
          <w:marLeft w:val="0"/>
          <w:marRight w:val="0"/>
          <w:marTop w:val="0"/>
          <w:marBottom w:val="0"/>
          <w:divBdr>
            <w:top w:val="none" w:sz="0" w:space="0" w:color="auto"/>
            <w:left w:val="none" w:sz="0" w:space="0" w:color="auto"/>
            <w:bottom w:val="none" w:sz="0" w:space="0" w:color="auto"/>
            <w:right w:val="none" w:sz="0" w:space="0" w:color="auto"/>
          </w:divBdr>
        </w:div>
        <w:div w:id="1891454695">
          <w:marLeft w:val="0"/>
          <w:marRight w:val="0"/>
          <w:marTop w:val="0"/>
          <w:marBottom w:val="0"/>
          <w:divBdr>
            <w:top w:val="none" w:sz="0" w:space="0" w:color="auto"/>
            <w:left w:val="none" w:sz="0" w:space="0" w:color="auto"/>
            <w:bottom w:val="none" w:sz="0" w:space="0" w:color="auto"/>
            <w:right w:val="none" w:sz="0" w:space="0" w:color="auto"/>
          </w:divBdr>
        </w:div>
        <w:div w:id="1574850145">
          <w:marLeft w:val="0"/>
          <w:marRight w:val="0"/>
          <w:marTop w:val="0"/>
          <w:marBottom w:val="0"/>
          <w:divBdr>
            <w:top w:val="none" w:sz="0" w:space="0" w:color="auto"/>
            <w:left w:val="none" w:sz="0" w:space="0" w:color="auto"/>
            <w:bottom w:val="none" w:sz="0" w:space="0" w:color="auto"/>
            <w:right w:val="none" w:sz="0" w:space="0" w:color="auto"/>
          </w:divBdr>
        </w:div>
        <w:div w:id="127935119">
          <w:marLeft w:val="0"/>
          <w:marRight w:val="0"/>
          <w:marTop w:val="0"/>
          <w:marBottom w:val="0"/>
          <w:divBdr>
            <w:top w:val="none" w:sz="0" w:space="0" w:color="auto"/>
            <w:left w:val="none" w:sz="0" w:space="0" w:color="auto"/>
            <w:bottom w:val="none" w:sz="0" w:space="0" w:color="auto"/>
            <w:right w:val="none" w:sz="0" w:space="0" w:color="auto"/>
          </w:divBdr>
        </w:div>
        <w:div w:id="1392344573">
          <w:marLeft w:val="0"/>
          <w:marRight w:val="0"/>
          <w:marTop w:val="0"/>
          <w:marBottom w:val="0"/>
          <w:divBdr>
            <w:top w:val="none" w:sz="0" w:space="0" w:color="auto"/>
            <w:left w:val="none" w:sz="0" w:space="0" w:color="auto"/>
            <w:bottom w:val="none" w:sz="0" w:space="0" w:color="auto"/>
            <w:right w:val="none" w:sz="0" w:space="0" w:color="auto"/>
          </w:divBdr>
        </w:div>
        <w:div w:id="165097269">
          <w:marLeft w:val="0"/>
          <w:marRight w:val="0"/>
          <w:marTop w:val="0"/>
          <w:marBottom w:val="0"/>
          <w:divBdr>
            <w:top w:val="none" w:sz="0" w:space="0" w:color="auto"/>
            <w:left w:val="none" w:sz="0" w:space="0" w:color="auto"/>
            <w:bottom w:val="none" w:sz="0" w:space="0" w:color="auto"/>
            <w:right w:val="none" w:sz="0" w:space="0" w:color="auto"/>
          </w:divBdr>
        </w:div>
        <w:div w:id="1480268096">
          <w:marLeft w:val="0"/>
          <w:marRight w:val="0"/>
          <w:marTop w:val="0"/>
          <w:marBottom w:val="0"/>
          <w:divBdr>
            <w:top w:val="none" w:sz="0" w:space="0" w:color="auto"/>
            <w:left w:val="none" w:sz="0" w:space="0" w:color="auto"/>
            <w:bottom w:val="none" w:sz="0" w:space="0" w:color="auto"/>
            <w:right w:val="none" w:sz="0" w:space="0" w:color="auto"/>
          </w:divBdr>
        </w:div>
        <w:div w:id="1289313624">
          <w:marLeft w:val="0"/>
          <w:marRight w:val="0"/>
          <w:marTop w:val="0"/>
          <w:marBottom w:val="0"/>
          <w:divBdr>
            <w:top w:val="none" w:sz="0" w:space="0" w:color="auto"/>
            <w:left w:val="none" w:sz="0" w:space="0" w:color="auto"/>
            <w:bottom w:val="none" w:sz="0" w:space="0" w:color="auto"/>
            <w:right w:val="none" w:sz="0" w:space="0" w:color="auto"/>
          </w:divBdr>
        </w:div>
      </w:divsChild>
    </w:div>
    <w:div w:id="104243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3.png"/><Relationship Id="rId34" Type="http://schemas.openxmlformats.org/officeDocument/2006/relationships/image" Target="media/image24.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oleObject" Target="embeddings/oleObject3.bin"/><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oleObject" Target="embeddings/oleObject4.bin"/><Relationship Id="rId32" Type="http://schemas.openxmlformats.org/officeDocument/2006/relationships/image" Target="media/image22.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image" Target="media/image25.pn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oleObject" Target="embeddings/oleObject5.bin"/><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8882</Words>
  <Characters>5063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12</cp:revision>
  <dcterms:created xsi:type="dcterms:W3CDTF">2016-11-11T07:23:00Z</dcterms:created>
  <dcterms:modified xsi:type="dcterms:W3CDTF">2017-07-19T12:50:00Z</dcterms:modified>
</cp:coreProperties>
</file>