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F0" w:rsidRPr="00B25C74" w:rsidRDefault="00F369F0" w:rsidP="00F369F0">
      <w:pPr>
        <w:spacing w:after="0" w:line="240" w:lineRule="auto"/>
        <w:jc w:val="both"/>
        <w:rPr>
          <w:rFonts w:ascii="Times New Roman" w:hAnsi="Times New Roman" w:cs="Times New Roman"/>
          <w:sz w:val="24"/>
          <w:szCs w:val="24"/>
        </w:rPr>
      </w:pPr>
    </w:p>
    <w:p w:rsidR="00F369F0" w:rsidRPr="00B25C74" w:rsidRDefault="00F369F0" w:rsidP="00F369F0">
      <w:pPr>
        <w:spacing w:after="0" w:line="240" w:lineRule="auto"/>
        <w:jc w:val="center"/>
        <w:rPr>
          <w:rFonts w:ascii="Times New Roman" w:hAnsi="Times New Roman" w:cs="Times New Roman"/>
          <w:sz w:val="24"/>
          <w:szCs w:val="24"/>
        </w:rPr>
      </w:pPr>
      <w:r w:rsidRPr="00B25C74">
        <w:rPr>
          <w:rFonts w:ascii="Times New Roman" w:hAnsi="Times New Roman" w:cs="Times New Roman"/>
          <w:sz w:val="24"/>
          <w:szCs w:val="24"/>
        </w:rPr>
        <w:t>Republic of Latvia</w:t>
      </w:r>
    </w:p>
    <w:p w:rsidR="00F369F0" w:rsidRPr="00B25C74" w:rsidRDefault="00F369F0" w:rsidP="00F369F0">
      <w:pPr>
        <w:spacing w:after="0" w:line="240" w:lineRule="auto"/>
        <w:jc w:val="center"/>
        <w:rPr>
          <w:rFonts w:ascii="Times New Roman" w:hAnsi="Times New Roman" w:cs="Times New Roman"/>
          <w:sz w:val="24"/>
          <w:szCs w:val="24"/>
        </w:rPr>
      </w:pPr>
    </w:p>
    <w:p w:rsidR="00F369F0" w:rsidRPr="00B25C74" w:rsidRDefault="00F369F0" w:rsidP="00F369F0">
      <w:pPr>
        <w:spacing w:after="0" w:line="240" w:lineRule="auto"/>
        <w:jc w:val="center"/>
        <w:rPr>
          <w:rFonts w:ascii="Times New Roman" w:eastAsia="Times New Roman" w:hAnsi="Times New Roman" w:cs="Times New Roman"/>
          <w:bCs/>
          <w:sz w:val="24"/>
          <w:szCs w:val="24"/>
        </w:rPr>
      </w:pPr>
      <w:r w:rsidRPr="00B25C74">
        <w:rPr>
          <w:rFonts w:ascii="Times New Roman" w:hAnsi="Times New Roman" w:cs="Times New Roman"/>
          <w:sz w:val="24"/>
        </w:rPr>
        <w:t>Cabinet</w:t>
      </w:r>
    </w:p>
    <w:p w:rsidR="00717A84" w:rsidRPr="00717A84" w:rsidRDefault="00717A84" w:rsidP="00717A84">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834</w:t>
      </w:r>
    </w:p>
    <w:p w:rsidR="00717A84" w:rsidRPr="00717A84" w:rsidRDefault="00717A84" w:rsidP="00717A8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7 September 2010</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Hygiene and Harmlessness Requirements for the Cosmetic Tanning Acquisition Service and Procedures for the Supervision of such Requirements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F369F0" w:rsidRDefault="00F369F0" w:rsidP="00717A84">
      <w:pPr>
        <w:spacing w:after="0" w:line="240" w:lineRule="auto"/>
        <w:jc w:val="right"/>
        <w:rPr>
          <w:rFonts w:ascii="Times New Roman" w:hAnsi="Times New Roman"/>
          <w:i/>
          <w:noProof/>
          <w:sz w:val="24"/>
        </w:rPr>
      </w:pPr>
      <w:r>
        <w:rPr>
          <w:rFonts w:ascii="Times New Roman" w:hAnsi="Times New Roman"/>
          <w:i/>
          <w:noProof/>
          <w:sz w:val="24"/>
        </w:rPr>
        <w:t>Issued pursuant to</w:t>
      </w:r>
    </w:p>
    <w:p w:rsidR="00F369F0" w:rsidRDefault="00717A84" w:rsidP="00717A84">
      <w:pPr>
        <w:spacing w:after="0" w:line="240" w:lineRule="auto"/>
        <w:jc w:val="right"/>
        <w:rPr>
          <w:rFonts w:ascii="Times New Roman" w:hAnsi="Times New Roman"/>
          <w:i/>
          <w:noProof/>
          <w:sz w:val="24"/>
        </w:rPr>
      </w:pPr>
      <w:r>
        <w:rPr>
          <w:rFonts w:ascii="Times New Roman" w:hAnsi="Times New Roman"/>
          <w:i/>
          <w:noProof/>
          <w:sz w:val="24"/>
        </w:rPr>
        <w:t>Section 38</w:t>
      </w:r>
      <w:r>
        <w:rPr>
          <w:rFonts w:ascii="Times New Roman" w:hAnsi="Times New Roman"/>
          <w:i/>
          <w:noProof/>
          <w:sz w:val="24"/>
          <w:vertAlign w:val="superscript"/>
        </w:rPr>
        <w:t>1</w:t>
      </w:r>
      <w:r>
        <w:rPr>
          <w:rFonts w:ascii="Times New Roman" w:hAnsi="Times New Roman"/>
          <w:i/>
          <w:noProof/>
          <w:sz w:val="24"/>
        </w:rPr>
        <w:t xml:space="preserve"> of the</w:t>
      </w:r>
      <w:r w:rsidR="00F369F0">
        <w:rPr>
          <w:rFonts w:ascii="Times New Roman" w:hAnsi="Times New Roman"/>
          <w:i/>
          <w:noProof/>
          <w:sz w:val="24"/>
        </w:rPr>
        <w:t xml:space="preserve"> Epidemiological Safety Law and</w:t>
      </w:r>
    </w:p>
    <w:p w:rsidR="00717A84" w:rsidRPr="00717A84" w:rsidRDefault="00717A84" w:rsidP="00717A8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7, Paragraph of the Law on Conformity Assessment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 w:name="p-358122"/>
      <w:bookmarkStart w:id="2" w:name="p1"/>
      <w:bookmarkEnd w:id="1"/>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hygiene and harmlessness requirements for the economic operator, which provides the cosmetic tanning acquisition service (hereinafter — the service), its premises, equipment and servicing personnel, and also procedures for the supervision of compliance with these requirements, in order to provide preservation of public health, concurrently following the economic and technological requirements.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 w:name="p-358123"/>
      <w:bookmarkStart w:id="4" w:name="p2"/>
      <w:bookmarkEnd w:id="3"/>
      <w:bookmarkEnd w:id="4"/>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Terms used in this Regulation:</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solarium personnel – persons employed by the economic operator, who provide the service by using UV device and whose qualification meets the requirements laid down in Chapter IV of this Regulation;</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UV device - ultra-violet radiation equipment necessary for the receipt of the cosmetic tanning services and which meets the requirements laid down in Chapter III of this Regulation;</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UV radiation – ultra-violet radiation, under the influence or which the skin pigmentation changes and cosmetic tanning is being acquired.</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 w:name="p-358124"/>
      <w:bookmarkStart w:id="6" w:name="p3"/>
      <w:bookmarkEnd w:id="5"/>
      <w:bookmarkEnd w:id="6"/>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Responsibility for meeting these requirements lies with the economic operator, who offers the service (hereinafter — the service provider).</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7" w:name="p-358125"/>
      <w:bookmarkStart w:id="8" w:name="p4"/>
      <w:bookmarkEnd w:id="7"/>
      <w:bookmarkEnd w:id="8"/>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implementation of this Regulation shall be controlled by the Health Inspectorate.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9" w:name="n2"/>
      <w:bookmarkEnd w:id="9"/>
    </w:p>
    <w:p w:rsidR="00717A84" w:rsidRPr="00717A84" w:rsidRDefault="00717A84" w:rsidP="00717A8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Restrictions of the Service Provision and Information of Consumers on Risks to the Health Caused by UV Radiation</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0" w:name="p-358127"/>
      <w:bookmarkStart w:id="11" w:name="p5"/>
      <w:bookmarkEnd w:id="10"/>
      <w:bookmarkEnd w:id="11"/>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Provision of the service to consumers at the age below 18 is prohibited, unless the above mentioned person presents a statement of a general practitioner or dermatologist confirming appropriate health condition for the receipt of the service. The statement of a general practitioner and dermatologist shall be valid for six months.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2" w:name="p-358128"/>
      <w:bookmarkStart w:id="13" w:name="p6"/>
      <w:bookmarkEnd w:id="12"/>
      <w:bookmarkEnd w:id="13"/>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order to verify the age of consumer, solarium personnel shall require the consumer to present a personal identification document or driving licence. The consumer is obliged to produce a personal identification document or driving licence upon request of the solarium personnel or Health Inspectorate.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4" w:name="p-358129"/>
      <w:bookmarkStart w:id="15" w:name="p7"/>
      <w:bookmarkEnd w:id="14"/>
      <w:bookmarkEnd w:id="15"/>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 The service provider shall be responsible for the notification of the consumer on health risks related to the influence of UV radiation and conditions regarding receipt of the service prior to </w:t>
      </w:r>
      <w:r>
        <w:rPr>
          <w:rFonts w:ascii="Times New Roman" w:hAnsi="Times New Roman"/>
          <w:noProof/>
          <w:sz w:val="24"/>
        </w:rPr>
        <w:lastRenderedPageBreak/>
        <w:t>receipt of the service. Prior to provision of the service, solarium personnel shall issue to the consumer an attendance card containing given name and surname of the consumer, date and time of visit, and also information regarding health risks caused by UV radiation and conditions for the receipt of the service (Annex 1).</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6" w:name="p-358130"/>
      <w:bookmarkStart w:id="17" w:name="p8"/>
      <w:bookmarkEnd w:id="16"/>
      <w:bookmarkEnd w:id="17"/>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Attendance card shall be kept by the consumer. If the attendance card is lost, the service provider shall provide a repeated issue thereof to the consumer.</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18" w:name="p-358131"/>
      <w:bookmarkStart w:id="19" w:name="p9"/>
      <w:bookmarkEnd w:id="18"/>
      <w:bookmarkEnd w:id="19"/>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service provider shall provide information on the influence of UV radiation, sunbathing contra-indications, recommendations regarding correct sunbathing arrangements and types of skin at the location of provision of the service. Information shall be posted in an area of dimensions not smaller than 21 x 30 cm in such a way as to provide easy visibility and legibility for the consumer.</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0" w:name="p-358132"/>
      <w:bookmarkStart w:id="21" w:name="p10"/>
      <w:bookmarkEnd w:id="20"/>
      <w:bookmarkEnd w:id="21"/>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Solarium personnel is obliged to assess compliance of condition of the skin of the consumer with the reception of the service and provide consultations on the most suitable sunbathing arrangements.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2" w:name="n3"/>
      <w:bookmarkEnd w:id="22"/>
    </w:p>
    <w:p w:rsidR="00717A84" w:rsidRPr="00717A84" w:rsidRDefault="00717A84" w:rsidP="00717A8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Requirements for the Solarium Premises, Devices and Equipment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3" w:name="p-358134"/>
      <w:bookmarkStart w:id="24" w:name="p11"/>
      <w:bookmarkEnd w:id="23"/>
      <w:bookmarkEnd w:id="24"/>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At least the following premises shall be provided at the location of the provision of service:</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waiting room or space for the consumer;</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room or separated space, where the UV device is located and space for the personal items and clothing of the consumer;</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space for the storage of clean-up inventory of premises;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room for the personnel hygiene (toilet facilities – also for the customers).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5" w:name="p-358135"/>
      <w:bookmarkStart w:id="26" w:name="p12"/>
      <w:bookmarkEnd w:id="25"/>
      <w:bookmarkEnd w:id="26"/>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location of the provision of service shall be equipped with natural or mechanical ventilation, providing both the air temperature not lower than +18 ºC, and the floors shall be easy to clean and disinfect.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7" w:name="p-358136"/>
      <w:bookmarkStart w:id="28" w:name="p13"/>
      <w:bookmarkEnd w:id="27"/>
      <w:bookmarkEnd w:id="28"/>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service provider shall develop cleaning and disinfection plan providing cleaning and disinfection of the UV device after every use.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29" w:name="p-358137"/>
      <w:bookmarkStart w:id="30" w:name="p14"/>
      <w:bookmarkEnd w:id="29"/>
      <w:bookmarkEnd w:id="30"/>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service provider shall provide registration of cleaning or disinfection of the room, device or equipment at the location of the provision of service, indicating date, time, and also the person, who has provided cleaning or disinfection thereof. Registration entries on cleaning or disinfection of the premises, device or equipment shall be available to the consumer and Health Inspectorate upon request.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1" w:name="p-358138"/>
      <w:bookmarkStart w:id="32" w:name="p15"/>
      <w:bookmarkEnd w:id="31"/>
      <w:bookmarkEnd w:id="32"/>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UV devices shall be equipped with the working hour and sunbathing time meters, ventilation systems and automatic disconnection system.</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3" w:name="p-358139"/>
      <w:bookmarkStart w:id="34" w:name="p16"/>
      <w:bookmarkEnd w:id="33"/>
      <w:bookmarkEnd w:id="34"/>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Maximum efficient UV radiation level caused by the UV device shall not exceed 0.3 W/m</w:t>
      </w:r>
      <w:r>
        <w:rPr>
          <w:rFonts w:ascii="Times New Roman" w:hAnsi="Times New Roman"/>
          <w:noProof/>
          <w:sz w:val="24"/>
          <w:vertAlign w:val="superscript"/>
        </w:rPr>
        <w:t>2</w:t>
      </w:r>
      <w:r>
        <w:rPr>
          <w:rFonts w:ascii="Times New Roman" w:hAnsi="Times New Roman"/>
          <w:noProof/>
          <w:sz w:val="24"/>
        </w:rPr>
        <w: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5" w:name="p-358140"/>
      <w:bookmarkStart w:id="36" w:name="p17"/>
      <w:bookmarkEnd w:id="35"/>
      <w:bookmarkEnd w:id="36"/>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Maximum efficient UV radiation level caused by the UV device shall be confirmed by the technical documentation of the UV device and declaration of conformity issued by the manufacturer of lamps or measurement results.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7" w:name="p-358141"/>
      <w:bookmarkStart w:id="38" w:name="p18"/>
      <w:bookmarkEnd w:id="37"/>
      <w:bookmarkEnd w:id="38"/>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Measurements of the radiation caused by the UV device shall be performed with a calibrated measuring equipment, which, according to the manual of the manufacturer shall be suitable for the measurements of the respective UV radiation, by:</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18.1. laboratories accredited in the Latvian National Accreditation Bureau pursuant to the standard LVS EN ISO/IEC 17025:2005 L "General requirements for the competence of testing and calibration laboratories";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institutions accredited in other Member States of the European Union, which are entitled to perform measurements of the optical radiation;</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persons with qualification, which is relevant for the performance of measurements.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39" w:name="p-358142"/>
      <w:bookmarkStart w:id="40" w:name="p19"/>
      <w:bookmarkEnd w:id="39"/>
      <w:bookmarkEnd w:id="40"/>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At least once a month, entries (in electronic or paper format) on change of the lamps of UV equipment, degree of wear thereof, and also any technical tests shall be made. These data shall be available to the consumers and Health Inspectorate upon request.</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41" w:name="p-358143"/>
      <w:bookmarkStart w:id="42" w:name="p20"/>
      <w:bookmarkEnd w:id="41"/>
      <w:bookmarkEnd w:id="42"/>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service provider shall provide for each consumer the following:</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UV radiation protective goggles;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napkins or other accessories for the removal of make-up.</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43" w:name="p-358144"/>
      <w:bookmarkStart w:id="44" w:name="p21"/>
      <w:bookmarkEnd w:id="43"/>
      <w:bookmarkEnd w:id="44"/>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UV radiation protective goggles shall be cleaned and disinfected using appropriate cleaning and disinfection products after every use.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45" w:name="n4"/>
      <w:bookmarkEnd w:id="45"/>
    </w:p>
    <w:p w:rsidR="00717A84" w:rsidRPr="00717A84" w:rsidRDefault="00717A84" w:rsidP="00717A8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Requirements for the Solarium Personnel</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46" w:name="p-358146"/>
      <w:bookmarkStart w:id="47" w:name="p22"/>
      <w:bookmarkEnd w:id="46"/>
      <w:bookmarkEnd w:id="47"/>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service provider shall be responsible for ensuring that the solarium personnel has appropriate theoretical and practical knowledge on composition and physiology of skin, physical characterisation of the UV radiation, physiological and therapeutic impact of the UV radiation to human body, indications, contra-indications, possibilities of use, equipment, labour safety and first aid in case of health disorders caused by the UV radiation, in order to provide service, which is safe and harmless to human health. Such knowledge shall be attested by a document of medical education, a document of vocational education or qualification acquired abroad, which has been recognised in Latvia in accordance with the laws and regulations regarding the recognition of vocational qualification, or a certificate on acquisition of the training programme "Hygiene requirements determined for the cosmetic tanning acquisition service" (hereinafter — certificate ) (Annex 2).</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48" w:name="p-358147"/>
      <w:bookmarkStart w:id="49" w:name="p23"/>
      <w:bookmarkEnd w:id="48"/>
      <w:bookmarkEnd w:id="49"/>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Certificate shall be issued to the solarium personnel by an institution, which is entitled to provide such training, if the solarium personnel has heard the six hour training course "Hygiene requirements determined for the cosmetic tanning acquisition service" in accordance with the programme referred to in Annex 3 of this Regulation.</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0" w:name="p-358148"/>
      <w:bookmarkStart w:id="51" w:name="p24"/>
      <w:bookmarkEnd w:id="50"/>
      <w:bookmarkEnd w:id="51"/>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Certificate shall be valid for two years from the day of the issue thereof.</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2" w:name="p-358149"/>
      <w:bookmarkStart w:id="53" w:name="p25"/>
      <w:bookmarkEnd w:id="52"/>
      <w:bookmarkEnd w:id="53"/>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solarium personnel shall hold a personal medical booklet containing entries according to the requirements set for the persons, whose occupation is directly related to a possible risk to the health of other people.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4" w:name="n5"/>
      <w:bookmarkEnd w:id="54"/>
    </w:p>
    <w:p w:rsidR="00717A84" w:rsidRPr="00717A84" w:rsidRDefault="00717A84" w:rsidP="00F369F0">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w:t>
      </w:r>
    </w:p>
    <w:p w:rsidR="00717A84" w:rsidRPr="00717A84" w:rsidRDefault="00717A84" w:rsidP="00F369F0">
      <w:pPr>
        <w:keepNext/>
        <w:spacing w:after="0" w:line="240" w:lineRule="auto"/>
        <w:jc w:val="both"/>
        <w:rPr>
          <w:rFonts w:ascii="Times New Roman" w:eastAsia="Times New Roman" w:hAnsi="Times New Roman" w:cs="Times New Roman"/>
          <w:noProof/>
          <w:sz w:val="24"/>
          <w:szCs w:val="24"/>
        </w:rPr>
      </w:pPr>
      <w:bookmarkStart w:id="55" w:name="p-358151"/>
      <w:bookmarkStart w:id="56" w:name="p26"/>
      <w:bookmarkEnd w:id="55"/>
      <w:bookmarkEnd w:id="56"/>
    </w:p>
    <w:p w:rsidR="00717A84" w:rsidRPr="00717A84" w:rsidRDefault="00717A84" w:rsidP="00F369F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Paragraphs 16 and 22 of this Regulation shall come into force on 1 January 2011.</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7" w:name="358152"/>
      <w:bookmarkEnd w:id="57"/>
    </w:p>
    <w:p w:rsidR="00717A84" w:rsidRPr="00717A84" w:rsidRDefault="00717A84" w:rsidP="00717A8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58" w:name="p-358153"/>
      <w:bookmarkStart w:id="59" w:name="p213"/>
      <w:bookmarkEnd w:id="58"/>
      <w:bookmarkEnd w:id="59"/>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98/34/EC of the European Parliament and of the Council of 22 June 1998 laying down a procedure for the provision of information in the field of technical standards and regulations;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Directive 98/48/EC of the European Parliament and of the Council of 20 July 1998 amending Directive 98/34/EC laying down a procedure for the provision of information in the field of technical standards and regulations.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F369F0"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17A84">
        <w:rPr>
          <w:rFonts w:ascii="Times New Roman" w:hAnsi="Times New Roman"/>
          <w:noProof/>
          <w:sz w:val="24"/>
        </w:rPr>
        <w:t>V. Dombrovskis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F369F0"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17A84">
        <w:rPr>
          <w:rFonts w:ascii="Times New Roman" w:hAnsi="Times New Roman"/>
          <w:noProof/>
          <w:sz w:val="24"/>
        </w:rPr>
        <w:t>D. Gavars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60" w:name="piel1"/>
      <w:bookmarkEnd w:id="60"/>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rPr>
          <w:rFonts w:ascii="Times New Roman" w:eastAsia="Times New Roman" w:hAnsi="Times New Roman" w:cs="Times New Roman"/>
          <w:noProof/>
          <w:sz w:val="24"/>
          <w:szCs w:val="24"/>
        </w:rPr>
      </w:pPr>
      <w:r>
        <w:br w:type="page"/>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834</w:t>
      </w:r>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 7 September 2010</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center"/>
        <w:rPr>
          <w:rFonts w:ascii="Times New Roman" w:eastAsia="Times New Roman" w:hAnsi="Times New Roman" w:cs="Times New Roman"/>
          <w:b/>
          <w:noProof/>
          <w:sz w:val="28"/>
          <w:szCs w:val="28"/>
        </w:rPr>
      </w:pPr>
      <w:bookmarkStart w:id="61" w:name="358156"/>
      <w:bookmarkEnd w:id="61"/>
      <w:r>
        <w:rPr>
          <w:rFonts w:ascii="Times New Roman" w:hAnsi="Times New Roman"/>
          <w:b/>
          <w:noProof/>
          <w:sz w:val="28"/>
        </w:rPr>
        <w:t>Information to be provided to consumers regarding health risks caused by the UV radiation and conditions for the receipt of the service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62" w:name="p-358157"/>
      <w:bookmarkEnd w:id="2"/>
      <w:bookmarkEnd w:id="62"/>
      <w:r>
        <w:rPr>
          <w:rFonts w:ascii="Times New Roman" w:hAnsi="Times New Roman"/>
          <w:noProof/>
          <w:sz w:val="24"/>
        </w:rPr>
        <w:t>1. We hereby warn you that too often and intensive influence of the UV radiation promotes ageing of the skin and development of skin cancer.</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order to avoid the unfavourable impact of the UV radiation, please, observe the following conditions: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UV devices may not be used:</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by persons up to the age of 18 (except for the cases of a physician recommendation);</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by persons with naturally red hair;</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2.1.3. by persons with skin problems (for example, pigment spots, unusually pale spots);</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2.1.4. by persons with sensitive skin (suffering from sunburns; persons, who never tan or are not able to tan without burning themselves; persons, who have suffered from frequent sunburns in their childhood);</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2.1.5. by persons with medical problems (who are suffering or have suffered from skin cancer; who are under the doctors' supervision due to illnesses related to photosensitivity (sensitivity to the impact of radiation energy) or who are taking photosensitive medication);</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2.1.6. if the period passed between the previous bathing in the sun or UV equipment is less than 48 hours;</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following safety measures must be taken by using the UV equipment:</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2.2.1. protective goggles must be used at all times (contact lenses or sunglasses shall not replace protective goggles);</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2.2.2. make-up must be removed before sunbathing. No protective creams or tanning intensifying products may be used without coordination with the solarium personnel;</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2.2.3. recommendations given by the solarium personnel regarding duration of each sunbathing, intervals between sunbathing sessions and distance from lamps, and also the maximum allowed number of sunbathings annually without exceeding the minimum erythemal dose (MED) for a person must be complied with;</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 sensitive parts of skin (for example, scars, tattoos, and also genitals) must be covered to protect from the impact of the UV radiation;</w:t>
      </w:r>
    </w:p>
    <w:p w:rsidR="00717A84" w:rsidRPr="00717A84" w:rsidRDefault="00717A84" w:rsidP="00717A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consultation with a physician shall be necessary regarding possible health risks caused by the UV radiation:</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2.3.1. when commencing reception of the cosmetic tanning service first time in life or after a year or more;</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2.3.2 in case of explicit sensitivity or allergic reactions to the UV radiation;</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2.3.3. if, during 48 hours after the sunbathing, you feel skin irritation, burning, skin swelling, skin damages, rash or changes in the pigment birthmarks and other unusual changes in skin can be observed;</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2.3.4. in case of pregnancy;</w:t>
      </w:r>
    </w:p>
    <w:p w:rsidR="00717A84" w:rsidRPr="00717A84" w:rsidRDefault="00717A84" w:rsidP="00717A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2.3.5. in case of taking of any medication.</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Pr>
          <w:rFonts w:ascii="Times New Roman" w:hAnsi="Times New Roman"/>
          <w:noProof/>
          <w:sz w:val="24"/>
        </w:rPr>
        <w:t>D. Gavars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63" w:name="piel2"/>
      <w:bookmarkEnd w:id="63"/>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rPr>
          <w:rFonts w:ascii="Times New Roman" w:eastAsia="Times New Roman" w:hAnsi="Times New Roman" w:cs="Times New Roman"/>
          <w:noProof/>
          <w:sz w:val="24"/>
          <w:szCs w:val="24"/>
        </w:rPr>
      </w:pPr>
      <w:r>
        <w:br w:type="page"/>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834</w:t>
      </w:r>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 7 September 2010</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center"/>
        <w:rPr>
          <w:rFonts w:ascii="Times New Roman" w:eastAsia="Times New Roman" w:hAnsi="Times New Roman" w:cs="Times New Roman"/>
          <w:b/>
          <w:noProof/>
          <w:sz w:val="28"/>
          <w:szCs w:val="28"/>
        </w:rPr>
      </w:pPr>
      <w:bookmarkStart w:id="64" w:name="358160"/>
      <w:bookmarkEnd w:id="64"/>
      <w:r>
        <w:rPr>
          <w:rFonts w:ascii="Times New Roman" w:hAnsi="Times New Roman"/>
          <w:b/>
          <w:noProof/>
          <w:sz w:val="28"/>
        </w:rPr>
        <w:t>Certificate on acquisition of the training course "Hygiene requirements determined for the cosmetic tanning acquisition service"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pStyle w:val="naislab"/>
        <w:spacing w:before="0" w:after="0"/>
        <w:jc w:val="both"/>
        <w:rPr>
          <w:noProof/>
          <w:szCs w:val="28"/>
        </w:rPr>
      </w:pPr>
    </w:p>
    <w:tbl>
      <w:tblPr>
        <w:tblW w:w="4997" w:type="pct"/>
        <w:tblLook w:val="01E0" w:firstRow="1" w:lastRow="1" w:firstColumn="1" w:lastColumn="1" w:noHBand="0" w:noVBand="0"/>
      </w:tblPr>
      <w:tblGrid>
        <w:gridCol w:w="1269"/>
        <w:gridCol w:w="230"/>
        <w:gridCol w:w="1194"/>
        <w:gridCol w:w="232"/>
        <w:gridCol w:w="406"/>
        <w:gridCol w:w="406"/>
        <w:gridCol w:w="406"/>
        <w:gridCol w:w="152"/>
        <w:gridCol w:w="254"/>
        <w:gridCol w:w="101"/>
        <w:gridCol w:w="304"/>
        <w:gridCol w:w="406"/>
        <w:gridCol w:w="410"/>
        <w:gridCol w:w="406"/>
        <w:gridCol w:w="406"/>
        <w:gridCol w:w="406"/>
        <w:gridCol w:w="406"/>
        <w:gridCol w:w="406"/>
        <w:gridCol w:w="1261"/>
      </w:tblGrid>
      <w:tr w:rsidR="00717A84" w:rsidRPr="00717A84" w:rsidTr="00F369F0">
        <w:tc>
          <w:tcPr>
            <w:tcW w:w="700" w:type="pct"/>
          </w:tcPr>
          <w:p w:rsidR="00717A84" w:rsidRPr="00717A84" w:rsidRDefault="00717A84" w:rsidP="00494C97">
            <w:pPr>
              <w:pStyle w:val="naislab"/>
              <w:spacing w:before="0" w:after="0"/>
              <w:jc w:val="both"/>
              <w:rPr>
                <w:noProof/>
                <w:szCs w:val="28"/>
              </w:rPr>
            </w:pPr>
            <w:r>
              <w:t>Issued to</w:t>
            </w:r>
          </w:p>
        </w:tc>
        <w:tc>
          <w:tcPr>
            <w:tcW w:w="127" w:type="pct"/>
          </w:tcPr>
          <w:p w:rsidR="00717A84" w:rsidRPr="00717A84" w:rsidRDefault="00717A84" w:rsidP="00494C97">
            <w:pPr>
              <w:pStyle w:val="naislab"/>
              <w:spacing w:before="0" w:after="0"/>
              <w:jc w:val="both"/>
              <w:rPr>
                <w:noProof/>
                <w:szCs w:val="28"/>
              </w:rPr>
            </w:pPr>
          </w:p>
        </w:tc>
        <w:tc>
          <w:tcPr>
            <w:tcW w:w="1543" w:type="pct"/>
            <w:gridSpan w:val="6"/>
            <w:tcBorders>
              <w:bottom w:val="single" w:sz="4" w:space="0" w:color="auto"/>
            </w:tcBorders>
          </w:tcPr>
          <w:p w:rsidR="00717A84" w:rsidRPr="00717A84" w:rsidRDefault="00717A84" w:rsidP="00494C97">
            <w:pPr>
              <w:pStyle w:val="naislab"/>
              <w:spacing w:before="0" w:after="0"/>
              <w:jc w:val="both"/>
              <w:rPr>
                <w:noProof/>
                <w:szCs w:val="28"/>
              </w:rPr>
            </w:pPr>
          </w:p>
        </w:tc>
        <w:tc>
          <w:tcPr>
            <w:tcW w:w="196" w:type="pct"/>
            <w:gridSpan w:val="2"/>
          </w:tcPr>
          <w:p w:rsidR="00717A84" w:rsidRPr="00717A84" w:rsidRDefault="00717A84" w:rsidP="00494C97">
            <w:pPr>
              <w:pStyle w:val="naislab"/>
              <w:spacing w:before="0" w:after="0"/>
              <w:jc w:val="both"/>
              <w:rPr>
                <w:noProof/>
                <w:szCs w:val="28"/>
              </w:rPr>
            </w:pPr>
          </w:p>
        </w:tc>
        <w:tc>
          <w:tcPr>
            <w:tcW w:w="2434" w:type="pct"/>
            <w:gridSpan w:val="9"/>
            <w:tcBorders>
              <w:bottom w:val="single" w:sz="4" w:space="0" w:color="auto"/>
            </w:tcBorders>
          </w:tcPr>
          <w:p w:rsidR="00717A84" w:rsidRPr="00717A84" w:rsidRDefault="00717A84" w:rsidP="00494C97">
            <w:pPr>
              <w:pStyle w:val="naislab"/>
              <w:spacing w:before="0" w:after="0"/>
              <w:jc w:val="both"/>
              <w:rPr>
                <w:noProof/>
                <w:szCs w:val="28"/>
              </w:rPr>
            </w:pPr>
          </w:p>
        </w:tc>
      </w:tr>
      <w:tr w:rsidR="00717A84" w:rsidRPr="00717A84" w:rsidTr="00F369F0">
        <w:tc>
          <w:tcPr>
            <w:tcW w:w="700" w:type="pct"/>
          </w:tcPr>
          <w:p w:rsidR="00717A84" w:rsidRPr="00717A84" w:rsidRDefault="00717A84" w:rsidP="00494C97">
            <w:pPr>
              <w:pStyle w:val="naislab"/>
              <w:spacing w:before="0" w:after="0"/>
              <w:jc w:val="both"/>
              <w:rPr>
                <w:noProof/>
                <w:szCs w:val="28"/>
              </w:rPr>
            </w:pPr>
          </w:p>
        </w:tc>
        <w:tc>
          <w:tcPr>
            <w:tcW w:w="127" w:type="pct"/>
          </w:tcPr>
          <w:p w:rsidR="00717A84" w:rsidRPr="00717A84" w:rsidRDefault="00717A84" w:rsidP="00494C97">
            <w:pPr>
              <w:pStyle w:val="naislab"/>
              <w:spacing w:before="0" w:after="0"/>
              <w:jc w:val="both"/>
              <w:rPr>
                <w:noProof/>
                <w:szCs w:val="28"/>
              </w:rPr>
            </w:pPr>
          </w:p>
        </w:tc>
        <w:tc>
          <w:tcPr>
            <w:tcW w:w="1543" w:type="pct"/>
            <w:gridSpan w:val="6"/>
            <w:tcBorders>
              <w:top w:val="single" w:sz="4" w:space="0" w:color="auto"/>
            </w:tcBorders>
          </w:tcPr>
          <w:p w:rsidR="00717A84" w:rsidRPr="00717A84" w:rsidRDefault="00717A84" w:rsidP="00494C97">
            <w:pPr>
              <w:pStyle w:val="naislab"/>
              <w:spacing w:before="0" w:after="0"/>
              <w:jc w:val="center"/>
              <w:rPr>
                <w:noProof/>
              </w:rPr>
            </w:pPr>
            <w:r>
              <w:t>(Given name)</w:t>
            </w:r>
          </w:p>
        </w:tc>
        <w:tc>
          <w:tcPr>
            <w:tcW w:w="196" w:type="pct"/>
            <w:gridSpan w:val="2"/>
          </w:tcPr>
          <w:p w:rsidR="00717A84" w:rsidRPr="00717A84" w:rsidRDefault="00717A84" w:rsidP="00494C97">
            <w:pPr>
              <w:pStyle w:val="naislab"/>
              <w:spacing w:before="0" w:after="0"/>
              <w:jc w:val="center"/>
              <w:rPr>
                <w:noProof/>
              </w:rPr>
            </w:pPr>
          </w:p>
        </w:tc>
        <w:tc>
          <w:tcPr>
            <w:tcW w:w="2434" w:type="pct"/>
            <w:gridSpan w:val="9"/>
            <w:tcBorders>
              <w:top w:val="single" w:sz="4" w:space="0" w:color="auto"/>
            </w:tcBorders>
          </w:tcPr>
          <w:p w:rsidR="00717A84" w:rsidRPr="00717A84" w:rsidRDefault="00717A84" w:rsidP="00494C97">
            <w:pPr>
              <w:pStyle w:val="naislab"/>
              <w:spacing w:before="0" w:after="0"/>
              <w:jc w:val="center"/>
              <w:rPr>
                <w:noProof/>
              </w:rPr>
            </w:pPr>
            <w:r>
              <w:t>(Surname)</w:t>
            </w:r>
          </w:p>
        </w:tc>
      </w:tr>
      <w:tr w:rsidR="00717A84" w:rsidRPr="00717A84" w:rsidTr="00F369F0">
        <w:trPr>
          <w:gridAfter w:val="1"/>
          <w:wAfter w:w="697" w:type="pct"/>
        </w:trPr>
        <w:tc>
          <w:tcPr>
            <w:tcW w:w="1486" w:type="pct"/>
            <w:gridSpan w:val="3"/>
          </w:tcPr>
          <w:p w:rsidR="00717A84" w:rsidRPr="00717A84" w:rsidRDefault="00717A84" w:rsidP="00494C97">
            <w:pPr>
              <w:pStyle w:val="naislab"/>
              <w:spacing w:before="0" w:after="0"/>
              <w:jc w:val="both"/>
              <w:rPr>
                <w:noProof/>
                <w:szCs w:val="28"/>
              </w:rPr>
            </w:pPr>
            <w:r>
              <w:t>Personal identity number</w:t>
            </w:r>
          </w:p>
        </w:tc>
        <w:tc>
          <w:tcPr>
            <w:tcW w:w="128" w:type="pct"/>
            <w:tcBorders>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gridSpan w:val="2"/>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gridSpan w:val="2"/>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6" w:type="pct"/>
            <w:tcBorders>
              <w:left w:val="single" w:sz="4" w:space="0" w:color="auto"/>
              <w:right w:val="single" w:sz="4" w:space="0" w:color="auto"/>
            </w:tcBorders>
          </w:tcPr>
          <w:p w:rsidR="00717A84" w:rsidRPr="00717A84" w:rsidRDefault="00717A84" w:rsidP="00494C97">
            <w:pPr>
              <w:pStyle w:val="naislab"/>
              <w:spacing w:before="0" w:after="0"/>
              <w:jc w:val="both"/>
              <w:rPr>
                <w:noProof/>
                <w:szCs w:val="28"/>
              </w:rPr>
            </w:pPr>
            <w:r>
              <w:t>-</w:t>
            </w: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r>
    </w:tbl>
    <w:p w:rsidR="00717A84" w:rsidRPr="00717A84" w:rsidRDefault="00717A84" w:rsidP="00717A84">
      <w:pPr>
        <w:pStyle w:val="naislab"/>
        <w:spacing w:before="0" w:after="0"/>
        <w:jc w:val="both"/>
        <w:rPr>
          <w:noProof/>
          <w:szCs w:val="28"/>
        </w:rPr>
      </w:pPr>
    </w:p>
    <w:tbl>
      <w:tblPr>
        <w:tblW w:w="4997" w:type="pct"/>
        <w:tblLook w:val="01E0" w:firstRow="1" w:lastRow="1" w:firstColumn="1" w:lastColumn="1" w:noHBand="0" w:noVBand="0"/>
      </w:tblPr>
      <w:tblGrid>
        <w:gridCol w:w="2641"/>
        <w:gridCol w:w="228"/>
        <w:gridCol w:w="404"/>
        <w:gridCol w:w="406"/>
        <w:gridCol w:w="404"/>
        <w:gridCol w:w="406"/>
        <w:gridCol w:w="404"/>
        <w:gridCol w:w="228"/>
        <w:gridCol w:w="178"/>
        <w:gridCol w:w="170"/>
        <w:gridCol w:w="236"/>
        <w:gridCol w:w="404"/>
        <w:gridCol w:w="406"/>
        <w:gridCol w:w="404"/>
        <w:gridCol w:w="406"/>
        <w:gridCol w:w="406"/>
        <w:gridCol w:w="1330"/>
      </w:tblGrid>
      <w:tr w:rsidR="00717A84" w:rsidRPr="00717A84" w:rsidTr="00F369F0">
        <w:tc>
          <w:tcPr>
            <w:tcW w:w="1457" w:type="pct"/>
          </w:tcPr>
          <w:p w:rsidR="00717A84" w:rsidRPr="00717A84" w:rsidRDefault="00717A84" w:rsidP="00494C97">
            <w:pPr>
              <w:pStyle w:val="naislab"/>
              <w:spacing w:before="0" w:after="0"/>
              <w:jc w:val="both"/>
              <w:rPr>
                <w:noProof/>
                <w:szCs w:val="28"/>
              </w:rPr>
            </w:pPr>
            <w:r>
              <w:t>Head of training course</w:t>
            </w:r>
          </w:p>
        </w:tc>
        <w:tc>
          <w:tcPr>
            <w:tcW w:w="126" w:type="pct"/>
          </w:tcPr>
          <w:p w:rsidR="00717A84" w:rsidRPr="00717A84" w:rsidRDefault="00717A84" w:rsidP="00494C97">
            <w:pPr>
              <w:pStyle w:val="naislab"/>
              <w:spacing w:before="0" w:after="0"/>
              <w:jc w:val="both"/>
              <w:rPr>
                <w:noProof/>
                <w:szCs w:val="28"/>
              </w:rPr>
            </w:pPr>
          </w:p>
        </w:tc>
        <w:tc>
          <w:tcPr>
            <w:tcW w:w="1243" w:type="pct"/>
            <w:gridSpan w:val="6"/>
            <w:tcBorders>
              <w:bottom w:val="single" w:sz="4" w:space="0" w:color="auto"/>
            </w:tcBorders>
          </w:tcPr>
          <w:p w:rsidR="00717A84" w:rsidRPr="00717A84" w:rsidRDefault="00717A84" w:rsidP="00494C97">
            <w:pPr>
              <w:pStyle w:val="naislab"/>
              <w:spacing w:before="0" w:after="0"/>
              <w:jc w:val="both"/>
              <w:rPr>
                <w:noProof/>
                <w:szCs w:val="28"/>
              </w:rPr>
            </w:pPr>
          </w:p>
        </w:tc>
        <w:tc>
          <w:tcPr>
            <w:tcW w:w="192" w:type="pct"/>
            <w:gridSpan w:val="2"/>
          </w:tcPr>
          <w:p w:rsidR="00717A84" w:rsidRPr="00717A84" w:rsidRDefault="00717A84" w:rsidP="00494C97">
            <w:pPr>
              <w:pStyle w:val="naislab"/>
              <w:spacing w:before="0" w:after="0"/>
              <w:jc w:val="both"/>
              <w:rPr>
                <w:noProof/>
                <w:szCs w:val="28"/>
              </w:rPr>
            </w:pPr>
          </w:p>
        </w:tc>
        <w:tc>
          <w:tcPr>
            <w:tcW w:w="1983" w:type="pct"/>
            <w:gridSpan w:val="7"/>
            <w:tcBorders>
              <w:bottom w:val="single" w:sz="4" w:space="0" w:color="auto"/>
            </w:tcBorders>
          </w:tcPr>
          <w:p w:rsidR="00717A84" w:rsidRPr="00717A84" w:rsidRDefault="00717A84" w:rsidP="00494C97">
            <w:pPr>
              <w:pStyle w:val="naislab"/>
              <w:spacing w:before="0" w:after="0"/>
              <w:jc w:val="both"/>
              <w:rPr>
                <w:noProof/>
                <w:szCs w:val="28"/>
              </w:rPr>
            </w:pPr>
          </w:p>
        </w:tc>
      </w:tr>
      <w:tr w:rsidR="00717A84" w:rsidRPr="00717A84" w:rsidTr="00F369F0">
        <w:tc>
          <w:tcPr>
            <w:tcW w:w="1457" w:type="pct"/>
          </w:tcPr>
          <w:p w:rsidR="00717A84" w:rsidRPr="00717A84" w:rsidRDefault="00717A84" w:rsidP="00494C97">
            <w:pPr>
              <w:pStyle w:val="naislab"/>
              <w:spacing w:before="0" w:after="0"/>
              <w:jc w:val="both"/>
              <w:rPr>
                <w:noProof/>
                <w:szCs w:val="28"/>
              </w:rPr>
            </w:pPr>
          </w:p>
        </w:tc>
        <w:tc>
          <w:tcPr>
            <w:tcW w:w="126" w:type="pct"/>
          </w:tcPr>
          <w:p w:rsidR="00717A84" w:rsidRPr="00717A84" w:rsidRDefault="00717A84" w:rsidP="00494C97">
            <w:pPr>
              <w:pStyle w:val="naislab"/>
              <w:spacing w:before="0" w:after="0"/>
              <w:jc w:val="both"/>
              <w:rPr>
                <w:noProof/>
                <w:szCs w:val="28"/>
              </w:rPr>
            </w:pPr>
          </w:p>
        </w:tc>
        <w:tc>
          <w:tcPr>
            <w:tcW w:w="1243" w:type="pct"/>
            <w:gridSpan w:val="6"/>
            <w:tcBorders>
              <w:top w:val="single" w:sz="4" w:space="0" w:color="auto"/>
            </w:tcBorders>
          </w:tcPr>
          <w:p w:rsidR="00717A84" w:rsidRPr="00717A84" w:rsidRDefault="00717A84" w:rsidP="00494C97">
            <w:pPr>
              <w:pStyle w:val="naislab"/>
              <w:spacing w:before="0" w:after="0"/>
              <w:jc w:val="center"/>
              <w:rPr>
                <w:noProof/>
              </w:rPr>
            </w:pPr>
            <w:r>
              <w:t>(Given name)</w:t>
            </w:r>
          </w:p>
        </w:tc>
        <w:tc>
          <w:tcPr>
            <w:tcW w:w="192" w:type="pct"/>
            <w:gridSpan w:val="2"/>
          </w:tcPr>
          <w:p w:rsidR="00717A84" w:rsidRPr="00717A84" w:rsidRDefault="00717A84" w:rsidP="00494C97">
            <w:pPr>
              <w:pStyle w:val="naislab"/>
              <w:spacing w:before="0" w:after="0"/>
              <w:jc w:val="center"/>
              <w:rPr>
                <w:noProof/>
              </w:rPr>
            </w:pPr>
          </w:p>
        </w:tc>
        <w:tc>
          <w:tcPr>
            <w:tcW w:w="1983" w:type="pct"/>
            <w:gridSpan w:val="7"/>
            <w:tcBorders>
              <w:top w:val="single" w:sz="4" w:space="0" w:color="auto"/>
            </w:tcBorders>
          </w:tcPr>
          <w:p w:rsidR="00717A84" w:rsidRPr="00717A84" w:rsidRDefault="00717A84" w:rsidP="00494C97">
            <w:pPr>
              <w:pStyle w:val="naislab"/>
              <w:spacing w:before="0" w:after="0"/>
              <w:jc w:val="center"/>
              <w:rPr>
                <w:noProof/>
              </w:rPr>
            </w:pPr>
            <w:r>
              <w:t>(Surname)</w:t>
            </w:r>
          </w:p>
        </w:tc>
      </w:tr>
      <w:tr w:rsidR="00717A84" w:rsidRPr="00717A84" w:rsidTr="00F369F0">
        <w:trPr>
          <w:gridAfter w:val="1"/>
          <w:wAfter w:w="735" w:type="pct"/>
        </w:trPr>
        <w:tc>
          <w:tcPr>
            <w:tcW w:w="1457" w:type="pct"/>
          </w:tcPr>
          <w:p w:rsidR="00717A84" w:rsidRPr="00717A84" w:rsidRDefault="00717A84" w:rsidP="00494C97">
            <w:pPr>
              <w:pStyle w:val="naislab"/>
              <w:spacing w:before="0" w:after="0"/>
              <w:jc w:val="both"/>
              <w:rPr>
                <w:noProof/>
                <w:szCs w:val="28"/>
              </w:rPr>
            </w:pPr>
            <w:r>
              <w:t>Personal identity number</w:t>
            </w:r>
          </w:p>
        </w:tc>
        <w:tc>
          <w:tcPr>
            <w:tcW w:w="126" w:type="pct"/>
            <w:tcBorders>
              <w:right w:val="single" w:sz="4" w:space="0" w:color="auto"/>
            </w:tcBorders>
          </w:tcPr>
          <w:p w:rsidR="00717A84" w:rsidRPr="00717A84" w:rsidRDefault="00717A84" w:rsidP="00494C97">
            <w:pPr>
              <w:pStyle w:val="naislab"/>
              <w:spacing w:before="0" w:after="0"/>
              <w:jc w:val="both"/>
              <w:rPr>
                <w:noProof/>
                <w:szCs w:val="28"/>
              </w:rPr>
            </w:pPr>
          </w:p>
        </w:tc>
        <w:tc>
          <w:tcPr>
            <w:tcW w:w="223"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3"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3"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gridSpan w:val="2"/>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gridSpan w:val="2"/>
            <w:tcBorders>
              <w:right w:val="single" w:sz="4" w:space="0" w:color="auto"/>
            </w:tcBorders>
          </w:tcPr>
          <w:p w:rsidR="00717A84" w:rsidRPr="00717A84" w:rsidRDefault="00717A84" w:rsidP="00494C97">
            <w:pPr>
              <w:pStyle w:val="naislab"/>
              <w:spacing w:before="0" w:after="0"/>
              <w:jc w:val="both"/>
              <w:rPr>
                <w:noProof/>
                <w:szCs w:val="28"/>
              </w:rPr>
            </w:pPr>
            <w:r>
              <w:t>-</w:t>
            </w:r>
          </w:p>
        </w:tc>
        <w:tc>
          <w:tcPr>
            <w:tcW w:w="223"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3"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c>
          <w:tcPr>
            <w:tcW w:w="224" w:type="pct"/>
            <w:tcBorders>
              <w:top w:val="single" w:sz="4" w:space="0" w:color="auto"/>
              <w:left w:val="single" w:sz="4" w:space="0" w:color="auto"/>
              <w:bottom w:val="single" w:sz="4" w:space="0" w:color="auto"/>
              <w:right w:val="single" w:sz="4" w:space="0" w:color="auto"/>
            </w:tcBorders>
          </w:tcPr>
          <w:p w:rsidR="00717A84" w:rsidRPr="00717A84" w:rsidRDefault="00717A84" w:rsidP="00494C97">
            <w:pPr>
              <w:pStyle w:val="naislab"/>
              <w:spacing w:before="0" w:after="0"/>
              <w:jc w:val="both"/>
              <w:rPr>
                <w:noProof/>
                <w:szCs w:val="28"/>
              </w:rPr>
            </w:pPr>
          </w:p>
        </w:tc>
      </w:tr>
    </w:tbl>
    <w:p w:rsidR="00717A84" w:rsidRPr="00717A84" w:rsidRDefault="00717A84" w:rsidP="00717A84">
      <w:pPr>
        <w:pStyle w:val="naislab"/>
        <w:spacing w:before="0" w:after="0"/>
        <w:jc w:val="both"/>
        <w:rPr>
          <w:noProof/>
          <w:szCs w:val="28"/>
        </w:rPr>
      </w:pPr>
    </w:p>
    <w:p w:rsidR="00717A84" w:rsidRPr="00717A84" w:rsidRDefault="00717A84" w:rsidP="00717A84">
      <w:pPr>
        <w:pStyle w:val="naislab"/>
        <w:spacing w:before="0" w:after="0"/>
        <w:jc w:val="both"/>
        <w:rPr>
          <w:noProof/>
          <w:szCs w:val="28"/>
        </w:rPr>
      </w:pPr>
      <w:r>
        <w:t>Date of issue ______________________________</w:t>
      </w:r>
    </w:p>
    <w:p w:rsidR="00717A84" w:rsidRPr="00717A84" w:rsidRDefault="00717A84" w:rsidP="00717A84">
      <w:pPr>
        <w:pStyle w:val="naislab"/>
        <w:spacing w:before="0" w:after="0"/>
        <w:jc w:val="both"/>
        <w:rPr>
          <w:noProof/>
          <w:szCs w:val="28"/>
        </w:rPr>
      </w:pPr>
    </w:p>
    <w:p w:rsidR="00717A84" w:rsidRPr="00717A84" w:rsidRDefault="00717A84" w:rsidP="00717A84">
      <w:pPr>
        <w:pStyle w:val="naislab"/>
        <w:spacing w:before="0" w:after="0"/>
        <w:jc w:val="both"/>
        <w:rPr>
          <w:noProof/>
          <w:szCs w:val="28"/>
        </w:rPr>
      </w:pPr>
      <w:r>
        <w:t>Signature of the chief of course ______________________</w:t>
      </w:r>
    </w:p>
    <w:p w:rsidR="00717A84" w:rsidRPr="00717A84" w:rsidRDefault="00717A84" w:rsidP="00717A84">
      <w:pPr>
        <w:tabs>
          <w:tab w:val="right" w:pos="9071"/>
        </w:tabs>
        <w:spacing w:after="0" w:line="240" w:lineRule="auto"/>
        <w:jc w:val="both"/>
        <w:rPr>
          <w:rFonts w:ascii="Times New Roman" w:hAnsi="Times New Roman"/>
          <w:noProof/>
          <w:sz w:val="24"/>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333"/>
      </w:tblGrid>
      <w:tr w:rsidR="00717A84" w:rsidRPr="00717A84" w:rsidTr="00494C97">
        <w:tc>
          <w:tcPr>
            <w:tcW w:w="3888" w:type="dxa"/>
            <w:tcBorders>
              <w:top w:val="nil"/>
              <w:left w:val="nil"/>
              <w:bottom w:val="nil"/>
              <w:right w:val="nil"/>
            </w:tcBorders>
          </w:tcPr>
          <w:p w:rsidR="00717A84" w:rsidRPr="00717A84" w:rsidRDefault="00717A84" w:rsidP="00494C97">
            <w:pPr>
              <w:tabs>
                <w:tab w:val="right" w:pos="9071"/>
              </w:tabs>
              <w:spacing w:after="0" w:line="240" w:lineRule="auto"/>
              <w:jc w:val="both"/>
              <w:rPr>
                <w:rFonts w:ascii="Times New Roman" w:hAnsi="Times New Roman"/>
                <w:noProof/>
                <w:sz w:val="24"/>
                <w:szCs w:val="28"/>
              </w:rPr>
            </w:pPr>
            <w:r>
              <w:rPr>
                <w:rFonts w:ascii="Times New Roman" w:hAnsi="Times New Roman"/>
                <w:noProof/>
                <w:sz w:val="24"/>
              </w:rPr>
              <w:t>Institution issuing the certificate</w:t>
            </w:r>
          </w:p>
        </w:tc>
        <w:tc>
          <w:tcPr>
            <w:tcW w:w="5400" w:type="dxa"/>
            <w:tcBorders>
              <w:top w:val="nil"/>
              <w:left w:val="nil"/>
              <w:right w:val="nil"/>
            </w:tcBorders>
          </w:tcPr>
          <w:p w:rsidR="00717A84" w:rsidRPr="00717A84" w:rsidRDefault="00717A84" w:rsidP="00494C97">
            <w:pPr>
              <w:tabs>
                <w:tab w:val="right" w:pos="9071"/>
              </w:tabs>
              <w:spacing w:after="0" w:line="240" w:lineRule="auto"/>
              <w:jc w:val="both"/>
              <w:rPr>
                <w:rFonts w:ascii="Times New Roman" w:hAnsi="Times New Roman"/>
                <w:noProof/>
                <w:sz w:val="24"/>
                <w:szCs w:val="28"/>
              </w:rPr>
            </w:pPr>
          </w:p>
        </w:tc>
      </w:tr>
      <w:tr w:rsidR="00717A84" w:rsidRPr="00717A84" w:rsidTr="00494C97">
        <w:tc>
          <w:tcPr>
            <w:tcW w:w="3888" w:type="dxa"/>
            <w:tcBorders>
              <w:top w:val="nil"/>
              <w:left w:val="nil"/>
              <w:bottom w:val="nil"/>
              <w:right w:val="nil"/>
            </w:tcBorders>
          </w:tcPr>
          <w:p w:rsidR="00717A84" w:rsidRPr="00717A84" w:rsidRDefault="00717A84" w:rsidP="00494C97">
            <w:pPr>
              <w:tabs>
                <w:tab w:val="right" w:pos="9071"/>
              </w:tabs>
              <w:spacing w:after="0" w:line="240" w:lineRule="auto"/>
              <w:jc w:val="both"/>
              <w:rPr>
                <w:rFonts w:ascii="Times New Roman" w:hAnsi="Times New Roman"/>
                <w:noProof/>
                <w:sz w:val="24"/>
                <w:szCs w:val="28"/>
              </w:rPr>
            </w:pPr>
          </w:p>
        </w:tc>
        <w:tc>
          <w:tcPr>
            <w:tcW w:w="5400" w:type="dxa"/>
            <w:tcBorders>
              <w:left w:val="nil"/>
              <w:bottom w:val="nil"/>
              <w:right w:val="nil"/>
            </w:tcBorders>
          </w:tcPr>
          <w:p w:rsidR="00717A84" w:rsidRPr="00717A84" w:rsidRDefault="00717A84" w:rsidP="00494C97">
            <w:pPr>
              <w:tabs>
                <w:tab w:val="right" w:pos="9071"/>
              </w:tabs>
              <w:spacing w:after="0" w:line="240" w:lineRule="auto"/>
              <w:jc w:val="center"/>
              <w:rPr>
                <w:rFonts w:ascii="Times New Roman" w:hAnsi="Times New Roman"/>
                <w:noProof/>
                <w:sz w:val="24"/>
              </w:rPr>
            </w:pPr>
            <w:r>
              <w:rPr>
                <w:rFonts w:ascii="Times New Roman" w:hAnsi="Times New Roman"/>
                <w:noProof/>
                <w:sz w:val="24"/>
              </w:rPr>
              <w:t>(Name of the institution,</w:t>
            </w:r>
          </w:p>
        </w:tc>
      </w:tr>
      <w:tr w:rsidR="00717A84" w:rsidRPr="00717A84" w:rsidTr="00494C97">
        <w:tc>
          <w:tcPr>
            <w:tcW w:w="9288" w:type="dxa"/>
            <w:gridSpan w:val="2"/>
            <w:tcBorders>
              <w:top w:val="nil"/>
              <w:left w:val="nil"/>
              <w:right w:val="nil"/>
            </w:tcBorders>
          </w:tcPr>
          <w:p w:rsidR="00717A84" w:rsidRPr="00717A84" w:rsidRDefault="00717A84" w:rsidP="00494C97">
            <w:pPr>
              <w:tabs>
                <w:tab w:val="right" w:pos="9071"/>
              </w:tabs>
              <w:spacing w:after="0" w:line="240" w:lineRule="auto"/>
              <w:jc w:val="both"/>
              <w:rPr>
                <w:rFonts w:ascii="Times New Roman" w:hAnsi="Times New Roman"/>
                <w:noProof/>
                <w:sz w:val="24"/>
                <w:szCs w:val="16"/>
              </w:rPr>
            </w:pPr>
          </w:p>
          <w:p w:rsidR="00717A84" w:rsidRPr="00717A84" w:rsidRDefault="00717A84" w:rsidP="00494C97">
            <w:pPr>
              <w:tabs>
                <w:tab w:val="right" w:pos="9071"/>
              </w:tabs>
              <w:spacing w:after="0" w:line="240" w:lineRule="auto"/>
              <w:jc w:val="both"/>
              <w:rPr>
                <w:rFonts w:ascii="Times New Roman" w:hAnsi="Times New Roman"/>
                <w:noProof/>
                <w:sz w:val="24"/>
              </w:rPr>
            </w:pPr>
          </w:p>
        </w:tc>
      </w:tr>
      <w:tr w:rsidR="00717A84" w:rsidRPr="00717A84" w:rsidTr="00494C97">
        <w:tc>
          <w:tcPr>
            <w:tcW w:w="9288" w:type="dxa"/>
            <w:gridSpan w:val="2"/>
            <w:tcBorders>
              <w:left w:val="nil"/>
              <w:bottom w:val="nil"/>
              <w:right w:val="nil"/>
            </w:tcBorders>
          </w:tcPr>
          <w:p w:rsidR="00717A84" w:rsidRPr="00717A84" w:rsidRDefault="00717A84" w:rsidP="00494C97">
            <w:pPr>
              <w:tabs>
                <w:tab w:val="right" w:pos="9071"/>
              </w:tabs>
              <w:spacing w:after="0" w:line="240" w:lineRule="auto"/>
              <w:jc w:val="center"/>
              <w:rPr>
                <w:rFonts w:ascii="Times New Roman" w:hAnsi="Times New Roman"/>
                <w:noProof/>
                <w:sz w:val="24"/>
              </w:rPr>
            </w:pPr>
            <w:r>
              <w:rPr>
                <w:rFonts w:ascii="Times New Roman" w:hAnsi="Times New Roman"/>
                <w:noProof/>
                <w:sz w:val="24"/>
              </w:rPr>
              <w:t>address, registration number assigned by the Register of Enterprises of the Republic of Latvia)</w:t>
            </w:r>
          </w:p>
          <w:p w:rsidR="00717A84" w:rsidRPr="00717A84" w:rsidRDefault="00717A84" w:rsidP="00494C97">
            <w:pPr>
              <w:tabs>
                <w:tab w:val="right" w:pos="9071"/>
              </w:tabs>
              <w:spacing w:after="0" w:line="240" w:lineRule="auto"/>
              <w:jc w:val="both"/>
              <w:rPr>
                <w:rFonts w:ascii="Times New Roman" w:hAnsi="Times New Roman"/>
                <w:noProof/>
                <w:sz w:val="24"/>
              </w:rPr>
            </w:pPr>
          </w:p>
        </w:tc>
      </w:tr>
    </w:tbl>
    <w:p w:rsidR="00717A84" w:rsidRPr="00717A84" w:rsidRDefault="00717A84" w:rsidP="00717A84">
      <w:pPr>
        <w:tabs>
          <w:tab w:val="right" w:pos="9071"/>
        </w:tabs>
        <w:spacing w:after="0" w:line="240" w:lineRule="auto"/>
        <w:jc w:val="both"/>
        <w:rPr>
          <w:rFonts w:ascii="Times New Roman" w:hAnsi="Times New Roman"/>
          <w:noProof/>
          <w:sz w:val="24"/>
          <w:szCs w:val="28"/>
        </w:rPr>
      </w:pPr>
      <w:r>
        <w:rPr>
          <w:rFonts w:ascii="Times New Roman" w:hAnsi="Times New Roman"/>
          <w:noProof/>
          <w:sz w:val="24"/>
        </w:rPr>
        <w:t>Signature of the head of the institution ____________________________</w:t>
      </w:r>
    </w:p>
    <w:p w:rsidR="00717A84" w:rsidRPr="00717A84" w:rsidRDefault="00717A84" w:rsidP="00717A84">
      <w:pPr>
        <w:tabs>
          <w:tab w:val="right" w:pos="9071"/>
        </w:tabs>
        <w:spacing w:after="0" w:line="240" w:lineRule="auto"/>
        <w:jc w:val="both"/>
        <w:rPr>
          <w:rFonts w:ascii="Times New Roman" w:hAnsi="Times New Roman"/>
          <w:noProof/>
          <w:sz w:val="24"/>
          <w:szCs w:val="28"/>
        </w:rPr>
      </w:pPr>
    </w:p>
    <w:p w:rsidR="00717A84" w:rsidRPr="00717A84" w:rsidRDefault="00717A84" w:rsidP="00717A84">
      <w:pPr>
        <w:tabs>
          <w:tab w:val="right" w:pos="9071"/>
        </w:tabs>
        <w:spacing w:after="0" w:line="240" w:lineRule="auto"/>
        <w:ind w:firstLine="5529"/>
        <w:jc w:val="both"/>
        <w:rPr>
          <w:rFonts w:ascii="Times New Roman" w:hAnsi="Times New Roman"/>
          <w:noProof/>
          <w:sz w:val="24"/>
          <w:szCs w:val="28"/>
        </w:rPr>
      </w:pPr>
      <w:r>
        <w:rPr>
          <w:rFonts w:ascii="Times New Roman" w:hAnsi="Times New Roman"/>
          <w:noProof/>
          <w:sz w:val="24"/>
        </w:rPr>
        <w:t>Place for a seal</w:t>
      </w:r>
    </w:p>
    <w:p w:rsidR="00717A84" w:rsidRPr="00717A84" w:rsidRDefault="00717A84" w:rsidP="00717A84">
      <w:pPr>
        <w:tabs>
          <w:tab w:val="right" w:pos="9071"/>
        </w:tabs>
        <w:spacing w:after="0" w:line="240" w:lineRule="auto"/>
        <w:jc w:val="both"/>
        <w:rPr>
          <w:rFonts w:ascii="Times New Roman" w:hAnsi="Times New Roman"/>
          <w:noProof/>
          <w:sz w:val="24"/>
          <w:szCs w:val="28"/>
        </w:rPr>
      </w:pPr>
    </w:p>
    <w:p w:rsidR="00717A84" w:rsidRPr="00717A84" w:rsidRDefault="00717A84" w:rsidP="00717A84">
      <w:pPr>
        <w:tabs>
          <w:tab w:val="right" w:pos="9071"/>
        </w:tabs>
        <w:spacing w:after="0" w:line="240" w:lineRule="auto"/>
        <w:ind w:firstLine="709"/>
        <w:jc w:val="both"/>
        <w:rPr>
          <w:rFonts w:ascii="Times New Roman" w:hAnsi="Times New Roman"/>
          <w:noProof/>
          <w:sz w:val="24"/>
          <w:szCs w:val="28"/>
        </w:rPr>
      </w:pPr>
      <w:r>
        <w:rPr>
          <w:rFonts w:ascii="Times New Roman" w:hAnsi="Times New Roman"/>
          <w:noProof/>
          <w:sz w:val="24"/>
        </w:rPr>
        <w:t>Certificate has been issued pursuant to the Cabinet Regulation No. 834 of 7 September 2010 "Regulation Regarding Hygiene and Harmlessness Requirements of the Cosmetic Tanning Acquisition Service and Procedures for the Supervision Thereof".</w:t>
      </w:r>
    </w:p>
    <w:p w:rsidR="00717A84" w:rsidRPr="00717A84" w:rsidRDefault="00717A84" w:rsidP="00717A84">
      <w:pPr>
        <w:tabs>
          <w:tab w:val="left" w:pos="709"/>
          <w:tab w:val="left" w:pos="6804"/>
          <w:tab w:val="right" w:pos="9071"/>
        </w:tabs>
        <w:spacing w:after="0" w:line="240" w:lineRule="auto"/>
        <w:jc w:val="both"/>
        <w:rPr>
          <w:rFonts w:ascii="Times New Roman" w:hAnsi="Times New Roman"/>
          <w:noProof/>
          <w:sz w:val="24"/>
          <w:szCs w:val="28"/>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F369F0"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17A84">
        <w:rPr>
          <w:rFonts w:ascii="Times New Roman" w:hAnsi="Times New Roman"/>
          <w:noProof/>
          <w:sz w:val="24"/>
        </w:rPr>
        <w:t>D. Gavars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rPr>
          <w:rFonts w:ascii="Times New Roman" w:eastAsia="Times New Roman" w:hAnsi="Times New Roman" w:cs="Times New Roman"/>
          <w:noProof/>
          <w:sz w:val="24"/>
          <w:szCs w:val="24"/>
        </w:rPr>
      </w:pPr>
      <w:r>
        <w:br w:type="page"/>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bookmarkStart w:id="65" w:name="piel3"/>
      <w:bookmarkEnd w:id="65"/>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834</w:t>
      </w:r>
    </w:p>
    <w:p w:rsidR="00717A84" w:rsidRPr="00717A84" w:rsidRDefault="00717A84" w:rsidP="00717A8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 7 September 2010</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bookmarkStart w:id="66" w:name="358164"/>
      <w:bookmarkEnd w:id="66"/>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Programme of the training course "Hygiene Requirements Determined for the Cosmetic Tanning Acquisition Service"</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6884"/>
        <w:gridCol w:w="1362"/>
      </w:tblGrid>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3785" w:type="pct"/>
            <w:tcBorders>
              <w:top w:val="outset" w:sz="6" w:space="0" w:color="auto"/>
              <w:left w:val="outset" w:sz="6" w:space="0" w:color="auto"/>
              <w:bottom w:val="outset" w:sz="6" w:space="0" w:color="auto"/>
              <w:right w:val="outset" w:sz="6" w:space="0" w:color="auto"/>
            </w:tcBorders>
            <w:vAlign w:val="center"/>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Topic</w:t>
            </w:r>
          </w:p>
        </w:tc>
        <w:tc>
          <w:tcPr>
            <w:tcW w:w="727" w:type="pct"/>
            <w:tcBorders>
              <w:top w:val="outset" w:sz="6" w:space="0" w:color="auto"/>
              <w:left w:val="outset" w:sz="6" w:space="0" w:color="auto"/>
              <w:bottom w:val="outset" w:sz="6" w:space="0" w:color="auto"/>
              <w:right w:val="outset" w:sz="6" w:space="0" w:color="auto"/>
            </w:tcBorders>
            <w:vAlign w:val="center"/>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Duration of a lecture (minutes)</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General part</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use of the UV device and health</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human skin composition, structure and functions</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impact of the UV radiation on human body</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tanning process and skin reaction to the UV radiation</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risk group and contra-indications for the use of solarium</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health disorders caused by the UV radiation and the prevention thereof</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Basic hygiene requirements determined for the cosmetic tanning acquisition service</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laws and regulations governing the cosmetic tanning acquisition service in Latvia and the European Union</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conditions for the UV devices and equipment</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arrangement of the premises of the location of the service of cosmetic tanning</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care and disinfection of the premises, devices and equipment of the location of the service of cosmetic tanning</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requirements for the solarium personnel</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service for the acquisition of cosmetic tanning, which is safe to health</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sunbathing programmes</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conditions for safe sunbathing</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labour safety conditions for the use of the UV radiation device</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informing of customers regarding safe use of the UV devices</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717A84" w:rsidRPr="00717A84" w:rsidTr="00F369F0">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p>
        </w:tc>
        <w:tc>
          <w:tcPr>
            <w:tcW w:w="3785"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first aid in cases of health disorders caused by the UV radiation</w:t>
            </w:r>
          </w:p>
        </w:tc>
        <w:tc>
          <w:tcPr>
            <w:tcW w:w="727" w:type="pct"/>
            <w:tcBorders>
              <w:top w:val="outset" w:sz="6" w:space="0" w:color="auto"/>
              <w:left w:val="outset" w:sz="6" w:space="0" w:color="auto"/>
              <w:bottom w:val="outset" w:sz="6" w:space="0" w:color="auto"/>
              <w:right w:val="outset" w:sz="6" w:space="0" w:color="auto"/>
            </w:tcBorders>
            <w:hideMark/>
          </w:tcPr>
          <w:p w:rsidR="00717A84" w:rsidRPr="00717A84" w:rsidRDefault="00717A84" w:rsidP="00494C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bl>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sidR="00F369F0">
        <w:rPr>
          <w:rFonts w:ascii="Times New Roman" w:hAnsi="Times New Roman"/>
          <w:noProof/>
          <w:sz w:val="24"/>
        </w:rPr>
        <w:tab/>
      </w:r>
      <w:r>
        <w:rPr>
          <w:rFonts w:ascii="Times New Roman" w:hAnsi="Times New Roman"/>
          <w:noProof/>
          <w:sz w:val="24"/>
        </w:rPr>
        <w:t>D. Gavars</w:t>
      </w:r>
    </w:p>
    <w:p w:rsidR="00717A84" w:rsidRPr="00717A84" w:rsidRDefault="00717A84" w:rsidP="00717A84">
      <w:pPr>
        <w:spacing w:after="0" w:line="240" w:lineRule="auto"/>
        <w:jc w:val="both"/>
        <w:rPr>
          <w:rFonts w:ascii="Times New Roman" w:eastAsia="Times New Roman" w:hAnsi="Times New Roman" w:cs="Times New Roman"/>
          <w:noProof/>
          <w:sz w:val="24"/>
          <w:szCs w:val="24"/>
        </w:rPr>
      </w:pPr>
    </w:p>
    <w:p w:rsidR="00717A84" w:rsidRPr="00717A84" w:rsidRDefault="00717A84" w:rsidP="00717A84">
      <w:pPr>
        <w:spacing w:after="0" w:line="240" w:lineRule="auto"/>
        <w:jc w:val="both"/>
        <w:rPr>
          <w:rFonts w:ascii="Times New Roman" w:hAnsi="Times New Roman"/>
          <w:noProof/>
          <w:sz w:val="24"/>
        </w:rPr>
      </w:pPr>
      <w:bookmarkStart w:id="67" w:name="_GoBack"/>
      <w:bookmarkEnd w:id="67"/>
    </w:p>
    <w:sectPr w:rsidR="00717A84" w:rsidRPr="00717A84" w:rsidSect="00C62EA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08F" w:rsidRPr="00717A84" w:rsidRDefault="00717A84">
      <w:pPr>
        <w:spacing w:after="0" w:line="240" w:lineRule="auto"/>
        <w:rPr>
          <w:noProof/>
          <w:lang w:val="en-US"/>
        </w:rPr>
      </w:pPr>
      <w:r w:rsidRPr="00717A84">
        <w:rPr>
          <w:noProof/>
          <w:lang w:val="en-US"/>
        </w:rPr>
        <w:separator/>
      </w:r>
    </w:p>
  </w:endnote>
  <w:endnote w:type="continuationSeparator" w:id="0">
    <w:p w:rsidR="00A8008F" w:rsidRPr="00717A84" w:rsidRDefault="00717A84">
      <w:pPr>
        <w:spacing w:after="0" w:line="240" w:lineRule="auto"/>
        <w:rPr>
          <w:noProof/>
          <w:lang w:val="en-US"/>
        </w:rPr>
      </w:pPr>
      <w:r w:rsidRPr="00717A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F0" w:rsidRPr="00750961" w:rsidRDefault="00F369F0" w:rsidP="00F369F0">
    <w:pPr>
      <w:pStyle w:val="Footer"/>
      <w:tabs>
        <w:tab w:val="clear" w:pos="4153"/>
        <w:tab w:val="clear" w:pos="8306"/>
        <w:tab w:val="right" w:pos="9072"/>
      </w:tabs>
      <w:rPr>
        <w:rFonts w:ascii="Times New Roman" w:hAnsi="Times New Roman"/>
        <w:sz w:val="20"/>
      </w:rPr>
    </w:pPr>
  </w:p>
  <w:p w:rsidR="00F369F0" w:rsidRPr="000523BF" w:rsidRDefault="00F369F0" w:rsidP="00F369F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7</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F0" w:rsidRPr="00750961" w:rsidRDefault="00F369F0" w:rsidP="00F369F0">
    <w:pPr>
      <w:pStyle w:val="Footer"/>
      <w:rPr>
        <w:rFonts w:ascii="Times New Roman" w:hAnsi="Times New Roman"/>
        <w:sz w:val="20"/>
      </w:rPr>
    </w:pPr>
  </w:p>
  <w:p w:rsidR="00F369F0" w:rsidRPr="000523BF" w:rsidRDefault="00F369F0" w:rsidP="00F369F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08F" w:rsidRPr="00717A84" w:rsidRDefault="00717A84">
      <w:pPr>
        <w:spacing w:after="0" w:line="240" w:lineRule="auto"/>
        <w:rPr>
          <w:noProof/>
          <w:lang w:val="en-US"/>
        </w:rPr>
      </w:pPr>
      <w:r w:rsidRPr="00717A84">
        <w:rPr>
          <w:noProof/>
          <w:lang w:val="en-US"/>
        </w:rPr>
        <w:separator/>
      </w:r>
    </w:p>
  </w:footnote>
  <w:footnote w:type="continuationSeparator" w:id="0">
    <w:p w:rsidR="00A8008F" w:rsidRPr="00717A84" w:rsidRDefault="00717A84">
      <w:pPr>
        <w:spacing w:after="0" w:line="240" w:lineRule="auto"/>
        <w:rPr>
          <w:noProof/>
          <w:lang w:val="en-US"/>
        </w:rPr>
      </w:pPr>
      <w:r w:rsidRPr="00717A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59"/>
    <w:rsid w:val="004203F1"/>
    <w:rsid w:val="00717A84"/>
    <w:rsid w:val="00A8008F"/>
    <w:rsid w:val="00B35259"/>
    <w:rsid w:val="00C62EA3"/>
    <w:rsid w:val="00F36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534FF-14AE-44F8-87BC-4759744A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uiPriority w:val="99"/>
    <w:rsid w:val="00C62EA3"/>
    <w:pPr>
      <w:spacing w:before="75" w:after="75"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2E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EA3"/>
  </w:style>
  <w:style w:type="paragraph" w:styleId="Footer">
    <w:name w:val="footer"/>
    <w:basedOn w:val="Normal"/>
    <w:link w:val="FooterChar"/>
    <w:unhideWhenUsed/>
    <w:rsid w:val="00C62E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EA3"/>
  </w:style>
  <w:style w:type="character" w:styleId="PageNumber">
    <w:name w:val="page number"/>
    <w:rsid w:val="00F3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2165</Words>
  <Characters>11916</Characters>
  <Application>Microsoft Office Word</Application>
  <DocSecurity>0</DocSecurity>
  <Lines>402</Lines>
  <Paragraphs>170</Paragraphs>
  <ScaleCrop>false</ScaleCrop>
  <Company>.</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2016-04-12T10:26:00Z</dcterms:created>
  <dcterms:modified xsi:type="dcterms:W3CDTF">2017-01-09T11:47:00Z</dcterms:modified>
</cp:coreProperties>
</file>