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01D9B" w14:textId="77777777" w:rsidR="008B656E" w:rsidRPr="00AB1490" w:rsidRDefault="008B656E" w:rsidP="008B656E">
      <w:pPr>
        <w:spacing w:after="0" w:line="240" w:lineRule="auto"/>
        <w:jc w:val="center"/>
        <w:rPr>
          <w:rFonts w:ascii="Times New Roman" w:hAnsi="Times New Roman"/>
          <w:sz w:val="24"/>
          <w:szCs w:val="24"/>
        </w:rPr>
      </w:pPr>
      <w:r w:rsidRPr="00AB1490">
        <w:rPr>
          <w:rFonts w:ascii="Times New Roman" w:hAnsi="Times New Roman"/>
          <w:sz w:val="24"/>
          <w:szCs w:val="24"/>
        </w:rPr>
        <w:t>Republic of Latvia</w:t>
      </w:r>
    </w:p>
    <w:p w14:paraId="71DA9417" w14:textId="77777777" w:rsidR="008B656E" w:rsidRPr="00AB1490" w:rsidRDefault="008B656E" w:rsidP="008B656E">
      <w:pPr>
        <w:spacing w:after="0" w:line="240" w:lineRule="auto"/>
        <w:rPr>
          <w:rFonts w:ascii="Times New Roman" w:hAnsi="Times New Roman"/>
          <w:sz w:val="24"/>
          <w:szCs w:val="24"/>
        </w:rPr>
      </w:pPr>
    </w:p>
    <w:p w14:paraId="231892A4" w14:textId="2E1B8C1A" w:rsidR="008441D4" w:rsidRPr="00AB1490" w:rsidRDefault="008441D4" w:rsidP="008441D4">
      <w:pPr>
        <w:spacing w:after="0" w:line="240" w:lineRule="auto"/>
        <w:jc w:val="center"/>
        <w:rPr>
          <w:rFonts w:ascii="Times New Roman" w:eastAsia="Times New Roman" w:hAnsi="Times New Roman" w:cs="Times New Roman"/>
          <w:noProof/>
          <w:sz w:val="24"/>
          <w:szCs w:val="24"/>
        </w:rPr>
      </w:pPr>
      <w:r w:rsidRPr="00AB1490">
        <w:rPr>
          <w:rFonts w:ascii="Times New Roman" w:hAnsi="Times New Roman"/>
          <w:sz w:val="24"/>
          <w:szCs w:val="24"/>
        </w:rPr>
        <w:t>Cabinet</w:t>
      </w:r>
    </w:p>
    <w:p w14:paraId="3CDA927F" w14:textId="3EC83EA8" w:rsidR="008441D4" w:rsidRPr="00AB1490" w:rsidRDefault="008441D4" w:rsidP="008441D4">
      <w:pPr>
        <w:spacing w:after="0" w:line="240" w:lineRule="auto"/>
        <w:jc w:val="center"/>
        <w:rPr>
          <w:rFonts w:ascii="Times New Roman" w:eastAsia="Times New Roman" w:hAnsi="Times New Roman" w:cs="Times New Roman"/>
          <w:noProof/>
          <w:sz w:val="24"/>
          <w:szCs w:val="24"/>
        </w:rPr>
      </w:pPr>
      <w:r w:rsidRPr="00AB1490">
        <w:rPr>
          <w:rFonts w:ascii="Times New Roman" w:hAnsi="Times New Roman"/>
          <w:sz w:val="24"/>
          <w:szCs w:val="24"/>
        </w:rPr>
        <w:t>Regulation No. 86</w:t>
      </w:r>
    </w:p>
    <w:p w14:paraId="24AAA48C" w14:textId="3D9A9E25" w:rsidR="008441D4" w:rsidRPr="00AB1490" w:rsidRDefault="008441D4" w:rsidP="008441D4">
      <w:pPr>
        <w:spacing w:after="0" w:line="240" w:lineRule="auto"/>
        <w:jc w:val="center"/>
        <w:rPr>
          <w:rFonts w:ascii="Times New Roman" w:eastAsia="Times New Roman" w:hAnsi="Times New Roman" w:cs="Times New Roman"/>
          <w:noProof/>
          <w:sz w:val="24"/>
          <w:szCs w:val="24"/>
        </w:rPr>
      </w:pPr>
      <w:r w:rsidRPr="00AB1490">
        <w:rPr>
          <w:rFonts w:ascii="Times New Roman" w:hAnsi="Times New Roman"/>
          <w:sz w:val="24"/>
          <w:szCs w:val="24"/>
        </w:rPr>
        <w:t>Adopted 13 February 2018</w:t>
      </w:r>
    </w:p>
    <w:p w14:paraId="19CDDCAC" w14:textId="77777777" w:rsidR="008441D4" w:rsidRPr="00AB1490" w:rsidRDefault="008441D4" w:rsidP="008441D4">
      <w:pPr>
        <w:spacing w:after="0" w:line="240" w:lineRule="auto"/>
        <w:jc w:val="both"/>
        <w:rPr>
          <w:rFonts w:ascii="Times New Roman" w:eastAsia="Times New Roman" w:hAnsi="Times New Roman" w:cs="Times New Roman"/>
          <w:noProof/>
          <w:sz w:val="24"/>
          <w:szCs w:val="24"/>
          <w:lang w:eastAsia="lv-LV"/>
        </w:rPr>
      </w:pPr>
    </w:p>
    <w:p w14:paraId="13FDD433" w14:textId="77777777" w:rsidR="008441D4" w:rsidRPr="00AB1490" w:rsidRDefault="008441D4" w:rsidP="008441D4">
      <w:pPr>
        <w:spacing w:after="0" w:line="240" w:lineRule="auto"/>
        <w:jc w:val="both"/>
        <w:rPr>
          <w:rFonts w:ascii="Times New Roman" w:eastAsia="Times New Roman" w:hAnsi="Times New Roman" w:cs="Times New Roman"/>
          <w:noProof/>
          <w:sz w:val="24"/>
          <w:szCs w:val="24"/>
          <w:lang w:eastAsia="lv-LV"/>
        </w:rPr>
      </w:pPr>
    </w:p>
    <w:p w14:paraId="2E5A5343" w14:textId="221A2B7E" w:rsidR="008441D4" w:rsidRPr="00AB1490" w:rsidRDefault="008441D4" w:rsidP="00BC2297">
      <w:pPr>
        <w:spacing w:after="0" w:line="240" w:lineRule="auto"/>
        <w:jc w:val="center"/>
        <w:rPr>
          <w:rFonts w:ascii="Times New Roman" w:eastAsia="Times New Roman" w:hAnsi="Times New Roman" w:cs="Times New Roman"/>
          <w:b/>
          <w:bCs/>
          <w:noProof/>
          <w:sz w:val="28"/>
          <w:szCs w:val="28"/>
        </w:rPr>
      </w:pPr>
      <w:r w:rsidRPr="00AB1490">
        <w:rPr>
          <w:rFonts w:ascii="Times New Roman" w:hAnsi="Times New Roman"/>
          <w:b/>
          <w:bCs/>
          <w:sz w:val="28"/>
          <w:szCs w:val="28"/>
        </w:rPr>
        <w:t>Regulations Regarding the Administration of Guarantees for the Debt of Customs Charges and Advance Payments</w:t>
      </w:r>
    </w:p>
    <w:p w14:paraId="61034329" w14:textId="5534532F" w:rsidR="00BC2297" w:rsidRPr="00AB1490" w:rsidRDefault="00BC2297" w:rsidP="008441D4">
      <w:pPr>
        <w:spacing w:after="0" w:line="240" w:lineRule="auto"/>
        <w:jc w:val="both"/>
        <w:rPr>
          <w:rFonts w:ascii="Times New Roman" w:eastAsia="Times New Roman" w:hAnsi="Times New Roman" w:cs="Times New Roman"/>
          <w:noProof/>
          <w:sz w:val="24"/>
          <w:szCs w:val="24"/>
          <w:lang w:eastAsia="lv-LV"/>
        </w:rPr>
      </w:pPr>
    </w:p>
    <w:p w14:paraId="5368235D" w14:textId="77777777" w:rsidR="00BC2297" w:rsidRPr="00AB1490" w:rsidRDefault="00BC2297" w:rsidP="008441D4">
      <w:pPr>
        <w:spacing w:after="0" w:line="240" w:lineRule="auto"/>
        <w:jc w:val="both"/>
        <w:rPr>
          <w:rFonts w:ascii="Times New Roman" w:eastAsia="Times New Roman" w:hAnsi="Times New Roman" w:cs="Times New Roman"/>
          <w:noProof/>
          <w:sz w:val="24"/>
          <w:szCs w:val="24"/>
          <w:lang w:eastAsia="lv-LV"/>
        </w:rPr>
      </w:pPr>
    </w:p>
    <w:p w14:paraId="12B056A4" w14:textId="77777777" w:rsidR="00BC2297" w:rsidRPr="00AB1490" w:rsidRDefault="008441D4" w:rsidP="00BC2297">
      <w:pPr>
        <w:spacing w:after="0" w:line="240" w:lineRule="auto"/>
        <w:jc w:val="right"/>
        <w:rPr>
          <w:rFonts w:ascii="Times New Roman" w:eastAsia="Times New Roman" w:hAnsi="Times New Roman" w:cs="Times New Roman"/>
          <w:i/>
          <w:iCs/>
          <w:noProof/>
          <w:sz w:val="24"/>
          <w:szCs w:val="24"/>
        </w:rPr>
      </w:pPr>
      <w:r w:rsidRPr="00AB1490">
        <w:rPr>
          <w:rFonts w:ascii="Times New Roman" w:hAnsi="Times New Roman"/>
          <w:i/>
          <w:iCs/>
          <w:sz w:val="24"/>
          <w:szCs w:val="24"/>
        </w:rPr>
        <w:t>Issued pursuant to</w:t>
      </w:r>
    </w:p>
    <w:p w14:paraId="5A38F4A0" w14:textId="73F8B2D1" w:rsidR="008441D4" w:rsidRPr="00AB1490" w:rsidRDefault="008441D4" w:rsidP="00BC2297">
      <w:pPr>
        <w:spacing w:after="0" w:line="240" w:lineRule="auto"/>
        <w:jc w:val="right"/>
        <w:rPr>
          <w:rFonts w:ascii="Times New Roman" w:eastAsia="Times New Roman" w:hAnsi="Times New Roman" w:cs="Times New Roman"/>
          <w:i/>
          <w:iCs/>
          <w:noProof/>
          <w:sz w:val="24"/>
          <w:szCs w:val="24"/>
        </w:rPr>
      </w:pPr>
      <w:r w:rsidRPr="00AB1490">
        <w:rPr>
          <w:rFonts w:ascii="Times New Roman" w:hAnsi="Times New Roman"/>
          <w:i/>
          <w:iCs/>
          <w:sz w:val="24"/>
          <w:szCs w:val="24"/>
        </w:rPr>
        <w:t>Section 26, Paragraph two and Section 27, Paragraph four of the Customs Law, Section 85, Paragraph eight, Clause 2 of the Value Added Tax Law, and Section 32, Paragraph seven of the law On Excise Duties</w:t>
      </w:r>
    </w:p>
    <w:p w14:paraId="26F1038C" w14:textId="0721E303" w:rsidR="00BC2297" w:rsidRPr="00AB1490" w:rsidRDefault="00BC2297" w:rsidP="008441D4">
      <w:pPr>
        <w:spacing w:after="0" w:line="240" w:lineRule="auto"/>
        <w:jc w:val="both"/>
        <w:rPr>
          <w:rFonts w:ascii="Times New Roman" w:eastAsia="Times New Roman" w:hAnsi="Times New Roman" w:cs="Times New Roman"/>
          <w:noProof/>
          <w:sz w:val="24"/>
          <w:szCs w:val="24"/>
          <w:lang w:eastAsia="lv-LV"/>
        </w:rPr>
      </w:pPr>
    </w:p>
    <w:p w14:paraId="3A0E92B4" w14:textId="77777777" w:rsidR="00BC2297" w:rsidRPr="00AB1490" w:rsidRDefault="00BC2297" w:rsidP="008441D4">
      <w:pPr>
        <w:spacing w:after="0" w:line="240" w:lineRule="auto"/>
        <w:jc w:val="both"/>
        <w:rPr>
          <w:rFonts w:ascii="Times New Roman" w:eastAsia="Times New Roman" w:hAnsi="Times New Roman" w:cs="Times New Roman"/>
          <w:noProof/>
          <w:sz w:val="24"/>
          <w:szCs w:val="24"/>
          <w:lang w:eastAsia="lv-LV"/>
        </w:rPr>
      </w:pPr>
    </w:p>
    <w:p w14:paraId="560D7C4F" w14:textId="77777777" w:rsidR="008441D4" w:rsidRPr="00AB1490" w:rsidRDefault="008441D4" w:rsidP="00D8392D">
      <w:pPr>
        <w:spacing w:after="0" w:line="240" w:lineRule="auto"/>
        <w:jc w:val="center"/>
        <w:rPr>
          <w:rFonts w:ascii="Times New Roman" w:eastAsia="Times New Roman" w:hAnsi="Times New Roman" w:cs="Times New Roman"/>
          <w:b/>
          <w:bCs/>
          <w:noProof/>
          <w:sz w:val="24"/>
          <w:szCs w:val="24"/>
        </w:rPr>
      </w:pPr>
      <w:bookmarkStart w:id="0" w:name="n1"/>
      <w:bookmarkStart w:id="1" w:name="n-649484"/>
      <w:bookmarkEnd w:id="0"/>
      <w:bookmarkEnd w:id="1"/>
      <w:r w:rsidRPr="00AB1490">
        <w:rPr>
          <w:rFonts w:ascii="Times New Roman" w:hAnsi="Times New Roman"/>
          <w:b/>
          <w:bCs/>
          <w:sz w:val="24"/>
          <w:szCs w:val="24"/>
        </w:rPr>
        <w:t>1. General Provisions</w:t>
      </w:r>
    </w:p>
    <w:p w14:paraId="68DA6502"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2" w:name="p1"/>
      <w:bookmarkStart w:id="3" w:name="p-649485"/>
      <w:bookmarkEnd w:id="2"/>
      <w:bookmarkEnd w:id="3"/>
    </w:p>
    <w:p w14:paraId="5E66C8E6" w14:textId="403C6ACF"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1. The Regulation prescribes:</w:t>
      </w:r>
    </w:p>
    <w:p w14:paraId="28361678"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1.1. the procedures for submitting, granting, applying, suspending, renewing, and annulling the guarantee for the debt of customs charges;</w:t>
      </w:r>
    </w:p>
    <w:p w14:paraId="3E08B72F"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1.2. the types of guarantees for the debt of value added tax, the procedures for submitting, accepting, applying, determining the amount, recording and extinguishing thereof, and the requirements for the exemption of a person from submission of the guarantee for the debt of value added tax;</w:t>
      </w:r>
    </w:p>
    <w:p w14:paraId="6F686BC0"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1.3. the procedures for submitting, administering, and extinguishing the guarantee for the debt of excise duty;</w:t>
      </w:r>
    </w:p>
    <w:p w14:paraId="13FA9140"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1.4. the cases where the guarantee for excise duty need not be submitted, and the conditions upon the fulfilment of which the amount of the guarantee may be reduced for a taxpayer;</w:t>
      </w:r>
    </w:p>
    <w:p w14:paraId="0EA2F854"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1.5. the procedures for determining, recording the guarantee for the debt of customs charges and exemption from it;</w:t>
      </w:r>
    </w:p>
    <w:p w14:paraId="1D1D6B36"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1.6. the procedures for applying the waiver referred to in Article 89(9) of Regulation (EU) No 952/2013 of the European Parliament and of the Council of 9 October 2013 laying down the Union Customs Code (hereinafter – Regulation No 952/2013);</w:t>
      </w:r>
    </w:p>
    <w:p w14:paraId="0CA6AF0B"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1.7. the procedures by which the status of a guarantor shall be obtained within the meaning of the directly applicable customs legislation of the European Union, and the rights and obligations of a guarantor;</w:t>
      </w:r>
    </w:p>
    <w:p w14:paraId="7195E3DA"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1.8. the procedures for deferring the time limit for the payment of the debt of customs charges and for the control and accounting of the payment of the deferred debt of customs charges;</w:t>
      </w:r>
    </w:p>
    <w:p w14:paraId="1E531E81"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1.9. the procedures by which a deposit shall be paid, repaid, and transferred into the State budget;</w:t>
      </w:r>
    </w:p>
    <w:p w14:paraId="75C5FB86"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1.10. the procedures for administering customs charges transferred in advance (hereinafter – the advance payment) into the account of the deposited financial resources of the State Revenue Service (hereinafter – the account of the deposited financial resources).</w:t>
      </w:r>
    </w:p>
    <w:p w14:paraId="006D59C0"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4" w:name="p2"/>
      <w:bookmarkStart w:id="5" w:name="p-649486"/>
      <w:bookmarkEnd w:id="4"/>
      <w:bookmarkEnd w:id="5"/>
    </w:p>
    <w:p w14:paraId="474F3A84" w14:textId="1C8DA12F"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2. A debt of customs charges which has incurred or may be incurred shall be secured by a guarantee in customs clearance of goods.</w:t>
      </w:r>
    </w:p>
    <w:p w14:paraId="189B1986"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6" w:name="p3"/>
      <w:bookmarkStart w:id="7" w:name="p-649487"/>
      <w:bookmarkEnd w:id="6"/>
      <w:bookmarkEnd w:id="7"/>
    </w:p>
    <w:p w14:paraId="4584B717" w14:textId="7E18CDC6"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lastRenderedPageBreak/>
        <w:t>3. In applying a customs procedure or temporary storage, a customs authority of the State Revenue Service shall monitor a guarantee for the debt of customs charges which has incurred or may be incurred, and shall determine the amount thereof in accordance with Articles 89 and 90 of Regulation No 952/2013, the Value Added Tax Law, and the law On Excise Duties.</w:t>
      </w:r>
    </w:p>
    <w:p w14:paraId="4D855D9A"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8" w:name="p4"/>
      <w:bookmarkStart w:id="9" w:name="p-649488"/>
      <w:bookmarkEnd w:id="8"/>
      <w:bookmarkEnd w:id="9"/>
    </w:p>
    <w:p w14:paraId="0F70BEBB" w14:textId="112EDA9C"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4. The guarantee may be submitted to the State Revenue Service by the following:</w:t>
      </w:r>
    </w:p>
    <w:p w14:paraId="7351C972"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4.1. a person who is liable for the debt of customs charges (hereinafter – the debtor) in accordance with the laws and regulations in the field of customs;</w:t>
      </w:r>
    </w:p>
    <w:p w14:paraId="23AA1F7D"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4.2. a person who may become liable for the debt of customs charges which may be incurred;</w:t>
      </w:r>
    </w:p>
    <w:p w14:paraId="5086C8AA"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4.3. a person who, in accordance with the provisions of Regulation No 952/2013, submits to the State Revenue Service an application for receipt of the authorisations specified in Article 148 or Article 211 of Regulation No 952/2013;</w:t>
      </w:r>
    </w:p>
    <w:p w14:paraId="5DCCFBD2"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4.4. any other person in accordance with Article 89(3) of Regulation No 952/2013.</w:t>
      </w:r>
    </w:p>
    <w:p w14:paraId="37ECEA8C"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0" w:name="p5"/>
      <w:bookmarkStart w:id="11" w:name="p-649489"/>
      <w:bookmarkEnd w:id="10"/>
      <w:bookmarkEnd w:id="11"/>
    </w:p>
    <w:p w14:paraId="1BE58DDE" w14:textId="0DACC421"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5. In accordance with Article 97 of Regulation No 952/2013, several guarantees may be submitted for a single debt of customs charges, and guarantees may be submitted by several persons referred to in Paragraph 4 of this Regulation. In such cases the abovementioned persons shall, in accordance with Article 84 of Regulation No 952/2013, be liable for the debt of customs charges in proportion to the provided share of the guarantee.</w:t>
      </w:r>
    </w:p>
    <w:p w14:paraId="64D77560"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2" w:name="p6"/>
      <w:bookmarkStart w:id="13" w:name="p-649490"/>
      <w:bookmarkEnd w:id="12"/>
      <w:bookmarkEnd w:id="13"/>
    </w:p>
    <w:p w14:paraId="50804AAD" w14:textId="16EEDE6B"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6. In applying special customs procedures (except for customs procedures – transit or temporary admission with total relief from import duty) or temporary storage, a guarantee shall be used for the debt of customs charges which may be incurred. In such case the debt of customs charges which may be incurred shall include the following:</w:t>
      </w:r>
    </w:p>
    <w:p w14:paraId="64BD9E32"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6.1. the customs debt;</w:t>
      </w:r>
    </w:p>
    <w:p w14:paraId="596ACBB7"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6.2. the debt of excise duty.</w:t>
      </w:r>
    </w:p>
    <w:p w14:paraId="76854E28"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4" w:name="p7"/>
      <w:bookmarkStart w:id="15" w:name="p-649491"/>
      <w:bookmarkEnd w:id="14"/>
      <w:bookmarkEnd w:id="15"/>
    </w:p>
    <w:p w14:paraId="7116065E" w14:textId="1D8E48A3"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7. In applying a customs procedure – temporary admission with total relief from import duty –, a guarantee shall be used for the debt of customs charges which may be incurred, except for the case where, in accordance with Article 89(8)(c) of Regulation No 952/2013 and Article 81 of Commission Delegated Regulation (EU) 2015/2446 of 28 July 2015 supplementing Regulation (EU) No 952/2013 of the European Parliament and of the Council as regards detailed rules concerning certain provisions of the Union Customs Code (hereinafter – Regulation No 2015/2446), the guarantee shall not be provided. In cases where the guarantee shall be provided for temporary admission, the debt of customs charges which may be incurred shall include the following:</w:t>
      </w:r>
    </w:p>
    <w:p w14:paraId="74FF2AA6"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7.1. the customs debt;</w:t>
      </w:r>
    </w:p>
    <w:p w14:paraId="7C140EB9"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7.2. the debt of value added tax.</w:t>
      </w:r>
    </w:p>
    <w:p w14:paraId="5463063A"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6" w:name="p8"/>
      <w:bookmarkStart w:id="17" w:name="p-649492"/>
      <w:bookmarkEnd w:id="16"/>
      <w:bookmarkEnd w:id="17"/>
    </w:p>
    <w:p w14:paraId="2885C91E" w14:textId="6ECD487E"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8. In releasing replacement products for consumption concurrently with the release thereof for free circulation under a customs procedure – outward processing – prior to taking out the defective goods, a guarantee shall be used for the debt of customs charges which may be incurred. In such case the debt of customs charges which may be incurred shall include the following:</w:t>
      </w:r>
    </w:p>
    <w:p w14:paraId="2F814BC2"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8.1. the customs debt;</w:t>
      </w:r>
    </w:p>
    <w:p w14:paraId="0E440C60"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8.2. the debt of excise duty.</w:t>
      </w:r>
    </w:p>
    <w:p w14:paraId="4364DAC8"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8" w:name="p9"/>
      <w:bookmarkStart w:id="19" w:name="p-649493"/>
      <w:bookmarkEnd w:id="18"/>
      <w:bookmarkEnd w:id="19"/>
    </w:p>
    <w:p w14:paraId="639B6982" w14:textId="0EA74DEB"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9. In applying a customs procedure – release for free circulation and end-use –, a guarantee shall be used for the debt of customs charges which has incurred. In such case the debt of customs charges which has incurred shall include the following:</w:t>
      </w:r>
    </w:p>
    <w:p w14:paraId="5C2B87A0"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9.1. the customs debt;</w:t>
      </w:r>
    </w:p>
    <w:p w14:paraId="0CFEF871"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lastRenderedPageBreak/>
        <w:t>9.2. the debt of value added tax.</w:t>
      </w:r>
    </w:p>
    <w:p w14:paraId="62AF73A8"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20" w:name="p10"/>
      <w:bookmarkStart w:id="21" w:name="p-649494"/>
      <w:bookmarkEnd w:id="20"/>
      <w:bookmarkEnd w:id="21"/>
    </w:p>
    <w:p w14:paraId="2C8DCF6F" w14:textId="59AD269E"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10. If a payment of a deposit is used as a guarantee for the debt of customs charges which may be incurred, the debt of customs charges which may be incurred shall include the following:</w:t>
      </w:r>
    </w:p>
    <w:p w14:paraId="575B9AA2"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10.1. the customs debt;</w:t>
      </w:r>
    </w:p>
    <w:p w14:paraId="7048135D"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10.2. the debt of excise duty;</w:t>
      </w:r>
    </w:p>
    <w:p w14:paraId="181BC0D0"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10.3. the debt of value added tax.</w:t>
      </w:r>
    </w:p>
    <w:p w14:paraId="46780686"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22" w:name="p11"/>
      <w:bookmarkStart w:id="23" w:name="p-649495"/>
      <w:bookmarkEnd w:id="22"/>
      <w:bookmarkEnd w:id="23"/>
    </w:p>
    <w:p w14:paraId="7BC09FEF" w14:textId="6906D721"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11. In applying a customs procedure – transit –, a guarantee shall be used for the debt of customs charges which may be incurred. In such case the debt of customs charges which may be incurred shall include the following:</w:t>
      </w:r>
    </w:p>
    <w:p w14:paraId="27C492C1"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11.1. the customs debt;</w:t>
      </w:r>
    </w:p>
    <w:p w14:paraId="3B3EC490"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11.2. the debt of excise duty;</w:t>
      </w:r>
    </w:p>
    <w:p w14:paraId="7207A8F8"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11.3. the debt of value added tax.</w:t>
      </w:r>
    </w:p>
    <w:p w14:paraId="24748849"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24" w:name="p12"/>
      <w:bookmarkStart w:id="25" w:name="p-649496"/>
      <w:bookmarkEnd w:id="24"/>
      <w:bookmarkEnd w:id="25"/>
    </w:p>
    <w:p w14:paraId="2AEA1813" w14:textId="0580421A"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12. In applying customs procedures (except for the customs procedures – transit, release for free circulation, and temporary admission with total relief from import duty) or temporary storage, the person referred to in Sub-paragraph 4.2 of this Regulation shall apply the waiver referred to in Article 89(9) of Regulation No 952/2013 to the debt of customs charges which may be incurred by drawing up one or several customs or temporary storage declarations if the total amount of the debt of customs charges to be secured over the entire time period while the debt of customs charges may be incurred does not exceed the statistical value threshold referred to in Article 89(9) of Regulation No 952/2013.</w:t>
      </w:r>
    </w:p>
    <w:p w14:paraId="169275D8"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26" w:name="p13"/>
      <w:bookmarkStart w:id="27" w:name="p-649497"/>
      <w:bookmarkEnd w:id="26"/>
      <w:bookmarkEnd w:id="27"/>
    </w:p>
    <w:p w14:paraId="71AA4C9E" w14:textId="259D1745"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13. If a person applies the waiver referred to in Paragraph 12 of this Regulation to temporary storage, it shall submit to the State Revenue Service, together with a temporary storage declaration, a signed calculation of the debt of customs charges which may be incurred. The calculation shall indicate the number and date of issue of an invoice, and also the value of goods from which the debt of customs charges which may be incurred is calculated.</w:t>
      </w:r>
    </w:p>
    <w:p w14:paraId="4E45DD3B"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28" w:name="p14"/>
      <w:bookmarkStart w:id="29" w:name="p-649498"/>
      <w:bookmarkEnd w:id="28"/>
      <w:bookmarkEnd w:id="29"/>
    </w:p>
    <w:p w14:paraId="2D4A40B0" w14:textId="0BBF8B0B"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14. A guarantee for the customs debt which has incurred or may be incurred shall not be submitted:</w:t>
      </w:r>
    </w:p>
    <w:p w14:paraId="14A05A03"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14.1. if the customs debt is not notified in accordance with Section 8 of the Customs Law;</w:t>
      </w:r>
    </w:p>
    <w:p w14:paraId="66A9CFCC"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14.2. if the State Revenue Service has, in accordance with Paragraph 12 of this Regulation, waived the requirement for provision of the guarantee to the person referred to in Sub-paragraph 4.2 of this Regulation;</w:t>
      </w:r>
    </w:p>
    <w:p w14:paraId="1B95B37B"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14.3. when importing goods in the free zones.</w:t>
      </w:r>
    </w:p>
    <w:p w14:paraId="7E3EEC37"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30" w:name="p15"/>
      <w:bookmarkStart w:id="31" w:name="p-649499"/>
      <w:bookmarkEnd w:id="30"/>
      <w:bookmarkEnd w:id="31"/>
    </w:p>
    <w:p w14:paraId="59133E83" w14:textId="5EE1246A"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15. A guarantee for the debt of customs charges regarding excise duty shall not be provided in the following cases:</w:t>
      </w:r>
    </w:p>
    <w:p w14:paraId="525216B5"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15.1. where a relief from excise duty is applied to the goods in accordance with Chapter V of the law On Excise Duties;</w:t>
      </w:r>
    </w:p>
    <w:p w14:paraId="323E05E8"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15.2. for the excisable goods for which the guarantee is not provided in accordance with Section 8, Paragraph three of the law On Excise Duties;</w:t>
      </w:r>
    </w:p>
    <w:p w14:paraId="10755B31"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15.3. if the person referred to in Sub-paragraph 4.2 of this Regulation is an authorised economic operator in accordance with Article 39 of Regulation No 952/2013 (except for the case where a customs procedure – transit – is applied);</w:t>
      </w:r>
    </w:p>
    <w:p w14:paraId="01382C57"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15.4. when importing goods in the free zones.</w:t>
      </w:r>
    </w:p>
    <w:p w14:paraId="494EFFD2"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32" w:name="p16"/>
      <w:bookmarkStart w:id="33" w:name="p-649500"/>
      <w:bookmarkEnd w:id="32"/>
      <w:bookmarkEnd w:id="33"/>
    </w:p>
    <w:p w14:paraId="6309A84C" w14:textId="25DDCEB0"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16. A guarantee for the debt of customs charges regarding value added tax shall not be provided in the following cases:</w:t>
      </w:r>
    </w:p>
    <w:p w14:paraId="048A4946"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lastRenderedPageBreak/>
        <w:t>16.1. if a debtor uses a special value added tax arrangement in the import of goods when applying customs procedures – release for free circulation and end-use;</w:t>
      </w:r>
    </w:p>
    <w:p w14:paraId="4829C351"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16.2. if the person referred to in Sub-paragraph 4.2 of this Regulation is, in accordance with Article 39 of Regulation No 952/2013, an authorised economic operator when applying a customs procedure – transit –, and secures the debt of customs charges which may be incurred by a comprehensive guarantee;</w:t>
      </w:r>
    </w:p>
    <w:p w14:paraId="0536DFCF"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16.3. when importing goods in the free zones.</w:t>
      </w:r>
    </w:p>
    <w:p w14:paraId="793C1C34"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34" w:name="p17"/>
      <w:bookmarkStart w:id="35" w:name="p-649501"/>
      <w:bookmarkEnd w:id="34"/>
      <w:bookmarkEnd w:id="35"/>
    </w:p>
    <w:p w14:paraId="2534B276" w14:textId="4987C923"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17. A person shall submit to the State Revenue Service the applications referred to in this Regulation and any documents related thereto in paper form or in the form of an electronic document or by using the Electronic Declaration System of the State Revenue Service (except for the applications submitted in accordance with Paragraph 61 of this Regulation).</w:t>
      </w:r>
    </w:p>
    <w:p w14:paraId="79D82555"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36" w:name="p18"/>
      <w:bookmarkStart w:id="37" w:name="p-649502"/>
      <w:bookmarkEnd w:id="36"/>
      <w:bookmarkEnd w:id="37"/>
    </w:p>
    <w:p w14:paraId="71AF1D6D" w14:textId="1212E49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18. All decisions taken in accordance with this Regulation shall be notified to the persons referred to in Paragraph 17 of this Regulation in the Electronic Declaration System of the State Revenue Service and the electronic system for the exchange and storage of information referred to in Article 6(1) of Regulation No 952/2013 (hereinafter – the Customs Decisions System), provided that an application for the receipt of authorisation is submitted in the Customs Decisions System.</w:t>
      </w:r>
    </w:p>
    <w:p w14:paraId="1BBD6D23"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38" w:name="n2"/>
      <w:bookmarkStart w:id="39" w:name="n-649503"/>
      <w:bookmarkEnd w:id="38"/>
      <w:bookmarkEnd w:id="39"/>
    </w:p>
    <w:p w14:paraId="6608C027" w14:textId="741D1BB9" w:rsidR="008441D4" w:rsidRPr="00AB1490" w:rsidRDefault="008441D4" w:rsidP="00D8392D">
      <w:pPr>
        <w:spacing w:after="0" w:line="240" w:lineRule="auto"/>
        <w:jc w:val="center"/>
        <w:rPr>
          <w:rFonts w:ascii="Times New Roman" w:eastAsia="Times New Roman" w:hAnsi="Times New Roman" w:cs="Times New Roman"/>
          <w:b/>
          <w:bCs/>
          <w:noProof/>
          <w:sz w:val="24"/>
          <w:szCs w:val="24"/>
        </w:rPr>
      </w:pPr>
      <w:r w:rsidRPr="00AB1490">
        <w:rPr>
          <w:rFonts w:ascii="Times New Roman" w:hAnsi="Times New Roman"/>
          <w:b/>
          <w:bCs/>
          <w:sz w:val="24"/>
          <w:szCs w:val="24"/>
        </w:rPr>
        <w:t>2. Granting, Suspension, and Annulment of the Status of Guarantor and Liability of the Guarantor</w:t>
      </w:r>
    </w:p>
    <w:p w14:paraId="12957BFD"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40" w:name="p19"/>
      <w:bookmarkStart w:id="41" w:name="p-649504"/>
      <w:bookmarkEnd w:id="40"/>
      <w:bookmarkEnd w:id="41"/>
    </w:p>
    <w:p w14:paraId="78C0852F" w14:textId="4D10A4F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19. In accordance with Article 94(1) of Regulation No 952/2013, a guarantor shall be any of the following persons:</w:t>
      </w:r>
    </w:p>
    <w:p w14:paraId="0CC2674B"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19.1. a person who has received an authorisation for the operation of a credit institution or a licence for the operation of an insurance or reinsurance company in the European Union;</w:t>
      </w:r>
    </w:p>
    <w:p w14:paraId="19016E9B"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19.2. a person who has been granted the status of guarantor by the State Revenue Service.</w:t>
      </w:r>
    </w:p>
    <w:p w14:paraId="4BB05EC7"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42" w:name="p20"/>
      <w:bookmarkStart w:id="43" w:name="p-649505"/>
      <w:bookmarkEnd w:id="42"/>
      <w:bookmarkEnd w:id="43"/>
    </w:p>
    <w:p w14:paraId="66FCF949" w14:textId="0FB91D94"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20. If a person wishes to acquire the status of guarantor referred to in Sub-paragraph 19.2 of this Regulation, it shall submit to the State Revenue Service an application for the granting of the status of guarantor and a confirmation issued by a bank regarding the deposit account referred to in Sub-paragraph 21.7 of this Regulation. The application shall indicate the amount of the guarantee and activities for which the person wishes to provide the guarantee.</w:t>
      </w:r>
    </w:p>
    <w:p w14:paraId="13F47449"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44" w:name="p21"/>
      <w:bookmarkStart w:id="45" w:name="p-649506"/>
      <w:bookmarkEnd w:id="44"/>
      <w:bookmarkEnd w:id="45"/>
    </w:p>
    <w:p w14:paraId="11F46294" w14:textId="4830D1FB"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21. The State Revenue Service shall grant the status of guarantor to the person referred to in Paragraph 20 of this Regulation, provided that the following conditions are met:</w:t>
      </w:r>
    </w:p>
    <w:p w14:paraId="6776814F"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21.1. the person has been registered in the Republic of Latvia;</w:t>
      </w:r>
    </w:p>
    <w:p w14:paraId="484BA0B8"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21.2. the person has registered its economic activity and has been continuously performing it domestically since the day of registration thereof for at least two years prior to the day of submitting the application for the granting of the status of guarantor to the State Revenue Service;</w:t>
      </w:r>
    </w:p>
    <w:p w14:paraId="186197B3"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21.3. the person has been in sound financial condition for the last two years and has sufficient current assets for the fulfilment of obligations. It shall be assessed by calculating the following according to the data indicated in the statements of the last two years:</w:t>
      </w:r>
    </w:p>
    <w:p w14:paraId="7305743B"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21.3.1. the overall liquidity ratio. The relevant ratio shall not be less than 2;</w:t>
      </w:r>
    </w:p>
    <w:p w14:paraId="33490334"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21.3.2. the financial stability ratio – the rate of liabilities in the balance sheet. The relevant ratio may not exceed 1;</w:t>
      </w:r>
    </w:p>
    <w:p w14:paraId="130CC0D4"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 xml:space="preserve">21.4. the person does not have debts of taxes, duties, and other mandatory payments stipulated by the State or time limits for the relevant payments have been extended (deferred, divided) in accordance with Section 24 of the law On Taxes and Duties, and it makes payments </w:t>
      </w:r>
      <w:r w:rsidRPr="00AB1490">
        <w:rPr>
          <w:rFonts w:ascii="Times New Roman" w:hAnsi="Times New Roman"/>
          <w:sz w:val="24"/>
          <w:szCs w:val="24"/>
        </w:rPr>
        <w:lastRenderedPageBreak/>
        <w:t>according to the decision of the tax administration (payment schedule), or enforcement of the decision of the tax administration has been suspended in accordance with Section 80 of the Administrative Procedure Law or Section 11, Paragraph three of the Customs Law;</w:t>
      </w:r>
    </w:p>
    <w:p w14:paraId="6B4E3DCF"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21.5. the person has not been punished for violations of conditions of the procedures for calculating or paying taxes within a period of one year prior to the submission of the application for the granting of the status of guarantor;</w:t>
      </w:r>
    </w:p>
    <w:p w14:paraId="33A62244"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21.6. a founder, member of the board or council of the person (legal person) has not been found guilty of a criminal offence regarding laundering of the proceeds from crime, misappropriation, accepting prohibited benefits, commercial bribery, accepting bribes, giving of bribes, misappropriation of a bribe, or intermediation in bribery, and also a coercive measure has not been applied to the person (legal person) for the relevant criminal offences in accordance with the Criminal Law;</w:t>
      </w:r>
    </w:p>
    <w:p w14:paraId="077D4C1F"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21.7. a deposit account with a monetary accumulation has been opened for guarantee operations in the amount of the guarantee for the coverage of the possible debt of customs charges.</w:t>
      </w:r>
    </w:p>
    <w:p w14:paraId="61A1C6AF"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46" w:name="p22"/>
      <w:bookmarkStart w:id="47" w:name="p-649507"/>
      <w:bookmarkEnd w:id="46"/>
      <w:bookmarkEnd w:id="47"/>
    </w:p>
    <w:p w14:paraId="6CDDE453" w14:textId="2A217C14"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22. The guarantor shall:</w:t>
      </w:r>
    </w:p>
    <w:p w14:paraId="178D44A8"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22.1. within five working days, notify the State Revenue Service of the cancellation of an undertaking by the guarantor;</w:t>
      </w:r>
    </w:p>
    <w:p w14:paraId="218FA84A"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22.2. within 10 working days after receipt of a request from the State Revenue Service, submit information and certified copies of documents regarding an undertaking by the guarantor which it has issued in accordance with Article 151 of Regulation No 2015/2447.</w:t>
      </w:r>
    </w:p>
    <w:p w14:paraId="1E85940A"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48" w:name="p23"/>
      <w:bookmarkStart w:id="49" w:name="p-649508"/>
      <w:bookmarkEnd w:id="48"/>
      <w:bookmarkEnd w:id="49"/>
    </w:p>
    <w:p w14:paraId="1F37EEC2" w14:textId="4C316892"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23. The State Revenue Service shall, upon request of the guarantor or the person who has provided the guarantee, perform the necessary verifications and provide information regarding the undertaking (to the full extent or partly) from which the guarantor has been released.</w:t>
      </w:r>
    </w:p>
    <w:p w14:paraId="0E242580"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50" w:name="p24"/>
      <w:bookmarkStart w:id="51" w:name="p-649509"/>
      <w:bookmarkEnd w:id="50"/>
      <w:bookmarkEnd w:id="51"/>
    </w:p>
    <w:p w14:paraId="3FCF5414" w14:textId="058D05CC"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24. If the State Revenue Service has, in accordance with Article 48 of Regulation No 952/2013, initiated a verification of customs declarations with regard to which the guarantor has provided a guarantee for the coverage of the debt of customs charges, the State Revenue Service shall, within 30 days after initiation of the verification, inform the guarantor in writing (electronically) of the fact that the verification has been initiated.</w:t>
      </w:r>
    </w:p>
    <w:p w14:paraId="157D56E4"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52" w:name="p25"/>
      <w:bookmarkStart w:id="53" w:name="p-649510"/>
      <w:bookmarkEnd w:id="52"/>
      <w:bookmarkEnd w:id="53"/>
    </w:p>
    <w:p w14:paraId="0FD967AC" w14:textId="1BBF506E"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25. If the debt of customs charges is established, the State Revenue Service shall, within the time limit stipulated in laws and regulations, take a relevant decision and notify the debtor of the claim to pay the debt of customs charges. The State Revenue Service shall at the same time inform the guarantor, whose guarantee undertaking is valid when applying customs procedures or temporary storage, about the claim to pay the debt of customs charges notified to the debtor.</w:t>
      </w:r>
    </w:p>
    <w:p w14:paraId="05A88398"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54" w:name="p26"/>
      <w:bookmarkStart w:id="55" w:name="p-649511"/>
      <w:bookmarkEnd w:id="54"/>
      <w:bookmarkEnd w:id="55"/>
    </w:p>
    <w:p w14:paraId="226AF43F" w14:textId="047B34E2"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26. If a debtor has failed to pay the debt of customs charges in accordance with the procedures laid down in laws and regulations governing the field of customs matters and taxes and within the time limit specified in a written warning of the State Revenue Service when applying a customs procedure (except for the customs procedures – transit and customs warehousing) during validity period of the relevant guarantee, the State Revenue Service shall, not later than within one year from the day of notification of the debt of customs charges, send a claim to the guarantor to pay the principal debt of customs charges which does not exceed the amount of the guarantee.</w:t>
      </w:r>
    </w:p>
    <w:p w14:paraId="50C27BA1"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56" w:name="p27"/>
      <w:bookmarkStart w:id="57" w:name="p-649512"/>
      <w:bookmarkEnd w:id="56"/>
      <w:bookmarkEnd w:id="57"/>
    </w:p>
    <w:p w14:paraId="7C28E8A7" w14:textId="2CCD0841"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 xml:space="preserve">27. If a debtor has failed to pay the debt of customs charges in accordance with the procedures laid down in laws and regulations governing the field of customs matters and taxes and within the time limit specified in a written warning of the State Revenue Service when applying a customs procedure – transit –, the State Revenue Service shall, within the time limit specified </w:t>
      </w:r>
      <w:r w:rsidRPr="00AB1490">
        <w:rPr>
          <w:rFonts w:ascii="Times New Roman" w:hAnsi="Times New Roman"/>
          <w:sz w:val="24"/>
          <w:szCs w:val="24"/>
        </w:rPr>
        <w:lastRenderedPageBreak/>
        <w:t>in Article 85(2) of Regulation No 2015/2446, send a claim to the guarantor to pay the principal debt of customs charges which does not exceed the amount of the guarantee.</w:t>
      </w:r>
    </w:p>
    <w:p w14:paraId="3A282A87"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58" w:name="p28"/>
      <w:bookmarkStart w:id="59" w:name="p-649513"/>
      <w:bookmarkEnd w:id="58"/>
      <w:bookmarkEnd w:id="59"/>
    </w:p>
    <w:p w14:paraId="487251B8" w14:textId="500DBD68"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28. If a debtor has failed to pay the debt of customs charges in accordance with the procedures laid down in laws and regulations governing the field of customs matters and taxes and within the time limit specified in a written warning of the State Revenue Service when applying temporary storage or a customs procedure – customs warehousing –, the State Revenue Service shall, not later than within one year from the day of notification of the debt of customs charges, send a claim to the guarantor whose undertaking is valid when applying temporary storage or customs procedure – customs warehousing – to pay the principal debt of customs charges which does not exceed the amount of the guarantee.</w:t>
      </w:r>
    </w:p>
    <w:p w14:paraId="06DB2096"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60" w:name="p29"/>
      <w:bookmarkStart w:id="61" w:name="p-649514"/>
      <w:bookmarkEnd w:id="60"/>
      <w:bookmarkEnd w:id="61"/>
    </w:p>
    <w:p w14:paraId="64B5CDD8" w14:textId="31F45E8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29. If a debtor has failed to pay the debt of customs charges in accordance with the procedures laid down in laws and regulations governing the field of customs matters and taxes and within the time limit specified in a written warning of the State Revenue Service, and during the time when, in accordance with Paragraphs 26, 27 and 28 of this Regulation, the State Revenue Service is entitled to claim payment of the relevant debt of customs charges the debtor has been declared insolvent by a judgement of a court or a decision of a court to initiate a case of legal protection proceedings of the debtor has entered into effect, the State Revenue Service has the right to address the guarantor with the claim to pay the principal debt of customs charges which does not exceed the amount of the guarantee.</w:t>
      </w:r>
    </w:p>
    <w:p w14:paraId="388172B2"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62" w:name="p30"/>
      <w:bookmarkStart w:id="63" w:name="p-649515"/>
      <w:bookmarkEnd w:id="62"/>
      <w:bookmarkEnd w:id="63"/>
    </w:p>
    <w:p w14:paraId="2DA6B4AE" w14:textId="1F7DCF2B"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30. The guarantor shall, within 30 days from the day of notification of the claim of the State Revenue Service referred to in Paragraph 26, 27, 28 or 29 of this Regulation, pay the principal debt of customs charges.</w:t>
      </w:r>
    </w:p>
    <w:p w14:paraId="54B904B0"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64" w:name="p31"/>
      <w:bookmarkStart w:id="65" w:name="p-649516"/>
      <w:bookmarkEnd w:id="64"/>
      <w:bookmarkEnd w:id="65"/>
    </w:p>
    <w:p w14:paraId="6F6E4F8C" w14:textId="5919FAD8"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31. If the time limit referred to in Paragraph 30 of this Regulation is not conformed to, the guarantor shall pay a late payment charge for each day late amounting to 0.1 % of the amount of the principal debt of customs charges that is notified to the guarantor in accordance with Paragraph 26, 27, 28 or 29 of this Regulation, but not exceeding 100 % thereof.</w:t>
      </w:r>
    </w:p>
    <w:p w14:paraId="6509F219"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66" w:name="p32"/>
      <w:bookmarkStart w:id="67" w:name="p-649517"/>
      <w:bookmarkEnd w:id="66"/>
      <w:bookmarkEnd w:id="67"/>
    </w:p>
    <w:p w14:paraId="75EEB3FA" w14:textId="58F5B412"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32. The claim referred to in Paragraphs 26, 27, 28, 29, 30, and 31 of this Regulation shall be deemed an administrative act, and compulsory enforcement thereof shall be performed after the time limit of 30 days laid down for voluntary payment has elapsed for recovery of late tax payments on uncontested basis specified in the law On Taxes and Duties on the basis of a decision to recover the late tax payments.</w:t>
      </w:r>
    </w:p>
    <w:p w14:paraId="26CC6985"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68" w:name="p33"/>
      <w:bookmarkStart w:id="69" w:name="p-649518"/>
      <w:bookmarkEnd w:id="68"/>
      <w:bookmarkEnd w:id="69"/>
    </w:p>
    <w:p w14:paraId="617B836A" w14:textId="4999A7EF"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33. If the guarantor has paid the debt of customs charges of the debtor but then the guarantor or the debtor proves with documents that the relevant debt of charges has not been justified, the State Revenue Service shall repay the guarantor the amount of the charges paid by it. A request for repayment of the amount of charges not recovered correctly shall be submitted not later than within three years from the day of entry into effect of a court ruling which provides grounds for the request to repay the amount of charges not recovered correctly.</w:t>
      </w:r>
    </w:p>
    <w:p w14:paraId="0A3BEE61"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70" w:name="p34"/>
      <w:bookmarkStart w:id="71" w:name="p-649519"/>
      <w:bookmarkEnd w:id="70"/>
      <w:bookmarkEnd w:id="71"/>
    </w:p>
    <w:p w14:paraId="5A6D749D" w14:textId="0AF8EA29"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34. The State Revenue Service shall take the decision to suspend the status of guarantor which has been granted in accordance with Paragraph 21 of this Regulation if any of the following conditions are established:</w:t>
      </w:r>
    </w:p>
    <w:p w14:paraId="341F9596"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34.1. the guarantor fails to meet the requirements referred to in Paragraph 21 of this Regulation;</w:t>
      </w:r>
    </w:p>
    <w:p w14:paraId="3ABA5A35"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34.2. the guarantor has failed to fulfil any of the requirements referred to in Paragraph 22 of this Regulation.</w:t>
      </w:r>
    </w:p>
    <w:p w14:paraId="5E178F24"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72" w:name="p35"/>
      <w:bookmarkStart w:id="73" w:name="p-649520"/>
      <w:bookmarkEnd w:id="72"/>
      <w:bookmarkEnd w:id="73"/>
    </w:p>
    <w:p w14:paraId="1A237E5F" w14:textId="1589AF52"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lastRenderedPageBreak/>
        <w:t>35. If the guarantor has rectified the reasons for the suspension of the status of guarantor specified in the decision referred to in Paragraph 34 of this Regulation within 30 days from the day of notification thereof, the State Revenue Service shall take the decision to restore the status of guarantor.</w:t>
      </w:r>
    </w:p>
    <w:p w14:paraId="1C72D1E8"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74" w:name="p36"/>
      <w:bookmarkStart w:id="75" w:name="p-649521"/>
      <w:bookmarkEnd w:id="74"/>
      <w:bookmarkEnd w:id="75"/>
    </w:p>
    <w:p w14:paraId="5EB3B131" w14:textId="48DB3451"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36. The State Revenue Service shall take the decision to annul the status of guarantor which has been granted in accordance with Paragraph 21 of this Regulation if any of the following conditions are established:</w:t>
      </w:r>
    </w:p>
    <w:p w14:paraId="2EA184DC"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36.1. the guarantor has failed to rectify the reasons for the suspension of the status of guarantor specified in the decision referred to in Paragraph 34 of this Regulation within 30 days from the day of notification thereof;</w:t>
      </w:r>
    </w:p>
    <w:p w14:paraId="0572C085"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36.2. the guarantor has not fulfilled the requirements referred to in Paragraph 30 of this Regulation;</w:t>
      </w:r>
    </w:p>
    <w:p w14:paraId="1E506491"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36.3. an application of the guarantor has been received for the annulment of the status of guarantor.</w:t>
      </w:r>
    </w:p>
    <w:p w14:paraId="3005EDEB"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76" w:name="n3"/>
      <w:bookmarkStart w:id="77" w:name="n-649522"/>
      <w:bookmarkEnd w:id="76"/>
      <w:bookmarkEnd w:id="77"/>
    </w:p>
    <w:p w14:paraId="0D2ED5A3" w14:textId="2C1801B3" w:rsidR="008441D4" w:rsidRPr="00AB1490" w:rsidRDefault="008441D4" w:rsidP="00D8392D">
      <w:pPr>
        <w:spacing w:after="0" w:line="240" w:lineRule="auto"/>
        <w:jc w:val="center"/>
        <w:rPr>
          <w:rFonts w:ascii="Times New Roman" w:eastAsia="Times New Roman" w:hAnsi="Times New Roman" w:cs="Times New Roman"/>
          <w:b/>
          <w:bCs/>
          <w:noProof/>
          <w:sz w:val="24"/>
          <w:szCs w:val="24"/>
        </w:rPr>
      </w:pPr>
      <w:r w:rsidRPr="00AB1490">
        <w:rPr>
          <w:rFonts w:ascii="Times New Roman" w:hAnsi="Times New Roman"/>
          <w:b/>
          <w:bCs/>
          <w:sz w:val="24"/>
          <w:szCs w:val="24"/>
        </w:rPr>
        <w:t>3. Types of Guarantee</w:t>
      </w:r>
    </w:p>
    <w:p w14:paraId="05E4E8F7" w14:textId="77777777" w:rsidR="00D8392D" w:rsidRPr="00AB1490" w:rsidRDefault="00D8392D" w:rsidP="00D8392D">
      <w:pPr>
        <w:spacing w:after="0" w:line="240" w:lineRule="auto"/>
        <w:jc w:val="center"/>
        <w:rPr>
          <w:rFonts w:ascii="Times New Roman" w:eastAsia="Times New Roman" w:hAnsi="Times New Roman" w:cs="Times New Roman"/>
          <w:b/>
          <w:bCs/>
          <w:noProof/>
          <w:sz w:val="24"/>
          <w:szCs w:val="24"/>
        </w:rPr>
      </w:pPr>
      <w:bookmarkStart w:id="78" w:name="n3.1"/>
      <w:bookmarkStart w:id="79" w:name="n-649523"/>
      <w:bookmarkEnd w:id="78"/>
      <w:bookmarkEnd w:id="79"/>
    </w:p>
    <w:p w14:paraId="58C68237" w14:textId="6E852B8E" w:rsidR="008441D4" w:rsidRPr="00AB1490" w:rsidRDefault="008441D4" w:rsidP="00D8392D">
      <w:pPr>
        <w:spacing w:after="0" w:line="240" w:lineRule="auto"/>
        <w:jc w:val="center"/>
        <w:rPr>
          <w:rFonts w:ascii="Times New Roman" w:eastAsia="Times New Roman" w:hAnsi="Times New Roman" w:cs="Times New Roman"/>
          <w:b/>
          <w:bCs/>
          <w:noProof/>
          <w:sz w:val="24"/>
          <w:szCs w:val="24"/>
        </w:rPr>
      </w:pPr>
      <w:r w:rsidRPr="00AB1490">
        <w:rPr>
          <w:rFonts w:ascii="Times New Roman" w:hAnsi="Times New Roman"/>
          <w:b/>
          <w:bCs/>
          <w:sz w:val="24"/>
          <w:szCs w:val="24"/>
        </w:rPr>
        <w:t>3.1. Deposit</w:t>
      </w:r>
    </w:p>
    <w:p w14:paraId="15A0E24F"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80" w:name="p37"/>
      <w:bookmarkStart w:id="81" w:name="p-649524"/>
      <w:bookmarkEnd w:id="80"/>
      <w:bookmarkEnd w:id="81"/>
    </w:p>
    <w:p w14:paraId="527E5411" w14:textId="39CA014E"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37. If the person referred to in Sub-paragraphs 4.1, 4.2 or 4.4 of this Regulation secures the debt of customs charges which may be incurred by a guarantee in the form of a payment of a deposit, the deposit shall be paid into the account of the deposited financial resources.</w:t>
      </w:r>
    </w:p>
    <w:p w14:paraId="7788654F"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82" w:name="p38"/>
      <w:bookmarkStart w:id="83" w:name="p-649525"/>
      <w:bookmarkEnd w:id="82"/>
      <w:bookmarkEnd w:id="83"/>
    </w:p>
    <w:p w14:paraId="536BF315" w14:textId="5816A36D"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38. The amount of the deposit shall be equivalent to 100 % of the calculated debt of customs charges which may be incurred.</w:t>
      </w:r>
    </w:p>
    <w:p w14:paraId="0AFD7688"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84" w:name="p39"/>
      <w:bookmarkStart w:id="85" w:name="p-649526"/>
      <w:bookmarkEnd w:id="84"/>
      <w:bookmarkEnd w:id="85"/>
    </w:p>
    <w:p w14:paraId="6F593D79" w14:textId="46A38A4D"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39. If, in accordance with Article 244 of Commission Implementing Regulation (EU) 2015/2447 of 24 November 2015 laying down detailed rules for implementing certain provisions of Regulation (EU) No 952/2013 of the European Parliament and of the Council laying down the Union Customs Code (hereinafter – Regulation No 2015/2447), the State Revenue Service has doubts as to the information provided in a customs declaration when performing control of the information provided in the customs declaration for release of goods for free circulation and when verifying the customs declaration, accompanying documents and declared goods, the person referred to in Sub-paragraphs 4.1, 4.2 or 4.4 of this Regulation shall, upon request of a customs authority, pay the deposit – the difference between the amount of customs charges calculated on the basis of the information provided in the customs declaration and the amount of customs charges which should be paid for the goods after the verification thereof.</w:t>
      </w:r>
    </w:p>
    <w:p w14:paraId="28C0CB7E"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86" w:name="p40"/>
      <w:bookmarkStart w:id="87" w:name="p-649527"/>
      <w:bookmarkEnd w:id="86"/>
      <w:bookmarkEnd w:id="87"/>
    </w:p>
    <w:p w14:paraId="4D984AC9" w14:textId="38B8E89E"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40. In the case referred to in Paragraph 39 of this Regulation the State Revenue Service shall perform a verification after release of goods for free circulation accompanied by the deposit in accordance with Article 48 of Regulation No 952/2013 and as a result of the verification take the decision to transfer the paid deposit to the State budget, repay or partially repay it to the person referred to in Sub-paragraph 4.1, 4.2 or 4.4 of this Regulation.</w:t>
      </w:r>
    </w:p>
    <w:p w14:paraId="73F99E3B"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88" w:name="p41"/>
      <w:bookmarkStart w:id="89" w:name="p-649528"/>
      <w:bookmarkEnd w:id="88"/>
      <w:bookmarkEnd w:id="89"/>
    </w:p>
    <w:p w14:paraId="6679D65C" w14:textId="074B6F4D"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 xml:space="preserve">41. If, in accordance with Article 223(2)(d) of Regulation No 952/2013, in the case of outward processing procedure it is allowed to import processed products obtained from equivalent goods before the export of the goods they are replacing, the person referred to in Sub-paragraph 4.3 of this Regulation shall pay the deposit. In such case the debt of customs charges which may be incurred shall include the customs debt, the debt of excise duty, and the debt of value added tax. If the person has obtained an authorisation specified in Section 85 of the Value Added Tax </w:t>
      </w:r>
      <w:r w:rsidRPr="00AB1490">
        <w:rPr>
          <w:rFonts w:ascii="Times New Roman" w:hAnsi="Times New Roman"/>
          <w:sz w:val="24"/>
          <w:szCs w:val="24"/>
        </w:rPr>
        <w:lastRenderedPageBreak/>
        <w:t>Law to apply a special tax arrangement  for transactions of import of goods with regard to the determined payment of deposit, the value added tax shall not be calculated.</w:t>
      </w:r>
    </w:p>
    <w:p w14:paraId="6BD4FA32"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90" w:name="p42"/>
      <w:bookmarkStart w:id="91" w:name="p-649529"/>
      <w:bookmarkEnd w:id="90"/>
      <w:bookmarkEnd w:id="91"/>
    </w:p>
    <w:p w14:paraId="6B21835A" w14:textId="4A3845A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42. After the export of goods, the person referred to in Sub-paragraph 4.3 of this Regulation shall submit to the State Revenue Service an application for the repayment of deposit. After assessing the relevant application and performance of the customs procedure, the State Revenue Service shall take the decision to transfer the paid deposit to the State budget, repay or partially repay it to the person.</w:t>
      </w:r>
    </w:p>
    <w:p w14:paraId="68392169"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92" w:name="p43"/>
      <w:bookmarkStart w:id="93" w:name="p-649530"/>
      <w:bookmarkEnd w:id="92"/>
      <w:bookmarkEnd w:id="93"/>
    </w:p>
    <w:p w14:paraId="7FB8FE2A" w14:textId="648F4AE5"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43. If, in accordance with Article 56(4) of Regulation No 952/2013, a tariff quota applied for in a customs declaration for release of goods for free circulation is critical, the person referred to in Sub-paragraph 4.1, 4.2 or 4.4 of this Regulation shall pay the deposit – the difference between the amount of customs charges calculated in applying an autonomous conventional rate of the European Union Common Customs Tariff import customs duty or another preferential import customs duty rate available for the import of these goods and the amount of customs charges calculated by applying the reduced or zero import duty rate determined for the quota.</w:t>
      </w:r>
    </w:p>
    <w:p w14:paraId="5507326A"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94" w:name="p44"/>
      <w:bookmarkStart w:id="95" w:name="p-649531"/>
      <w:bookmarkEnd w:id="94"/>
      <w:bookmarkEnd w:id="95"/>
    </w:p>
    <w:p w14:paraId="76FB95CE" w14:textId="72C39A66"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44. After receipt of the European Commission’s response with regard to allocation, non-allocation or partial allocation of the requested tariff quota, the State Revenue Service shall take the decision to transfer the paid deposit to the State budget, repay or partially repay it to the person referred to in Sub-paragraph 4.1, 4.2 or 4.4 of this Regulation.</w:t>
      </w:r>
    </w:p>
    <w:p w14:paraId="1B0DDE78"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96" w:name="p45"/>
      <w:bookmarkStart w:id="97" w:name="p-649532"/>
      <w:bookmarkEnd w:id="96"/>
      <w:bookmarkEnd w:id="97"/>
    </w:p>
    <w:p w14:paraId="2CAEE61D" w14:textId="1025F3FD"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45. If a provisional anti-dumping duty, in accordance with Regulation (EU) 2016/1036 of the European Parliament and of the Council of 8 June 2016 on protection against dumped imports from countries not members of the European Union, and a provisional countervailing duty, in accordance with Regulation (EU) 2016/1037 of the European Parliament and of the Council of 8 June 2016 on protection against subsidised imports from countries not members of the European Union, are applied to goods declared in a customs declaration when releasing them for free circulation, the person referred to in Sub-paragraph 4.1, 4.2 or 4.4 of this Regulation shall pay the deposit in the amount of a provisional anti-dumping duty or provisional countervailing duty respectively and in the amount of value added tax which is calculated from the provisional anti-dumping duty and provisional countervailing duty.</w:t>
      </w:r>
    </w:p>
    <w:p w14:paraId="227C483E"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98" w:name="p46"/>
      <w:bookmarkStart w:id="99" w:name="p-649533"/>
      <w:bookmarkEnd w:id="98"/>
      <w:bookmarkEnd w:id="99"/>
    </w:p>
    <w:p w14:paraId="4CBEBE20" w14:textId="7E1C65DA"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46. If the person liable for the payment of the deposit referred to in Paragraph 45 of this Regulation has obtained an authorisation specified in Section 85 of the Value Added Tax Law to apply a special tax arrangement for transactions of import of goods, the value added tax shall not be calculated from the provisional anti-dumping duty and provisional countervailing duty.</w:t>
      </w:r>
    </w:p>
    <w:p w14:paraId="47D2E21D"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00" w:name="p47"/>
      <w:bookmarkStart w:id="101" w:name="p-649534"/>
      <w:bookmarkEnd w:id="100"/>
      <w:bookmarkEnd w:id="101"/>
    </w:p>
    <w:p w14:paraId="4C90B86D" w14:textId="14EC49AB"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47. If a final anti-dumping duty or final countervailing duty is determined for the goods for which the deposit referred to in Paragraph 45 of this Regulation had been paid, the State Revenue Service shall take the decision to transfer the paid deposit to the State budget, repay or partially repay it to the person referred to in Sub-paragraph 4.1, 4.2 or 4.4 of this Regulation.</w:t>
      </w:r>
    </w:p>
    <w:p w14:paraId="305F1A1E"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02" w:name="p48"/>
      <w:bookmarkStart w:id="103" w:name="p-649535"/>
      <w:bookmarkEnd w:id="102"/>
      <w:bookmarkEnd w:id="103"/>
    </w:p>
    <w:p w14:paraId="67000F87" w14:textId="003946D5"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48. When applying for a customs procedure, a person who has paid the deposit shall submit to a customs authority an application for the repayment of deposit by specifying details of a recipient of the payment and an account of a credit institution to which the deposit is to be repaid after taking of the relevant decision (Annex 1).</w:t>
      </w:r>
    </w:p>
    <w:p w14:paraId="1A0798DC"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04" w:name="p49"/>
      <w:bookmarkStart w:id="105" w:name="p-649536"/>
      <w:bookmarkEnd w:id="104"/>
      <w:bookmarkEnd w:id="105"/>
    </w:p>
    <w:p w14:paraId="08609765" w14:textId="4B79C85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49. An application for the repayment of deposit may also be completed in Russian or English.</w:t>
      </w:r>
    </w:p>
    <w:p w14:paraId="36FE3DD0"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06" w:name="p50"/>
      <w:bookmarkStart w:id="107" w:name="p-649537"/>
      <w:bookmarkEnd w:id="106"/>
      <w:bookmarkEnd w:id="107"/>
    </w:p>
    <w:p w14:paraId="7C9CC000" w14:textId="307FEEF0"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lastRenderedPageBreak/>
        <w:t>50. If the State Revenue Service receives evidence which confirms the fact of completion of the applied customs procedure, it shall take the decision to repay the paid deposit.</w:t>
      </w:r>
    </w:p>
    <w:p w14:paraId="634E9BD1"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08" w:name="p51"/>
      <w:bookmarkStart w:id="109" w:name="p-649538"/>
      <w:bookmarkEnd w:id="108"/>
      <w:bookmarkEnd w:id="109"/>
    </w:p>
    <w:p w14:paraId="247EB6B0" w14:textId="5296191F"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51. If the applied customs procedure is not completed or is completed by establishing non-compliance of the goods with the information provided in the customs documents, the State Revenue Service shall take the decision to transfer a deposit proportionate to the non-compliance to the State budget.</w:t>
      </w:r>
    </w:p>
    <w:p w14:paraId="3198A207"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10" w:name="p52"/>
      <w:bookmarkStart w:id="111" w:name="p-649539"/>
      <w:bookmarkEnd w:id="110"/>
      <w:bookmarkEnd w:id="111"/>
    </w:p>
    <w:p w14:paraId="2C334CFD" w14:textId="59BC8DCC"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52. The State Revenue Service shall repay or partially repay the deposit within 15 days after taking of the decision to repay or partially repay the paid deposit.</w:t>
      </w:r>
    </w:p>
    <w:p w14:paraId="7C0854ED"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12" w:name="n3.2"/>
      <w:bookmarkStart w:id="113" w:name="n-649540"/>
      <w:bookmarkEnd w:id="112"/>
      <w:bookmarkEnd w:id="113"/>
    </w:p>
    <w:p w14:paraId="471D5196" w14:textId="478CB4FE" w:rsidR="008441D4" w:rsidRPr="00AB1490" w:rsidRDefault="008441D4" w:rsidP="00D8392D">
      <w:pPr>
        <w:spacing w:after="0" w:line="240" w:lineRule="auto"/>
        <w:jc w:val="center"/>
        <w:rPr>
          <w:rFonts w:ascii="Times New Roman" w:eastAsia="Times New Roman" w:hAnsi="Times New Roman" w:cs="Times New Roman"/>
          <w:b/>
          <w:bCs/>
          <w:noProof/>
          <w:sz w:val="24"/>
          <w:szCs w:val="24"/>
        </w:rPr>
      </w:pPr>
      <w:r w:rsidRPr="00AB1490">
        <w:rPr>
          <w:rFonts w:ascii="Times New Roman" w:hAnsi="Times New Roman"/>
          <w:b/>
          <w:bCs/>
          <w:sz w:val="24"/>
          <w:szCs w:val="24"/>
        </w:rPr>
        <w:t>3.2. Individual Guarantee Provided as an Undertaking by the Guarantor</w:t>
      </w:r>
    </w:p>
    <w:p w14:paraId="65AFEEC4"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14" w:name="p53"/>
      <w:bookmarkStart w:id="115" w:name="p-649541"/>
      <w:bookmarkEnd w:id="114"/>
      <w:bookmarkEnd w:id="115"/>
    </w:p>
    <w:p w14:paraId="4ACFD2DD" w14:textId="66AF1470"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53. An individual guarantee shall be used to apply a single customs procedure or single temporary storage once.</w:t>
      </w:r>
    </w:p>
    <w:p w14:paraId="0E1CB7D9"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16" w:name="p54"/>
      <w:bookmarkStart w:id="117" w:name="p-649542"/>
      <w:bookmarkEnd w:id="116"/>
      <w:bookmarkEnd w:id="117"/>
    </w:p>
    <w:p w14:paraId="21D94D4A" w14:textId="2967CC7E"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54. An individual guarantee provided as an undertaking by the guarantor in accordance with Article 151(5) of Regulation No 2015/2447 shall be registered with the State Revenue Service prior to submission of a customs declaration or a temporary storage declaration. In order to register the individual guarantee, a person to whom an individual guarantee document has been issued or an authorised representative thereof shall submit two copies (original copies) of the individual guarantee document to any customs control point of the State Revenue Service.</w:t>
      </w:r>
    </w:p>
    <w:p w14:paraId="002C5E82"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18" w:name="p55"/>
      <w:bookmarkStart w:id="119" w:name="p-649543"/>
      <w:bookmarkEnd w:id="118"/>
      <w:bookmarkEnd w:id="119"/>
    </w:p>
    <w:p w14:paraId="2876E407" w14:textId="7EC5AA8A"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55. The State Revenue Service shall make a note in the individual guarantee documents regarding the registration number assigned by the Electronic Customs Data Processing System of the State Revenue Service or Customs Information System. One copy of the individual guarantee document shall be issued to a person who has submitted the individual guarantee document or to an authorised representative thereof.</w:t>
      </w:r>
    </w:p>
    <w:p w14:paraId="405EAC4B"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20" w:name="p56"/>
      <w:bookmarkStart w:id="121" w:name="p-649544"/>
      <w:bookmarkEnd w:id="120"/>
      <w:bookmarkEnd w:id="121"/>
    </w:p>
    <w:p w14:paraId="7416B9B4" w14:textId="413243C5"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56. The individual guarantee shall cease to be valid if the validity period of the individual guarantee has expired or the guarantor has revoked its undertaking.</w:t>
      </w:r>
    </w:p>
    <w:p w14:paraId="0475A5BA"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22" w:name="n3.3"/>
      <w:bookmarkStart w:id="123" w:name="n-649545"/>
      <w:bookmarkEnd w:id="122"/>
      <w:bookmarkEnd w:id="123"/>
    </w:p>
    <w:p w14:paraId="26DF3470" w14:textId="45D12B44" w:rsidR="008441D4" w:rsidRPr="00AB1490" w:rsidRDefault="008441D4" w:rsidP="00D8392D">
      <w:pPr>
        <w:spacing w:after="0" w:line="240" w:lineRule="auto"/>
        <w:jc w:val="center"/>
        <w:rPr>
          <w:rFonts w:ascii="Times New Roman" w:eastAsia="Times New Roman" w:hAnsi="Times New Roman" w:cs="Times New Roman"/>
          <w:b/>
          <w:bCs/>
          <w:noProof/>
          <w:sz w:val="24"/>
          <w:szCs w:val="24"/>
        </w:rPr>
      </w:pPr>
      <w:r w:rsidRPr="00AB1490">
        <w:rPr>
          <w:rFonts w:ascii="Times New Roman" w:hAnsi="Times New Roman"/>
          <w:b/>
          <w:bCs/>
          <w:sz w:val="24"/>
          <w:szCs w:val="24"/>
        </w:rPr>
        <w:t>3.3. Comprehensive Guarantee, Including Possible Reduction and Waiver</w:t>
      </w:r>
    </w:p>
    <w:p w14:paraId="477A9C76"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24" w:name="p57"/>
      <w:bookmarkStart w:id="125" w:name="p-649546"/>
      <w:bookmarkEnd w:id="124"/>
      <w:bookmarkEnd w:id="125"/>
    </w:p>
    <w:p w14:paraId="5BEB84E0" w14:textId="0B04854D"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57. An authorisation to provide a comprehensive guarantee, including possible reduction and waiver (hereinafter – the comprehensive guarantee authorisation) may be used for securing any customs procedure or temporary storage in accordance with the procedures for applying the relevant customs procedure or temporary storage.</w:t>
      </w:r>
    </w:p>
    <w:p w14:paraId="72103196"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26" w:name="p58"/>
      <w:bookmarkStart w:id="127" w:name="p-649547"/>
      <w:bookmarkEnd w:id="126"/>
      <w:bookmarkEnd w:id="127"/>
    </w:p>
    <w:p w14:paraId="75557D8F" w14:textId="306371C4"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58. A reference amount associated with the comprehensive guarantee authorisation shall be determined by the State Revenue Service by taking into account calculations which, in accordance with provisions of Article 155(4) of Regulation No 2015/2447, have been made by a person who wishes to receive the comprehensive guarantee authorisation.</w:t>
      </w:r>
    </w:p>
    <w:p w14:paraId="486FBE6F"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28" w:name="p59"/>
      <w:bookmarkStart w:id="129" w:name="p-649548"/>
      <w:bookmarkEnd w:id="128"/>
      <w:bookmarkEnd w:id="129"/>
    </w:p>
    <w:p w14:paraId="6BBEBE46" w14:textId="724B28F9"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59. In order to receive the comprehensive guarantee authorisation, a person shall submit the following:</w:t>
      </w:r>
    </w:p>
    <w:p w14:paraId="0F966FDB"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 xml:space="preserve">59.1. an application for the provision of the comprehensive guarantee, including possible reduction or waiver (hereinafter – the application for the comprehensive guarantee) in compliance with the requirements laid down in Titles I and VI of Annex A “Common data requirements for applications and decisions” to Regulation No 2015/2446 (hereinafter – Annex A to Regulation No 2015/2446) and Annex A “Formats and codes of the common data </w:t>
      </w:r>
      <w:r w:rsidRPr="00AB1490">
        <w:rPr>
          <w:rFonts w:ascii="Times New Roman" w:hAnsi="Times New Roman"/>
          <w:sz w:val="24"/>
          <w:szCs w:val="24"/>
        </w:rPr>
        <w:lastRenderedPageBreak/>
        <w:t>requirements for applications and decisions” to Regulation No 2015/2447 (hereinafter – Annex A to Regulation No 2015/2447);</w:t>
      </w:r>
    </w:p>
    <w:p w14:paraId="194DD1BE"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59.2. a comprehensive guarantee provided as an undertaking by the guarantor in accordance with Article 151(6) of Regulation No 2015/2447 by using a form indicated in Annex 32-03 to Regulation No 2015/2447 (hereinafter – the comprehensive guarantee). This form may be completed and submitted to the State Revenue Service in the form of an electronic document signed with a secure electronic signature in accordance with the provisions laid down in the Electronic Documents Law.</w:t>
      </w:r>
    </w:p>
    <w:p w14:paraId="6478B953"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30" w:name="p60"/>
      <w:bookmarkStart w:id="131" w:name="p-649549"/>
      <w:bookmarkEnd w:id="130"/>
      <w:bookmarkEnd w:id="131"/>
    </w:p>
    <w:p w14:paraId="59742DCE" w14:textId="29EF82C6"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60. If the comprehensive guarantee has been submitted to secure customs procedures – release for free circulation and end-use –, a person shall, in addition to the application for the comprehensive guarantee, submit an application in order to defer the payment of the tax to be paid in accordance with Titles I and VII of Annex A to Regulation No 2015/2446 and Annex A to Regulation No 2015/2447 (hereinafter – the application for the deferment of payment). The following information shall be indicated in section “Additional information” in the application for the deferment of payment:</w:t>
      </w:r>
    </w:p>
    <w:p w14:paraId="590E1220"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60.1. the preferred time period for which to aggregate amounts of taxes calculated in customs declarations (for a calendar week or calendar month respectively);</w:t>
      </w:r>
    </w:p>
    <w:p w14:paraId="0BDA2ABF"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60.2. the information on the person to whom the relevant users’ rights will be granted in the Electronic Declaration System of the State Revenue Service (given name, surname, personal identity number, electronic mail address, and telephone number).</w:t>
      </w:r>
    </w:p>
    <w:p w14:paraId="3D2AC2E0"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32" w:name="p61"/>
      <w:bookmarkStart w:id="133" w:name="p-649550"/>
      <w:bookmarkEnd w:id="132"/>
      <w:bookmarkEnd w:id="133"/>
    </w:p>
    <w:p w14:paraId="4BA6A20D" w14:textId="170F332B"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61. The application for the comprehensive guarantee and the application for the deferment of payment shall be submitted to the Customs Decisions System by using the Electronic Declaration System of the State Revenue Service.</w:t>
      </w:r>
    </w:p>
    <w:p w14:paraId="34A8E044"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34" w:name="p62"/>
      <w:bookmarkStart w:id="135" w:name="p-649551"/>
      <w:bookmarkEnd w:id="134"/>
      <w:bookmarkEnd w:id="135"/>
    </w:p>
    <w:p w14:paraId="52A39D32" w14:textId="2C82E571"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62. The State Revenue Service shall take the decision to issue the comprehensive guarantee authorisation provided that a submitter of the application for the comprehensive guarantee meets the requirements laid down in Article 95 of Regulation No 952/2013, Article 158 of Regulation No 2015/2447, and Article 84 of Regulation No 2015/2446, and a reference amount of the comprehensive guarantee submitted to receive the comprehensive guarantee authorisation has been determined in accordance with Paragraph 58 of this Regulation.</w:t>
      </w:r>
    </w:p>
    <w:p w14:paraId="02089E49"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36" w:name="p63"/>
      <w:bookmarkStart w:id="137" w:name="p-649552"/>
      <w:bookmarkEnd w:id="136"/>
      <w:bookmarkEnd w:id="137"/>
    </w:p>
    <w:p w14:paraId="69D26426" w14:textId="4DB05DBB"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63. If an undertaking by the guarantor in the comprehensive guarantee submitted to receive the comprehensive guarantee authorisation is provided in the amount of 100 % of the reference amount, the State Revenue Service shall take the decision within 30 days from the day of acceptance of the application for the comprehensive guarantee. The time limit for taking the decision specified in this Paragraph shall not be applicable to the case referred to in Article 13(4) of Regulation No 2015/2446.</w:t>
      </w:r>
    </w:p>
    <w:p w14:paraId="4E7355A5"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38" w:name="p64"/>
      <w:bookmarkStart w:id="139" w:name="p-649553"/>
      <w:bookmarkEnd w:id="138"/>
      <w:bookmarkEnd w:id="139"/>
    </w:p>
    <w:p w14:paraId="4758EF9A" w14:textId="1FAD17B6"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64. A holder of the comprehensive guarantee authorisation that uses the comprehensive guarantee to secure customs procedures – release into free circulation and end-use – shall defer the time limit for the payment of the debt of customs charges referred to in Paragraph 9 of this Regulation.</w:t>
      </w:r>
    </w:p>
    <w:p w14:paraId="348A72FC"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40" w:name="p65"/>
      <w:bookmarkStart w:id="141" w:name="p-649554"/>
      <w:bookmarkEnd w:id="140"/>
      <w:bookmarkEnd w:id="141"/>
    </w:p>
    <w:p w14:paraId="39ECD311" w14:textId="39A97215"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65. The State Revenue Service shall aggregate the amounts of the debt of customs charges referred to in Paragraph 9 of this Regulation from customs declarations presented in a calendar week or calendar month respectively (according to the period specified in the application for the deferment of payment), and prepare an invoice electronically (Annex 2).</w:t>
      </w:r>
    </w:p>
    <w:p w14:paraId="03D57C36"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42" w:name="p66"/>
      <w:bookmarkStart w:id="143" w:name="p-649555"/>
      <w:bookmarkEnd w:id="142"/>
      <w:bookmarkEnd w:id="143"/>
    </w:p>
    <w:p w14:paraId="4D6A1123" w14:textId="3E6A01D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lastRenderedPageBreak/>
        <w:t>66. The State Revenue Service shall stipulate a time limit for the payment of the invoice referred to in Paragraph 65 of this Regulation in accordance with Article 111(6) of Regulation No 952/2013.</w:t>
      </w:r>
    </w:p>
    <w:p w14:paraId="2A8E8988"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44" w:name="p67"/>
      <w:bookmarkStart w:id="145" w:name="p-649556"/>
      <w:bookmarkEnd w:id="144"/>
      <w:bookmarkEnd w:id="145"/>
    </w:p>
    <w:p w14:paraId="79203D02" w14:textId="300AD4B2"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67. The State Revenue Service shall electronically send the invoice referred to in Paragraph 65 of this Regulation to a holder of the comprehensive guarantee authorisation to the e-mail address specified in the application for the deferment of payment.</w:t>
      </w:r>
    </w:p>
    <w:p w14:paraId="3DAC2895"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46" w:name="p68"/>
      <w:bookmarkStart w:id="147" w:name="p-649557"/>
      <w:bookmarkEnd w:id="146"/>
      <w:bookmarkEnd w:id="147"/>
    </w:p>
    <w:p w14:paraId="64D17900" w14:textId="393EEA38"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68. The holder of the comprehensive guarantee authorisation shall transfer an amount of the debt of customs charges indicated in the invoice referred to in Paragraph 65 of this Regulation to the account of the deposited financial resources within the time limit specified in the invoice.</w:t>
      </w:r>
    </w:p>
    <w:p w14:paraId="0AE25939"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48" w:name="p69"/>
      <w:bookmarkStart w:id="149" w:name="p-649558"/>
      <w:bookmarkEnd w:id="148"/>
      <w:bookmarkEnd w:id="149"/>
    </w:p>
    <w:p w14:paraId="531BD7D4" w14:textId="109DA57D"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69. In applying a customs procedure – transit – a guarantee waiver shall be valid for one year from the day of issue of the comprehensive guarantee authorisation. If a person has received an authorised economic operator authorisation in accordance with Regulation No 952/2013, a guarantee waiver shall be valid for two years from the day of issue of the comprehensive guarantee authorisation.</w:t>
      </w:r>
    </w:p>
    <w:p w14:paraId="253E9CD6"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50" w:name="p70"/>
      <w:bookmarkStart w:id="151" w:name="p-649559"/>
      <w:bookmarkEnd w:id="150"/>
      <w:bookmarkEnd w:id="151"/>
    </w:p>
    <w:p w14:paraId="6E33D041" w14:textId="288584A6"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70. The State Revenue Service shall take the decision to suspend the comprehensive guarantee authorisation if a holder of the comprehensive guarantee authorisation fails to meet the conditions referred to in Paragraph 62 of this Regulation.</w:t>
      </w:r>
    </w:p>
    <w:p w14:paraId="7FAE0C2E"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52" w:name="p71"/>
      <w:bookmarkStart w:id="153" w:name="p-649560"/>
      <w:bookmarkEnd w:id="152"/>
      <w:bookmarkEnd w:id="153"/>
    </w:p>
    <w:p w14:paraId="54C95190" w14:textId="6E1390FC"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71. If the State Revenue Service takes the decision to suspend the comprehensive guarantee authorisation, a holder of the comprehensive guarantee authorisation shall be liable for the completion of all customs procedures and temporary storage which were commenced prior to suspension of the comprehensive guarantee authorisation.</w:t>
      </w:r>
    </w:p>
    <w:p w14:paraId="1494C77C"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54" w:name="p72"/>
      <w:bookmarkStart w:id="155" w:name="p-649561"/>
      <w:bookmarkEnd w:id="154"/>
      <w:bookmarkEnd w:id="155"/>
    </w:p>
    <w:p w14:paraId="4A4AD635" w14:textId="53162BA2"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72. If a holder of the comprehensive guarantee authorisation complies with the requirements laid down in a decision to suspend the comprehensive guarantee authorisation within a time limit specified in the decision in accordance with Article 17 of Regulation No 2015/2446, the State Revenue Service shall take the decision to restore the comprehensive guarantee authorisation.</w:t>
      </w:r>
    </w:p>
    <w:p w14:paraId="16CEC07A"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56" w:name="p73"/>
      <w:bookmarkStart w:id="157" w:name="p-649562"/>
      <w:bookmarkEnd w:id="156"/>
      <w:bookmarkEnd w:id="157"/>
    </w:p>
    <w:p w14:paraId="34088160" w14:textId="2AB5AD86"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73. The State Revenue Service shall take the decision to revoke the comprehensive guarantee authorisation if:</w:t>
      </w:r>
    </w:p>
    <w:p w14:paraId="45581CB6"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73.1. the holder of the comprehensive guarantee authorisation has failed to comply with the requirements laid down in the decision to suspend the comprehensive guarantee authorisation;</w:t>
      </w:r>
    </w:p>
    <w:p w14:paraId="60524DFA"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73.2. the guarantor has notified of the cancellation of an undertaking by the guarantor in accordance with Sub-paragraph 22.1 of this Regulation;</w:t>
      </w:r>
    </w:p>
    <w:p w14:paraId="5086642F"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73.3. an application for revocation of the comprehensive guarantee authorisation has been received from the holder of the comprehensive guarantee authorisation.</w:t>
      </w:r>
    </w:p>
    <w:p w14:paraId="72A8BC7C"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58" w:name="p74"/>
      <w:bookmarkStart w:id="159" w:name="p-649563"/>
      <w:bookmarkEnd w:id="158"/>
      <w:bookmarkEnd w:id="159"/>
    </w:p>
    <w:p w14:paraId="4EBE3C49" w14:textId="1276CD25"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74. The State Revenue Service shall take the decision to annul the comprehensive guarantee authorisation in accordance with provisions of Article 27 of Regulation No 952/2013.</w:t>
      </w:r>
    </w:p>
    <w:p w14:paraId="0231AECC"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60" w:name="p75"/>
      <w:bookmarkStart w:id="161" w:name="p-649564"/>
      <w:bookmarkEnd w:id="160"/>
      <w:bookmarkEnd w:id="161"/>
    </w:p>
    <w:p w14:paraId="731B94DB" w14:textId="4E53DC2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75. If the State Revenue Service has taken the decision to suspend, restore, revoke or annul the comprehensive guarantee authorisation, it shall inform the guarantor in writing within two working days from the taking of the relevant decision.</w:t>
      </w:r>
    </w:p>
    <w:p w14:paraId="1B8BBDF5"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62" w:name="p76"/>
      <w:bookmarkStart w:id="163" w:name="p-649661"/>
      <w:bookmarkEnd w:id="162"/>
      <w:bookmarkEnd w:id="163"/>
    </w:p>
    <w:p w14:paraId="042A9BAF" w14:textId="470B676E"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 xml:space="preserve">76. In order to request amendments to the comprehensive guarantee authorisation, a holder of the authorisation shall submit to the State Revenue Service an application for the </w:t>
      </w:r>
      <w:r w:rsidRPr="00AB1490">
        <w:rPr>
          <w:rFonts w:ascii="Times New Roman" w:hAnsi="Times New Roman"/>
          <w:sz w:val="24"/>
          <w:szCs w:val="24"/>
        </w:rPr>
        <w:lastRenderedPageBreak/>
        <w:t>comprehensive guarantee regarding the necessary changes in compliance with the requirements laid down in Paragraphs 59 and 61 of this Regulation. The State Revenue Service shall, within 15 days from the receipt of the application, take the decision to make amendments to the comprehensive guarantee authorisation, except for the case where amendments are related to the examination of applications and taking of decisions to reduce an amount of the debt of excise duty in accordance with Sub-chapter 3.4 of this Regulation.</w:t>
      </w:r>
    </w:p>
    <w:p w14:paraId="22D80749"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64" w:name="n3.4"/>
      <w:bookmarkStart w:id="165" w:name="n-649565"/>
      <w:bookmarkEnd w:id="164"/>
      <w:bookmarkEnd w:id="165"/>
    </w:p>
    <w:p w14:paraId="71A34171" w14:textId="5B03260F" w:rsidR="008441D4" w:rsidRPr="00AB1490" w:rsidRDefault="008441D4" w:rsidP="00D8392D">
      <w:pPr>
        <w:spacing w:after="0" w:line="240" w:lineRule="auto"/>
        <w:jc w:val="center"/>
        <w:rPr>
          <w:rFonts w:ascii="Times New Roman" w:eastAsia="Times New Roman" w:hAnsi="Times New Roman" w:cs="Times New Roman"/>
          <w:b/>
          <w:bCs/>
          <w:noProof/>
          <w:sz w:val="24"/>
          <w:szCs w:val="24"/>
        </w:rPr>
      </w:pPr>
      <w:r w:rsidRPr="00AB1490">
        <w:rPr>
          <w:rFonts w:ascii="Times New Roman" w:hAnsi="Times New Roman"/>
          <w:b/>
          <w:bCs/>
          <w:sz w:val="24"/>
          <w:szCs w:val="24"/>
        </w:rPr>
        <w:t>3.4. Reduction of the Amount of the Debt of Excise Duty when Calculating the Reference Amount of the Guarantee</w:t>
      </w:r>
    </w:p>
    <w:p w14:paraId="08C3674B"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66" w:name="p77"/>
      <w:bookmarkStart w:id="167" w:name="p-649566"/>
      <w:bookmarkEnd w:id="166"/>
      <w:bookmarkEnd w:id="167"/>
    </w:p>
    <w:p w14:paraId="1F128716" w14:textId="549C3C55"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77. The State Revenue Service may, by calculating the reference amount of the guarantee, reduce the amount of the debt of excise duty in the following amount:</w:t>
      </w:r>
    </w:p>
    <w:p w14:paraId="24D5145C"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77.1. by 30 %, provided that:</w:t>
      </w:r>
    </w:p>
    <w:p w14:paraId="1D7ADE32"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77.1.1. a person has been registered with the State Revenue Service Value Added Tax Taxable Persons Register for at least three years;</w:t>
      </w:r>
    </w:p>
    <w:p w14:paraId="0DAAF6AA"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77.1.2. a person has had a permit for the operation of a customs warehouse or for the operation of temporary storage facilities for at least five consecutive years, and operation of this permit has not been suspended;</w:t>
      </w:r>
    </w:p>
    <w:p w14:paraId="72C58AB5"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77.1.3. the overall liquidity ratio of a person is not less than 1;</w:t>
      </w:r>
    </w:p>
    <w:p w14:paraId="1F672F60"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77.1.4. the rate of current liabilities of a person does not exceed 0.5;</w:t>
      </w:r>
    </w:p>
    <w:p w14:paraId="549145D3"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77.1.5. the comprehensive guarantee submitted for the receipt of the comprehensive guarantee authorisation amounts to 100 % of the reference amount which is provided for securing a customs warehousing procedure or temporary storage, and it is not less than EUR 200 000;</w:t>
      </w:r>
    </w:p>
    <w:p w14:paraId="64308239"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77.2. by 50 %, provided that:</w:t>
      </w:r>
    </w:p>
    <w:p w14:paraId="3400A4FE"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77.2.1. a person has been registered with the State Revenue Service Value Added Tax Taxable Persons Register for at least three years;</w:t>
      </w:r>
    </w:p>
    <w:p w14:paraId="17C66769"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77.2.2. a person has had a permit for the operation of a customs warehouse or for the operation of temporary storage facilities for at least five consecutive years, and operation of this permit has not been suspended;</w:t>
      </w:r>
    </w:p>
    <w:p w14:paraId="3179F765"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77.2.3. the composition of the board of a person has not changed within a period of one year prior to submission of an application for the reduction of the amount of the debt of excise duty to be secured;</w:t>
      </w:r>
    </w:p>
    <w:p w14:paraId="2F14A5C6"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77.2.4. the overall liquidity ratio of a person is not less than 1;</w:t>
      </w:r>
    </w:p>
    <w:p w14:paraId="46286CBA"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77.2.5. the rate of current liabilities of a person does not exceed 0.5;</w:t>
      </w:r>
    </w:p>
    <w:p w14:paraId="17E00692"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77.2.6. a person has had profit in a taxation period prior to the calculation of the corporate income tax;</w:t>
      </w:r>
    </w:p>
    <w:p w14:paraId="0868D134"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77.2.7. the comprehensive guarantee submitted for the receipt of the comprehensive guarantee authorisation amounts to 100 % of the reference amount which is provided for securing a customs warehousing procedure or temporary storage, and it is not less than EUR 200 000;</w:t>
      </w:r>
    </w:p>
    <w:p w14:paraId="382E7A47" w14:textId="77777777" w:rsidR="008441D4" w:rsidRPr="00AB1490" w:rsidRDefault="008441D4" w:rsidP="00D8392D">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77.3. by 80 %, provided that:</w:t>
      </w:r>
    </w:p>
    <w:p w14:paraId="6A15CD15"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77.3.1. a person has been registered with the State Revenue Service Value Added Tax Taxable Persons Register for at least three years;</w:t>
      </w:r>
    </w:p>
    <w:p w14:paraId="61698FEB"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77.3.2. a person has had a permit for the operation of a customs warehouse or for the operation of temporary storage facilities for at least five consecutive years, and operation of this permit has not been suspended;</w:t>
      </w:r>
    </w:p>
    <w:p w14:paraId="29C31CCA"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77.3.3. the composition of the board and shareholders of a person has not changed within a period of one year prior to submission of an application for the reduction of the amount of the debt of excise duty to be secured;</w:t>
      </w:r>
    </w:p>
    <w:p w14:paraId="3D3432DF"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77.3.4. the overall liquidity ratio of a person is not less than 1;</w:t>
      </w:r>
    </w:p>
    <w:p w14:paraId="1690656A"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77.3.5. the rate of current liabilities of a person does not exceed 0.5;</w:t>
      </w:r>
    </w:p>
    <w:p w14:paraId="3C8F432A"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lastRenderedPageBreak/>
        <w:t>77.3.6. a person has had profit in a taxation period prior to the calculation of the corporate income tax;</w:t>
      </w:r>
    </w:p>
    <w:p w14:paraId="5F1069D0"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77.3.7. the average labour income of employees of a person in the first three quarters of the year over a period of the last four quarters of the year until submission of an application is not less than the average labour income of employees in the relevant economic sector (at the two-digit level of the NACE Rev. 2 classification) in the country in the relevant period;</w:t>
      </w:r>
    </w:p>
    <w:p w14:paraId="13B83C50" w14:textId="77777777" w:rsidR="008441D4" w:rsidRPr="00AB1490" w:rsidRDefault="008441D4" w:rsidP="00D8392D">
      <w:pPr>
        <w:spacing w:after="0" w:line="240" w:lineRule="auto"/>
        <w:ind w:left="709"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77.3.8. the comprehensive guarantee submitted for the receipt of the comprehensive guarantee authorisation amounts to 100 % of the reference amount which is provided for securing a customs warehousing procedure or temporary storage, and it is not less than EUR 200 000.</w:t>
      </w:r>
    </w:p>
    <w:p w14:paraId="41CD573C" w14:textId="77777777" w:rsidR="00D8392D" w:rsidRPr="00AB1490" w:rsidRDefault="00D8392D" w:rsidP="008441D4">
      <w:pPr>
        <w:spacing w:after="0" w:line="240" w:lineRule="auto"/>
        <w:jc w:val="both"/>
        <w:rPr>
          <w:rFonts w:ascii="Times New Roman" w:eastAsia="Times New Roman" w:hAnsi="Times New Roman" w:cs="Times New Roman"/>
          <w:noProof/>
          <w:sz w:val="24"/>
          <w:szCs w:val="24"/>
        </w:rPr>
      </w:pPr>
      <w:bookmarkStart w:id="168" w:name="p78"/>
      <w:bookmarkStart w:id="169" w:name="p-649567"/>
      <w:bookmarkEnd w:id="168"/>
      <w:bookmarkEnd w:id="169"/>
    </w:p>
    <w:p w14:paraId="1DEE842F" w14:textId="38AF8D52"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78. In order to request reduction of the amount of the debt of excise duty referred to in Paragraph 77 of this Regulation when calculating the reference amount of the guarantee, a person shall, in addition to the application for the comprehensive guarantee, submit to the State Revenue Service an application for reduction of the amount of the debt of excise duty to be included in the reference amount of the guarantee (hereinafter – the application for the reduction of debt). The application for the reduction of debt shall be accompanied by a calculation of the reference amount of the guarantee which is made in accordance with Paragraph 58 of this Regulation and identifies a calculation of the amount of the debt of excise duty separately. If the application for the reduction of debt which meets the conditions referred to in this Paragraph is not submitted concurrently with the application for the comprehensive guarantee, it may be submitted during operation of the comprehensive guarantee authorisation.</w:t>
      </w:r>
    </w:p>
    <w:p w14:paraId="2896A976"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170" w:name="p79"/>
      <w:bookmarkStart w:id="171" w:name="p-649568"/>
      <w:bookmarkEnd w:id="170"/>
      <w:bookmarkEnd w:id="171"/>
    </w:p>
    <w:p w14:paraId="6251BE9D" w14:textId="343D23E4"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79. The State Revenue Service shall take the decision to reduce the amount of the debt of excise duty not later than within 60 days after receipt of the application for the reduction of the debt referred to in Paragraph 78 of this Regulation.</w:t>
      </w:r>
    </w:p>
    <w:p w14:paraId="2B79A1B5"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172" w:name="p80"/>
      <w:bookmarkStart w:id="173" w:name="p-649569"/>
      <w:bookmarkEnd w:id="172"/>
      <w:bookmarkEnd w:id="173"/>
    </w:p>
    <w:p w14:paraId="750A6812" w14:textId="36EFE038"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80. A validity period of the decision to reduce the amount of the debt of excise duty shall conform to the validity period of the comprehensive guarantee referred to in Sub-paragraphs 77.1.5, 77.2.7, and 77.3.8 of this Regulation but may not exceed one year.</w:t>
      </w:r>
    </w:p>
    <w:p w14:paraId="7118E3A2"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174" w:name="p81"/>
      <w:bookmarkStart w:id="175" w:name="p-649570"/>
      <w:bookmarkEnd w:id="174"/>
      <w:bookmarkEnd w:id="175"/>
    </w:p>
    <w:p w14:paraId="2B476EFB" w14:textId="743D5CAA"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81. The State Revenue Service shall not review the decision referred to in Paragraph 80 of this Regulation in order to determine reduction of the amount of the debt of excise duty in another amount, and it is not entitled to determine reduction of the amount of the debt of excise duty in another amount during validity period of this decision other than that determined initially.</w:t>
      </w:r>
    </w:p>
    <w:p w14:paraId="0A2AE67E"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176" w:name="p82"/>
      <w:bookmarkStart w:id="177" w:name="p-649571"/>
      <w:bookmarkEnd w:id="176"/>
      <w:bookmarkEnd w:id="177"/>
    </w:p>
    <w:p w14:paraId="6E795126" w14:textId="62E1C40C"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82. The State Revenue Service shall revoke the decision to reduce the amount of the debt of excise duty if a holder of the comprehensive guarantee authorisation fails to meet the conditions referred to in Paragraph 77 of this Regulation. The revoked decision to reduce the amount of the debt of excise duty shall not be restored.</w:t>
      </w:r>
    </w:p>
    <w:p w14:paraId="64BA5BFC"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178" w:name="p83"/>
      <w:bookmarkStart w:id="179" w:name="p-649572"/>
      <w:bookmarkEnd w:id="178"/>
      <w:bookmarkEnd w:id="179"/>
    </w:p>
    <w:p w14:paraId="3F2B00F6" w14:textId="2AD912FE"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83. In order to apply for the reduction of the amount of the debt of excise duty referred to in Paragraph 77 of this Regulation when calculating the reference amount of the guarantee after revocation of the decision or for the following time period, a person shall re-submit an application for the reduction of debt and comply with the requirements laid down in Paragraph 77 of this Regulation.</w:t>
      </w:r>
    </w:p>
    <w:p w14:paraId="1204EFDA"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180" w:name="n3.5"/>
      <w:bookmarkStart w:id="181" w:name="n-649573"/>
      <w:bookmarkEnd w:id="180"/>
      <w:bookmarkEnd w:id="181"/>
    </w:p>
    <w:p w14:paraId="6FD0B568" w14:textId="5C67B7D9" w:rsidR="008441D4" w:rsidRPr="00AB1490" w:rsidRDefault="008441D4" w:rsidP="00D62F9C">
      <w:pPr>
        <w:spacing w:after="0" w:line="240" w:lineRule="auto"/>
        <w:jc w:val="center"/>
        <w:rPr>
          <w:rFonts w:ascii="Times New Roman" w:eastAsia="Times New Roman" w:hAnsi="Times New Roman" w:cs="Times New Roman"/>
          <w:b/>
          <w:bCs/>
          <w:noProof/>
          <w:sz w:val="24"/>
          <w:szCs w:val="24"/>
        </w:rPr>
      </w:pPr>
      <w:r w:rsidRPr="00AB1490">
        <w:rPr>
          <w:rFonts w:ascii="Times New Roman" w:hAnsi="Times New Roman"/>
          <w:b/>
          <w:bCs/>
          <w:sz w:val="24"/>
          <w:szCs w:val="24"/>
        </w:rPr>
        <w:t>3.5. Assumption of an Undertaking by the Guarantor</w:t>
      </w:r>
    </w:p>
    <w:p w14:paraId="5515E08E"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182" w:name="p84"/>
      <w:bookmarkStart w:id="183" w:name="p-649574"/>
      <w:bookmarkEnd w:id="182"/>
      <w:bookmarkEnd w:id="183"/>
    </w:p>
    <w:p w14:paraId="34CC4108" w14:textId="627246E0"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84. The guarantors referred to in Sub-paragraph 19.1 of this Regulation have the right to assume an undertaking by another guarantor – the comprehensive guarantee.</w:t>
      </w:r>
    </w:p>
    <w:p w14:paraId="1F573D58"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184" w:name="p85"/>
      <w:bookmarkStart w:id="185" w:name="p-649575"/>
      <w:bookmarkEnd w:id="184"/>
      <w:bookmarkEnd w:id="185"/>
    </w:p>
    <w:p w14:paraId="1AE79943" w14:textId="435497FA"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85. If another guarantor assumes an undertaking by the guarantor – the comprehensive guarantee – approved previously in accordance with Article 151(1) of Regulation No 2015/2447, a holder of the comprehensive guarantee authorisation shall submit to the State Revenue Service the following documents:</w:t>
      </w:r>
    </w:p>
    <w:p w14:paraId="41EF7283" w14:textId="77777777" w:rsidR="008441D4" w:rsidRPr="00AB1490" w:rsidRDefault="008441D4" w:rsidP="00D62F9C">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85.1. an application;</w:t>
      </w:r>
    </w:p>
    <w:p w14:paraId="1A08D6E5" w14:textId="77777777" w:rsidR="008441D4" w:rsidRPr="00AB1490" w:rsidRDefault="008441D4" w:rsidP="00D62F9C">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85.2. a comprehensive guarantee provided by another guarantor which has been given under the conditions referred to in Sub-paragraph 59.2 of this Regulation and corresponds to all purposes and reference amounts thereof according to the undertaking by the guarantor approved previously;</w:t>
      </w:r>
    </w:p>
    <w:p w14:paraId="6028D7B8" w14:textId="77777777" w:rsidR="008441D4" w:rsidRPr="00AB1490" w:rsidRDefault="008441D4" w:rsidP="00D62F9C">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85.3. a confirmation regarding assumption of an undertaking by the guarantor signed by the guarantor who assumes the undertaking by another guarantor approved previously.</w:t>
      </w:r>
    </w:p>
    <w:p w14:paraId="6DBD4451"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186" w:name="p86"/>
      <w:bookmarkStart w:id="187" w:name="p-649576"/>
      <w:bookmarkEnd w:id="186"/>
      <w:bookmarkEnd w:id="187"/>
    </w:p>
    <w:p w14:paraId="19E8A774" w14:textId="4C8D8F3F"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86. In order to approve an undertaking by a guarantor which is assumed by another guarantor instead of the guarantor approved previously, the State Revenue Service shall:</w:t>
      </w:r>
    </w:p>
    <w:p w14:paraId="0D6CDF6A" w14:textId="77777777" w:rsidR="008441D4" w:rsidRPr="00AB1490" w:rsidRDefault="008441D4" w:rsidP="00D62F9C">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86.1. take the decision regarding assumption of the undertaking by the guarantor;</w:t>
      </w:r>
    </w:p>
    <w:p w14:paraId="24C3A9EB" w14:textId="77777777" w:rsidR="008441D4" w:rsidRPr="00AB1490" w:rsidRDefault="008441D4" w:rsidP="00D62F9C">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86.2. within 10 working days from the day of taking of the decision referred to in Sub-paragraph 86.1 of this Regulation, notify the previous guarantor of release from the guarantee provided by it previously.</w:t>
      </w:r>
    </w:p>
    <w:p w14:paraId="57065653"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188" w:name="n4"/>
      <w:bookmarkStart w:id="189" w:name="n-649577"/>
      <w:bookmarkEnd w:id="188"/>
      <w:bookmarkEnd w:id="189"/>
    </w:p>
    <w:p w14:paraId="015A6FFF" w14:textId="46EB96D5" w:rsidR="008441D4" w:rsidRPr="00AB1490" w:rsidRDefault="008441D4" w:rsidP="00D62F9C">
      <w:pPr>
        <w:spacing w:after="0" w:line="240" w:lineRule="auto"/>
        <w:jc w:val="center"/>
        <w:rPr>
          <w:rFonts w:ascii="Times New Roman" w:eastAsia="Times New Roman" w:hAnsi="Times New Roman" w:cs="Times New Roman"/>
          <w:b/>
          <w:bCs/>
          <w:noProof/>
          <w:sz w:val="24"/>
          <w:szCs w:val="24"/>
        </w:rPr>
      </w:pPr>
      <w:r w:rsidRPr="00AB1490">
        <w:rPr>
          <w:rFonts w:ascii="Times New Roman" w:hAnsi="Times New Roman"/>
          <w:b/>
          <w:bCs/>
          <w:sz w:val="24"/>
          <w:szCs w:val="24"/>
        </w:rPr>
        <w:t>4. Guarantee Records</w:t>
      </w:r>
    </w:p>
    <w:p w14:paraId="604B25F6"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190" w:name="p87"/>
      <w:bookmarkStart w:id="191" w:name="p-649578"/>
      <w:bookmarkEnd w:id="190"/>
      <w:bookmarkEnd w:id="191"/>
    </w:p>
    <w:p w14:paraId="05873207" w14:textId="292A8C0A"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87. A holder of the comprehensive guarantee authorisation shall register each case when a guarantee is used to secure the debt of customs charges which may be incurred (except for the cases where it is used to secure a customs procedure – transit).</w:t>
      </w:r>
    </w:p>
    <w:p w14:paraId="0EB33E84"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192" w:name="p88"/>
      <w:bookmarkStart w:id="193" w:name="p-649579"/>
      <w:bookmarkEnd w:id="192"/>
      <w:bookmarkEnd w:id="193"/>
    </w:p>
    <w:p w14:paraId="2E96E65A" w14:textId="3DFC2F66"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88. A holder of the comprehensive guarantee authorisation shall, upon request of the State Revenue Service, provide all information regarding each case where a guarantee is used, and also regarding the fact whether the secured debt of customs charges which has incurred and the debt of customs charges which may be incurred correspond to the amount of the guarantee.</w:t>
      </w:r>
    </w:p>
    <w:p w14:paraId="67D08019"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194" w:name="p89"/>
      <w:bookmarkStart w:id="195" w:name="p-649580"/>
      <w:bookmarkEnd w:id="194"/>
      <w:bookmarkEnd w:id="195"/>
    </w:p>
    <w:p w14:paraId="6E0FC552" w14:textId="0D71F4FF"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89. A holder of the comprehensive guarantee authorisation shall inform the State Revenue Service of any change in the breakdown of the reference amount of the comprehensive guarantee or guarantee waiver between the customs procedures or temporary storage.</w:t>
      </w:r>
    </w:p>
    <w:p w14:paraId="5CB33117"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196" w:name="n5"/>
      <w:bookmarkStart w:id="197" w:name="n-649581"/>
      <w:bookmarkEnd w:id="196"/>
      <w:bookmarkEnd w:id="197"/>
    </w:p>
    <w:p w14:paraId="6E11C54C" w14:textId="44CF3864" w:rsidR="008441D4" w:rsidRPr="00AB1490" w:rsidRDefault="008441D4" w:rsidP="00D62F9C">
      <w:pPr>
        <w:spacing w:after="0" w:line="240" w:lineRule="auto"/>
        <w:jc w:val="center"/>
        <w:rPr>
          <w:rFonts w:ascii="Times New Roman" w:eastAsia="Times New Roman" w:hAnsi="Times New Roman" w:cs="Times New Roman"/>
          <w:b/>
          <w:bCs/>
          <w:noProof/>
          <w:sz w:val="24"/>
          <w:szCs w:val="24"/>
        </w:rPr>
      </w:pPr>
      <w:r w:rsidRPr="00AB1490">
        <w:rPr>
          <w:rFonts w:ascii="Times New Roman" w:hAnsi="Times New Roman"/>
          <w:b/>
          <w:bCs/>
          <w:sz w:val="24"/>
          <w:szCs w:val="24"/>
        </w:rPr>
        <w:t>5. Administration of the Customs Charges Transferred in Advance into the Account of the Deposited Financial Resources</w:t>
      </w:r>
    </w:p>
    <w:p w14:paraId="7D68AD5E"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198" w:name="p90"/>
      <w:bookmarkStart w:id="199" w:name="p-649582"/>
      <w:bookmarkEnd w:id="198"/>
      <w:bookmarkEnd w:id="199"/>
    </w:p>
    <w:p w14:paraId="3ACAE96C" w14:textId="616F143F"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90. The State Revenue Service shall grant a person the status of an advance payer on the basis of information indicated in the application of the person for the use of advance payments transferred into the account of the deposited financial resources to cover the debt of customs charges (given name, surname, personal identity number, and electronic mail address of the person who will be granted users’ rights to use the electronic database of the State Revenue Service).</w:t>
      </w:r>
    </w:p>
    <w:p w14:paraId="4B911C45"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200" w:name="p91"/>
      <w:bookmarkStart w:id="201" w:name="p-649583"/>
      <w:bookmarkEnd w:id="200"/>
      <w:bookmarkEnd w:id="201"/>
    </w:p>
    <w:p w14:paraId="1569B4F8" w14:textId="33CFF259"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91. After using advance payments to cover the debt of customs charges calculated in a customs declaration, the State Revenue Service shall credit the advance payments paid into the account of the deposited financial resources to revenue accounts of the State budget.</w:t>
      </w:r>
    </w:p>
    <w:p w14:paraId="3D9C2A5C"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202" w:name="p92"/>
      <w:bookmarkStart w:id="203" w:name="p-649584"/>
      <w:bookmarkEnd w:id="202"/>
      <w:bookmarkEnd w:id="203"/>
    </w:p>
    <w:p w14:paraId="135054AE" w14:textId="18F6580A"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 xml:space="preserve">92. If a customs declaration is declared invalid, an advance payment used to cover the debt of customs charges calculated in the customs declaration which has been declared invalid shall </w:t>
      </w:r>
      <w:r w:rsidRPr="00AB1490">
        <w:rPr>
          <w:rFonts w:ascii="Times New Roman" w:hAnsi="Times New Roman"/>
          <w:sz w:val="24"/>
          <w:szCs w:val="24"/>
        </w:rPr>
        <w:lastRenderedPageBreak/>
        <w:t>further be used as an advance payment to cover the debt of customs charges calculated in the next customs declarations.</w:t>
      </w:r>
    </w:p>
    <w:p w14:paraId="6869EEF3"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204" w:name="p93"/>
      <w:bookmarkStart w:id="205" w:name="p-649585"/>
      <w:bookmarkEnd w:id="204"/>
      <w:bookmarkEnd w:id="205"/>
    </w:p>
    <w:p w14:paraId="0BCD4EBC" w14:textId="2B11E423"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93. The State Revenue Service shall, within 15 days from receipt of an application from a person for the repayment of a payment accumulated in the account of the deposited financial resources or for the directing thereof to cover other tax charges, repay to the person the payments accumulated in the account of the deposited financial resources by transferring them to a current account specified in the application or divert them to cover the tax charges specified by the person respectively.</w:t>
      </w:r>
    </w:p>
    <w:p w14:paraId="11635ADF"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206" w:name="p94"/>
      <w:bookmarkStart w:id="207" w:name="p-649586"/>
      <w:bookmarkEnd w:id="206"/>
      <w:bookmarkEnd w:id="207"/>
    </w:p>
    <w:p w14:paraId="5E524CA0" w14:textId="4300D11F"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94. The State Revenue Service shall, in accordance with the procedures laid down in the law On Taxes and Duties, notify its decision to register a person as an advance payer, to repay or not to repay the accumulated payment, and to direct or not to direct the accumulated payment.</w:t>
      </w:r>
    </w:p>
    <w:p w14:paraId="79D67C6F"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208" w:name="n6"/>
      <w:bookmarkStart w:id="209" w:name="n-649587"/>
      <w:bookmarkEnd w:id="208"/>
      <w:bookmarkEnd w:id="209"/>
    </w:p>
    <w:p w14:paraId="16527729" w14:textId="2BA1D0DD" w:rsidR="008441D4" w:rsidRPr="00AB1490" w:rsidRDefault="008441D4" w:rsidP="00D62F9C">
      <w:pPr>
        <w:spacing w:after="0" w:line="240" w:lineRule="auto"/>
        <w:jc w:val="center"/>
        <w:rPr>
          <w:rFonts w:ascii="Times New Roman" w:eastAsia="Times New Roman" w:hAnsi="Times New Roman" w:cs="Times New Roman"/>
          <w:b/>
          <w:bCs/>
          <w:noProof/>
          <w:sz w:val="24"/>
          <w:szCs w:val="24"/>
        </w:rPr>
      </w:pPr>
      <w:r w:rsidRPr="00AB1490">
        <w:rPr>
          <w:rFonts w:ascii="Times New Roman" w:hAnsi="Times New Roman"/>
          <w:b/>
          <w:bCs/>
          <w:sz w:val="24"/>
          <w:szCs w:val="24"/>
        </w:rPr>
        <w:t>6. Closing Provisions</w:t>
      </w:r>
    </w:p>
    <w:p w14:paraId="5EBC8734"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210" w:name="p95"/>
      <w:bookmarkStart w:id="211" w:name="p-649588"/>
      <w:bookmarkEnd w:id="210"/>
      <w:bookmarkEnd w:id="211"/>
    </w:p>
    <w:p w14:paraId="74B21BFC" w14:textId="34709979"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95. The comprehensive guarantee authorisations issued until 30 April 2016 and not re-registered until the day of coming into force of this Regulation shall be valid until expiry of the validity period indicated therein but not longer than until 1 May 2019.</w:t>
      </w:r>
    </w:p>
    <w:p w14:paraId="4FC7E70A"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212" w:name="p96"/>
      <w:bookmarkStart w:id="213" w:name="p-649589"/>
      <w:bookmarkEnd w:id="212"/>
      <w:bookmarkEnd w:id="213"/>
    </w:p>
    <w:p w14:paraId="6FE8864F" w14:textId="019BC45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96. The status of guarantor obtained until the day of coming into force of this Regulation shall remain valid. Starting from the day of coming into force of this Regulation, this Regulation shall be applicable to the status of guarantor.</w:t>
      </w:r>
    </w:p>
    <w:p w14:paraId="259CF57B"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214" w:name="p97"/>
      <w:bookmarkStart w:id="215" w:name="p-649590"/>
      <w:bookmarkEnd w:id="214"/>
      <w:bookmarkEnd w:id="215"/>
    </w:p>
    <w:p w14:paraId="467576F7" w14:textId="42F755A2"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97. Paragraphs 12 and 13, Sub-paragraphs 14.1, 14.2, 15.1, 15.2, and 15.3 of this Regulation shall come into force on 4 June 2018.</w:t>
      </w:r>
    </w:p>
    <w:p w14:paraId="499421AB"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216" w:name="p98"/>
      <w:bookmarkStart w:id="217" w:name="p-649591"/>
      <w:bookmarkEnd w:id="216"/>
      <w:bookmarkEnd w:id="217"/>
    </w:p>
    <w:p w14:paraId="2361BBB9" w14:textId="11822A0E"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98. The condition referred to in Paragraphs 26 and 28 of this Regulation with regard to the time limit for the notification of the debt of customs charges shall not be applicable to the requirements to pay the debt of customs charges which the State Revenue Service sends to the guarantors until 30 September 2018.</w:t>
      </w:r>
    </w:p>
    <w:p w14:paraId="6F67C60E"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218" w:name="p99"/>
      <w:bookmarkStart w:id="219" w:name="p-649592"/>
      <w:bookmarkEnd w:id="218"/>
      <w:bookmarkEnd w:id="219"/>
    </w:p>
    <w:p w14:paraId="776B6173" w14:textId="52DC7B01"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99. Section 53 of this Regulation shall be applicable until re-registration of customs authorisations in accordance with Articles 250 and 251 of Regulation No 2015/2446 and Article 345 of Regulation No 2015/2447 (i.e. until 1 May 2019):</w:t>
      </w:r>
    </w:p>
    <w:p w14:paraId="6D867049" w14:textId="77777777" w:rsidR="008441D4" w:rsidRPr="00AB1490" w:rsidRDefault="008441D4" w:rsidP="00D62F9C">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99.1. when applying customs procedures for the application of which an authorisation should be obtained in accordance with Article 211 of Regulation No 952/2013;</w:t>
      </w:r>
    </w:p>
    <w:p w14:paraId="598E95EE" w14:textId="77777777" w:rsidR="008441D4" w:rsidRPr="00AB1490" w:rsidRDefault="008441D4" w:rsidP="00D62F9C">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99.2. when applying temporary storage for the application of which an authorisation should be obtained in accordance with Article 148 of Regulation No 952/2013.</w:t>
      </w:r>
    </w:p>
    <w:p w14:paraId="0F2594AF"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220" w:name="p100"/>
      <w:bookmarkStart w:id="221" w:name="p-649593"/>
      <w:bookmarkEnd w:id="220"/>
      <w:bookmarkEnd w:id="221"/>
    </w:p>
    <w:p w14:paraId="4E1ABD94" w14:textId="1BDD2D75"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100. Paragraph 76 of this Regulation shall be applicable to the comprehensive guarantee authorisations for the request of which applications for the comprehensive guarantee have been submitted after 2 October 2017 and which are registered in the Customs Decisions System.</w:t>
      </w:r>
    </w:p>
    <w:p w14:paraId="4E7F2D63"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222" w:name="p101"/>
      <w:bookmarkStart w:id="223" w:name="p-649594"/>
      <w:bookmarkEnd w:id="222"/>
      <w:bookmarkEnd w:id="223"/>
    </w:p>
    <w:p w14:paraId="72E7A2BD" w14:textId="2FC5B360"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101. In order to request amendments to the comprehensive guarantee authorisation which has been issued before 2 October 2017, a holder of the relevant authorisation shall submit to the State Revenue Service an application by indicating information regarding the necessary changes and appending the following, if necessary:</w:t>
      </w:r>
    </w:p>
    <w:p w14:paraId="3B5B33E8" w14:textId="77777777" w:rsidR="008441D4" w:rsidRPr="00AB1490" w:rsidRDefault="008441D4" w:rsidP="00D62F9C">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101.1. the calculation of the reference amount of the guarantee in accordance with the conditions of Article 155(4) of Regulation No 2015/2447;</w:t>
      </w:r>
    </w:p>
    <w:p w14:paraId="34E31FE0" w14:textId="77777777" w:rsidR="008441D4" w:rsidRPr="00AB1490" w:rsidRDefault="008441D4" w:rsidP="00D62F9C">
      <w:pPr>
        <w:spacing w:after="0" w:line="240" w:lineRule="auto"/>
        <w:ind w:firstLine="709"/>
        <w:jc w:val="both"/>
        <w:rPr>
          <w:rFonts w:ascii="Times New Roman" w:eastAsia="Times New Roman" w:hAnsi="Times New Roman" w:cs="Times New Roman"/>
          <w:noProof/>
          <w:sz w:val="24"/>
          <w:szCs w:val="24"/>
        </w:rPr>
      </w:pPr>
      <w:r w:rsidRPr="00AB1490">
        <w:rPr>
          <w:rFonts w:ascii="Times New Roman" w:hAnsi="Times New Roman"/>
          <w:sz w:val="24"/>
          <w:szCs w:val="24"/>
        </w:rPr>
        <w:t>101.2. the comprehensive guarantee.</w:t>
      </w:r>
    </w:p>
    <w:p w14:paraId="050CE4CE"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224" w:name="p102"/>
      <w:bookmarkStart w:id="225" w:name="p-649595"/>
      <w:bookmarkEnd w:id="224"/>
      <w:bookmarkEnd w:id="225"/>
    </w:p>
    <w:p w14:paraId="084AB0FD" w14:textId="59ED70CA"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lastRenderedPageBreak/>
        <w:t>102. The State Revenue Service shall take the decision to make amendments to the comprehensive guarantee authorisation which have been requested in accordance with Paragraph 101 of this Regulation.</w:t>
      </w:r>
    </w:p>
    <w:p w14:paraId="099E7624"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226" w:name="p103"/>
      <w:bookmarkStart w:id="227" w:name="p-649596"/>
      <w:bookmarkEnd w:id="226"/>
      <w:bookmarkEnd w:id="227"/>
    </w:p>
    <w:p w14:paraId="3474A0DE" w14:textId="5AB26A22"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103. Applications for the comprehensive guarantee which have been submitted before 2 October 2017 but the examination of which has not been completed and a decision has not been taken until the day of coming into force of this Regulation shall not be registered in the Customs Decisions System.</w:t>
      </w:r>
    </w:p>
    <w:p w14:paraId="37BBB581"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228" w:name="p104"/>
      <w:bookmarkStart w:id="229" w:name="p-649597"/>
      <w:bookmarkEnd w:id="228"/>
      <w:bookmarkEnd w:id="229"/>
    </w:p>
    <w:p w14:paraId="794C3F02" w14:textId="1F270A1D"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104. The comprehensive guarantee authorisations which have been issued prior to the day of coming into force of this Regulation or in accordance with Paragraph 103 of this Regulation and the validity period of which expires after 1 May 2019 or which are of unlimited duration shall be registered by the State Revenue Service in the Customs Decisions Systems by 1 May 2019. Holders of the comprehensive guarantee authorisations referred to in this Paragraph shall, upon request of the State Revenue Service, provide information which is necessary for registration in the Customs Decisions System.</w:t>
      </w:r>
    </w:p>
    <w:p w14:paraId="1E66C14C"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rPr>
      </w:pPr>
      <w:bookmarkStart w:id="230" w:name="p105"/>
      <w:bookmarkStart w:id="231" w:name="p-649598"/>
      <w:bookmarkEnd w:id="230"/>
      <w:bookmarkEnd w:id="231"/>
    </w:p>
    <w:p w14:paraId="7D1A322C" w14:textId="372EEDD4"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105. Sub-chapter 3.5 “Assumption of an Undertaking by the Guarantor” of this Regulation with regard to the comprehensive guarantees that may be used in more than one European Union Member State entered into effect in accordance with Article 147(2) of Regulation No 2015/2447.</w:t>
      </w:r>
    </w:p>
    <w:p w14:paraId="4444B50C"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lang w:eastAsia="lv-LV"/>
        </w:rPr>
      </w:pPr>
    </w:p>
    <w:p w14:paraId="7A3385FB"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lang w:eastAsia="lv-LV"/>
        </w:rPr>
      </w:pPr>
    </w:p>
    <w:p w14:paraId="4B2D2EED" w14:textId="0AF7558B"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Prime Minister, Acting for the Minister for Health</w:t>
      </w:r>
      <w:r w:rsidR="008001A3" w:rsidRPr="00AB1490">
        <w:rPr>
          <w:rFonts w:ascii="Times New Roman" w:hAnsi="Times New Roman"/>
          <w:sz w:val="24"/>
          <w:szCs w:val="24"/>
        </w:rPr>
        <w:tab/>
      </w:r>
      <w:r w:rsidR="008001A3" w:rsidRPr="00AB1490">
        <w:rPr>
          <w:rFonts w:ascii="Times New Roman" w:hAnsi="Times New Roman"/>
          <w:sz w:val="24"/>
          <w:szCs w:val="24"/>
        </w:rPr>
        <w:tab/>
      </w:r>
      <w:r w:rsidR="008001A3" w:rsidRPr="00AB1490">
        <w:rPr>
          <w:rFonts w:ascii="Times New Roman" w:hAnsi="Times New Roman"/>
          <w:sz w:val="24"/>
          <w:szCs w:val="24"/>
        </w:rPr>
        <w:tab/>
      </w:r>
      <w:r w:rsidRPr="00AB1490">
        <w:rPr>
          <w:rFonts w:ascii="Times New Roman" w:hAnsi="Times New Roman"/>
          <w:sz w:val="24"/>
          <w:szCs w:val="24"/>
        </w:rPr>
        <w:t>Māris Kučinskis</w:t>
      </w:r>
    </w:p>
    <w:p w14:paraId="5DC32710" w14:textId="77777777" w:rsidR="008441D4" w:rsidRPr="00AB1490" w:rsidRDefault="008441D4" w:rsidP="008441D4">
      <w:pPr>
        <w:spacing w:after="0" w:line="240" w:lineRule="auto"/>
        <w:jc w:val="both"/>
        <w:rPr>
          <w:rFonts w:ascii="Times New Roman" w:eastAsia="Times New Roman" w:hAnsi="Times New Roman" w:cs="Times New Roman"/>
          <w:noProof/>
          <w:sz w:val="24"/>
          <w:szCs w:val="24"/>
          <w:lang w:eastAsia="lv-LV"/>
        </w:rPr>
      </w:pPr>
    </w:p>
    <w:p w14:paraId="7103CB53" w14:textId="2D680793"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Minister for Finance</w:t>
      </w:r>
      <w:r w:rsidR="008001A3" w:rsidRPr="00AB1490">
        <w:rPr>
          <w:rFonts w:ascii="Times New Roman" w:hAnsi="Times New Roman"/>
          <w:sz w:val="24"/>
          <w:szCs w:val="24"/>
        </w:rPr>
        <w:tab/>
      </w:r>
      <w:r w:rsidR="008001A3" w:rsidRPr="00AB1490">
        <w:rPr>
          <w:rFonts w:ascii="Times New Roman" w:hAnsi="Times New Roman"/>
          <w:sz w:val="24"/>
          <w:szCs w:val="24"/>
        </w:rPr>
        <w:tab/>
      </w:r>
      <w:r w:rsidR="008001A3" w:rsidRPr="00AB1490">
        <w:rPr>
          <w:rFonts w:ascii="Times New Roman" w:hAnsi="Times New Roman"/>
          <w:sz w:val="24"/>
          <w:szCs w:val="24"/>
        </w:rPr>
        <w:tab/>
      </w:r>
      <w:r w:rsidR="008001A3" w:rsidRPr="00AB1490">
        <w:rPr>
          <w:rFonts w:ascii="Times New Roman" w:hAnsi="Times New Roman"/>
          <w:sz w:val="24"/>
          <w:szCs w:val="24"/>
        </w:rPr>
        <w:tab/>
      </w:r>
      <w:r w:rsidR="008001A3" w:rsidRPr="00AB1490">
        <w:rPr>
          <w:rFonts w:ascii="Times New Roman" w:hAnsi="Times New Roman"/>
          <w:sz w:val="24"/>
          <w:szCs w:val="24"/>
        </w:rPr>
        <w:tab/>
      </w:r>
      <w:r w:rsidR="008001A3" w:rsidRPr="00AB1490">
        <w:rPr>
          <w:rFonts w:ascii="Times New Roman" w:hAnsi="Times New Roman"/>
          <w:sz w:val="24"/>
          <w:szCs w:val="24"/>
        </w:rPr>
        <w:tab/>
      </w:r>
      <w:r w:rsidR="008001A3" w:rsidRPr="00AB1490">
        <w:rPr>
          <w:rFonts w:ascii="Times New Roman" w:hAnsi="Times New Roman"/>
          <w:sz w:val="24"/>
          <w:szCs w:val="24"/>
        </w:rPr>
        <w:tab/>
      </w:r>
      <w:r w:rsidRPr="00AB1490">
        <w:rPr>
          <w:rFonts w:ascii="Times New Roman" w:hAnsi="Times New Roman"/>
          <w:sz w:val="24"/>
          <w:szCs w:val="24"/>
        </w:rPr>
        <w:t>Dana Reizniece-Ozola</w:t>
      </w:r>
    </w:p>
    <w:p w14:paraId="25A147AF"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lang w:eastAsia="lv-LV"/>
        </w:rPr>
      </w:pPr>
    </w:p>
    <w:p w14:paraId="579A434E"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lang w:eastAsia="lv-LV"/>
        </w:rPr>
      </w:pPr>
    </w:p>
    <w:p w14:paraId="40E9C331" w14:textId="77777777" w:rsidR="00D62F9C" w:rsidRPr="00AB1490" w:rsidRDefault="00D62F9C">
      <w:pPr>
        <w:rPr>
          <w:rFonts w:ascii="Times New Roman" w:eastAsia="Times New Roman" w:hAnsi="Times New Roman" w:cs="Times New Roman"/>
          <w:noProof/>
          <w:sz w:val="24"/>
          <w:szCs w:val="24"/>
        </w:rPr>
      </w:pPr>
      <w:r w:rsidRPr="00AB1490">
        <w:br w:type="page"/>
      </w:r>
    </w:p>
    <w:p w14:paraId="793F98E3" w14:textId="77777777" w:rsidR="00D62F9C" w:rsidRPr="00AB1490" w:rsidRDefault="00D62F9C" w:rsidP="008441D4">
      <w:pPr>
        <w:spacing w:after="0" w:line="240" w:lineRule="auto"/>
        <w:jc w:val="both"/>
        <w:rPr>
          <w:rFonts w:ascii="Times New Roman" w:eastAsia="Times New Roman" w:hAnsi="Times New Roman" w:cs="Times New Roman"/>
          <w:noProof/>
          <w:sz w:val="24"/>
          <w:szCs w:val="24"/>
          <w:lang w:eastAsia="lv-LV"/>
        </w:rPr>
      </w:pPr>
    </w:p>
    <w:p w14:paraId="01FC6D14" w14:textId="62F201E5" w:rsidR="008441D4" w:rsidRPr="00AB1490" w:rsidRDefault="008441D4" w:rsidP="005E3390">
      <w:pPr>
        <w:spacing w:after="0" w:line="240" w:lineRule="auto"/>
        <w:jc w:val="right"/>
        <w:rPr>
          <w:rFonts w:ascii="Times New Roman" w:eastAsia="Times New Roman" w:hAnsi="Times New Roman" w:cs="Times New Roman"/>
          <w:b/>
          <w:bCs/>
          <w:noProof/>
          <w:sz w:val="24"/>
          <w:szCs w:val="24"/>
        </w:rPr>
      </w:pPr>
      <w:r w:rsidRPr="00AB1490">
        <w:rPr>
          <w:rFonts w:ascii="Times New Roman" w:hAnsi="Times New Roman"/>
          <w:b/>
          <w:bCs/>
          <w:sz w:val="24"/>
          <w:szCs w:val="24"/>
        </w:rPr>
        <w:t>Annex 1</w:t>
      </w:r>
    </w:p>
    <w:p w14:paraId="41BB4729" w14:textId="4EC4DB24" w:rsidR="008441D4" w:rsidRPr="00AB1490" w:rsidRDefault="008441D4" w:rsidP="005E3390">
      <w:pPr>
        <w:spacing w:after="0" w:line="240" w:lineRule="auto"/>
        <w:jc w:val="right"/>
        <w:rPr>
          <w:rFonts w:ascii="Times New Roman" w:eastAsia="Times New Roman" w:hAnsi="Times New Roman" w:cs="Times New Roman"/>
          <w:noProof/>
          <w:sz w:val="24"/>
          <w:szCs w:val="24"/>
        </w:rPr>
      </w:pPr>
      <w:r w:rsidRPr="00AB1490">
        <w:rPr>
          <w:rFonts w:ascii="Times New Roman" w:hAnsi="Times New Roman"/>
          <w:sz w:val="24"/>
          <w:szCs w:val="24"/>
        </w:rPr>
        <w:t>Cabinet</w:t>
      </w:r>
      <w:r w:rsidR="008B656E" w:rsidRPr="00AB1490">
        <w:rPr>
          <w:rFonts w:ascii="Times New Roman" w:hAnsi="Times New Roman"/>
          <w:sz w:val="24"/>
          <w:szCs w:val="24"/>
        </w:rPr>
        <w:t xml:space="preserve"> </w:t>
      </w:r>
      <w:r w:rsidRPr="00AB1490">
        <w:rPr>
          <w:rFonts w:ascii="Times New Roman" w:hAnsi="Times New Roman"/>
          <w:sz w:val="24"/>
          <w:szCs w:val="24"/>
        </w:rPr>
        <w:t>Regulation No. 86</w:t>
      </w:r>
    </w:p>
    <w:p w14:paraId="399C2D68" w14:textId="67AFF990" w:rsidR="008441D4" w:rsidRPr="00AB1490" w:rsidRDefault="008441D4" w:rsidP="005E3390">
      <w:pPr>
        <w:spacing w:after="0" w:line="240" w:lineRule="auto"/>
        <w:jc w:val="right"/>
        <w:rPr>
          <w:rFonts w:ascii="Times New Roman" w:eastAsia="Times New Roman" w:hAnsi="Times New Roman" w:cs="Times New Roman"/>
          <w:noProof/>
          <w:sz w:val="24"/>
          <w:szCs w:val="24"/>
        </w:rPr>
      </w:pPr>
      <w:r w:rsidRPr="00AB1490">
        <w:rPr>
          <w:rFonts w:ascii="Times New Roman" w:hAnsi="Times New Roman"/>
          <w:sz w:val="24"/>
          <w:szCs w:val="24"/>
        </w:rPr>
        <w:t>13 February 2018</w:t>
      </w:r>
      <w:bookmarkStart w:id="232" w:name="piel-649600"/>
      <w:bookmarkStart w:id="233" w:name="piel1"/>
      <w:bookmarkEnd w:id="232"/>
      <w:bookmarkEnd w:id="233"/>
    </w:p>
    <w:p w14:paraId="65060372" w14:textId="32BF091A" w:rsidR="005E3390" w:rsidRPr="00AB1490" w:rsidRDefault="005E3390" w:rsidP="008441D4">
      <w:pPr>
        <w:spacing w:after="0" w:line="240" w:lineRule="auto"/>
        <w:jc w:val="both"/>
        <w:rPr>
          <w:rFonts w:ascii="Times New Roman" w:eastAsia="Times New Roman" w:hAnsi="Times New Roman" w:cs="Times New Roman"/>
          <w:noProof/>
          <w:sz w:val="24"/>
          <w:szCs w:val="24"/>
          <w:lang w:eastAsia="lv-LV"/>
        </w:rPr>
      </w:pPr>
    </w:p>
    <w:p w14:paraId="65CCF85E" w14:textId="77777777" w:rsidR="005E3390" w:rsidRPr="00AB1490" w:rsidRDefault="005E3390" w:rsidP="008441D4">
      <w:pPr>
        <w:spacing w:after="0" w:line="240" w:lineRule="auto"/>
        <w:jc w:val="both"/>
        <w:rPr>
          <w:rFonts w:ascii="Times New Roman" w:eastAsia="Times New Roman" w:hAnsi="Times New Roman" w:cs="Times New Roman"/>
          <w:noProof/>
          <w:sz w:val="24"/>
          <w:szCs w:val="24"/>
          <w:lang w:eastAsia="lv-LV"/>
        </w:rPr>
      </w:pPr>
    </w:p>
    <w:p w14:paraId="41B20A93" w14:textId="3F0EE0A8" w:rsidR="005E3390" w:rsidRPr="00AB1490" w:rsidRDefault="008441D4" w:rsidP="008B656E">
      <w:pPr>
        <w:spacing w:after="0" w:line="240" w:lineRule="auto"/>
        <w:jc w:val="right"/>
        <w:rPr>
          <w:rFonts w:ascii="Times New Roman" w:eastAsia="Times New Roman" w:hAnsi="Times New Roman" w:cs="Times New Roman"/>
          <w:noProof/>
          <w:sz w:val="24"/>
          <w:szCs w:val="24"/>
        </w:rPr>
      </w:pPr>
      <w:r w:rsidRPr="00AB1490">
        <w:rPr>
          <w:rFonts w:ascii="Times New Roman" w:hAnsi="Times New Roman"/>
          <w:sz w:val="24"/>
          <w:szCs w:val="24"/>
        </w:rPr>
        <w:t>To the Customs Board of the State Revenue Service</w:t>
      </w:r>
    </w:p>
    <w:p w14:paraId="5B144B39" w14:textId="3496A3D9" w:rsidR="00980097" w:rsidRPr="00AB1490" w:rsidRDefault="00980097" w:rsidP="008441D4">
      <w:pPr>
        <w:spacing w:after="0" w:line="240" w:lineRule="auto"/>
        <w:jc w:val="both"/>
        <w:rPr>
          <w:rFonts w:ascii="Times New Roman" w:eastAsia="Times New Roman" w:hAnsi="Times New Roman" w:cs="Times New Roman"/>
          <w:noProof/>
          <w:sz w:val="24"/>
          <w:szCs w:val="24"/>
          <w:lang w:eastAsia="lv-LV"/>
        </w:rPr>
      </w:pPr>
    </w:p>
    <w:p w14:paraId="29D193EC" w14:textId="77777777" w:rsidR="008B656E" w:rsidRPr="00AB1490" w:rsidRDefault="008B656E" w:rsidP="008B656E">
      <w:pPr>
        <w:spacing w:after="0" w:line="240" w:lineRule="auto"/>
        <w:jc w:val="both"/>
        <w:rPr>
          <w:rFonts w:ascii="Times New Roman" w:eastAsia="Times New Roman" w:hAnsi="Times New Roman" w:cs="Times New Roman"/>
          <w:noProof/>
          <w:sz w:val="24"/>
          <w:szCs w:val="24"/>
          <w:lang w:eastAsia="lv-LV"/>
        </w:rPr>
      </w:pPr>
    </w:p>
    <w:p w14:paraId="682496B4" w14:textId="77777777" w:rsidR="008B656E" w:rsidRPr="00AB1490" w:rsidRDefault="008B656E" w:rsidP="008B656E">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AIZPILDA DRUKĀTIEM BURTIEM</w:t>
      </w:r>
    </w:p>
    <w:p w14:paraId="5EB66CA7" w14:textId="77777777" w:rsidR="008B656E" w:rsidRPr="00AB1490" w:rsidRDefault="008B656E" w:rsidP="008B656E">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заполняется печатными буквами / to be completed in block letters</w:t>
      </w:r>
    </w:p>
    <w:p w14:paraId="177326C6" w14:textId="77777777" w:rsidR="008B656E" w:rsidRPr="00AB1490" w:rsidRDefault="008B656E" w:rsidP="008B656E">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8B656E" w:rsidRPr="00AB1490" w14:paraId="0DEE93F8" w14:textId="77777777" w:rsidTr="00930FDB">
        <w:trPr>
          <w:tblCellSpacing w:w="15" w:type="dxa"/>
        </w:trPr>
        <w:tc>
          <w:tcPr>
            <w:tcW w:w="4967" w:type="pct"/>
            <w:tcBorders>
              <w:bottom w:val="single" w:sz="6" w:space="0" w:color="auto"/>
            </w:tcBorders>
            <w:hideMark/>
          </w:tcPr>
          <w:p w14:paraId="37A3472E"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r>
      <w:tr w:rsidR="008B656E" w:rsidRPr="00AB1490" w14:paraId="231A2463" w14:textId="77777777" w:rsidTr="00930FDB">
        <w:trPr>
          <w:tblCellSpacing w:w="15" w:type="dxa"/>
        </w:trPr>
        <w:tc>
          <w:tcPr>
            <w:tcW w:w="4967" w:type="pct"/>
            <w:tcBorders>
              <w:bottom w:val="single" w:sz="6" w:space="0" w:color="auto"/>
            </w:tcBorders>
            <w:hideMark/>
          </w:tcPr>
          <w:p w14:paraId="14AF45EC"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r>
      <w:tr w:rsidR="008B656E" w:rsidRPr="00AB1490" w14:paraId="42DF461A" w14:textId="77777777" w:rsidTr="00930FDB">
        <w:trPr>
          <w:tblCellSpacing w:w="15" w:type="dxa"/>
        </w:trPr>
        <w:tc>
          <w:tcPr>
            <w:tcW w:w="4967" w:type="pct"/>
            <w:tcBorders>
              <w:bottom w:val="single" w:sz="6" w:space="0" w:color="auto"/>
            </w:tcBorders>
            <w:hideMark/>
          </w:tcPr>
          <w:p w14:paraId="3CF29F8A"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r>
      <w:tr w:rsidR="008B656E" w:rsidRPr="00AB1490" w14:paraId="10359309" w14:textId="77777777" w:rsidTr="00930FDB">
        <w:trPr>
          <w:tblCellSpacing w:w="15" w:type="dxa"/>
        </w:trPr>
        <w:tc>
          <w:tcPr>
            <w:tcW w:w="4967" w:type="pct"/>
            <w:hideMark/>
          </w:tcPr>
          <w:p w14:paraId="0A912C8A"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(iesniedzējs*– nosaukums, juridiskā adrese un reģistrācijas numurs vai vārds, uzvārds, adrese,</w:t>
            </w:r>
          </w:p>
          <w:p w14:paraId="7E665C7B"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personas kods/personas identifikācijas numurs vai pases numurs /</w:t>
            </w:r>
          </w:p>
          <w:p w14:paraId="37F6DD49"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заявитель* – наименование, юридический адрес и регистрационный номер или имя, фамилия, адрес,</w:t>
            </w:r>
          </w:p>
          <w:p w14:paraId="14940413"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персональный код/индивидуальный идентификационный номер или номер паспорта физического лица /</w:t>
            </w:r>
          </w:p>
          <w:p w14:paraId="0D6D1C7B"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applicant* – name, registered office and registration number or name, surname, address,</w:t>
            </w:r>
          </w:p>
          <w:p w14:paraId="2DEA4A6A"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personal identification number or passport number)</w:t>
            </w:r>
          </w:p>
        </w:tc>
      </w:tr>
    </w:tbl>
    <w:p w14:paraId="72568188" w14:textId="77777777" w:rsidR="008B656E" w:rsidRPr="00AB1490" w:rsidRDefault="008B656E" w:rsidP="008B656E">
      <w:pPr>
        <w:spacing w:after="0" w:line="240" w:lineRule="auto"/>
        <w:jc w:val="both"/>
        <w:rPr>
          <w:rFonts w:ascii="Times New Roman" w:eastAsia="Times New Roman" w:hAnsi="Times New Roman" w:cs="Times New Roman"/>
          <w:b/>
          <w:bCs/>
          <w:noProof/>
          <w:sz w:val="24"/>
          <w:szCs w:val="24"/>
          <w:lang w:eastAsia="lv-LV"/>
        </w:rPr>
      </w:pPr>
    </w:p>
    <w:p w14:paraId="7BB42042" w14:textId="77777777" w:rsidR="008B656E" w:rsidRPr="00AB1490" w:rsidRDefault="008B656E" w:rsidP="008B656E">
      <w:pPr>
        <w:spacing w:after="0" w:line="240" w:lineRule="auto"/>
        <w:jc w:val="center"/>
        <w:rPr>
          <w:rFonts w:ascii="Times New Roman" w:eastAsia="Times New Roman" w:hAnsi="Times New Roman" w:cs="Times New Roman"/>
          <w:b/>
          <w:bCs/>
          <w:noProof/>
          <w:sz w:val="24"/>
          <w:szCs w:val="24"/>
          <w:lang w:eastAsia="lv-LV"/>
        </w:rPr>
      </w:pPr>
      <w:r w:rsidRPr="00AB1490">
        <w:rPr>
          <w:rFonts w:ascii="Times New Roman" w:eastAsia="Times New Roman" w:hAnsi="Times New Roman" w:cs="Times New Roman"/>
          <w:b/>
          <w:bCs/>
          <w:noProof/>
          <w:sz w:val="24"/>
          <w:szCs w:val="24"/>
          <w:lang w:eastAsia="lv-LV"/>
        </w:rPr>
        <w:t>IESNIEGUMS</w:t>
      </w:r>
    </w:p>
    <w:p w14:paraId="48468CDF" w14:textId="77777777" w:rsidR="008B656E" w:rsidRPr="00AB1490" w:rsidRDefault="008B656E" w:rsidP="008B656E">
      <w:pPr>
        <w:spacing w:after="0" w:line="240" w:lineRule="auto"/>
        <w:jc w:val="center"/>
        <w:rPr>
          <w:rFonts w:ascii="Times New Roman" w:eastAsia="Times New Roman" w:hAnsi="Times New Roman" w:cs="Times New Roman"/>
          <w:b/>
          <w:bCs/>
          <w:noProof/>
          <w:sz w:val="24"/>
          <w:szCs w:val="24"/>
          <w:lang w:eastAsia="lv-LV"/>
        </w:rPr>
      </w:pPr>
      <w:r w:rsidRPr="00AB1490">
        <w:rPr>
          <w:rFonts w:ascii="Times New Roman" w:eastAsia="Times New Roman" w:hAnsi="Times New Roman" w:cs="Times New Roman"/>
          <w:b/>
          <w:bCs/>
          <w:noProof/>
          <w:sz w:val="24"/>
          <w:szCs w:val="24"/>
          <w:lang w:eastAsia="lv-LV"/>
        </w:rPr>
        <w:t>par drošības naudas atmaksu</w:t>
      </w:r>
    </w:p>
    <w:p w14:paraId="55971B74" w14:textId="77777777" w:rsidR="008B656E" w:rsidRPr="00AB1490" w:rsidRDefault="008B656E" w:rsidP="008B656E">
      <w:pPr>
        <w:spacing w:after="0" w:line="240" w:lineRule="auto"/>
        <w:jc w:val="center"/>
        <w:rPr>
          <w:rFonts w:ascii="Times New Roman" w:eastAsia="Times New Roman" w:hAnsi="Times New Roman" w:cs="Times New Roman"/>
          <w:b/>
          <w:bCs/>
          <w:noProof/>
          <w:sz w:val="24"/>
          <w:szCs w:val="24"/>
          <w:lang w:eastAsia="lv-LV"/>
        </w:rPr>
      </w:pPr>
    </w:p>
    <w:p w14:paraId="2105262E" w14:textId="77777777" w:rsidR="008B656E" w:rsidRPr="00AB1490" w:rsidRDefault="008B656E" w:rsidP="008B656E">
      <w:pPr>
        <w:spacing w:after="0" w:line="240" w:lineRule="auto"/>
        <w:jc w:val="center"/>
        <w:rPr>
          <w:rFonts w:ascii="Times New Roman" w:eastAsia="Times New Roman" w:hAnsi="Times New Roman" w:cs="Times New Roman"/>
          <w:b/>
          <w:bCs/>
          <w:noProof/>
          <w:sz w:val="24"/>
          <w:szCs w:val="24"/>
          <w:lang w:eastAsia="lv-LV"/>
        </w:rPr>
      </w:pPr>
      <w:r w:rsidRPr="00AB1490">
        <w:rPr>
          <w:rFonts w:ascii="Times New Roman" w:eastAsia="Times New Roman" w:hAnsi="Times New Roman" w:cs="Times New Roman"/>
          <w:b/>
          <w:bCs/>
          <w:noProof/>
          <w:sz w:val="24"/>
          <w:szCs w:val="24"/>
          <w:lang w:eastAsia="lv-LV"/>
        </w:rPr>
        <w:t>ЗАЯВЛЕНИЕ о возврате денежного залога /</w:t>
      </w:r>
    </w:p>
    <w:p w14:paraId="5D9681E9" w14:textId="77777777" w:rsidR="008B656E" w:rsidRPr="00AB1490" w:rsidRDefault="008B656E" w:rsidP="008B656E">
      <w:pPr>
        <w:spacing w:after="0" w:line="240" w:lineRule="auto"/>
        <w:jc w:val="center"/>
        <w:rPr>
          <w:rFonts w:ascii="Times New Roman" w:eastAsia="Times New Roman" w:hAnsi="Times New Roman" w:cs="Times New Roman"/>
          <w:b/>
          <w:bCs/>
          <w:noProof/>
          <w:sz w:val="24"/>
          <w:szCs w:val="24"/>
          <w:lang w:eastAsia="lv-LV"/>
        </w:rPr>
      </w:pPr>
      <w:r w:rsidRPr="00AB1490">
        <w:rPr>
          <w:rFonts w:ascii="Times New Roman" w:eastAsia="Times New Roman" w:hAnsi="Times New Roman" w:cs="Times New Roman"/>
          <w:b/>
          <w:bCs/>
          <w:noProof/>
          <w:sz w:val="24"/>
          <w:szCs w:val="24"/>
          <w:lang w:eastAsia="lv-LV"/>
        </w:rPr>
        <w:t>APPLICATION regarding repayment of security</w:t>
      </w:r>
    </w:p>
    <w:p w14:paraId="7202A142" w14:textId="77777777" w:rsidR="008B656E" w:rsidRPr="00AB1490" w:rsidRDefault="008B656E" w:rsidP="008B656E">
      <w:pPr>
        <w:spacing w:after="0" w:line="240" w:lineRule="auto"/>
        <w:jc w:val="both"/>
        <w:rPr>
          <w:rFonts w:ascii="Times New Roman" w:eastAsia="Times New Roman" w:hAnsi="Times New Roman" w:cs="Times New Roman"/>
          <w:b/>
          <w:bCs/>
          <w:noProof/>
          <w:sz w:val="24"/>
          <w:szCs w:val="24"/>
          <w:lang w:eastAsia="lv-LV"/>
        </w:rPr>
      </w:pPr>
    </w:p>
    <w:p w14:paraId="69F1441B" w14:textId="77777777" w:rsidR="008B656E" w:rsidRPr="00AB1490" w:rsidRDefault="008B656E" w:rsidP="008B656E">
      <w:pPr>
        <w:spacing w:after="0" w:line="240" w:lineRule="auto"/>
        <w:ind w:firstLine="709"/>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Lūdzu drošības naudu______ EUR apmērā, kas ieskaitīta Valsts ieņēmumu dienesta deponēto naudas līdzekļu uzskaites kontā, atmaksāt:</w:t>
      </w:r>
    </w:p>
    <w:p w14:paraId="67CEA5A2" w14:textId="77777777" w:rsidR="008B656E" w:rsidRPr="00AB1490" w:rsidRDefault="008B656E" w:rsidP="008B656E">
      <w:pPr>
        <w:spacing w:after="0" w:line="240" w:lineRule="auto"/>
        <w:ind w:firstLine="709"/>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Прошу вернуть залоговую сумму в размере ______ EUR, зачисленную на расчётный счёт депонированных денежных средств Службы государственных доходов, на:</w:t>
      </w:r>
    </w:p>
    <w:p w14:paraId="7DB53248" w14:textId="77777777" w:rsidR="008B656E" w:rsidRPr="00AB1490" w:rsidRDefault="008B656E" w:rsidP="008B656E">
      <w:pPr>
        <w:spacing w:after="0" w:line="240" w:lineRule="auto"/>
        <w:ind w:firstLine="709"/>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Please return the security paid into the deposit account of the State Revenue Service in the amount of EUR ______:</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8B656E" w:rsidRPr="00AB1490" w14:paraId="40C40C5C" w14:textId="77777777" w:rsidTr="00930FDB">
        <w:trPr>
          <w:tblCellSpacing w:w="15" w:type="dxa"/>
        </w:trPr>
        <w:tc>
          <w:tcPr>
            <w:tcW w:w="4967" w:type="pct"/>
            <w:tcBorders>
              <w:bottom w:val="single" w:sz="6" w:space="0" w:color="auto"/>
            </w:tcBorders>
            <w:hideMark/>
          </w:tcPr>
          <w:p w14:paraId="2B56ECB8"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r>
      <w:tr w:rsidR="008B656E" w:rsidRPr="00AB1490" w14:paraId="737A569A" w14:textId="77777777" w:rsidTr="00930FDB">
        <w:trPr>
          <w:tblCellSpacing w:w="15" w:type="dxa"/>
        </w:trPr>
        <w:tc>
          <w:tcPr>
            <w:tcW w:w="4967" w:type="pct"/>
            <w:tcBorders>
              <w:bottom w:val="single" w:sz="6" w:space="0" w:color="auto"/>
            </w:tcBorders>
            <w:hideMark/>
          </w:tcPr>
          <w:p w14:paraId="3C1B0422"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r>
      <w:tr w:rsidR="008B656E" w:rsidRPr="00AB1490" w14:paraId="78B9ED3C" w14:textId="77777777" w:rsidTr="00930FDB">
        <w:trPr>
          <w:tblCellSpacing w:w="15" w:type="dxa"/>
        </w:trPr>
        <w:tc>
          <w:tcPr>
            <w:tcW w:w="4967" w:type="pct"/>
            <w:tcBorders>
              <w:bottom w:val="single" w:sz="6" w:space="0" w:color="auto"/>
            </w:tcBorders>
            <w:hideMark/>
          </w:tcPr>
          <w:p w14:paraId="37595260"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r>
      <w:tr w:rsidR="008B656E" w:rsidRPr="00AB1490" w14:paraId="24AC54A4" w14:textId="77777777" w:rsidTr="00930FDB">
        <w:trPr>
          <w:tblCellSpacing w:w="15" w:type="dxa"/>
        </w:trPr>
        <w:tc>
          <w:tcPr>
            <w:tcW w:w="4967" w:type="pct"/>
            <w:hideMark/>
          </w:tcPr>
          <w:p w14:paraId="0FCF1820"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(juridiskās personas nosaukums, juridiskā adrese un reģistrācijas numurs vai vārds, uzvārds, tēva vārds**, adrese, personas kods/personas identifikācijas numurs vai pases numurs /</w:t>
            </w:r>
          </w:p>
          <w:p w14:paraId="16DD4AE2"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наименование юридического лица, юридический адрес и регистрационный номер или имя, фамилия, отчество**, адрес, персональный код/индивидуальный идентификационный номер или номер паспорта физического лица /</w:t>
            </w:r>
          </w:p>
          <w:p w14:paraId="428E8FFA"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name, registered office and registration number of legal person or name, surname, father’s name**, address,</w:t>
            </w:r>
          </w:p>
          <w:p w14:paraId="7236356C"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personal identification number or passport number)</w:t>
            </w:r>
          </w:p>
        </w:tc>
      </w:tr>
    </w:tbl>
    <w:p w14:paraId="0237DA58" w14:textId="77777777" w:rsidR="008B656E" w:rsidRPr="00AB1490" w:rsidRDefault="008B656E" w:rsidP="008B656E">
      <w:pPr>
        <w:spacing w:after="0" w:line="240" w:lineRule="auto"/>
        <w:jc w:val="both"/>
        <w:rPr>
          <w:rFonts w:ascii="Times New Roman" w:eastAsia="Times New Roman" w:hAnsi="Times New Roman" w:cs="Times New Roman"/>
          <w:noProof/>
          <w:sz w:val="24"/>
          <w:szCs w:val="24"/>
          <w:lang w:eastAsia="lv-LV"/>
        </w:rPr>
      </w:pPr>
    </w:p>
    <w:p w14:paraId="33C00F60" w14:textId="77777777" w:rsidR="008B656E" w:rsidRPr="00AB1490" w:rsidRDefault="008B656E" w:rsidP="008B656E">
      <w:pPr>
        <w:spacing w:after="0" w:line="240" w:lineRule="auto"/>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Lūdzu veikt atmaksājamās drošības naudas pārskaitījumu EUR uz:</w:t>
      </w:r>
    </w:p>
    <w:p w14:paraId="6A1AB290" w14:textId="77777777" w:rsidR="008B656E" w:rsidRPr="00AB1490" w:rsidRDefault="008B656E" w:rsidP="008B656E">
      <w:pPr>
        <w:spacing w:after="0" w:line="240" w:lineRule="auto"/>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Прошу произвести перечисление уплаченной залоговой суммы в валюте EUR на: / Please return the security paid in EUR currency to:</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8B656E" w:rsidRPr="00AB1490" w14:paraId="66F1CEB3" w14:textId="77777777" w:rsidTr="00930FDB">
        <w:trPr>
          <w:tblCellSpacing w:w="15" w:type="dxa"/>
        </w:trPr>
        <w:tc>
          <w:tcPr>
            <w:tcW w:w="4967" w:type="pct"/>
            <w:tcBorders>
              <w:bottom w:val="single" w:sz="6" w:space="0" w:color="auto"/>
            </w:tcBorders>
            <w:hideMark/>
          </w:tcPr>
          <w:p w14:paraId="1D41233E"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r>
      <w:tr w:rsidR="008B656E" w:rsidRPr="00AB1490" w14:paraId="67948A5F" w14:textId="77777777" w:rsidTr="00930FDB">
        <w:trPr>
          <w:tblCellSpacing w:w="15" w:type="dxa"/>
        </w:trPr>
        <w:tc>
          <w:tcPr>
            <w:tcW w:w="4967" w:type="pct"/>
            <w:tcBorders>
              <w:bottom w:val="single" w:sz="6" w:space="0" w:color="auto"/>
            </w:tcBorders>
            <w:hideMark/>
          </w:tcPr>
          <w:p w14:paraId="65938650"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r>
      <w:tr w:rsidR="008B656E" w:rsidRPr="00AB1490" w14:paraId="0E4B2A4D" w14:textId="77777777" w:rsidTr="00930FDB">
        <w:trPr>
          <w:tblCellSpacing w:w="15" w:type="dxa"/>
        </w:trPr>
        <w:tc>
          <w:tcPr>
            <w:tcW w:w="4967" w:type="pct"/>
            <w:hideMark/>
          </w:tcPr>
          <w:p w14:paraId="488D3A26"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(saņēmēja bankas nosaukums, SWIFT kods (11 zīmes) un konta numurs /</w:t>
            </w:r>
          </w:p>
          <w:p w14:paraId="6CFCA343"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наименование банка получателя, SWIFT-код (11 цифр) и номер счёта /</w:t>
            </w:r>
          </w:p>
          <w:p w14:paraId="33102AEA"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name of the recipient’s bank, SWIFT code (11 characters) and account number)</w:t>
            </w:r>
          </w:p>
        </w:tc>
      </w:tr>
      <w:tr w:rsidR="008B656E" w:rsidRPr="00AB1490" w14:paraId="1C83E7F9" w14:textId="77777777" w:rsidTr="00930FDB">
        <w:trPr>
          <w:tblCellSpacing w:w="15" w:type="dxa"/>
        </w:trPr>
        <w:tc>
          <w:tcPr>
            <w:tcW w:w="4967" w:type="pct"/>
            <w:tcBorders>
              <w:bottom w:val="single" w:sz="6" w:space="0" w:color="auto"/>
            </w:tcBorders>
            <w:hideMark/>
          </w:tcPr>
          <w:p w14:paraId="74A296E6"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p>
        </w:tc>
      </w:tr>
      <w:tr w:rsidR="008B656E" w:rsidRPr="00AB1490" w14:paraId="09058030" w14:textId="77777777" w:rsidTr="00930FDB">
        <w:trPr>
          <w:tblCellSpacing w:w="15" w:type="dxa"/>
        </w:trPr>
        <w:tc>
          <w:tcPr>
            <w:tcW w:w="4967" w:type="pct"/>
            <w:tcBorders>
              <w:bottom w:val="single" w:sz="6" w:space="0" w:color="auto"/>
            </w:tcBorders>
            <w:hideMark/>
          </w:tcPr>
          <w:p w14:paraId="0B66FD06"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p>
        </w:tc>
      </w:tr>
      <w:tr w:rsidR="008B656E" w:rsidRPr="00AB1490" w14:paraId="43A9CEAD" w14:textId="77777777" w:rsidTr="00930FDB">
        <w:trPr>
          <w:tblCellSpacing w:w="15" w:type="dxa"/>
        </w:trPr>
        <w:tc>
          <w:tcPr>
            <w:tcW w:w="4967" w:type="pct"/>
            <w:hideMark/>
          </w:tcPr>
          <w:p w14:paraId="33135CF9"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(korespondentbankas nosaukums,SWIFT kods (11 zīmes) un konta numurs /</w:t>
            </w:r>
          </w:p>
          <w:p w14:paraId="08E28464"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наименование банка-корреспондента, SWIFT-код (11 цифр) и номер счёта /</w:t>
            </w:r>
          </w:p>
          <w:p w14:paraId="74FDB230"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name of the correspondent bank, SWIFT code (11characters) and account number)</w:t>
            </w:r>
          </w:p>
        </w:tc>
      </w:tr>
    </w:tbl>
    <w:p w14:paraId="646AAAC5" w14:textId="77777777" w:rsidR="008B656E" w:rsidRPr="00AB1490" w:rsidRDefault="008B656E" w:rsidP="008B656E">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61"/>
        <w:gridCol w:w="146"/>
        <w:gridCol w:w="1514"/>
        <w:gridCol w:w="1480"/>
        <w:gridCol w:w="1859"/>
        <w:gridCol w:w="1831"/>
        <w:gridCol w:w="1512"/>
        <w:gridCol w:w="568"/>
      </w:tblGrid>
      <w:tr w:rsidR="008B656E" w:rsidRPr="00AB1490" w14:paraId="363D4682" w14:textId="77777777" w:rsidTr="00930FDB">
        <w:trPr>
          <w:tblCellSpacing w:w="15" w:type="dxa"/>
        </w:trPr>
        <w:tc>
          <w:tcPr>
            <w:tcW w:w="4967" w:type="pct"/>
            <w:gridSpan w:val="8"/>
            <w:hideMark/>
          </w:tcPr>
          <w:p w14:paraId="6B26454B"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Drošības nauda iemaksāta, lai segtu muitas maksājumu parādu, kas radies/var rasties</w:t>
            </w:r>
          </w:p>
        </w:tc>
      </w:tr>
      <w:tr w:rsidR="008B656E" w:rsidRPr="00AB1490" w14:paraId="7F1AD402" w14:textId="77777777" w:rsidTr="00930FDB">
        <w:trPr>
          <w:tblCellSpacing w:w="15" w:type="dxa"/>
        </w:trPr>
        <w:tc>
          <w:tcPr>
            <w:tcW w:w="66" w:type="pct"/>
            <w:hideMark/>
          </w:tcPr>
          <w:p w14:paraId="67C6B13B"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c>
          <w:tcPr>
            <w:tcW w:w="903" w:type="pct"/>
            <w:gridSpan w:val="2"/>
            <w:hideMark/>
          </w:tcPr>
          <w:p w14:paraId="4C8A13A0"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p>
        </w:tc>
        <w:tc>
          <w:tcPr>
            <w:tcW w:w="1851" w:type="pct"/>
            <w:gridSpan w:val="2"/>
            <w:hideMark/>
          </w:tcPr>
          <w:p w14:paraId="681FD03E"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p>
        </w:tc>
        <w:tc>
          <w:tcPr>
            <w:tcW w:w="1852" w:type="pct"/>
            <w:gridSpan w:val="2"/>
            <w:hideMark/>
          </w:tcPr>
          <w:p w14:paraId="2784C2AD" w14:textId="77777777" w:rsidR="008B656E" w:rsidRPr="00AB1490" w:rsidRDefault="008B656E" w:rsidP="00930FDB">
            <w:pPr>
              <w:spacing w:after="0" w:line="240" w:lineRule="auto"/>
              <w:jc w:val="right"/>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(nevajadzīgo svītrot)</w:t>
            </w:r>
          </w:p>
        </w:tc>
        <w:tc>
          <w:tcPr>
            <w:tcW w:w="229" w:type="pct"/>
            <w:hideMark/>
          </w:tcPr>
          <w:p w14:paraId="2B2D2CC2"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r>
      <w:tr w:rsidR="008B656E" w:rsidRPr="00AB1490" w14:paraId="2C5DA92E" w14:textId="77777777" w:rsidTr="00930FDB">
        <w:trPr>
          <w:tblCellSpacing w:w="15" w:type="dxa"/>
        </w:trPr>
        <w:tc>
          <w:tcPr>
            <w:tcW w:w="4967" w:type="pct"/>
            <w:gridSpan w:val="8"/>
            <w:hideMark/>
          </w:tcPr>
          <w:p w14:paraId="43444025"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par precēm, kuras deklarētas 20___. gada ____. _______________</w:t>
            </w:r>
          </w:p>
        </w:tc>
      </w:tr>
      <w:tr w:rsidR="008B656E" w:rsidRPr="00AB1490" w14:paraId="55E1B475" w14:textId="77777777" w:rsidTr="00930FDB">
        <w:trPr>
          <w:tblCellSpacing w:w="15" w:type="dxa"/>
        </w:trPr>
        <w:tc>
          <w:tcPr>
            <w:tcW w:w="66" w:type="pct"/>
            <w:hideMark/>
          </w:tcPr>
          <w:p w14:paraId="2030061B"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c>
          <w:tcPr>
            <w:tcW w:w="66" w:type="pct"/>
            <w:hideMark/>
          </w:tcPr>
          <w:p w14:paraId="6D66FCB8"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p>
        </w:tc>
        <w:tc>
          <w:tcPr>
            <w:tcW w:w="1656" w:type="pct"/>
            <w:gridSpan w:val="2"/>
            <w:hideMark/>
          </w:tcPr>
          <w:p w14:paraId="22FA008D"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muitas deklarācijā Nr.</w:t>
            </w:r>
          </w:p>
        </w:tc>
        <w:tc>
          <w:tcPr>
            <w:tcW w:w="2048" w:type="pct"/>
            <w:gridSpan w:val="2"/>
            <w:tcBorders>
              <w:bottom w:val="single" w:sz="6" w:space="0" w:color="auto"/>
            </w:tcBorders>
            <w:hideMark/>
          </w:tcPr>
          <w:p w14:paraId="6BF3F5AA"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p>
        </w:tc>
        <w:tc>
          <w:tcPr>
            <w:tcW w:w="1065" w:type="pct"/>
            <w:gridSpan w:val="2"/>
            <w:hideMark/>
          </w:tcPr>
          <w:p w14:paraId="09246FCD"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r>
      <w:tr w:rsidR="008B656E" w:rsidRPr="00AB1490" w14:paraId="02EA085B" w14:textId="77777777" w:rsidTr="00930FDB">
        <w:trPr>
          <w:tblCellSpacing w:w="15" w:type="dxa"/>
        </w:trPr>
        <w:tc>
          <w:tcPr>
            <w:tcW w:w="66" w:type="pct"/>
            <w:hideMark/>
          </w:tcPr>
          <w:p w14:paraId="4ED4D40E"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c>
          <w:tcPr>
            <w:tcW w:w="66" w:type="pct"/>
            <w:hideMark/>
          </w:tcPr>
          <w:p w14:paraId="55D7F7F9"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p>
        </w:tc>
        <w:tc>
          <w:tcPr>
            <w:tcW w:w="1656" w:type="pct"/>
            <w:gridSpan w:val="2"/>
            <w:hideMark/>
          </w:tcPr>
          <w:p w14:paraId="5950F1F5"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p>
        </w:tc>
        <w:tc>
          <w:tcPr>
            <w:tcW w:w="2048" w:type="pct"/>
            <w:gridSpan w:val="2"/>
            <w:hideMark/>
          </w:tcPr>
          <w:p w14:paraId="115F306E"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(muitas deklarācijas numurs)</w:t>
            </w:r>
          </w:p>
        </w:tc>
        <w:tc>
          <w:tcPr>
            <w:tcW w:w="1065" w:type="pct"/>
            <w:gridSpan w:val="2"/>
            <w:hideMark/>
          </w:tcPr>
          <w:p w14:paraId="0BD19912"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r>
    </w:tbl>
    <w:p w14:paraId="674F431A" w14:textId="77777777" w:rsidR="008B656E" w:rsidRPr="00AB1490" w:rsidRDefault="008B656E" w:rsidP="008B656E">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65"/>
        <w:gridCol w:w="263"/>
        <w:gridCol w:w="1201"/>
        <w:gridCol w:w="2332"/>
        <w:gridCol w:w="4691"/>
        <w:gridCol w:w="419"/>
      </w:tblGrid>
      <w:tr w:rsidR="008B656E" w:rsidRPr="00AB1490" w14:paraId="072110F2" w14:textId="77777777" w:rsidTr="00930FDB">
        <w:trPr>
          <w:tblCellSpacing w:w="15" w:type="dxa"/>
        </w:trPr>
        <w:tc>
          <w:tcPr>
            <w:tcW w:w="4967" w:type="pct"/>
            <w:gridSpan w:val="6"/>
            <w:hideMark/>
          </w:tcPr>
          <w:p w14:paraId="66CE378E"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Залоговая сумма была внесена для погашения задолженности по таможенным платежам,</w:t>
            </w:r>
          </w:p>
          <w:p w14:paraId="10361DC7"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которая возникла/может возникнуть за товары, задекларированные в</w:t>
            </w:r>
          </w:p>
        </w:tc>
      </w:tr>
      <w:tr w:rsidR="008B656E" w:rsidRPr="00AB1490" w14:paraId="329B063B" w14:textId="77777777" w:rsidTr="00930FDB">
        <w:trPr>
          <w:tblCellSpacing w:w="15" w:type="dxa"/>
        </w:trPr>
        <w:tc>
          <w:tcPr>
            <w:tcW w:w="197" w:type="pct"/>
            <w:gridSpan w:val="2"/>
            <w:hideMark/>
          </w:tcPr>
          <w:p w14:paraId="1A93C97E"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c>
          <w:tcPr>
            <w:tcW w:w="1947" w:type="pct"/>
            <w:gridSpan w:val="2"/>
            <w:hideMark/>
          </w:tcPr>
          <w:p w14:paraId="32A59561" w14:textId="77777777" w:rsidR="008B656E" w:rsidRPr="00AB1490" w:rsidRDefault="008B656E" w:rsidP="00930FDB">
            <w:pPr>
              <w:spacing w:after="0" w:line="240" w:lineRule="auto"/>
              <w:jc w:val="right"/>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(ненужное зачеркнуть)</w:t>
            </w:r>
          </w:p>
        </w:tc>
        <w:tc>
          <w:tcPr>
            <w:tcW w:w="2790" w:type="pct"/>
            <w:gridSpan w:val="2"/>
            <w:hideMark/>
          </w:tcPr>
          <w:p w14:paraId="15608355"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p>
        </w:tc>
      </w:tr>
      <w:tr w:rsidR="008B656E" w:rsidRPr="00AB1490" w14:paraId="53C04DF6" w14:textId="77777777" w:rsidTr="00930FDB">
        <w:trPr>
          <w:tblCellSpacing w:w="15" w:type="dxa"/>
        </w:trPr>
        <w:tc>
          <w:tcPr>
            <w:tcW w:w="4967" w:type="pct"/>
            <w:gridSpan w:val="6"/>
            <w:hideMark/>
          </w:tcPr>
          <w:p w14:paraId="004AE1AD"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таможенной декларации № _________________________ от ___. ___. 20__.</w:t>
            </w:r>
          </w:p>
        </w:tc>
      </w:tr>
      <w:tr w:rsidR="008B656E" w:rsidRPr="00AB1490" w14:paraId="2BBDE21B" w14:textId="77777777" w:rsidTr="00930FDB">
        <w:trPr>
          <w:tblCellSpacing w:w="15" w:type="dxa"/>
        </w:trPr>
        <w:tc>
          <w:tcPr>
            <w:tcW w:w="67" w:type="pct"/>
            <w:hideMark/>
          </w:tcPr>
          <w:p w14:paraId="137BC557"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c>
          <w:tcPr>
            <w:tcW w:w="787" w:type="pct"/>
            <w:gridSpan w:val="2"/>
            <w:hideMark/>
          </w:tcPr>
          <w:p w14:paraId="0E4E5CD8"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p>
        </w:tc>
        <w:tc>
          <w:tcPr>
            <w:tcW w:w="3903" w:type="pct"/>
            <w:gridSpan w:val="2"/>
            <w:hideMark/>
          </w:tcPr>
          <w:p w14:paraId="6F4C93D2"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(номер таможенной декларации)</w:t>
            </w:r>
          </w:p>
        </w:tc>
        <w:tc>
          <w:tcPr>
            <w:tcW w:w="160" w:type="pct"/>
            <w:hideMark/>
          </w:tcPr>
          <w:p w14:paraId="67CFD8D2"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r>
    </w:tbl>
    <w:p w14:paraId="2E97FC47" w14:textId="77777777" w:rsidR="008B656E" w:rsidRPr="00AB1490" w:rsidRDefault="008B656E" w:rsidP="008B656E">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13"/>
        <w:gridCol w:w="999"/>
        <w:gridCol w:w="1240"/>
        <w:gridCol w:w="4308"/>
        <w:gridCol w:w="1122"/>
        <w:gridCol w:w="389"/>
      </w:tblGrid>
      <w:tr w:rsidR="008B656E" w:rsidRPr="00AB1490" w14:paraId="3B633721" w14:textId="77777777" w:rsidTr="00930FDB">
        <w:trPr>
          <w:tblCellSpacing w:w="15" w:type="dxa"/>
        </w:trPr>
        <w:tc>
          <w:tcPr>
            <w:tcW w:w="4967" w:type="pct"/>
            <w:gridSpan w:val="6"/>
            <w:hideMark/>
          </w:tcPr>
          <w:p w14:paraId="17B5FACD"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The security was paid to cover debt of customs duties that has arisen/may have arisen</w:t>
            </w:r>
          </w:p>
        </w:tc>
      </w:tr>
      <w:tr w:rsidR="008B656E" w:rsidRPr="00AB1490" w14:paraId="4B8DDA5B" w14:textId="77777777" w:rsidTr="00930FDB">
        <w:trPr>
          <w:tblCellSpacing w:w="15" w:type="dxa"/>
        </w:trPr>
        <w:tc>
          <w:tcPr>
            <w:tcW w:w="543" w:type="pct"/>
            <w:hideMark/>
          </w:tcPr>
          <w:p w14:paraId="6846D0B7"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c>
          <w:tcPr>
            <w:tcW w:w="1221" w:type="pct"/>
            <w:gridSpan w:val="2"/>
            <w:hideMark/>
          </w:tcPr>
          <w:p w14:paraId="7FC1F39D"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p>
        </w:tc>
        <w:tc>
          <w:tcPr>
            <w:tcW w:w="3010" w:type="pct"/>
            <w:gridSpan w:val="2"/>
            <w:hideMark/>
          </w:tcPr>
          <w:p w14:paraId="4EABC6E5" w14:textId="77777777" w:rsidR="008B656E" w:rsidRPr="00AB1490" w:rsidRDefault="008B656E" w:rsidP="00930FDB">
            <w:pPr>
              <w:spacing w:after="0" w:line="240" w:lineRule="auto"/>
              <w:jc w:val="right"/>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(delete that which does not apply)</w:t>
            </w:r>
          </w:p>
        </w:tc>
        <w:tc>
          <w:tcPr>
            <w:tcW w:w="144" w:type="pct"/>
            <w:hideMark/>
          </w:tcPr>
          <w:p w14:paraId="2EFA1895"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 </w:t>
            </w:r>
          </w:p>
        </w:tc>
      </w:tr>
      <w:tr w:rsidR="008B656E" w:rsidRPr="00AB1490" w14:paraId="57CFEA04" w14:textId="77777777" w:rsidTr="00930FDB">
        <w:trPr>
          <w:tblCellSpacing w:w="15" w:type="dxa"/>
        </w:trPr>
        <w:tc>
          <w:tcPr>
            <w:tcW w:w="4967" w:type="pct"/>
            <w:gridSpan w:val="6"/>
            <w:hideMark/>
          </w:tcPr>
          <w:p w14:paraId="1BFEA0D0"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in respect of goods declared in the</w:t>
            </w:r>
          </w:p>
          <w:p w14:paraId="126C178B"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customs declaration No __________________________of ___. ___. 20__.</w:t>
            </w:r>
          </w:p>
        </w:tc>
      </w:tr>
      <w:tr w:rsidR="008B656E" w:rsidRPr="00AB1490" w14:paraId="6750428B" w14:textId="77777777" w:rsidTr="00930FDB">
        <w:trPr>
          <w:tblCellSpacing w:w="15" w:type="dxa"/>
        </w:trPr>
        <w:tc>
          <w:tcPr>
            <w:tcW w:w="543" w:type="pct"/>
            <w:hideMark/>
          </w:tcPr>
          <w:p w14:paraId="5E516FF9"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c>
          <w:tcPr>
            <w:tcW w:w="543" w:type="pct"/>
            <w:hideMark/>
          </w:tcPr>
          <w:p w14:paraId="75417919"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p>
        </w:tc>
        <w:tc>
          <w:tcPr>
            <w:tcW w:w="3076" w:type="pct"/>
            <w:gridSpan w:val="2"/>
            <w:hideMark/>
          </w:tcPr>
          <w:p w14:paraId="6BCFA585"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(number of the customs declaration)</w:t>
            </w:r>
          </w:p>
        </w:tc>
        <w:tc>
          <w:tcPr>
            <w:tcW w:w="756" w:type="pct"/>
            <w:gridSpan w:val="2"/>
            <w:hideMark/>
          </w:tcPr>
          <w:p w14:paraId="180DDFD2"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r>
    </w:tbl>
    <w:p w14:paraId="0D15C4BD" w14:textId="77777777" w:rsidR="008B656E" w:rsidRPr="00AB1490" w:rsidRDefault="008B656E" w:rsidP="008B656E">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833"/>
        <w:gridCol w:w="302"/>
        <w:gridCol w:w="2521"/>
        <w:gridCol w:w="302"/>
        <w:gridCol w:w="2113"/>
      </w:tblGrid>
      <w:tr w:rsidR="008B656E" w:rsidRPr="00AB1490" w14:paraId="401CD32F" w14:textId="77777777" w:rsidTr="00930FDB">
        <w:trPr>
          <w:tblCellSpacing w:w="15" w:type="dxa"/>
        </w:trPr>
        <w:tc>
          <w:tcPr>
            <w:tcW w:w="2088" w:type="pct"/>
            <w:tcBorders>
              <w:bottom w:val="single" w:sz="6" w:space="0" w:color="auto"/>
            </w:tcBorders>
          </w:tcPr>
          <w:p w14:paraId="17292BE7"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c>
          <w:tcPr>
            <w:tcW w:w="150" w:type="pct"/>
          </w:tcPr>
          <w:p w14:paraId="2185FAF6"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c>
          <w:tcPr>
            <w:tcW w:w="1373" w:type="pct"/>
            <w:tcBorders>
              <w:bottom w:val="single" w:sz="6" w:space="0" w:color="auto"/>
            </w:tcBorders>
          </w:tcPr>
          <w:p w14:paraId="2BF97221"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c>
          <w:tcPr>
            <w:tcW w:w="150" w:type="pct"/>
          </w:tcPr>
          <w:p w14:paraId="1B9C2FC3"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c>
          <w:tcPr>
            <w:tcW w:w="1140" w:type="pct"/>
            <w:tcBorders>
              <w:bottom w:val="single" w:sz="6" w:space="0" w:color="auto"/>
            </w:tcBorders>
          </w:tcPr>
          <w:p w14:paraId="51E10229"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tc>
      </w:tr>
      <w:tr w:rsidR="008B656E" w:rsidRPr="00AB1490" w14:paraId="19CD540E" w14:textId="77777777" w:rsidTr="00930FDB">
        <w:trPr>
          <w:tblCellSpacing w:w="15" w:type="dxa"/>
        </w:trPr>
        <w:tc>
          <w:tcPr>
            <w:tcW w:w="2088" w:type="pct"/>
            <w:hideMark/>
          </w:tcPr>
          <w:p w14:paraId="2CDE8851"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(vārds, uzvārds)</w:t>
            </w:r>
          </w:p>
          <w:p w14:paraId="702067E2"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(имя, фамилия)</w:t>
            </w:r>
          </w:p>
          <w:p w14:paraId="263E4EDA"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(name, surname)</w:t>
            </w:r>
          </w:p>
        </w:tc>
        <w:tc>
          <w:tcPr>
            <w:tcW w:w="150" w:type="pct"/>
            <w:hideMark/>
          </w:tcPr>
          <w:p w14:paraId="3F63BD83"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p>
        </w:tc>
        <w:tc>
          <w:tcPr>
            <w:tcW w:w="1373" w:type="pct"/>
            <w:hideMark/>
          </w:tcPr>
          <w:p w14:paraId="706A2CE5"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(paraksts)</w:t>
            </w:r>
          </w:p>
          <w:p w14:paraId="34493305"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(подпись)</w:t>
            </w:r>
          </w:p>
          <w:p w14:paraId="77371AF5"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(signature)</w:t>
            </w:r>
          </w:p>
        </w:tc>
        <w:tc>
          <w:tcPr>
            <w:tcW w:w="150" w:type="pct"/>
            <w:hideMark/>
          </w:tcPr>
          <w:p w14:paraId="18122889"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p>
        </w:tc>
        <w:tc>
          <w:tcPr>
            <w:tcW w:w="1140" w:type="pct"/>
            <w:hideMark/>
          </w:tcPr>
          <w:p w14:paraId="0BA9C93E"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(datums)</w:t>
            </w:r>
          </w:p>
          <w:p w14:paraId="0B9A0F37"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(число)</w:t>
            </w:r>
          </w:p>
          <w:p w14:paraId="30467398" w14:textId="77777777" w:rsidR="008B656E" w:rsidRPr="00AB1490" w:rsidRDefault="008B656E" w:rsidP="00930FDB">
            <w:pPr>
              <w:spacing w:after="0" w:line="240" w:lineRule="auto"/>
              <w:jc w:val="center"/>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(date)</w:t>
            </w:r>
          </w:p>
        </w:tc>
      </w:tr>
    </w:tbl>
    <w:p w14:paraId="751E5BA6" w14:textId="77777777" w:rsidR="008B656E" w:rsidRPr="00AB1490" w:rsidRDefault="008B656E" w:rsidP="008B656E">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8B656E" w:rsidRPr="00AB1490" w14:paraId="584155E7" w14:textId="77777777" w:rsidTr="00930FDB">
        <w:trPr>
          <w:tblCellSpacing w:w="15" w:type="dxa"/>
        </w:trPr>
        <w:tc>
          <w:tcPr>
            <w:tcW w:w="4967" w:type="pct"/>
            <w:vAlign w:val="bottom"/>
            <w:hideMark/>
          </w:tcPr>
          <w:p w14:paraId="28AEE2D9"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Kontaktinformācija:</w:t>
            </w:r>
          </w:p>
        </w:tc>
      </w:tr>
      <w:tr w:rsidR="008B656E" w:rsidRPr="00AB1490" w14:paraId="7C075AA6" w14:textId="77777777" w:rsidTr="00930FDB">
        <w:trPr>
          <w:tblCellSpacing w:w="15" w:type="dxa"/>
        </w:trPr>
        <w:tc>
          <w:tcPr>
            <w:tcW w:w="4967" w:type="pct"/>
            <w:hideMark/>
          </w:tcPr>
          <w:p w14:paraId="5D896C29"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Контактная информация: / Contact details:</w:t>
            </w:r>
          </w:p>
        </w:tc>
      </w:tr>
    </w:tbl>
    <w:p w14:paraId="412D98E0" w14:textId="77777777" w:rsidR="008B656E" w:rsidRPr="00AB1490" w:rsidRDefault="008B656E" w:rsidP="008B656E">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890"/>
        <w:gridCol w:w="2121"/>
        <w:gridCol w:w="435"/>
        <w:gridCol w:w="2489"/>
        <w:gridCol w:w="2136"/>
      </w:tblGrid>
      <w:tr w:rsidR="008B656E" w:rsidRPr="00AB1490" w14:paraId="23BDC412" w14:textId="77777777" w:rsidTr="00930FDB">
        <w:trPr>
          <w:tblCellSpacing w:w="15" w:type="dxa"/>
        </w:trPr>
        <w:tc>
          <w:tcPr>
            <w:tcW w:w="1016" w:type="pct"/>
            <w:vAlign w:val="bottom"/>
            <w:hideMark/>
          </w:tcPr>
          <w:p w14:paraId="0D4EABE9" w14:textId="77777777" w:rsidR="008B656E" w:rsidRPr="00AB1490" w:rsidRDefault="008B656E" w:rsidP="00930FDB">
            <w:pPr>
              <w:keepNext/>
              <w:spacing w:after="0" w:line="240" w:lineRule="auto"/>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lastRenderedPageBreak/>
              <w:t>tālrunis</w:t>
            </w:r>
          </w:p>
        </w:tc>
        <w:tc>
          <w:tcPr>
            <w:tcW w:w="1153" w:type="pct"/>
            <w:tcBorders>
              <w:bottom w:val="single" w:sz="6" w:space="0" w:color="auto"/>
            </w:tcBorders>
            <w:vAlign w:val="bottom"/>
          </w:tcPr>
          <w:p w14:paraId="1E25B7A7" w14:textId="77777777" w:rsidR="008B656E" w:rsidRPr="00AB1490" w:rsidRDefault="008B656E" w:rsidP="00930FDB">
            <w:pPr>
              <w:keepNext/>
              <w:spacing w:after="0" w:line="240" w:lineRule="auto"/>
              <w:jc w:val="both"/>
              <w:rPr>
                <w:rFonts w:ascii="Times New Roman" w:eastAsia="Times New Roman" w:hAnsi="Times New Roman" w:cs="Times New Roman"/>
                <w:noProof/>
                <w:sz w:val="24"/>
                <w:szCs w:val="24"/>
                <w:lang w:eastAsia="lv-LV"/>
              </w:rPr>
            </w:pPr>
          </w:p>
        </w:tc>
        <w:tc>
          <w:tcPr>
            <w:tcW w:w="223" w:type="pct"/>
            <w:vAlign w:val="bottom"/>
          </w:tcPr>
          <w:p w14:paraId="28034960" w14:textId="77777777" w:rsidR="008B656E" w:rsidRPr="00AB1490" w:rsidRDefault="008B656E" w:rsidP="00930FDB">
            <w:pPr>
              <w:keepNext/>
              <w:spacing w:after="0" w:line="240" w:lineRule="auto"/>
              <w:jc w:val="both"/>
              <w:rPr>
                <w:rFonts w:ascii="Times New Roman" w:eastAsia="Times New Roman" w:hAnsi="Times New Roman" w:cs="Times New Roman"/>
                <w:noProof/>
                <w:sz w:val="24"/>
                <w:szCs w:val="24"/>
                <w:lang w:eastAsia="lv-LV"/>
              </w:rPr>
            </w:pPr>
          </w:p>
        </w:tc>
        <w:tc>
          <w:tcPr>
            <w:tcW w:w="1356" w:type="pct"/>
            <w:vAlign w:val="bottom"/>
            <w:hideMark/>
          </w:tcPr>
          <w:p w14:paraId="2122BB33" w14:textId="77777777" w:rsidR="008B656E" w:rsidRPr="00AB1490" w:rsidRDefault="008B656E" w:rsidP="00930FDB">
            <w:pPr>
              <w:keepNext/>
              <w:spacing w:after="0" w:line="240" w:lineRule="auto"/>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e-pasta adrese</w:t>
            </w:r>
          </w:p>
        </w:tc>
        <w:tc>
          <w:tcPr>
            <w:tcW w:w="1153" w:type="pct"/>
            <w:tcBorders>
              <w:bottom w:val="single" w:sz="6" w:space="0" w:color="auto"/>
            </w:tcBorders>
            <w:vAlign w:val="bottom"/>
            <w:hideMark/>
          </w:tcPr>
          <w:p w14:paraId="4C744667" w14:textId="77777777" w:rsidR="008B656E" w:rsidRPr="00AB1490" w:rsidRDefault="008B656E" w:rsidP="00930FDB">
            <w:pPr>
              <w:keepNext/>
              <w:spacing w:after="0" w:line="240" w:lineRule="auto"/>
              <w:jc w:val="both"/>
              <w:rPr>
                <w:rFonts w:ascii="Times New Roman" w:eastAsia="Times New Roman" w:hAnsi="Times New Roman" w:cs="Times New Roman"/>
                <w:noProof/>
                <w:sz w:val="24"/>
                <w:szCs w:val="24"/>
                <w:lang w:eastAsia="lv-LV"/>
              </w:rPr>
            </w:pPr>
          </w:p>
        </w:tc>
      </w:tr>
      <w:tr w:rsidR="008B656E" w:rsidRPr="00AB1490" w14:paraId="5265E81A" w14:textId="77777777" w:rsidTr="00930FDB">
        <w:trPr>
          <w:tblCellSpacing w:w="15" w:type="dxa"/>
        </w:trPr>
        <w:tc>
          <w:tcPr>
            <w:tcW w:w="1016" w:type="pct"/>
            <w:hideMark/>
          </w:tcPr>
          <w:p w14:paraId="4217BA89" w14:textId="77777777" w:rsidR="008B656E" w:rsidRPr="00AB1490" w:rsidRDefault="008B656E" w:rsidP="00930FDB">
            <w:pPr>
              <w:keepNext/>
              <w:spacing w:after="0" w:line="240" w:lineRule="auto"/>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телефон / phone</w:t>
            </w:r>
          </w:p>
        </w:tc>
        <w:tc>
          <w:tcPr>
            <w:tcW w:w="1153" w:type="pct"/>
          </w:tcPr>
          <w:p w14:paraId="235BE500" w14:textId="77777777" w:rsidR="008B656E" w:rsidRPr="00AB1490" w:rsidRDefault="008B656E" w:rsidP="00930FDB">
            <w:pPr>
              <w:keepNext/>
              <w:spacing w:after="0" w:line="240" w:lineRule="auto"/>
              <w:jc w:val="both"/>
              <w:rPr>
                <w:rFonts w:ascii="Times New Roman" w:eastAsia="Times New Roman" w:hAnsi="Times New Roman" w:cs="Times New Roman"/>
                <w:noProof/>
                <w:sz w:val="24"/>
                <w:szCs w:val="24"/>
                <w:lang w:eastAsia="lv-LV"/>
              </w:rPr>
            </w:pPr>
          </w:p>
        </w:tc>
        <w:tc>
          <w:tcPr>
            <w:tcW w:w="223" w:type="pct"/>
          </w:tcPr>
          <w:p w14:paraId="176CF291" w14:textId="77777777" w:rsidR="008B656E" w:rsidRPr="00AB1490" w:rsidRDefault="008B656E" w:rsidP="00930FDB">
            <w:pPr>
              <w:keepNext/>
              <w:spacing w:after="0" w:line="240" w:lineRule="auto"/>
              <w:jc w:val="both"/>
              <w:rPr>
                <w:rFonts w:ascii="Times New Roman" w:eastAsia="Times New Roman" w:hAnsi="Times New Roman" w:cs="Times New Roman"/>
                <w:noProof/>
                <w:sz w:val="24"/>
                <w:szCs w:val="24"/>
                <w:lang w:eastAsia="lv-LV"/>
              </w:rPr>
            </w:pPr>
          </w:p>
        </w:tc>
        <w:tc>
          <w:tcPr>
            <w:tcW w:w="1356" w:type="pct"/>
            <w:hideMark/>
          </w:tcPr>
          <w:p w14:paraId="49A255AE" w14:textId="77777777" w:rsidR="008B656E" w:rsidRPr="00AB1490" w:rsidRDefault="008B656E" w:rsidP="00930FDB">
            <w:pPr>
              <w:keepNext/>
              <w:spacing w:after="0" w:line="240" w:lineRule="auto"/>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адрес э-почты / e-mail</w:t>
            </w:r>
          </w:p>
        </w:tc>
        <w:tc>
          <w:tcPr>
            <w:tcW w:w="1153" w:type="pct"/>
            <w:hideMark/>
          </w:tcPr>
          <w:p w14:paraId="73BDC61B" w14:textId="77777777" w:rsidR="008B656E" w:rsidRPr="00AB1490" w:rsidRDefault="008B656E" w:rsidP="00930FDB">
            <w:pPr>
              <w:keepNext/>
              <w:spacing w:after="0" w:line="240" w:lineRule="auto"/>
              <w:jc w:val="both"/>
              <w:rPr>
                <w:rFonts w:ascii="Times New Roman" w:eastAsia="Times New Roman" w:hAnsi="Times New Roman" w:cs="Times New Roman"/>
                <w:noProof/>
                <w:sz w:val="24"/>
                <w:szCs w:val="24"/>
                <w:lang w:eastAsia="lv-LV"/>
              </w:rPr>
            </w:pPr>
          </w:p>
        </w:tc>
      </w:tr>
    </w:tbl>
    <w:p w14:paraId="2A8615AC" w14:textId="77777777" w:rsidR="008B656E" w:rsidRPr="00AB1490" w:rsidRDefault="008B656E" w:rsidP="008B656E">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8B656E" w:rsidRPr="00AB1490" w14:paraId="5B10D5FF" w14:textId="77777777" w:rsidTr="00930FDB">
        <w:tc>
          <w:tcPr>
            <w:tcW w:w="5000" w:type="pct"/>
            <w:hideMark/>
          </w:tcPr>
          <w:p w14:paraId="74FA345C"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 Ja piemēro Savienības tranzīta procedūru, – Savienības tranzīta procedūras izmantotājs.</w:t>
            </w:r>
          </w:p>
          <w:p w14:paraId="3DB79533"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 Ja pārskaitījumu veic uz Krievijas Federāciju.</w:t>
            </w:r>
          </w:p>
          <w:p w14:paraId="46E38F08" w14:textId="77777777" w:rsidR="008B656E" w:rsidRPr="00AB1490" w:rsidRDefault="008B656E" w:rsidP="00930FDB">
            <w:pPr>
              <w:spacing w:after="0" w:line="240" w:lineRule="auto"/>
              <w:jc w:val="both"/>
              <w:rPr>
                <w:rFonts w:ascii="Times New Roman" w:eastAsia="Times New Roman" w:hAnsi="Times New Roman" w:cs="Times New Roman"/>
                <w:b/>
                <w:bCs/>
                <w:noProof/>
                <w:sz w:val="24"/>
                <w:szCs w:val="24"/>
                <w:lang w:eastAsia="lv-LV"/>
              </w:rPr>
            </w:pPr>
          </w:p>
          <w:p w14:paraId="22F30704" w14:textId="77777777" w:rsidR="008B656E" w:rsidRPr="00AB1490" w:rsidRDefault="008B656E" w:rsidP="00930FDB">
            <w:pPr>
              <w:spacing w:after="0" w:line="240" w:lineRule="auto"/>
              <w:jc w:val="both"/>
              <w:rPr>
                <w:rFonts w:ascii="Times New Roman" w:eastAsia="Times New Roman" w:hAnsi="Times New Roman" w:cs="Times New Roman"/>
                <w:b/>
                <w:bCs/>
                <w:noProof/>
                <w:sz w:val="24"/>
                <w:szCs w:val="24"/>
                <w:lang w:eastAsia="lv-LV"/>
              </w:rPr>
            </w:pPr>
            <w:r w:rsidRPr="00AB1490">
              <w:rPr>
                <w:rFonts w:ascii="Times New Roman" w:eastAsia="Times New Roman" w:hAnsi="Times New Roman" w:cs="Times New Roman"/>
                <w:b/>
                <w:bCs/>
                <w:noProof/>
                <w:sz w:val="24"/>
                <w:szCs w:val="24"/>
                <w:lang w:eastAsia="lv-LV"/>
              </w:rPr>
              <w:t>N. B. Izmaksas par pārskaitījuma veikšanu un valūtas konvertāciju, kā arī izmaksas par noraidītu maksājumu, ja norādīti nekorekti saņēmēja rekvizīti, tiek segtas no iemaksātās drošības naudas.</w:t>
            </w:r>
          </w:p>
          <w:p w14:paraId="6060E783"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p w14:paraId="009E7C3D"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 xml:space="preserve">Ja iesniegumā norādīto informāciju ir nepieciešams papildināt vai precizēt, lūdzu precizēto informāciju, norādot muitas deklarācijas datumu un numuru, sūtīt uz e-pasta adresi: </w:t>
            </w:r>
            <w:r w:rsidRPr="00AB1490">
              <w:rPr>
                <w:rFonts w:ascii="Times New Roman" w:eastAsia="Times New Roman" w:hAnsi="Times New Roman" w:cs="Times New Roman"/>
                <w:b/>
                <w:bCs/>
                <w:noProof/>
                <w:sz w:val="24"/>
                <w:szCs w:val="24"/>
                <w:lang w:eastAsia="lv-LV"/>
              </w:rPr>
              <w:t>MP.lietvediba@vid.gov.lv</w:t>
            </w:r>
          </w:p>
        </w:tc>
      </w:tr>
    </w:tbl>
    <w:p w14:paraId="2FEE8D6D" w14:textId="77777777" w:rsidR="008B656E" w:rsidRPr="00AB1490" w:rsidRDefault="008B656E" w:rsidP="008B656E">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8B656E" w:rsidRPr="00AB1490" w14:paraId="1862C5BC" w14:textId="77777777" w:rsidTr="00930FDB">
        <w:tc>
          <w:tcPr>
            <w:tcW w:w="5000" w:type="pct"/>
            <w:hideMark/>
          </w:tcPr>
          <w:p w14:paraId="6DB46237"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 B случае применения процедуры транзита Сообщества – держатель процедуры транзита Сообщества.</w:t>
            </w:r>
          </w:p>
          <w:p w14:paraId="3C28CD18"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 B случае, если перечисление осуществляется в Российскую Федерацию.</w:t>
            </w:r>
          </w:p>
          <w:p w14:paraId="0450E7F7" w14:textId="77777777" w:rsidR="008B656E" w:rsidRPr="00AB1490" w:rsidRDefault="008B656E" w:rsidP="00930FDB">
            <w:pPr>
              <w:spacing w:after="0" w:line="240" w:lineRule="auto"/>
              <w:jc w:val="both"/>
              <w:rPr>
                <w:rFonts w:ascii="Times New Roman" w:eastAsia="Times New Roman" w:hAnsi="Times New Roman" w:cs="Times New Roman"/>
                <w:b/>
                <w:bCs/>
                <w:noProof/>
                <w:sz w:val="24"/>
                <w:szCs w:val="24"/>
                <w:lang w:eastAsia="lv-LV"/>
              </w:rPr>
            </w:pPr>
          </w:p>
          <w:p w14:paraId="2EDFA4D4" w14:textId="77777777" w:rsidR="008B656E" w:rsidRPr="00AB1490" w:rsidRDefault="008B656E" w:rsidP="00930FDB">
            <w:pPr>
              <w:spacing w:after="0" w:line="240" w:lineRule="auto"/>
              <w:jc w:val="both"/>
              <w:rPr>
                <w:rFonts w:ascii="Times New Roman" w:eastAsia="Times New Roman" w:hAnsi="Times New Roman" w:cs="Times New Roman"/>
                <w:b/>
                <w:bCs/>
                <w:noProof/>
                <w:sz w:val="24"/>
                <w:szCs w:val="24"/>
                <w:lang w:eastAsia="lv-LV"/>
              </w:rPr>
            </w:pPr>
            <w:r w:rsidRPr="00AB1490">
              <w:rPr>
                <w:rFonts w:ascii="Times New Roman" w:eastAsia="Times New Roman" w:hAnsi="Times New Roman" w:cs="Times New Roman"/>
                <w:b/>
                <w:bCs/>
                <w:noProof/>
                <w:sz w:val="24"/>
                <w:szCs w:val="24"/>
                <w:lang w:eastAsia="lv-LV"/>
              </w:rPr>
              <w:t>N. B. Издержки за осуществление перевода и конвертацию валюты, а также за отклонённый платёж в случае указания неверных реквизитов получателя покрываются из уплаченных залоговых денег.</w:t>
            </w:r>
          </w:p>
          <w:p w14:paraId="54C33866"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p w14:paraId="605783A9"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 xml:space="preserve">Если информацию, указанную в заявлении, необходимо дополнить или уточнить, просьба уточнённую информацию с указанием номера и даты декларации направить на адрес электронной почты: </w:t>
            </w:r>
            <w:r w:rsidRPr="00AB1490">
              <w:rPr>
                <w:rFonts w:ascii="Times New Roman" w:eastAsia="Times New Roman" w:hAnsi="Times New Roman" w:cs="Times New Roman"/>
                <w:b/>
                <w:bCs/>
                <w:noProof/>
                <w:sz w:val="24"/>
                <w:szCs w:val="24"/>
                <w:lang w:eastAsia="lv-LV"/>
              </w:rPr>
              <w:t>MP.lietvediba@vid.gov.lv</w:t>
            </w:r>
          </w:p>
        </w:tc>
      </w:tr>
    </w:tbl>
    <w:p w14:paraId="204880E2" w14:textId="77777777" w:rsidR="008B656E" w:rsidRPr="00AB1490" w:rsidRDefault="008B656E" w:rsidP="008B656E">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8B656E" w:rsidRPr="00AB1490" w14:paraId="7DD8C21D" w14:textId="77777777" w:rsidTr="00930FDB">
        <w:tc>
          <w:tcPr>
            <w:tcW w:w="5000" w:type="pct"/>
            <w:hideMark/>
          </w:tcPr>
          <w:p w14:paraId="188531CD"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 In case of application of the Union transit procedure – holder of the Union transit procedure.</w:t>
            </w:r>
          </w:p>
          <w:p w14:paraId="48D434D4"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 In case where transfer has to be made to the Russian Federation.</w:t>
            </w:r>
          </w:p>
          <w:p w14:paraId="0FFB7B11" w14:textId="77777777" w:rsidR="008B656E" w:rsidRPr="00AB1490" w:rsidRDefault="008B656E" w:rsidP="00930FDB">
            <w:pPr>
              <w:spacing w:after="0" w:line="240" w:lineRule="auto"/>
              <w:jc w:val="both"/>
              <w:rPr>
                <w:rFonts w:ascii="Times New Roman" w:eastAsia="Times New Roman" w:hAnsi="Times New Roman" w:cs="Times New Roman"/>
                <w:b/>
                <w:bCs/>
                <w:noProof/>
                <w:sz w:val="24"/>
                <w:szCs w:val="24"/>
                <w:lang w:eastAsia="lv-LV"/>
              </w:rPr>
            </w:pPr>
          </w:p>
          <w:p w14:paraId="3DACEAAE" w14:textId="77777777" w:rsidR="008B656E" w:rsidRPr="00AB1490" w:rsidRDefault="008B656E" w:rsidP="00930FDB">
            <w:pPr>
              <w:spacing w:after="0" w:line="240" w:lineRule="auto"/>
              <w:jc w:val="both"/>
              <w:rPr>
                <w:rFonts w:ascii="Times New Roman" w:eastAsia="Times New Roman" w:hAnsi="Times New Roman" w:cs="Times New Roman"/>
                <w:b/>
                <w:bCs/>
                <w:noProof/>
                <w:sz w:val="24"/>
                <w:szCs w:val="24"/>
                <w:lang w:eastAsia="lv-LV"/>
              </w:rPr>
            </w:pPr>
            <w:r w:rsidRPr="00AB1490">
              <w:rPr>
                <w:rFonts w:ascii="Times New Roman" w:eastAsia="Times New Roman" w:hAnsi="Times New Roman" w:cs="Times New Roman"/>
                <w:b/>
                <w:bCs/>
                <w:noProof/>
                <w:sz w:val="24"/>
                <w:szCs w:val="24"/>
                <w:lang w:eastAsia="lv-LV"/>
              </w:rPr>
              <w:t>N. B. Costs of transfer and currency conversion, as well as costs incurred as a result of rejected payment due to provision of incorrect details of the recipient, shall be borne by the security lodged.</w:t>
            </w:r>
          </w:p>
          <w:p w14:paraId="2DB3F532"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p>
          <w:p w14:paraId="6BD24CCA" w14:textId="77777777" w:rsidR="008B656E" w:rsidRPr="00AB1490" w:rsidRDefault="008B656E" w:rsidP="00930FDB">
            <w:pPr>
              <w:spacing w:after="0" w:line="240" w:lineRule="auto"/>
              <w:jc w:val="both"/>
              <w:rPr>
                <w:rFonts w:ascii="Times New Roman" w:eastAsia="Times New Roman" w:hAnsi="Times New Roman" w:cs="Times New Roman"/>
                <w:noProof/>
                <w:sz w:val="24"/>
                <w:szCs w:val="24"/>
                <w:lang w:eastAsia="lv-LV"/>
              </w:rPr>
            </w:pPr>
            <w:r w:rsidRPr="00AB1490">
              <w:rPr>
                <w:rFonts w:ascii="Times New Roman" w:eastAsia="Times New Roman" w:hAnsi="Times New Roman" w:cs="Times New Roman"/>
                <w:noProof/>
                <w:sz w:val="24"/>
                <w:szCs w:val="24"/>
                <w:lang w:eastAsia="lv-LV"/>
              </w:rPr>
              <w:t xml:space="preserve">If there is a need to supplement or update the information provided in the application, please send the revised information indicating the date and number of customs declaration to the following email address: </w:t>
            </w:r>
            <w:r w:rsidRPr="00AB1490">
              <w:rPr>
                <w:rFonts w:ascii="Times New Roman" w:eastAsia="Times New Roman" w:hAnsi="Times New Roman" w:cs="Times New Roman"/>
                <w:b/>
                <w:bCs/>
                <w:noProof/>
                <w:sz w:val="24"/>
                <w:szCs w:val="24"/>
                <w:lang w:eastAsia="lv-LV"/>
              </w:rPr>
              <w:t>MP.lietvediba@vid.gov.lv</w:t>
            </w:r>
          </w:p>
        </w:tc>
      </w:tr>
    </w:tbl>
    <w:p w14:paraId="7F9BBF8D" w14:textId="77777777" w:rsidR="008B656E" w:rsidRPr="00AB1490" w:rsidRDefault="008B656E" w:rsidP="008B656E">
      <w:pPr>
        <w:spacing w:after="0" w:line="240" w:lineRule="auto"/>
        <w:jc w:val="both"/>
        <w:rPr>
          <w:rFonts w:ascii="Times New Roman" w:eastAsia="Times New Roman" w:hAnsi="Times New Roman" w:cs="Times New Roman"/>
          <w:noProof/>
          <w:sz w:val="24"/>
          <w:szCs w:val="24"/>
          <w:lang w:eastAsia="lv-LV"/>
        </w:rPr>
      </w:pPr>
    </w:p>
    <w:p w14:paraId="15108F84" w14:textId="77777777" w:rsidR="008B656E" w:rsidRPr="00AB1490" w:rsidRDefault="008B656E" w:rsidP="008B656E">
      <w:pPr>
        <w:spacing w:after="0" w:line="240" w:lineRule="auto"/>
        <w:jc w:val="both"/>
        <w:rPr>
          <w:rFonts w:ascii="Times New Roman" w:eastAsia="Times New Roman" w:hAnsi="Times New Roman" w:cs="Times New Roman"/>
          <w:noProof/>
          <w:sz w:val="24"/>
          <w:szCs w:val="24"/>
          <w:lang w:eastAsia="lv-LV"/>
        </w:rPr>
      </w:pPr>
    </w:p>
    <w:p w14:paraId="375E8834" w14:textId="77777777" w:rsidR="008B656E" w:rsidRPr="00AB1490" w:rsidRDefault="008B656E" w:rsidP="008B656E">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Minister for Finance</w:t>
      </w:r>
      <w:r w:rsidRPr="00AB1490">
        <w:rPr>
          <w:rFonts w:ascii="Times New Roman" w:hAnsi="Times New Roman"/>
          <w:sz w:val="24"/>
          <w:szCs w:val="24"/>
        </w:rPr>
        <w:tab/>
      </w:r>
      <w:r w:rsidRPr="00AB1490">
        <w:rPr>
          <w:rFonts w:ascii="Times New Roman" w:hAnsi="Times New Roman"/>
          <w:sz w:val="24"/>
          <w:szCs w:val="24"/>
        </w:rPr>
        <w:tab/>
      </w:r>
      <w:r w:rsidRPr="00AB1490">
        <w:rPr>
          <w:rFonts w:ascii="Times New Roman" w:hAnsi="Times New Roman"/>
          <w:sz w:val="24"/>
          <w:szCs w:val="24"/>
        </w:rPr>
        <w:tab/>
      </w:r>
      <w:r w:rsidRPr="00AB1490">
        <w:rPr>
          <w:rFonts w:ascii="Times New Roman" w:hAnsi="Times New Roman"/>
          <w:sz w:val="24"/>
          <w:szCs w:val="24"/>
        </w:rPr>
        <w:tab/>
      </w:r>
      <w:r w:rsidRPr="00AB1490">
        <w:rPr>
          <w:rFonts w:ascii="Times New Roman" w:hAnsi="Times New Roman"/>
          <w:sz w:val="24"/>
          <w:szCs w:val="24"/>
        </w:rPr>
        <w:tab/>
      </w:r>
      <w:r w:rsidRPr="00AB1490">
        <w:rPr>
          <w:rFonts w:ascii="Times New Roman" w:hAnsi="Times New Roman"/>
          <w:sz w:val="24"/>
          <w:szCs w:val="24"/>
        </w:rPr>
        <w:tab/>
      </w:r>
      <w:r w:rsidRPr="00AB1490">
        <w:rPr>
          <w:rFonts w:ascii="Times New Roman" w:hAnsi="Times New Roman"/>
          <w:sz w:val="24"/>
          <w:szCs w:val="24"/>
        </w:rPr>
        <w:tab/>
        <w:t>Dana Reizniece-Ozola</w:t>
      </w:r>
    </w:p>
    <w:p w14:paraId="4100FC9B" w14:textId="2A6B7E6A" w:rsidR="005E3390" w:rsidRPr="00AB1490" w:rsidRDefault="005E3390" w:rsidP="008441D4">
      <w:pPr>
        <w:spacing w:after="0" w:line="240" w:lineRule="auto"/>
        <w:jc w:val="both"/>
        <w:rPr>
          <w:rFonts w:ascii="Times New Roman" w:eastAsia="Times New Roman" w:hAnsi="Times New Roman" w:cs="Times New Roman"/>
          <w:noProof/>
          <w:sz w:val="24"/>
          <w:szCs w:val="24"/>
          <w:lang w:eastAsia="lv-LV"/>
        </w:rPr>
      </w:pPr>
    </w:p>
    <w:p w14:paraId="78DD6B91" w14:textId="77777777" w:rsidR="008B656E" w:rsidRPr="00AB1490" w:rsidRDefault="008B656E" w:rsidP="008441D4">
      <w:pPr>
        <w:spacing w:after="0" w:line="240" w:lineRule="auto"/>
        <w:jc w:val="both"/>
        <w:rPr>
          <w:rFonts w:ascii="Times New Roman" w:eastAsia="Times New Roman" w:hAnsi="Times New Roman" w:cs="Times New Roman"/>
          <w:noProof/>
          <w:sz w:val="24"/>
          <w:szCs w:val="24"/>
          <w:lang w:eastAsia="lv-LV"/>
        </w:rPr>
      </w:pPr>
    </w:p>
    <w:p w14:paraId="1B92B0FC" w14:textId="77777777" w:rsidR="005E3390" w:rsidRPr="00AB1490" w:rsidRDefault="005E3390">
      <w:pPr>
        <w:rPr>
          <w:rFonts w:ascii="Times New Roman" w:eastAsia="Times New Roman" w:hAnsi="Times New Roman" w:cs="Times New Roman"/>
          <w:noProof/>
          <w:sz w:val="24"/>
          <w:szCs w:val="24"/>
        </w:rPr>
      </w:pPr>
      <w:r w:rsidRPr="00AB1490">
        <w:br w:type="page"/>
      </w:r>
    </w:p>
    <w:p w14:paraId="3FC3D957" w14:textId="77777777" w:rsidR="005E3390" w:rsidRPr="00AB1490" w:rsidRDefault="005E3390" w:rsidP="008441D4">
      <w:pPr>
        <w:spacing w:after="0" w:line="240" w:lineRule="auto"/>
        <w:jc w:val="both"/>
        <w:rPr>
          <w:rFonts w:ascii="Times New Roman" w:eastAsia="Times New Roman" w:hAnsi="Times New Roman" w:cs="Times New Roman"/>
          <w:noProof/>
          <w:sz w:val="24"/>
          <w:szCs w:val="24"/>
          <w:lang w:eastAsia="lv-LV"/>
        </w:rPr>
      </w:pPr>
    </w:p>
    <w:p w14:paraId="24ACA11E" w14:textId="659C7F13" w:rsidR="008441D4" w:rsidRPr="00AB1490" w:rsidRDefault="008441D4" w:rsidP="005E3390">
      <w:pPr>
        <w:spacing w:after="0" w:line="240" w:lineRule="auto"/>
        <w:jc w:val="right"/>
        <w:rPr>
          <w:rFonts w:ascii="Times New Roman" w:eastAsia="Times New Roman" w:hAnsi="Times New Roman" w:cs="Times New Roman"/>
          <w:b/>
          <w:bCs/>
          <w:noProof/>
          <w:sz w:val="24"/>
          <w:szCs w:val="24"/>
        </w:rPr>
      </w:pPr>
      <w:r w:rsidRPr="00AB1490">
        <w:rPr>
          <w:rFonts w:ascii="Times New Roman" w:hAnsi="Times New Roman"/>
          <w:b/>
          <w:bCs/>
          <w:sz w:val="24"/>
          <w:szCs w:val="24"/>
        </w:rPr>
        <w:t>Annex 2</w:t>
      </w:r>
    </w:p>
    <w:p w14:paraId="1AC023AF" w14:textId="0FBC1F71" w:rsidR="008441D4" w:rsidRPr="00AB1490" w:rsidRDefault="008441D4" w:rsidP="005E3390">
      <w:pPr>
        <w:spacing w:after="0" w:line="240" w:lineRule="auto"/>
        <w:jc w:val="right"/>
        <w:rPr>
          <w:rFonts w:ascii="Times New Roman" w:eastAsia="Times New Roman" w:hAnsi="Times New Roman" w:cs="Times New Roman"/>
          <w:noProof/>
          <w:sz w:val="24"/>
          <w:szCs w:val="24"/>
        </w:rPr>
      </w:pPr>
      <w:r w:rsidRPr="00AB1490">
        <w:rPr>
          <w:rFonts w:ascii="Times New Roman" w:hAnsi="Times New Roman"/>
          <w:sz w:val="24"/>
          <w:szCs w:val="24"/>
        </w:rPr>
        <w:t>Cabinet</w:t>
      </w:r>
      <w:r w:rsidR="008B656E" w:rsidRPr="00AB1490">
        <w:rPr>
          <w:rFonts w:ascii="Times New Roman" w:hAnsi="Times New Roman"/>
          <w:sz w:val="24"/>
          <w:szCs w:val="24"/>
        </w:rPr>
        <w:t xml:space="preserve"> </w:t>
      </w:r>
      <w:r w:rsidRPr="00AB1490">
        <w:rPr>
          <w:rFonts w:ascii="Times New Roman" w:hAnsi="Times New Roman"/>
          <w:sz w:val="24"/>
          <w:szCs w:val="24"/>
        </w:rPr>
        <w:t>Regulation No. 86</w:t>
      </w:r>
    </w:p>
    <w:p w14:paraId="333DAA82" w14:textId="5775A57D" w:rsidR="008441D4" w:rsidRPr="00AB1490" w:rsidRDefault="008441D4" w:rsidP="005E3390">
      <w:pPr>
        <w:spacing w:after="0" w:line="240" w:lineRule="auto"/>
        <w:jc w:val="right"/>
        <w:rPr>
          <w:rFonts w:ascii="Times New Roman" w:eastAsia="Times New Roman" w:hAnsi="Times New Roman" w:cs="Times New Roman"/>
          <w:noProof/>
          <w:sz w:val="24"/>
          <w:szCs w:val="24"/>
        </w:rPr>
      </w:pPr>
      <w:r w:rsidRPr="00AB1490">
        <w:rPr>
          <w:rFonts w:ascii="Times New Roman" w:hAnsi="Times New Roman"/>
          <w:sz w:val="24"/>
          <w:szCs w:val="24"/>
        </w:rPr>
        <w:t>13 February 2018</w:t>
      </w:r>
      <w:bookmarkStart w:id="234" w:name="piel-649603"/>
      <w:bookmarkStart w:id="235" w:name="piel2"/>
      <w:bookmarkEnd w:id="234"/>
      <w:bookmarkEnd w:id="235"/>
    </w:p>
    <w:p w14:paraId="575A7FCE" w14:textId="45E5E20B" w:rsidR="005E3390" w:rsidRPr="00AB1490" w:rsidRDefault="005E3390" w:rsidP="008441D4">
      <w:pPr>
        <w:spacing w:after="0" w:line="240" w:lineRule="auto"/>
        <w:jc w:val="both"/>
        <w:rPr>
          <w:rFonts w:ascii="Times New Roman" w:eastAsia="Times New Roman" w:hAnsi="Times New Roman" w:cs="Times New Roman"/>
          <w:noProof/>
          <w:sz w:val="24"/>
          <w:szCs w:val="24"/>
          <w:lang w:eastAsia="lv-LV"/>
        </w:rPr>
      </w:pPr>
    </w:p>
    <w:p w14:paraId="1F1DA287" w14:textId="77777777" w:rsidR="005E3390" w:rsidRPr="00AB1490" w:rsidRDefault="005E3390" w:rsidP="008441D4">
      <w:pPr>
        <w:spacing w:after="0" w:line="240" w:lineRule="auto"/>
        <w:jc w:val="both"/>
        <w:rPr>
          <w:rFonts w:ascii="Times New Roman" w:eastAsia="Times New Roman" w:hAnsi="Times New Roman" w:cs="Times New Roman"/>
          <w:noProof/>
          <w:sz w:val="24"/>
          <w:szCs w:val="24"/>
          <w:lang w:eastAsia="lv-LV"/>
        </w:rPr>
      </w:pPr>
    </w:p>
    <w:p w14:paraId="3BD62190" w14:textId="77777777" w:rsidR="008441D4" w:rsidRPr="00AB1490" w:rsidRDefault="008441D4" w:rsidP="005E3390">
      <w:pPr>
        <w:spacing w:after="0" w:line="240" w:lineRule="auto"/>
        <w:jc w:val="center"/>
        <w:rPr>
          <w:rFonts w:ascii="Times New Roman" w:eastAsia="Times New Roman" w:hAnsi="Times New Roman" w:cs="Times New Roman"/>
          <w:noProof/>
          <w:sz w:val="24"/>
          <w:szCs w:val="24"/>
        </w:rPr>
      </w:pPr>
      <w:r w:rsidRPr="00AB1490">
        <w:rPr>
          <w:rFonts w:ascii="Times New Roman" w:hAnsi="Times New Roman"/>
          <w:sz w:val="24"/>
          <w:szCs w:val="24"/>
        </w:rPr>
        <w:t>REPUBLIC OF LATVIA</w:t>
      </w:r>
    </w:p>
    <w:p w14:paraId="5FC303A8" w14:textId="4EF0E969" w:rsidR="008441D4" w:rsidRPr="00AB1490" w:rsidRDefault="008441D4" w:rsidP="005E3390">
      <w:pPr>
        <w:spacing w:after="0" w:line="240" w:lineRule="auto"/>
        <w:jc w:val="center"/>
        <w:rPr>
          <w:rFonts w:ascii="Times New Roman" w:eastAsia="Times New Roman" w:hAnsi="Times New Roman" w:cs="Times New Roman"/>
          <w:noProof/>
          <w:sz w:val="24"/>
          <w:szCs w:val="24"/>
        </w:rPr>
      </w:pPr>
      <w:r w:rsidRPr="00AB1490">
        <w:rPr>
          <w:rFonts w:ascii="Times New Roman" w:hAnsi="Times New Roman"/>
          <w:sz w:val="24"/>
          <w:szCs w:val="24"/>
        </w:rPr>
        <w:t>STATE REVENUE SERVICE</w:t>
      </w:r>
    </w:p>
    <w:p w14:paraId="0B374F38" w14:textId="77777777" w:rsidR="005E3390" w:rsidRPr="00AB1490" w:rsidRDefault="005E3390" w:rsidP="008441D4">
      <w:pPr>
        <w:spacing w:after="0" w:line="240" w:lineRule="auto"/>
        <w:jc w:val="both"/>
        <w:rPr>
          <w:rFonts w:ascii="Times New Roman" w:eastAsia="Times New Roman" w:hAnsi="Times New Roman" w:cs="Times New Roman"/>
          <w:noProof/>
          <w:sz w:val="24"/>
          <w:szCs w:val="24"/>
          <w:lang w:eastAsia="lv-LV"/>
        </w:rPr>
      </w:pPr>
    </w:p>
    <w:p w14:paraId="57703A58" w14:textId="63E6C44D" w:rsidR="008441D4" w:rsidRPr="00AB1490" w:rsidRDefault="008441D4" w:rsidP="005E3390">
      <w:pPr>
        <w:spacing w:after="0" w:line="240" w:lineRule="auto"/>
        <w:jc w:val="center"/>
        <w:rPr>
          <w:rFonts w:ascii="Times New Roman" w:eastAsia="Times New Roman" w:hAnsi="Times New Roman" w:cs="Times New Roman"/>
          <w:b/>
          <w:bCs/>
          <w:noProof/>
          <w:sz w:val="24"/>
          <w:szCs w:val="24"/>
        </w:rPr>
      </w:pPr>
      <w:r w:rsidRPr="00AB1490">
        <w:rPr>
          <w:rFonts w:ascii="Times New Roman" w:hAnsi="Times New Roman"/>
          <w:b/>
          <w:bCs/>
          <w:sz w:val="24"/>
          <w:szCs w:val="24"/>
        </w:rPr>
        <w:t>Invoice No. RE ______</w:t>
      </w:r>
    </w:p>
    <w:p w14:paraId="27059737" w14:textId="77777777" w:rsidR="005E3390" w:rsidRPr="00AB1490" w:rsidRDefault="005E3390" w:rsidP="005E3390">
      <w:pPr>
        <w:spacing w:after="0" w:line="240" w:lineRule="auto"/>
        <w:jc w:val="center"/>
        <w:rPr>
          <w:rFonts w:ascii="Times New Roman" w:eastAsia="Times New Roman" w:hAnsi="Times New Roman" w:cs="Times New Roman"/>
          <w:b/>
          <w:bCs/>
          <w:noProof/>
          <w:sz w:val="24"/>
          <w:szCs w:val="24"/>
          <w:lang w:eastAsia="lv-LV"/>
        </w:rPr>
      </w:pPr>
    </w:p>
    <w:p w14:paraId="077B148B" w14:textId="1C86D945" w:rsidR="008441D4" w:rsidRPr="00AB1490" w:rsidRDefault="008441D4" w:rsidP="005E3390">
      <w:pPr>
        <w:spacing w:after="0" w:line="240" w:lineRule="auto"/>
        <w:jc w:val="center"/>
        <w:rPr>
          <w:rFonts w:ascii="Times New Roman" w:eastAsia="Times New Roman" w:hAnsi="Times New Roman" w:cs="Times New Roman"/>
          <w:noProof/>
          <w:sz w:val="24"/>
          <w:szCs w:val="24"/>
        </w:rPr>
      </w:pPr>
      <w:r w:rsidRPr="00AB1490">
        <w:rPr>
          <w:rFonts w:ascii="Times New Roman" w:hAnsi="Times New Roman"/>
          <w:sz w:val="24"/>
          <w:szCs w:val="24"/>
        </w:rPr>
        <w:t>Issued on ___________</w:t>
      </w:r>
    </w:p>
    <w:p w14:paraId="7C4A000F" w14:textId="77777777" w:rsidR="005E3390" w:rsidRPr="00AB1490" w:rsidRDefault="005E3390" w:rsidP="008441D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32"/>
        <w:gridCol w:w="725"/>
        <w:gridCol w:w="4204"/>
      </w:tblGrid>
      <w:tr w:rsidR="008441D4" w:rsidRPr="00AB1490" w14:paraId="0A74B0E8" w14:textId="77777777" w:rsidTr="00593F41">
        <w:tc>
          <w:tcPr>
            <w:tcW w:w="2280" w:type="pct"/>
            <w:tcBorders>
              <w:top w:val="single" w:sz="4" w:space="0" w:color="auto"/>
              <w:left w:val="single" w:sz="4" w:space="0" w:color="auto"/>
              <w:bottom w:val="single" w:sz="4" w:space="0" w:color="auto"/>
              <w:right w:val="single" w:sz="4" w:space="0" w:color="auto"/>
            </w:tcBorders>
            <w:hideMark/>
          </w:tcPr>
          <w:p w14:paraId="17CFD26B" w14:textId="77777777" w:rsidR="008441D4" w:rsidRPr="00AB1490" w:rsidRDefault="008441D4" w:rsidP="008441D4">
            <w:pPr>
              <w:spacing w:after="0" w:line="240" w:lineRule="auto"/>
              <w:jc w:val="both"/>
              <w:rPr>
                <w:rFonts w:ascii="Times New Roman" w:eastAsia="Times New Roman" w:hAnsi="Times New Roman" w:cs="Times New Roman"/>
                <w:b/>
                <w:bCs/>
                <w:noProof/>
                <w:sz w:val="24"/>
                <w:szCs w:val="24"/>
              </w:rPr>
            </w:pPr>
            <w:r w:rsidRPr="00AB1490">
              <w:rPr>
                <w:rFonts w:ascii="Times New Roman" w:hAnsi="Times New Roman"/>
                <w:b/>
                <w:bCs/>
                <w:sz w:val="24"/>
                <w:szCs w:val="24"/>
              </w:rPr>
              <w:t>Payer:</w:t>
            </w:r>
          </w:p>
        </w:tc>
        <w:tc>
          <w:tcPr>
            <w:tcW w:w="400" w:type="pct"/>
            <w:tcBorders>
              <w:left w:val="single" w:sz="4" w:space="0" w:color="auto"/>
              <w:right w:val="single" w:sz="4" w:space="0" w:color="auto"/>
            </w:tcBorders>
          </w:tcPr>
          <w:p w14:paraId="1AC81602" w14:textId="570381C0"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c>
          <w:tcPr>
            <w:tcW w:w="2320" w:type="pct"/>
            <w:tcBorders>
              <w:top w:val="single" w:sz="4" w:space="0" w:color="auto"/>
              <w:left w:val="single" w:sz="4" w:space="0" w:color="auto"/>
              <w:bottom w:val="single" w:sz="4" w:space="0" w:color="auto"/>
              <w:right w:val="single" w:sz="4" w:space="0" w:color="auto"/>
            </w:tcBorders>
            <w:hideMark/>
          </w:tcPr>
          <w:p w14:paraId="09011AFA" w14:textId="77777777" w:rsidR="008441D4" w:rsidRPr="00AB1490" w:rsidRDefault="008441D4" w:rsidP="008441D4">
            <w:pPr>
              <w:spacing w:after="0" w:line="240" w:lineRule="auto"/>
              <w:jc w:val="both"/>
              <w:rPr>
                <w:rFonts w:ascii="Times New Roman" w:eastAsia="Times New Roman" w:hAnsi="Times New Roman" w:cs="Times New Roman"/>
                <w:b/>
                <w:bCs/>
                <w:noProof/>
                <w:sz w:val="24"/>
                <w:szCs w:val="24"/>
              </w:rPr>
            </w:pPr>
            <w:r w:rsidRPr="00AB1490">
              <w:rPr>
                <w:rFonts w:ascii="Times New Roman" w:hAnsi="Times New Roman"/>
                <w:b/>
                <w:bCs/>
                <w:sz w:val="24"/>
                <w:szCs w:val="24"/>
              </w:rPr>
              <w:t>Recipient:</w:t>
            </w:r>
          </w:p>
        </w:tc>
      </w:tr>
      <w:tr w:rsidR="008441D4" w:rsidRPr="00AB1490" w14:paraId="7B9A56A2" w14:textId="77777777" w:rsidTr="00593F41">
        <w:tc>
          <w:tcPr>
            <w:tcW w:w="2280" w:type="pct"/>
            <w:tcBorders>
              <w:top w:val="single" w:sz="4" w:space="0" w:color="auto"/>
              <w:left w:val="single" w:sz="4" w:space="0" w:color="auto"/>
              <w:bottom w:val="single" w:sz="4" w:space="0" w:color="auto"/>
              <w:right w:val="single" w:sz="4" w:space="0" w:color="auto"/>
            </w:tcBorders>
            <w:hideMark/>
          </w:tcPr>
          <w:p w14:paraId="79259ADA" w14:textId="77777777" w:rsidR="008441D4" w:rsidRPr="00AB1490" w:rsidRDefault="008441D4" w:rsidP="008441D4">
            <w:pPr>
              <w:spacing w:after="0" w:line="240" w:lineRule="auto"/>
              <w:jc w:val="both"/>
              <w:rPr>
                <w:rFonts w:ascii="Times New Roman" w:hAnsi="Times New Roman"/>
                <w:sz w:val="24"/>
                <w:szCs w:val="24"/>
              </w:rPr>
            </w:pPr>
            <w:r w:rsidRPr="00AB1490">
              <w:rPr>
                <w:rFonts w:ascii="Times New Roman" w:hAnsi="Times New Roman"/>
                <w:sz w:val="24"/>
                <w:szCs w:val="24"/>
              </w:rPr>
              <w:t>Name</w:t>
            </w:r>
          </w:p>
          <w:p w14:paraId="39B35DB8" w14:textId="5E47877C" w:rsidR="00593F41" w:rsidRPr="00AB1490" w:rsidRDefault="00593F41" w:rsidP="008441D4">
            <w:pPr>
              <w:spacing w:after="0" w:line="240" w:lineRule="auto"/>
              <w:jc w:val="both"/>
              <w:rPr>
                <w:rFonts w:ascii="Times New Roman" w:eastAsia="Times New Roman" w:hAnsi="Times New Roman" w:cs="Times New Roman"/>
                <w:noProof/>
                <w:sz w:val="24"/>
                <w:szCs w:val="24"/>
              </w:rPr>
            </w:pPr>
          </w:p>
        </w:tc>
        <w:tc>
          <w:tcPr>
            <w:tcW w:w="400" w:type="pct"/>
            <w:tcBorders>
              <w:left w:val="single" w:sz="4" w:space="0" w:color="auto"/>
              <w:right w:val="single" w:sz="4" w:space="0" w:color="auto"/>
            </w:tcBorders>
          </w:tcPr>
          <w:p w14:paraId="311F207B" w14:textId="3C958B80"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c>
          <w:tcPr>
            <w:tcW w:w="2320" w:type="pct"/>
            <w:tcBorders>
              <w:top w:val="single" w:sz="4" w:space="0" w:color="auto"/>
              <w:left w:val="single" w:sz="4" w:space="0" w:color="auto"/>
              <w:bottom w:val="single" w:sz="4" w:space="0" w:color="auto"/>
              <w:right w:val="single" w:sz="4" w:space="0" w:color="auto"/>
            </w:tcBorders>
            <w:hideMark/>
          </w:tcPr>
          <w:p w14:paraId="02B1D739" w14:textId="63A6D1D6"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Name</w:t>
            </w:r>
          </w:p>
        </w:tc>
      </w:tr>
      <w:tr w:rsidR="008441D4" w:rsidRPr="00AB1490" w14:paraId="7A330F09" w14:textId="77777777" w:rsidTr="00593F41">
        <w:tc>
          <w:tcPr>
            <w:tcW w:w="2280" w:type="pct"/>
            <w:tcBorders>
              <w:top w:val="single" w:sz="4" w:space="0" w:color="auto"/>
              <w:left w:val="single" w:sz="4" w:space="0" w:color="auto"/>
              <w:bottom w:val="single" w:sz="4" w:space="0" w:color="auto"/>
              <w:right w:val="single" w:sz="4" w:space="0" w:color="auto"/>
            </w:tcBorders>
            <w:hideMark/>
          </w:tcPr>
          <w:p w14:paraId="07A0D726" w14:textId="77777777" w:rsidR="008441D4" w:rsidRPr="00AB1490" w:rsidRDefault="008441D4" w:rsidP="008441D4">
            <w:pPr>
              <w:spacing w:after="0" w:line="240" w:lineRule="auto"/>
              <w:jc w:val="both"/>
              <w:rPr>
                <w:rFonts w:ascii="Times New Roman" w:hAnsi="Times New Roman"/>
                <w:sz w:val="24"/>
                <w:szCs w:val="24"/>
              </w:rPr>
            </w:pPr>
            <w:r w:rsidRPr="00AB1490">
              <w:rPr>
                <w:rFonts w:ascii="Times New Roman" w:hAnsi="Times New Roman"/>
                <w:sz w:val="24"/>
                <w:szCs w:val="24"/>
              </w:rPr>
              <w:t>Taxpayer’s registration code</w:t>
            </w:r>
          </w:p>
          <w:p w14:paraId="25934C93" w14:textId="32B2923C" w:rsidR="00593F41" w:rsidRPr="00AB1490" w:rsidRDefault="00593F41" w:rsidP="008441D4">
            <w:pPr>
              <w:spacing w:after="0" w:line="240" w:lineRule="auto"/>
              <w:jc w:val="both"/>
              <w:rPr>
                <w:rFonts w:ascii="Times New Roman" w:eastAsia="Times New Roman" w:hAnsi="Times New Roman" w:cs="Times New Roman"/>
                <w:noProof/>
                <w:sz w:val="24"/>
                <w:szCs w:val="24"/>
              </w:rPr>
            </w:pPr>
          </w:p>
        </w:tc>
        <w:tc>
          <w:tcPr>
            <w:tcW w:w="400" w:type="pct"/>
            <w:tcBorders>
              <w:left w:val="single" w:sz="4" w:space="0" w:color="auto"/>
              <w:right w:val="single" w:sz="4" w:space="0" w:color="auto"/>
            </w:tcBorders>
          </w:tcPr>
          <w:p w14:paraId="1EED62DE" w14:textId="501584CA"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c>
          <w:tcPr>
            <w:tcW w:w="2320" w:type="pct"/>
            <w:tcBorders>
              <w:top w:val="single" w:sz="4" w:space="0" w:color="auto"/>
              <w:left w:val="single" w:sz="4" w:space="0" w:color="auto"/>
              <w:bottom w:val="single" w:sz="4" w:space="0" w:color="auto"/>
              <w:right w:val="single" w:sz="4" w:space="0" w:color="auto"/>
            </w:tcBorders>
            <w:hideMark/>
          </w:tcPr>
          <w:p w14:paraId="13F6B2B9" w14:textId="7777777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Taxpayer’s registration code</w:t>
            </w:r>
          </w:p>
        </w:tc>
      </w:tr>
      <w:tr w:rsidR="008441D4" w:rsidRPr="00AB1490" w14:paraId="0483D090" w14:textId="77777777" w:rsidTr="00593F41">
        <w:tc>
          <w:tcPr>
            <w:tcW w:w="2280" w:type="pct"/>
            <w:tcBorders>
              <w:top w:val="single" w:sz="4" w:space="0" w:color="auto"/>
              <w:left w:val="single" w:sz="4" w:space="0" w:color="auto"/>
              <w:bottom w:val="single" w:sz="4" w:space="0" w:color="auto"/>
              <w:right w:val="single" w:sz="4" w:space="0" w:color="auto"/>
            </w:tcBorders>
            <w:hideMark/>
          </w:tcPr>
          <w:p w14:paraId="13D4D671" w14:textId="7777777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Legal address</w:t>
            </w:r>
          </w:p>
        </w:tc>
        <w:tc>
          <w:tcPr>
            <w:tcW w:w="400" w:type="pct"/>
            <w:tcBorders>
              <w:left w:val="single" w:sz="4" w:space="0" w:color="auto"/>
              <w:right w:val="single" w:sz="4" w:space="0" w:color="auto"/>
            </w:tcBorders>
          </w:tcPr>
          <w:p w14:paraId="67335E6D" w14:textId="64942AAC"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c>
          <w:tcPr>
            <w:tcW w:w="2320" w:type="pct"/>
            <w:tcBorders>
              <w:top w:val="single" w:sz="4" w:space="0" w:color="auto"/>
              <w:left w:val="single" w:sz="4" w:space="0" w:color="auto"/>
              <w:bottom w:val="single" w:sz="4" w:space="0" w:color="auto"/>
              <w:right w:val="single" w:sz="4" w:space="0" w:color="auto"/>
            </w:tcBorders>
            <w:hideMark/>
          </w:tcPr>
          <w:p w14:paraId="77D97100" w14:textId="7777777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Bank</w:t>
            </w:r>
          </w:p>
          <w:p w14:paraId="63746CEE" w14:textId="721056A8"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BIC code</w:t>
            </w:r>
          </w:p>
        </w:tc>
      </w:tr>
      <w:tr w:rsidR="008441D4" w:rsidRPr="00AB1490" w14:paraId="6C923EFC" w14:textId="77777777" w:rsidTr="00593F41">
        <w:tc>
          <w:tcPr>
            <w:tcW w:w="2280" w:type="pct"/>
            <w:tcBorders>
              <w:top w:val="single" w:sz="4" w:space="0" w:color="auto"/>
              <w:left w:val="single" w:sz="4" w:space="0" w:color="auto"/>
              <w:bottom w:val="single" w:sz="4" w:space="0" w:color="auto"/>
              <w:right w:val="single" w:sz="4" w:space="0" w:color="auto"/>
            </w:tcBorders>
            <w:hideMark/>
          </w:tcPr>
          <w:p w14:paraId="52D62429" w14:textId="77777777" w:rsidR="008441D4" w:rsidRPr="00AB1490" w:rsidRDefault="008441D4" w:rsidP="008441D4">
            <w:pPr>
              <w:spacing w:after="0" w:line="240" w:lineRule="auto"/>
              <w:jc w:val="both"/>
              <w:rPr>
                <w:rFonts w:ascii="Times New Roman" w:hAnsi="Times New Roman"/>
                <w:sz w:val="24"/>
                <w:szCs w:val="24"/>
              </w:rPr>
            </w:pPr>
            <w:r w:rsidRPr="00AB1490">
              <w:rPr>
                <w:rFonts w:ascii="Times New Roman" w:hAnsi="Times New Roman"/>
                <w:sz w:val="24"/>
                <w:szCs w:val="24"/>
              </w:rPr>
              <w:t>Identification number</w:t>
            </w:r>
          </w:p>
          <w:p w14:paraId="1A62249B" w14:textId="406A8DFE" w:rsidR="00593F41" w:rsidRPr="00AB1490" w:rsidRDefault="00593F41" w:rsidP="008441D4">
            <w:pPr>
              <w:spacing w:after="0" w:line="240" w:lineRule="auto"/>
              <w:jc w:val="both"/>
              <w:rPr>
                <w:rFonts w:ascii="Times New Roman" w:eastAsia="Times New Roman" w:hAnsi="Times New Roman" w:cs="Times New Roman"/>
                <w:noProof/>
                <w:sz w:val="24"/>
                <w:szCs w:val="24"/>
              </w:rPr>
            </w:pPr>
          </w:p>
        </w:tc>
        <w:tc>
          <w:tcPr>
            <w:tcW w:w="400" w:type="pct"/>
            <w:tcBorders>
              <w:left w:val="single" w:sz="4" w:space="0" w:color="auto"/>
              <w:right w:val="single" w:sz="4" w:space="0" w:color="auto"/>
            </w:tcBorders>
          </w:tcPr>
          <w:p w14:paraId="4223211B" w14:textId="2335FAE7"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c>
          <w:tcPr>
            <w:tcW w:w="2320" w:type="pct"/>
            <w:tcBorders>
              <w:top w:val="single" w:sz="4" w:space="0" w:color="auto"/>
              <w:left w:val="single" w:sz="4" w:space="0" w:color="auto"/>
              <w:bottom w:val="single" w:sz="4" w:space="0" w:color="auto"/>
              <w:right w:val="single" w:sz="4" w:space="0" w:color="auto"/>
            </w:tcBorders>
            <w:hideMark/>
          </w:tcPr>
          <w:p w14:paraId="58B9D7A2" w14:textId="7777777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Account number</w:t>
            </w:r>
          </w:p>
        </w:tc>
      </w:tr>
      <w:tr w:rsidR="008441D4" w:rsidRPr="00AB1490" w14:paraId="401313E6" w14:textId="77777777" w:rsidTr="00593F41">
        <w:tc>
          <w:tcPr>
            <w:tcW w:w="2280" w:type="pct"/>
            <w:tcBorders>
              <w:top w:val="single" w:sz="4" w:space="0" w:color="auto"/>
            </w:tcBorders>
          </w:tcPr>
          <w:p w14:paraId="41874148" w14:textId="473B41BA"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c>
          <w:tcPr>
            <w:tcW w:w="400" w:type="pct"/>
            <w:tcBorders>
              <w:right w:val="single" w:sz="4" w:space="0" w:color="auto"/>
            </w:tcBorders>
          </w:tcPr>
          <w:p w14:paraId="7CE04B2F" w14:textId="68E73167"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c>
          <w:tcPr>
            <w:tcW w:w="2320" w:type="pct"/>
            <w:tcBorders>
              <w:top w:val="single" w:sz="4" w:space="0" w:color="auto"/>
              <w:left w:val="single" w:sz="4" w:space="0" w:color="auto"/>
              <w:bottom w:val="single" w:sz="4" w:space="0" w:color="auto"/>
              <w:right w:val="single" w:sz="4" w:space="0" w:color="auto"/>
            </w:tcBorders>
            <w:hideMark/>
          </w:tcPr>
          <w:p w14:paraId="435F521D" w14:textId="77777777" w:rsidR="008441D4" w:rsidRPr="00AB1490" w:rsidRDefault="008441D4" w:rsidP="008441D4">
            <w:pPr>
              <w:spacing w:after="0" w:line="240" w:lineRule="auto"/>
              <w:jc w:val="both"/>
              <w:rPr>
                <w:rFonts w:ascii="Times New Roman" w:hAnsi="Times New Roman"/>
                <w:b/>
                <w:bCs/>
                <w:sz w:val="24"/>
                <w:szCs w:val="24"/>
              </w:rPr>
            </w:pPr>
            <w:r w:rsidRPr="00AB1490">
              <w:rPr>
                <w:rFonts w:ascii="Times New Roman" w:hAnsi="Times New Roman"/>
                <w:b/>
                <w:bCs/>
                <w:sz w:val="24"/>
                <w:szCs w:val="24"/>
              </w:rPr>
              <w:t>Amount</w:t>
            </w:r>
          </w:p>
          <w:p w14:paraId="008D195F" w14:textId="7C361F65" w:rsidR="00593F41" w:rsidRPr="00AB1490" w:rsidRDefault="00593F41" w:rsidP="008441D4">
            <w:pPr>
              <w:spacing w:after="0" w:line="240" w:lineRule="auto"/>
              <w:jc w:val="both"/>
              <w:rPr>
                <w:rFonts w:ascii="Times New Roman" w:eastAsia="Times New Roman" w:hAnsi="Times New Roman" w:cs="Times New Roman"/>
                <w:b/>
                <w:bCs/>
                <w:noProof/>
                <w:sz w:val="24"/>
                <w:szCs w:val="24"/>
              </w:rPr>
            </w:pPr>
          </w:p>
        </w:tc>
      </w:tr>
      <w:tr w:rsidR="008441D4" w:rsidRPr="00AB1490" w14:paraId="07B150B6" w14:textId="77777777" w:rsidTr="00593F41">
        <w:tc>
          <w:tcPr>
            <w:tcW w:w="2280" w:type="pct"/>
          </w:tcPr>
          <w:p w14:paraId="36EF35D9" w14:textId="47556A7D"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c>
          <w:tcPr>
            <w:tcW w:w="400" w:type="pct"/>
            <w:tcBorders>
              <w:right w:val="single" w:sz="4" w:space="0" w:color="auto"/>
            </w:tcBorders>
          </w:tcPr>
          <w:p w14:paraId="11F19C3A" w14:textId="085F332F"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c>
          <w:tcPr>
            <w:tcW w:w="2320" w:type="pct"/>
            <w:tcBorders>
              <w:top w:val="single" w:sz="4" w:space="0" w:color="auto"/>
              <w:left w:val="single" w:sz="4" w:space="0" w:color="auto"/>
              <w:bottom w:val="single" w:sz="4" w:space="0" w:color="auto"/>
              <w:right w:val="single" w:sz="4" w:space="0" w:color="auto"/>
            </w:tcBorders>
            <w:hideMark/>
          </w:tcPr>
          <w:p w14:paraId="70364B68" w14:textId="77777777" w:rsidR="008441D4" w:rsidRPr="00AB1490" w:rsidRDefault="008441D4" w:rsidP="008441D4">
            <w:pPr>
              <w:spacing w:after="0" w:line="240" w:lineRule="auto"/>
              <w:jc w:val="both"/>
              <w:rPr>
                <w:rFonts w:ascii="Times New Roman" w:hAnsi="Times New Roman"/>
                <w:b/>
                <w:bCs/>
                <w:sz w:val="24"/>
                <w:szCs w:val="24"/>
              </w:rPr>
            </w:pPr>
            <w:r w:rsidRPr="00AB1490">
              <w:rPr>
                <w:rFonts w:ascii="Times New Roman" w:hAnsi="Times New Roman"/>
                <w:b/>
                <w:bCs/>
                <w:sz w:val="24"/>
                <w:szCs w:val="24"/>
              </w:rPr>
              <w:t>Time limit for the payment*</w:t>
            </w:r>
          </w:p>
          <w:p w14:paraId="7C19DFF2" w14:textId="3ADDF615" w:rsidR="00593F41" w:rsidRPr="00AB1490" w:rsidRDefault="00593F41" w:rsidP="008441D4">
            <w:pPr>
              <w:spacing w:after="0" w:line="240" w:lineRule="auto"/>
              <w:jc w:val="both"/>
              <w:rPr>
                <w:rFonts w:ascii="Times New Roman" w:eastAsia="Times New Roman" w:hAnsi="Times New Roman" w:cs="Times New Roman"/>
                <w:b/>
                <w:bCs/>
                <w:noProof/>
                <w:sz w:val="24"/>
                <w:szCs w:val="24"/>
              </w:rPr>
            </w:pPr>
          </w:p>
        </w:tc>
      </w:tr>
    </w:tbl>
    <w:p w14:paraId="68F3348E" w14:textId="77777777" w:rsidR="005E3390" w:rsidRPr="00AB1490" w:rsidRDefault="005E3390" w:rsidP="008441D4">
      <w:pPr>
        <w:spacing w:after="0" w:line="240" w:lineRule="auto"/>
        <w:jc w:val="both"/>
        <w:rPr>
          <w:rFonts w:ascii="Times New Roman" w:eastAsia="Times New Roman" w:hAnsi="Times New Roman" w:cs="Times New Roman"/>
          <w:b/>
          <w:bCs/>
          <w:noProof/>
          <w:sz w:val="24"/>
          <w:szCs w:val="24"/>
          <w:lang w:eastAsia="lv-LV"/>
        </w:rPr>
      </w:pPr>
    </w:p>
    <w:p w14:paraId="38720B18" w14:textId="3DF1310A" w:rsidR="008441D4" w:rsidRPr="00AB1490" w:rsidRDefault="008441D4" w:rsidP="008441D4">
      <w:pPr>
        <w:spacing w:after="0" w:line="240" w:lineRule="auto"/>
        <w:jc w:val="both"/>
        <w:rPr>
          <w:rFonts w:ascii="Times New Roman" w:eastAsia="Times New Roman" w:hAnsi="Times New Roman" w:cs="Times New Roman"/>
          <w:b/>
          <w:bCs/>
          <w:noProof/>
          <w:sz w:val="24"/>
          <w:szCs w:val="24"/>
        </w:rPr>
      </w:pPr>
      <w:r w:rsidRPr="00AB1490">
        <w:rPr>
          <w:rFonts w:ascii="Times New Roman" w:hAnsi="Times New Roman"/>
          <w:b/>
          <w:bCs/>
          <w:sz w:val="24"/>
          <w:szCs w:val="24"/>
        </w:rPr>
        <w:t>Calculated taxes</w:t>
      </w:r>
    </w:p>
    <w:p w14:paraId="4D21DA52" w14:textId="77777777" w:rsidR="005E3390" w:rsidRPr="00AB1490" w:rsidRDefault="005E3390" w:rsidP="008441D4">
      <w:pPr>
        <w:spacing w:after="0" w:line="240" w:lineRule="auto"/>
        <w:jc w:val="both"/>
        <w:rPr>
          <w:rFonts w:ascii="Times New Roman" w:eastAsia="Times New Roman" w:hAnsi="Times New Roman" w:cs="Times New Roman"/>
          <w:noProof/>
          <w:sz w:val="24"/>
          <w:szCs w:val="24"/>
          <w:lang w:eastAsia="lv-LV"/>
        </w:rPr>
      </w:pPr>
    </w:p>
    <w:p w14:paraId="0A205B4F" w14:textId="3B3244A4"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Time period from ______________ to _____________</w:t>
      </w:r>
    </w:p>
    <w:p w14:paraId="12802C0F" w14:textId="77777777" w:rsidR="001B604D" w:rsidRPr="00AB1490" w:rsidRDefault="001B604D" w:rsidP="008441D4">
      <w:pPr>
        <w:spacing w:after="0" w:line="240" w:lineRule="auto"/>
        <w:jc w:val="both"/>
        <w:rPr>
          <w:rFonts w:ascii="Times New Roman" w:eastAsia="Times New Roman" w:hAnsi="Times New Roman" w:cs="Times New Roman"/>
          <w:noProof/>
          <w:sz w:val="24"/>
          <w:szCs w:val="24"/>
          <w:lang w:eastAsia="lv-LV"/>
        </w:rPr>
      </w:pPr>
    </w:p>
    <w:p w14:paraId="165B9309" w14:textId="26C16A16" w:rsidR="008441D4" w:rsidRPr="00AB1490" w:rsidRDefault="008441D4" w:rsidP="005E3390">
      <w:pPr>
        <w:spacing w:after="0" w:line="240" w:lineRule="auto"/>
        <w:jc w:val="right"/>
        <w:rPr>
          <w:rFonts w:ascii="Times New Roman" w:eastAsia="Times New Roman" w:hAnsi="Times New Roman" w:cs="Times New Roman"/>
          <w:noProof/>
          <w:sz w:val="24"/>
          <w:szCs w:val="24"/>
        </w:rPr>
      </w:pPr>
      <w:r w:rsidRPr="00AB1490">
        <w:rPr>
          <w:rFonts w:ascii="Times New Roman" w:hAnsi="Times New Roman"/>
          <w:sz w:val="24"/>
          <w:szCs w:val="24"/>
        </w:rPr>
        <w:t>(EUR)</w:t>
      </w:r>
    </w:p>
    <w:p w14:paraId="650F8FDA" w14:textId="77777777" w:rsidR="005E3390" w:rsidRPr="00AB1490" w:rsidRDefault="005E3390" w:rsidP="005E3390">
      <w:pPr>
        <w:spacing w:after="0" w:line="240" w:lineRule="auto"/>
        <w:jc w:val="right"/>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293"/>
        <w:gridCol w:w="1088"/>
        <w:gridCol w:w="1087"/>
        <w:gridCol w:w="1087"/>
        <w:gridCol w:w="1087"/>
        <w:gridCol w:w="2419"/>
      </w:tblGrid>
      <w:tr w:rsidR="008441D4" w:rsidRPr="00AB1490" w14:paraId="34333D67" w14:textId="77777777" w:rsidTr="00593F41">
        <w:tc>
          <w:tcPr>
            <w:tcW w:w="1265" w:type="pct"/>
            <w:vAlign w:val="center"/>
            <w:hideMark/>
          </w:tcPr>
          <w:p w14:paraId="52246FA0" w14:textId="6DF7D56E" w:rsidR="008441D4" w:rsidRPr="00AB1490" w:rsidRDefault="008441D4" w:rsidP="00593F41">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Code and name of the type of payment</w:t>
            </w:r>
          </w:p>
        </w:tc>
        <w:tc>
          <w:tcPr>
            <w:tcW w:w="600" w:type="pct"/>
            <w:vAlign w:val="center"/>
          </w:tcPr>
          <w:p w14:paraId="5ADB1F2C" w14:textId="7429C71A"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c>
          <w:tcPr>
            <w:tcW w:w="600" w:type="pct"/>
            <w:vAlign w:val="center"/>
          </w:tcPr>
          <w:p w14:paraId="2347B0DB" w14:textId="79B6C829"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c>
          <w:tcPr>
            <w:tcW w:w="600" w:type="pct"/>
            <w:vAlign w:val="center"/>
          </w:tcPr>
          <w:p w14:paraId="10587B2F" w14:textId="27120782"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c>
          <w:tcPr>
            <w:tcW w:w="600" w:type="pct"/>
            <w:vAlign w:val="center"/>
          </w:tcPr>
          <w:p w14:paraId="2D7A6157" w14:textId="3544AF9E"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c>
          <w:tcPr>
            <w:tcW w:w="1335" w:type="pct"/>
            <w:vAlign w:val="center"/>
            <w:hideMark/>
          </w:tcPr>
          <w:p w14:paraId="4AF500F9" w14:textId="77777777" w:rsidR="008441D4" w:rsidRPr="00AB1490" w:rsidRDefault="008441D4" w:rsidP="001B604D">
            <w:pPr>
              <w:spacing w:after="0" w:line="240" w:lineRule="auto"/>
              <w:jc w:val="center"/>
              <w:rPr>
                <w:rFonts w:ascii="Times New Roman" w:eastAsia="Times New Roman" w:hAnsi="Times New Roman" w:cs="Times New Roman"/>
                <w:noProof/>
                <w:sz w:val="24"/>
                <w:szCs w:val="24"/>
              </w:rPr>
            </w:pPr>
            <w:r w:rsidRPr="00AB1490">
              <w:rPr>
                <w:rFonts w:ascii="Times New Roman" w:hAnsi="Times New Roman"/>
                <w:sz w:val="24"/>
                <w:szCs w:val="24"/>
              </w:rPr>
              <w:t>Total</w:t>
            </w:r>
          </w:p>
        </w:tc>
      </w:tr>
      <w:tr w:rsidR="008441D4" w:rsidRPr="00AB1490" w14:paraId="061F690E" w14:textId="77777777" w:rsidTr="00593F41">
        <w:tc>
          <w:tcPr>
            <w:tcW w:w="1265" w:type="pct"/>
            <w:vAlign w:val="center"/>
            <w:hideMark/>
          </w:tcPr>
          <w:p w14:paraId="2CC7764E" w14:textId="7777777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Calculated amount</w:t>
            </w:r>
          </w:p>
        </w:tc>
        <w:tc>
          <w:tcPr>
            <w:tcW w:w="600" w:type="pct"/>
            <w:vAlign w:val="center"/>
          </w:tcPr>
          <w:p w14:paraId="7B1258A9" w14:textId="2EE952C3"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c>
          <w:tcPr>
            <w:tcW w:w="600" w:type="pct"/>
            <w:vAlign w:val="center"/>
          </w:tcPr>
          <w:p w14:paraId="09E052CB" w14:textId="6144FEA1"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c>
          <w:tcPr>
            <w:tcW w:w="600" w:type="pct"/>
            <w:vAlign w:val="center"/>
          </w:tcPr>
          <w:p w14:paraId="7DD4F1E9" w14:textId="73BAD331"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c>
          <w:tcPr>
            <w:tcW w:w="600" w:type="pct"/>
            <w:vAlign w:val="center"/>
          </w:tcPr>
          <w:p w14:paraId="6D517260" w14:textId="01C8142E"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c>
          <w:tcPr>
            <w:tcW w:w="1335" w:type="pct"/>
            <w:vAlign w:val="center"/>
            <w:hideMark/>
          </w:tcPr>
          <w:p w14:paraId="689DBB18" w14:textId="4818C860"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r>
    </w:tbl>
    <w:p w14:paraId="25FE855D" w14:textId="77777777" w:rsidR="001B604D" w:rsidRPr="00AB1490" w:rsidRDefault="001B604D" w:rsidP="008441D4">
      <w:pPr>
        <w:spacing w:after="0" w:line="240" w:lineRule="auto"/>
        <w:jc w:val="both"/>
        <w:rPr>
          <w:rFonts w:ascii="Times New Roman" w:eastAsia="Times New Roman" w:hAnsi="Times New Roman" w:cs="Times New Roman"/>
          <w:b/>
          <w:bCs/>
          <w:noProof/>
          <w:sz w:val="24"/>
          <w:szCs w:val="24"/>
          <w:lang w:eastAsia="lv-LV"/>
        </w:rPr>
      </w:pPr>
    </w:p>
    <w:p w14:paraId="7E0DEFAF" w14:textId="304EF77C" w:rsidR="008441D4" w:rsidRPr="00AB1490" w:rsidRDefault="008441D4" w:rsidP="008441D4">
      <w:pPr>
        <w:spacing w:after="0" w:line="240" w:lineRule="auto"/>
        <w:jc w:val="both"/>
        <w:rPr>
          <w:rFonts w:ascii="Times New Roman" w:eastAsia="Times New Roman" w:hAnsi="Times New Roman" w:cs="Times New Roman"/>
          <w:b/>
          <w:bCs/>
          <w:noProof/>
          <w:sz w:val="24"/>
          <w:szCs w:val="24"/>
        </w:rPr>
      </w:pPr>
      <w:r w:rsidRPr="00AB1490">
        <w:rPr>
          <w:rFonts w:ascii="Times New Roman" w:hAnsi="Times New Roman"/>
          <w:b/>
          <w:bCs/>
          <w:sz w:val="24"/>
          <w:szCs w:val="24"/>
        </w:rPr>
        <w:t>Breakdown of the calculated amounts included in the invoice by types of payments</w:t>
      </w:r>
    </w:p>
    <w:p w14:paraId="60791A73" w14:textId="77777777" w:rsidR="001B604D" w:rsidRPr="00AB1490" w:rsidRDefault="001B604D" w:rsidP="008441D4">
      <w:pPr>
        <w:spacing w:after="0" w:line="240" w:lineRule="auto"/>
        <w:jc w:val="both"/>
        <w:rPr>
          <w:rFonts w:ascii="Times New Roman" w:eastAsia="Times New Roman" w:hAnsi="Times New Roman" w:cs="Times New Roman"/>
          <w:b/>
          <w:bCs/>
          <w:noProof/>
          <w:sz w:val="24"/>
          <w:szCs w:val="24"/>
          <w:lang w:eastAsia="lv-LV"/>
        </w:rPr>
      </w:pPr>
    </w:p>
    <w:p w14:paraId="77B11637" w14:textId="20F895C8" w:rsidR="008441D4" w:rsidRPr="00AB1490" w:rsidRDefault="008441D4" w:rsidP="001B604D">
      <w:pPr>
        <w:spacing w:after="0" w:line="240" w:lineRule="auto"/>
        <w:jc w:val="right"/>
        <w:rPr>
          <w:rFonts w:ascii="Times New Roman" w:eastAsia="Times New Roman" w:hAnsi="Times New Roman" w:cs="Times New Roman"/>
          <w:noProof/>
          <w:sz w:val="24"/>
          <w:szCs w:val="24"/>
        </w:rPr>
      </w:pPr>
      <w:r w:rsidRPr="00AB1490">
        <w:rPr>
          <w:rFonts w:ascii="Times New Roman" w:hAnsi="Times New Roman"/>
          <w:sz w:val="24"/>
          <w:szCs w:val="24"/>
        </w:rPr>
        <w:t>(EUR)</w:t>
      </w:r>
    </w:p>
    <w:p w14:paraId="7B96D1A0" w14:textId="77777777" w:rsidR="001B604D" w:rsidRPr="00AB1490" w:rsidRDefault="001B604D" w:rsidP="008441D4">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015"/>
        <w:gridCol w:w="1056"/>
        <w:gridCol w:w="968"/>
        <w:gridCol w:w="968"/>
        <w:gridCol w:w="968"/>
        <w:gridCol w:w="968"/>
        <w:gridCol w:w="1118"/>
      </w:tblGrid>
      <w:tr w:rsidR="008441D4" w:rsidRPr="00AB1490" w14:paraId="41C510F6" w14:textId="77777777" w:rsidTr="00577A84">
        <w:tc>
          <w:tcPr>
            <w:tcW w:w="1664" w:type="pct"/>
            <w:hideMark/>
          </w:tcPr>
          <w:p w14:paraId="5FAE2FBE" w14:textId="63F4DB43"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83" w:type="pct"/>
            <w:hideMark/>
          </w:tcPr>
          <w:p w14:paraId="386A7E4A" w14:textId="77777777" w:rsidR="008441D4" w:rsidRPr="00AB1490" w:rsidRDefault="008441D4" w:rsidP="001B604D">
            <w:pPr>
              <w:spacing w:after="0" w:line="240" w:lineRule="auto"/>
              <w:jc w:val="center"/>
              <w:rPr>
                <w:rFonts w:ascii="Times New Roman" w:eastAsia="Times New Roman" w:hAnsi="Times New Roman" w:cs="Times New Roman"/>
                <w:noProof/>
                <w:sz w:val="24"/>
                <w:szCs w:val="24"/>
              </w:rPr>
            </w:pPr>
            <w:r w:rsidRPr="00AB1490">
              <w:rPr>
                <w:rFonts w:ascii="Times New Roman" w:hAnsi="Times New Roman"/>
                <w:sz w:val="24"/>
                <w:szCs w:val="24"/>
              </w:rPr>
              <w:t>05130**</w:t>
            </w:r>
          </w:p>
        </w:tc>
        <w:tc>
          <w:tcPr>
            <w:tcW w:w="534" w:type="pct"/>
            <w:hideMark/>
          </w:tcPr>
          <w:p w14:paraId="687BB6CB" w14:textId="77777777" w:rsidR="008441D4" w:rsidRPr="00AB1490" w:rsidRDefault="008441D4" w:rsidP="001B604D">
            <w:pPr>
              <w:spacing w:after="0" w:line="240" w:lineRule="auto"/>
              <w:jc w:val="center"/>
              <w:rPr>
                <w:rFonts w:ascii="Times New Roman" w:eastAsia="Times New Roman" w:hAnsi="Times New Roman" w:cs="Times New Roman"/>
                <w:noProof/>
                <w:sz w:val="24"/>
                <w:szCs w:val="24"/>
              </w:rPr>
            </w:pPr>
            <w:r w:rsidRPr="00AB1490">
              <w:rPr>
                <w:rFonts w:ascii="Times New Roman" w:hAnsi="Times New Roman"/>
                <w:sz w:val="24"/>
                <w:szCs w:val="24"/>
              </w:rPr>
              <w:t>06110</w:t>
            </w:r>
          </w:p>
        </w:tc>
        <w:tc>
          <w:tcPr>
            <w:tcW w:w="534" w:type="pct"/>
            <w:hideMark/>
          </w:tcPr>
          <w:p w14:paraId="6D2088BF" w14:textId="77777777" w:rsidR="008441D4" w:rsidRPr="00AB1490" w:rsidRDefault="008441D4" w:rsidP="001B604D">
            <w:pPr>
              <w:spacing w:after="0" w:line="240" w:lineRule="auto"/>
              <w:jc w:val="center"/>
              <w:rPr>
                <w:rFonts w:ascii="Times New Roman" w:eastAsia="Times New Roman" w:hAnsi="Times New Roman" w:cs="Times New Roman"/>
                <w:noProof/>
                <w:sz w:val="24"/>
                <w:szCs w:val="24"/>
              </w:rPr>
            </w:pPr>
            <w:r w:rsidRPr="00AB1490">
              <w:rPr>
                <w:rFonts w:ascii="Times New Roman" w:hAnsi="Times New Roman"/>
                <w:sz w:val="24"/>
                <w:szCs w:val="24"/>
              </w:rPr>
              <w:t>06130</w:t>
            </w:r>
          </w:p>
        </w:tc>
        <w:tc>
          <w:tcPr>
            <w:tcW w:w="534" w:type="pct"/>
            <w:hideMark/>
          </w:tcPr>
          <w:p w14:paraId="142B0305" w14:textId="77777777" w:rsidR="008441D4" w:rsidRPr="00AB1490" w:rsidRDefault="008441D4" w:rsidP="001B604D">
            <w:pPr>
              <w:spacing w:after="0" w:line="240" w:lineRule="auto"/>
              <w:jc w:val="center"/>
              <w:rPr>
                <w:rFonts w:ascii="Times New Roman" w:eastAsia="Times New Roman" w:hAnsi="Times New Roman" w:cs="Times New Roman"/>
                <w:noProof/>
                <w:sz w:val="24"/>
                <w:szCs w:val="24"/>
              </w:rPr>
            </w:pPr>
            <w:r w:rsidRPr="00AB1490">
              <w:rPr>
                <w:rFonts w:ascii="Times New Roman" w:hAnsi="Times New Roman"/>
                <w:sz w:val="24"/>
                <w:szCs w:val="24"/>
              </w:rPr>
              <w:t>06140</w:t>
            </w:r>
          </w:p>
        </w:tc>
        <w:tc>
          <w:tcPr>
            <w:tcW w:w="534" w:type="pct"/>
            <w:hideMark/>
          </w:tcPr>
          <w:p w14:paraId="511FA591" w14:textId="438C8829"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616" w:type="pct"/>
            <w:hideMark/>
          </w:tcPr>
          <w:p w14:paraId="461F81D8" w14:textId="77777777" w:rsidR="008441D4" w:rsidRPr="00AB1490" w:rsidRDefault="008441D4" w:rsidP="001B604D">
            <w:pPr>
              <w:spacing w:after="0" w:line="240" w:lineRule="auto"/>
              <w:jc w:val="center"/>
              <w:rPr>
                <w:rFonts w:ascii="Times New Roman" w:eastAsia="Times New Roman" w:hAnsi="Times New Roman" w:cs="Times New Roman"/>
                <w:noProof/>
                <w:sz w:val="24"/>
                <w:szCs w:val="24"/>
              </w:rPr>
            </w:pPr>
            <w:r w:rsidRPr="00AB1490">
              <w:rPr>
                <w:rFonts w:ascii="Times New Roman" w:hAnsi="Times New Roman"/>
                <w:sz w:val="24"/>
                <w:szCs w:val="24"/>
              </w:rPr>
              <w:t>Total</w:t>
            </w:r>
          </w:p>
        </w:tc>
      </w:tr>
      <w:tr w:rsidR="008441D4" w:rsidRPr="00AB1490" w14:paraId="1C7F3263" w14:textId="77777777" w:rsidTr="00577A84">
        <w:tc>
          <w:tcPr>
            <w:tcW w:w="1664" w:type="pct"/>
            <w:hideMark/>
          </w:tcPr>
          <w:p w14:paraId="402890DF" w14:textId="77777777" w:rsidR="008441D4" w:rsidRPr="00AB1490" w:rsidRDefault="008441D4" w:rsidP="001B604D">
            <w:pPr>
              <w:spacing w:after="0" w:line="240" w:lineRule="auto"/>
              <w:jc w:val="center"/>
              <w:rPr>
                <w:rFonts w:ascii="Times New Roman" w:eastAsia="Times New Roman" w:hAnsi="Times New Roman" w:cs="Times New Roman"/>
                <w:noProof/>
                <w:sz w:val="24"/>
                <w:szCs w:val="24"/>
              </w:rPr>
            </w:pPr>
            <w:r w:rsidRPr="00AB1490">
              <w:rPr>
                <w:rFonts w:ascii="Times New Roman" w:hAnsi="Times New Roman"/>
                <w:sz w:val="24"/>
                <w:szCs w:val="24"/>
              </w:rPr>
              <w:t>Document number</w:t>
            </w:r>
          </w:p>
        </w:tc>
        <w:tc>
          <w:tcPr>
            <w:tcW w:w="3336" w:type="pct"/>
            <w:gridSpan w:val="6"/>
            <w:hideMark/>
          </w:tcPr>
          <w:p w14:paraId="6F4A9D3D" w14:textId="77777777" w:rsidR="008441D4" w:rsidRPr="00AB1490" w:rsidRDefault="008441D4" w:rsidP="001B604D">
            <w:pPr>
              <w:spacing w:after="0" w:line="240" w:lineRule="auto"/>
              <w:jc w:val="center"/>
              <w:rPr>
                <w:rFonts w:ascii="Times New Roman" w:eastAsia="Times New Roman" w:hAnsi="Times New Roman" w:cs="Times New Roman"/>
                <w:noProof/>
                <w:sz w:val="24"/>
                <w:szCs w:val="24"/>
              </w:rPr>
            </w:pPr>
            <w:r w:rsidRPr="00AB1490">
              <w:rPr>
                <w:rFonts w:ascii="Times New Roman" w:hAnsi="Times New Roman"/>
                <w:sz w:val="24"/>
                <w:szCs w:val="24"/>
              </w:rPr>
              <w:t>Calculated amount</w:t>
            </w:r>
          </w:p>
        </w:tc>
      </w:tr>
      <w:tr w:rsidR="008441D4" w:rsidRPr="00AB1490" w14:paraId="27114237" w14:textId="77777777" w:rsidTr="00577A84">
        <w:tc>
          <w:tcPr>
            <w:tcW w:w="1664" w:type="pct"/>
            <w:hideMark/>
          </w:tcPr>
          <w:p w14:paraId="56BCB1F1" w14:textId="0150592D"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83" w:type="pct"/>
            <w:hideMark/>
          </w:tcPr>
          <w:p w14:paraId="20034A50" w14:textId="0279C361"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34" w:type="pct"/>
            <w:hideMark/>
          </w:tcPr>
          <w:p w14:paraId="394697C9" w14:textId="14492447"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34" w:type="pct"/>
            <w:hideMark/>
          </w:tcPr>
          <w:p w14:paraId="6439C0C0" w14:textId="55017412"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34" w:type="pct"/>
            <w:hideMark/>
          </w:tcPr>
          <w:p w14:paraId="16A47193" w14:textId="33CEB18A"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34" w:type="pct"/>
            <w:hideMark/>
          </w:tcPr>
          <w:p w14:paraId="3DA5D67D" w14:textId="1B7DD8F2"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616" w:type="pct"/>
            <w:hideMark/>
          </w:tcPr>
          <w:p w14:paraId="1E225B32" w14:textId="45F87F46"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r>
      <w:tr w:rsidR="008441D4" w:rsidRPr="00AB1490" w14:paraId="6311A551" w14:textId="77777777" w:rsidTr="00577A84">
        <w:tc>
          <w:tcPr>
            <w:tcW w:w="1664" w:type="pct"/>
            <w:hideMark/>
          </w:tcPr>
          <w:p w14:paraId="5C260288" w14:textId="69378595"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83" w:type="pct"/>
            <w:hideMark/>
          </w:tcPr>
          <w:p w14:paraId="393C1158" w14:textId="120C8737"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34" w:type="pct"/>
            <w:hideMark/>
          </w:tcPr>
          <w:p w14:paraId="50723310" w14:textId="05ABF38B"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34" w:type="pct"/>
            <w:hideMark/>
          </w:tcPr>
          <w:p w14:paraId="481DBB56" w14:textId="30AAD591"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34" w:type="pct"/>
            <w:hideMark/>
          </w:tcPr>
          <w:p w14:paraId="37A8B9DE" w14:textId="24CFECC0"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34" w:type="pct"/>
            <w:hideMark/>
          </w:tcPr>
          <w:p w14:paraId="5EEF5B81" w14:textId="57BA49C1"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616" w:type="pct"/>
            <w:hideMark/>
          </w:tcPr>
          <w:p w14:paraId="1F96463F" w14:textId="20AC604F"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r>
      <w:tr w:rsidR="008441D4" w:rsidRPr="00AB1490" w14:paraId="48BA63C3" w14:textId="77777777" w:rsidTr="00577A84">
        <w:tc>
          <w:tcPr>
            <w:tcW w:w="1664" w:type="pct"/>
            <w:hideMark/>
          </w:tcPr>
          <w:p w14:paraId="37000ABD" w14:textId="0FF77F75"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83" w:type="pct"/>
            <w:hideMark/>
          </w:tcPr>
          <w:p w14:paraId="17A8C73C" w14:textId="24E16D4B"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34" w:type="pct"/>
            <w:hideMark/>
          </w:tcPr>
          <w:p w14:paraId="40F002B7" w14:textId="772A9C27"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34" w:type="pct"/>
            <w:hideMark/>
          </w:tcPr>
          <w:p w14:paraId="52A50FFB" w14:textId="38B57011"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34" w:type="pct"/>
            <w:hideMark/>
          </w:tcPr>
          <w:p w14:paraId="2162E06F" w14:textId="2399053C"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34" w:type="pct"/>
            <w:hideMark/>
          </w:tcPr>
          <w:p w14:paraId="6948CA67" w14:textId="406A8618"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616" w:type="pct"/>
            <w:hideMark/>
          </w:tcPr>
          <w:p w14:paraId="2889C795" w14:textId="51A72281"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r>
      <w:tr w:rsidR="008441D4" w:rsidRPr="00AB1490" w14:paraId="28E80F9C" w14:textId="77777777" w:rsidTr="00577A84">
        <w:tc>
          <w:tcPr>
            <w:tcW w:w="1664" w:type="pct"/>
            <w:hideMark/>
          </w:tcPr>
          <w:p w14:paraId="3192185E" w14:textId="77777777" w:rsidR="008441D4" w:rsidRPr="00AB1490" w:rsidRDefault="008441D4" w:rsidP="001B604D">
            <w:pPr>
              <w:spacing w:after="0" w:line="240" w:lineRule="auto"/>
              <w:jc w:val="center"/>
              <w:rPr>
                <w:rFonts w:ascii="Times New Roman" w:eastAsia="Times New Roman" w:hAnsi="Times New Roman" w:cs="Times New Roman"/>
                <w:noProof/>
                <w:sz w:val="24"/>
                <w:szCs w:val="24"/>
              </w:rPr>
            </w:pPr>
            <w:r w:rsidRPr="00AB1490">
              <w:rPr>
                <w:rFonts w:ascii="Times New Roman" w:hAnsi="Times New Roman"/>
                <w:sz w:val="24"/>
                <w:szCs w:val="24"/>
              </w:rPr>
              <w:t>Total</w:t>
            </w:r>
          </w:p>
        </w:tc>
        <w:tc>
          <w:tcPr>
            <w:tcW w:w="583" w:type="pct"/>
            <w:hideMark/>
          </w:tcPr>
          <w:p w14:paraId="4CBD9089" w14:textId="13E39C43"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34" w:type="pct"/>
            <w:hideMark/>
          </w:tcPr>
          <w:p w14:paraId="1F5EAF10" w14:textId="1DEE7150"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34" w:type="pct"/>
            <w:hideMark/>
          </w:tcPr>
          <w:p w14:paraId="0E6EC3BF" w14:textId="5F7DBBAA"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34" w:type="pct"/>
            <w:hideMark/>
          </w:tcPr>
          <w:p w14:paraId="4A581C13" w14:textId="75954C09"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534" w:type="pct"/>
            <w:hideMark/>
          </w:tcPr>
          <w:p w14:paraId="3139ECC1" w14:textId="7B92E8F5"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c>
          <w:tcPr>
            <w:tcW w:w="616" w:type="pct"/>
            <w:hideMark/>
          </w:tcPr>
          <w:p w14:paraId="163C7884" w14:textId="4DFFEA3A" w:rsidR="008441D4" w:rsidRPr="00AB1490" w:rsidRDefault="008441D4" w:rsidP="001B604D">
            <w:pPr>
              <w:spacing w:after="0" w:line="240" w:lineRule="auto"/>
              <w:jc w:val="center"/>
              <w:rPr>
                <w:rFonts w:ascii="Times New Roman" w:eastAsia="Times New Roman" w:hAnsi="Times New Roman" w:cs="Times New Roman"/>
                <w:noProof/>
                <w:sz w:val="24"/>
                <w:szCs w:val="24"/>
                <w:lang w:eastAsia="lv-LV"/>
              </w:rPr>
            </w:pPr>
          </w:p>
        </w:tc>
      </w:tr>
    </w:tbl>
    <w:p w14:paraId="67C81CF8" w14:textId="77777777" w:rsidR="001B604D" w:rsidRPr="00AB1490" w:rsidRDefault="001B604D" w:rsidP="008441D4">
      <w:pPr>
        <w:spacing w:after="0" w:line="240" w:lineRule="auto"/>
        <w:jc w:val="both"/>
        <w:rPr>
          <w:rFonts w:ascii="Times New Roman" w:eastAsia="Times New Roman" w:hAnsi="Times New Roman" w:cs="Times New Roman"/>
          <w:noProof/>
          <w:sz w:val="24"/>
          <w:szCs w:val="24"/>
          <w:lang w:eastAsia="lv-LV"/>
        </w:rPr>
      </w:pPr>
    </w:p>
    <w:p w14:paraId="69AB9B3A" w14:textId="030C50E8" w:rsidR="008441D4" w:rsidRPr="00AB1490" w:rsidRDefault="008441D4" w:rsidP="00577A84">
      <w:pPr>
        <w:keepNext/>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lastRenderedPageBreak/>
        <w:t>Notes.</w:t>
      </w:r>
    </w:p>
    <w:p w14:paraId="0A887C99" w14:textId="77777777" w:rsidR="001B604D" w:rsidRPr="00AB1490" w:rsidRDefault="001B604D" w:rsidP="00577A84">
      <w:pPr>
        <w:keepNext/>
        <w:spacing w:after="0" w:line="240" w:lineRule="auto"/>
        <w:jc w:val="both"/>
        <w:rPr>
          <w:rFonts w:ascii="Times New Roman" w:eastAsia="Times New Roman" w:hAnsi="Times New Roman" w:cs="Times New Roman"/>
          <w:noProof/>
          <w:sz w:val="24"/>
          <w:szCs w:val="24"/>
          <w:lang w:eastAsia="lv-LV"/>
        </w:rPr>
      </w:pPr>
    </w:p>
    <w:p w14:paraId="776EEBD0" w14:textId="7777777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1. * Day of the payment of tax shall be the day when the State budget receives a tax charge which it is entitled to receive in accordance with Section 23.</w:t>
      </w:r>
      <w:r w:rsidRPr="00AB1490">
        <w:rPr>
          <w:rFonts w:ascii="Times New Roman" w:hAnsi="Times New Roman"/>
          <w:sz w:val="24"/>
          <w:szCs w:val="24"/>
          <w:vertAlign w:val="superscript"/>
        </w:rPr>
        <w:t>1</w:t>
      </w:r>
      <w:r w:rsidRPr="00AB1490">
        <w:rPr>
          <w:rFonts w:ascii="Times New Roman" w:hAnsi="Times New Roman"/>
          <w:sz w:val="24"/>
          <w:szCs w:val="24"/>
        </w:rPr>
        <w:t>, Paragraph two of the law On Taxes and Duties.</w:t>
      </w:r>
    </w:p>
    <w:p w14:paraId="75599268" w14:textId="7777777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2. ** A calculation of value added tax has been included in the invoice on the basis of Section 85, Paragraph one and Section 123, Paragraph one of the Value Added Tax Law.</w:t>
      </w:r>
    </w:p>
    <w:p w14:paraId="085285C3" w14:textId="7777777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3. The invoice is prepared electronically and is valid without a signature.</w:t>
      </w:r>
    </w:p>
    <w:p w14:paraId="60E2458E" w14:textId="3120A26C"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4. The number of the invoice for which the payment is made shall be indicated in the payment purpose field.</w:t>
      </w:r>
    </w:p>
    <w:p w14:paraId="4C03D37B" w14:textId="77777777" w:rsidR="001B604D" w:rsidRPr="00AB1490" w:rsidRDefault="001B604D" w:rsidP="008441D4">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34"/>
        <w:gridCol w:w="6672"/>
        <w:gridCol w:w="165"/>
      </w:tblGrid>
      <w:tr w:rsidR="008441D4" w:rsidRPr="00AB1490" w14:paraId="03707F6C" w14:textId="77777777" w:rsidTr="00577A84">
        <w:trPr>
          <w:tblCellSpacing w:w="15" w:type="dxa"/>
        </w:trPr>
        <w:tc>
          <w:tcPr>
            <w:tcW w:w="1207" w:type="pct"/>
            <w:noWrap/>
            <w:vAlign w:val="bottom"/>
            <w:hideMark/>
          </w:tcPr>
          <w:p w14:paraId="63934FDF" w14:textId="7777777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Prepared by</w:t>
            </w:r>
          </w:p>
        </w:tc>
        <w:tc>
          <w:tcPr>
            <w:tcW w:w="3661" w:type="pct"/>
            <w:tcBorders>
              <w:bottom w:val="single" w:sz="6" w:space="0" w:color="auto"/>
            </w:tcBorders>
            <w:hideMark/>
          </w:tcPr>
          <w:p w14:paraId="256BFE72" w14:textId="0EF8BE63" w:rsidR="00577A84" w:rsidRPr="00AB1490" w:rsidRDefault="00577A84" w:rsidP="008441D4">
            <w:pPr>
              <w:spacing w:after="0" w:line="240" w:lineRule="auto"/>
              <w:jc w:val="both"/>
              <w:rPr>
                <w:rFonts w:ascii="Times New Roman" w:hAnsi="Times New Roman"/>
                <w:sz w:val="24"/>
                <w:szCs w:val="24"/>
              </w:rPr>
            </w:pPr>
          </w:p>
        </w:tc>
        <w:tc>
          <w:tcPr>
            <w:tcW w:w="66" w:type="pct"/>
            <w:hideMark/>
          </w:tcPr>
          <w:p w14:paraId="3B0D2C7D" w14:textId="7777777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 </w:t>
            </w:r>
          </w:p>
        </w:tc>
      </w:tr>
      <w:tr w:rsidR="008441D4" w:rsidRPr="00AB1490" w14:paraId="58236A20" w14:textId="77777777" w:rsidTr="00577A84">
        <w:trPr>
          <w:tblCellSpacing w:w="15" w:type="dxa"/>
        </w:trPr>
        <w:tc>
          <w:tcPr>
            <w:tcW w:w="1207" w:type="pct"/>
            <w:hideMark/>
          </w:tcPr>
          <w:p w14:paraId="0DD4F4B4" w14:textId="33C81F8D"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c>
          <w:tcPr>
            <w:tcW w:w="3661" w:type="pct"/>
            <w:hideMark/>
          </w:tcPr>
          <w:p w14:paraId="3DBC6625" w14:textId="77777777" w:rsidR="008441D4" w:rsidRPr="00AB1490" w:rsidRDefault="008441D4" w:rsidP="001B604D">
            <w:pPr>
              <w:spacing w:after="0" w:line="240" w:lineRule="auto"/>
              <w:jc w:val="center"/>
              <w:rPr>
                <w:rFonts w:ascii="Times New Roman" w:eastAsia="Times New Roman" w:hAnsi="Times New Roman" w:cs="Times New Roman"/>
                <w:noProof/>
                <w:sz w:val="24"/>
                <w:szCs w:val="24"/>
              </w:rPr>
            </w:pPr>
            <w:r w:rsidRPr="00AB1490">
              <w:rPr>
                <w:rFonts w:ascii="Times New Roman" w:hAnsi="Times New Roman"/>
                <w:sz w:val="24"/>
                <w:szCs w:val="24"/>
              </w:rPr>
              <w:t>(given name, surname)</w:t>
            </w:r>
          </w:p>
        </w:tc>
        <w:tc>
          <w:tcPr>
            <w:tcW w:w="66" w:type="pct"/>
            <w:hideMark/>
          </w:tcPr>
          <w:p w14:paraId="7FA78197" w14:textId="7777777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 </w:t>
            </w:r>
          </w:p>
        </w:tc>
      </w:tr>
    </w:tbl>
    <w:p w14:paraId="61AB3998" w14:textId="77777777" w:rsidR="008441D4" w:rsidRPr="00AB1490" w:rsidRDefault="008441D4" w:rsidP="008441D4">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160"/>
        <w:gridCol w:w="6746"/>
        <w:gridCol w:w="165"/>
      </w:tblGrid>
      <w:tr w:rsidR="008441D4" w:rsidRPr="00AB1490" w14:paraId="505C0A9C" w14:textId="77777777" w:rsidTr="001B604D">
        <w:trPr>
          <w:tblCellSpacing w:w="15" w:type="dxa"/>
        </w:trPr>
        <w:tc>
          <w:tcPr>
            <w:tcW w:w="1166" w:type="pct"/>
            <w:noWrap/>
            <w:vAlign w:val="bottom"/>
            <w:hideMark/>
          </w:tcPr>
          <w:p w14:paraId="00CD729C" w14:textId="7777777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Telephone</w:t>
            </w:r>
          </w:p>
        </w:tc>
        <w:tc>
          <w:tcPr>
            <w:tcW w:w="3702" w:type="pct"/>
            <w:tcBorders>
              <w:bottom w:val="single" w:sz="6" w:space="0" w:color="auto"/>
            </w:tcBorders>
            <w:hideMark/>
          </w:tcPr>
          <w:p w14:paraId="64B27DD9" w14:textId="77AC9B20" w:rsidR="008441D4" w:rsidRPr="00AB1490" w:rsidRDefault="008441D4" w:rsidP="008441D4">
            <w:pPr>
              <w:spacing w:after="0" w:line="240" w:lineRule="auto"/>
              <w:jc w:val="both"/>
              <w:rPr>
                <w:rFonts w:ascii="Times New Roman" w:eastAsia="Times New Roman" w:hAnsi="Times New Roman" w:cs="Times New Roman"/>
                <w:noProof/>
                <w:sz w:val="24"/>
                <w:szCs w:val="24"/>
              </w:rPr>
            </w:pPr>
          </w:p>
        </w:tc>
        <w:tc>
          <w:tcPr>
            <w:tcW w:w="66" w:type="pct"/>
            <w:hideMark/>
          </w:tcPr>
          <w:p w14:paraId="2E92C9FF" w14:textId="7777777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 </w:t>
            </w:r>
          </w:p>
        </w:tc>
      </w:tr>
    </w:tbl>
    <w:p w14:paraId="760FEDBE" w14:textId="77777777" w:rsidR="008441D4" w:rsidRPr="00AB1490" w:rsidRDefault="008441D4" w:rsidP="008441D4">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1"/>
      </w:tblGrid>
      <w:tr w:rsidR="008441D4" w:rsidRPr="00AB1490" w14:paraId="66158994" w14:textId="77777777" w:rsidTr="001B604D">
        <w:trPr>
          <w:tblCellSpacing w:w="15" w:type="dxa"/>
        </w:trPr>
        <w:tc>
          <w:tcPr>
            <w:tcW w:w="4967" w:type="pct"/>
            <w:vAlign w:val="bottom"/>
            <w:hideMark/>
          </w:tcPr>
          <w:p w14:paraId="5C208184" w14:textId="77777777"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Prepared on ___ pages</w:t>
            </w:r>
          </w:p>
        </w:tc>
      </w:tr>
    </w:tbl>
    <w:p w14:paraId="06B56353" w14:textId="77777777" w:rsidR="001B604D" w:rsidRPr="00AB1490" w:rsidRDefault="001B604D" w:rsidP="008441D4">
      <w:pPr>
        <w:spacing w:after="0" w:line="240" w:lineRule="auto"/>
        <w:jc w:val="both"/>
        <w:rPr>
          <w:rFonts w:ascii="Times New Roman" w:eastAsia="Times New Roman" w:hAnsi="Times New Roman" w:cs="Times New Roman"/>
          <w:noProof/>
          <w:sz w:val="24"/>
          <w:szCs w:val="24"/>
          <w:lang w:eastAsia="lv-LV"/>
        </w:rPr>
      </w:pPr>
    </w:p>
    <w:p w14:paraId="37C6FD82" w14:textId="77777777" w:rsidR="001B604D" w:rsidRPr="00AB1490" w:rsidRDefault="001B604D" w:rsidP="008441D4">
      <w:pPr>
        <w:spacing w:after="0" w:line="240" w:lineRule="auto"/>
        <w:jc w:val="both"/>
        <w:rPr>
          <w:rFonts w:ascii="Times New Roman" w:eastAsia="Times New Roman" w:hAnsi="Times New Roman" w:cs="Times New Roman"/>
          <w:noProof/>
          <w:sz w:val="24"/>
          <w:szCs w:val="24"/>
          <w:lang w:eastAsia="lv-LV"/>
        </w:rPr>
      </w:pPr>
    </w:p>
    <w:p w14:paraId="634BF0CB" w14:textId="57E6C07C" w:rsidR="008441D4" w:rsidRPr="00AB1490" w:rsidRDefault="008441D4" w:rsidP="008441D4">
      <w:pPr>
        <w:spacing w:after="0" w:line="240" w:lineRule="auto"/>
        <w:jc w:val="both"/>
        <w:rPr>
          <w:rFonts w:ascii="Times New Roman" w:eastAsia="Times New Roman" w:hAnsi="Times New Roman" w:cs="Times New Roman"/>
          <w:noProof/>
          <w:sz w:val="24"/>
          <w:szCs w:val="24"/>
        </w:rPr>
      </w:pPr>
      <w:r w:rsidRPr="00AB1490">
        <w:rPr>
          <w:rFonts w:ascii="Times New Roman" w:hAnsi="Times New Roman"/>
          <w:sz w:val="24"/>
          <w:szCs w:val="24"/>
        </w:rPr>
        <w:t>Minister for Finance</w:t>
      </w:r>
      <w:r w:rsidR="00577A84" w:rsidRPr="00AB1490">
        <w:rPr>
          <w:rFonts w:ascii="Times New Roman" w:hAnsi="Times New Roman"/>
          <w:sz w:val="24"/>
          <w:szCs w:val="24"/>
        </w:rPr>
        <w:tab/>
      </w:r>
      <w:r w:rsidR="00577A84" w:rsidRPr="00AB1490">
        <w:rPr>
          <w:rFonts w:ascii="Times New Roman" w:hAnsi="Times New Roman"/>
          <w:sz w:val="24"/>
          <w:szCs w:val="24"/>
        </w:rPr>
        <w:tab/>
      </w:r>
      <w:r w:rsidR="00577A84" w:rsidRPr="00AB1490">
        <w:rPr>
          <w:rFonts w:ascii="Times New Roman" w:hAnsi="Times New Roman"/>
          <w:sz w:val="24"/>
          <w:szCs w:val="24"/>
        </w:rPr>
        <w:tab/>
      </w:r>
      <w:r w:rsidR="00577A84" w:rsidRPr="00AB1490">
        <w:rPr>
          <w:rFonts w:ascii="Times New Roman" w:hAnsi="Times New Roman"/>
          <w:sz w:val="24"/>
          <w:szCs w:val="24"/>
        </w:rPr>
        <w:tab/>
      </w:r>
      <w:r w:rsidR="00577A84" w:rsidRPr="00AB1490">
        <w:rPr>
          <w:rFonts w:ascii="Times New Roman" w:hAnsi="Times New Roman"/>
          <w:sz w:val="24"/>
          <w:szCs w:val="24"/>
        </w:rPr>
        <w:tab/>
      </w:r>
      <w:r w:rsidR="00577A84" w:rsidRPr="00AB1490">
        <w:rPr>
          <w:rFonts w:ascii="Times New Roman" w:hAnsi="Times New Roman"/>
          <w:sz w:val="24"/>
          <w:szCs w:val="24"/>
        </w:rPr>
        <w:tab/>
      </w:r>
      <w:r w:rsidR="00577A84" w:rsidRPr="00AB1490">
        <w:rPr>
          <w:rFonts w:ascii="Times New Roman" w:hAnsi="Times New Roman"/>
          <w:sz w:val="24"/>
          <w:szCs w:val="24"/>
        </w:rPr>
        <w:tab/>
      </w:r>
      <w:r w:rsidRPr="00AB1490">
        <w:rPr>
          <w:rFonts w:ascii="Times New Roman" w:hAnsi="Times New Roman"/>
          <w:sz w:val="24"/>
          <w:szCs w:val="24"/>
        </w:rPr>
        <w:t>Dana Reizniece-Ozola</w:t>
      </w:r>
    </w:p>
    <w:p w14:paraId="39B6E0BF" w14:textId="37D8C299" w:rsidR="001B604D" w:rsidRPr="00AB1490" w:rsidRDefault="001B604D" w:rsidP="008441D4">
      <w:pPr>
        <w:spacing w:after="0" w:line="240" w:lineRule="auto"/>
        <w:jc w:val="both"/>
        <w:rPr>
          <w:rFonts w:ascii="Times New Roman" w:eastAsia="Times New Roman" w:hAnsi="Times New Roman" w:cs="Times New Roman"/>
          <w:noProof/>
          <w:sz w:val="24"/>
          <w:szCs w:val="24"/>
          <w:lang w:eastAsia="lv-LV"/>
        </w:rPr>
      </w:pPr>
    </w:p>
    <w:p w14:paraId="11AE3ECD" w14:textId="77777777" w:rsidR="001B604D" w:rsidRPr="00AB1490" w:rsidRDefault="001B604D" w:rsidP="008441D4">
      <w:pPr>
        <w:spacing w:after="0" w:line="240" w:lineRule="auto"/>
        <w:jc w:val="both"/>
        <w:rPr>
          <w:rFonts w:ascii="Times New Roman" w:eastAsia="Times New Roman" w:hAnsi="Times New Roman" w:cs="Times New Roman"/>
          <w:noProof/>
          <w:sz w:val="24"/>
          <w:szCs w:val="24"/>
          <w:lang w:eastAsia="lv-LV"/>
        </w:rPr>
      </w:pPr>
    </w:p>
    <w:sectPr w:rsidR="001B604D" w:rsidRPr="00AB1490" w:rsidSect="008441D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ABA90" w14:textId="77777777" w:rsidR="00D8392D" w:rsidRPr="008441D4" w:rsidRDefault="00D8392D" w:rsidP="008441D4">
      <w:pPr>
        <w:spacing w:after="0" w:line="240" w:lineRule="auto"/>
        <w:rPr>
          <w:noProof/>
          <w:lang w:val="en-US"/>
        </w:rPr>
      </w:pPr>
      <w:r w:rsidRPr="008441D4">
        <w:rPr>
          <w:noProof/>
          <w:lang w:val="en-US"/>
        </w:rPr>
        <w:separator/>
      </w:r>
    </w:p>
  </w:endnote>
  <w:endnote w:type="continuationSeparator" w:id="0">
    <w:p w14:paraId="76D6F733" w14:textId="77777777" w:rsidR="00D8392D" w:rsidRPr="008441D4" w:rsidRDefault="00D8392D" w:rsidP="008441D4">
      <w:pPr>
        <w:spacing w:after="0" w:line="240" w:lineRule="auto"/>
        <w:rPr>
          <w:noProof/>
          <w:lang w:val="en-US"/>
        </w:rPr>
      </w:pPr>
      <w:r w:rsidRPr="008441D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721DB" w14:textId="77777777" w:rsidR="008B656E" w:rsidRPr="00750961" w:rsidRDefault="008B656E" w:rsidP="008B656E">
    <w:pPr>
      <w:pStyle w:val="Kjene"/>
      <w:tabs>
        <w:tab w:val="clear" w:pos="4153"/>
        <w:tab w:val="clear" w:pos="8306"/>
        <w:tab w:val="right" w:pos="9072"/>
      </w:tabs>
      <w:rPr>
        <w:rFonts w:ascii="Times New Roman" w:hAnsi="Times New Roman"/>
        <w:sz w:val="20"/>
      </w:rPr>
    </w:pPr>
  </w:p>
  <w:p w14:paraId="22AAB523" w14:textId="77777777" w:rsidR="008B656E" w:rsidRPr="000523BF" w:rsidRDefault="008B656E" w:rsidP="008B656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E8414" w14:textId="77777777" w:rsidR="008B656E" w:rsidRPr="00750961" w:rsidRDefault="008B656E" w:rsidP="008B656E">
    <w:pPr>
      <w:pStyle w:val="Kjene"/>
      <w:rPr>
        <w:rFonts w:ascii="Times New Roman" w:hAnsi="Times New Roman"/>
        <w:sz w:val="20"/>
      </w:rPr>
    </w:pPr>
  </w:p>
  <w:p w14:paraId="2ACD9762" w14:textId="77777777" w:rsidR="008B656E" w:rsidRPr="000523BF" w:rsidRDefault="008B656E" w:rsidP="008B656E">
    <w:pPr>
      <w:pStyle w:val="Kjene"/>
      <w:rPr>
        <w:rFonts w:ascii="Times New Roman" w:hAnsi="Times New Roman"/>
        <w:sz w:val="20"/>
      </w:rPr>
    </w:pPr>
    <w:bookmarkStart w:id="236" w:name="_Hlk31896922"/>
    <w:bookmarkStart w:id="23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36"/>
    <w:bookmarkEnd w:id="2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AE3E3" w14:textId="77777777" w:rsidR="00D8392D" w:rsidRPr="008441D4" w:rsidRDefault="00D8392D" w:rsidP="008441D4">
      <w:pPr>
        <w:spacing w:after="0" w:line="240" w:lineRule="auto"/>
        <w:rPr>
          <w:noProof/>
          <w:lang w:val="en-US"/>
        </w:rPr>
      </w:pPr>
      <w:r w:rsidRPr="008441D4">
        <w:rPr>
          <w:noProof/>
          <w:lang w:val="en-US"/>
        </w:rPr>
        <w:separator/>
      </w:r>
    </w:p>
  </w:footnote>
  <w:footnote w:type="continuationSeparator" w:id="0">
    <w:p w14:paraId="2C9FA812" w14:textId="77777777" w:rsidR="00D8392D" w:rsidRPr="008441D4" w:rsidRDefault="00D8392D" w:rsidP="008441D4">
      <w:pPr>
        <w:spacing w:after="0" w:line="240" w:lineRule="auto"/>
        <w:rPr>
          <w:noProof/>
          <w:lang w:val="en-US"/>
        </w:rPr>
      </w:pPr>
      <w:r w:rsidRPr="008441D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C0"/>
    <w:rsid w:val="001B604D"/>
    <w:rsid w:val="002326EA"/>
    <w:rsid w:val="00530540"/>
    <w:rsid w:val="00577A84"/>
    <w:rsid w:val="00593F41"/>
    <w:rsid w:val="005E3390"/>
    <w:rsid w:val="008001A3"/>
    <w:rsid w:val="00825FC0"/>
    <w:rsid w:val="008441D4"/>
    <w:rsid w:val="008B656E"/>
    <w:rsid w:val="00980097"/>
    <w:rsid w:val="00AA5D6D"/>
    <w:rsid w:val="00AB1490"/>
    <w:rsid w:val="00AD0760"/>
    <w:rsid w:val="00BC2297"/>
    <w:rsid w:val="00D62F9C"/>
    <w:rsid w:val="00D8392D"/>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F6A7"/>
  <w15:chartTrackingRefBased/>
  <w15:docId w15:val="{6620B032-C553-4B6D-A360-F372A419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8441D4"/>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8441D4"/>
    <w:rPr>
      <w:rFonts w:ascii="Times New Roman" w:eastAsia="Times New Roman" w:hAnsi="Times New Roman" w:cs="Times New Roman"/>
      <w:b/>
      <w:bCs/>
      <w:sz w:val="24"/>
      <w:szCs w:val="24"/>
      <w:lang w:eastAsia="lv-LV"/>
    </w:rPr>
  </w:style>
  <w:style w:type="paragraph" w:styleId="Galvene">
    <w:name w:val="header"/>
    <w:basedOn w:val="Parasts"/>
    <w:link w:val="GalveneRakstz"/>
    <w:uiPriority w:val="99"/>
    <w:unhideWhenUsed/>
    <w:rsid w:val="008441D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441D4"/>
  </w:style>
  <w:style w:type="paragraph" w:styleId="Kjene">
    <w:name w:val="footer"/>
    <w:basedOn w:val="Parasts"/>
    <w:link w:val="KjeneRakstz"/>
    <w:unhideWhenUsed/>
    <w:rsid w:val="008441D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441D4"/>
  </w:style>
  <w:style w:type="character" w:styleId="Lappusesnumurs">
    <w:name w:val="page number"/>
    <w:rsid w:val="008B6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193309">
      <w:bodyDiv w:val="1"/>
      <w:marLeft w:val="0"/>
      <w:marRight w:val="0"/>
      <w:marTop w:val="0"/>
      <w:marBottom w:val="0"/>
      <w:divBdr>
        <w:top w:val="none" w:sz="0" w:space="0" w:color="auto"/>
        <w:left w:val="none" w:sz="0" w:space="0" w:color="auto"/>
        <w:bottom w:val="none" w:sz="0" w:space="0" w:color="auto"/>
        <w:right w:val="none" w:sz="0" w:space="0" w:color="auto"/>
      </w:divBdr>
      <w:divsChild>
        <w:div w:id="872618061">
          <w:marLeft w:val="0"/>
          <w:marRight w:val="0"/>
          <w:marTop w:val="0"/>
          <w:marBottom w:val="0"/>
          <w:divBdr>
            <w:top w:val="none" w:sz="0" w:space="0" w:color="auto"/>
            <w:left w:val="none" w:sz="0" w:space="0" w:color="auto"/>
            <w:bottom w:val="none" w:sz="0" w:space="0" w:color="auto"/>
            <w:right w:val="none" w:sz="0" w:space="0" w:color="auto"/>
          </w:divBdr>
          <w:divsChild>
            <w:div w:id="1566718430">
              <w:marLeft w:val="0"/>
              <w:marRight w:val="0"/>
              <w:marTop w:val="0"/>
              <w:marBottom w:val="0"/>
              <w:divBdr>
                <w:top w:val="none" w:sz="0" w:space="0" w:color="auto"/>
                <w:left w:val="none" w:sz="0" w:space="0" w:color="auto"/>
                <w:bottom w:val="none" w:sz="0" w:space="0" w:color="auto"/>
                <w:right w:val="none" w:sz="0" w:space="0" w:color="auto"/>
              </w:divBdr>
            </w:div>
            <w:div w:id="3747643">
              <w:marLeft w:val="0"/>
              <w:marRight w:val="0"/>
              <w:marTop w:val="0"/>
              <w:marBottom w:val="0"/>
              <w:divBdr>
                <w:top w:val="none" w:sz="0" w:space="0" w:color="auto"/>
                <w:left w:val="none" w:sz="0" w:space="0" w:color="auto"/>
                <w:bottom w:val="none" w:sz="0" w:space="0" w:color="auto"/>
                <w:right w:val="none" w:sz="0" w:space="0" w:color="auto"/>
              </w:divBdr>
            </w:div>
            <w:div w:id="159008228">
              <w:marLeft w:val="0"/>
              <w:marRight w:val="0"/>
              <w:marTop w:val="0"/>
              <w:marBottom w:val="0"/>
              <w:divBdr>
                <w:top w:val="none" w:sz="0" w:space="0" w:color="auto"/>
                <w:left w:val="none" w:sz="0" w:space="0" w:color="auto"/>
                <w:bottom w:val="none" w:sz="0" w:space="0" w:color="auto"/>
                <w:right w:val="none" w:sz="0" w:space="0" w:color="auto"/>
              </w:divBdr>
            </w:div>
            <w:div w:id="1698042747">
              <w:marLeft w:val="0"/>
              <w:marRight w:val="0"/>
              <w:marTop w:val="0"/>
              <w:marBottom w:val="0"/>
              <w:divBdr>
                <w:top w:val="none" w:sz="0" w:space="0" w:color="auto"/>
                <w:left w:val="none" w:sz="0" w:space="0" w:color="auto"/>
                <w:bottom w:val="none" w:sz="0" w:space="0" w:color="auto"/>
                <w:right w:val="none" w:sz="0" w:space="0" w:color="auto"/>
              </w:divBdr>
            </w:div>
            <w:div w:id="1592011151">
              <w:marLeft w:val="0"/>
              <w:marRight w:val="0"/>
              <w:marTop w:val="0"/>
              <w:marBottom w:val="0"/>
              <w:divBdr>
                <w:top w:val="none" w:sz="0" w:space="0" w:color="auto"/>
                <w:left w:val="none" w:sz="0" w:space="0" w:color="auto"/>
                <w:bottom w:val="none" w:sz="0" w:space="0" w:color="auto"/>
                <w:right w:val="none" w:sz="0" w:space="0" w:color="auto"/>
              </w:divBdr>
            </w:div>
            <w:div w:id="1642416271">
              <w:marLeft w:val="0"/>
              <w:marRight w:val="0"/>
              <w:marTop w:val="0"/>
              <w:marBottom w:val="0"/>
              <w:divBdr>
                <w:top w:val="none" w:sz="0" w:space="0" w:color="auto"/>
                <w:left w:val="none" w:sz="0" w:space="0" w:color="auto"/>
                <w:bottom w:val="none" w:sz="0" w:space="0" w:color="auto"/>
                <w:right w:val="none" w:sz="0" w:space="0" w:color="auto"/>
              </w:divBdr>
            </w:div>
            <w:div w:id="1023745157">
              <w:marLeft w:val="0"/>
              <w:marRight w:val="0"/>
              <w:marTop w:val="0"/>
              <w:marBottom w:val="0"/>
              <w:divBdr>
                <w:top w:val="none" w:sz="0" w:space="0" w:color="auto"/>
                <w:left w:val="none" w:sz="0" w:space="0" w:color="auto"/>
                <w:bottom w:val="none" w:sz="0" w:space="0" w:color="auto"/>
                <w:right w:val="none" w:sz="0" w:space="0" w:color="auto"/>
              </w:divBdr>
            </w:div>
            <w:div w:id="648292483">
              <w:marLeft w:val="0"/>
              <w:marRight w:val="0"/>
              <w:marTop w:val="0"/>
              <w:marBottom w:val="0"/>
              <w:divBdr>
                <w:top w:val="none" w:sz="0" w:space="0" w:color="auto"/>
                <w:left w:val="none" w:sz="0" w:space="0" w:color="auto"/>
                <w:bottom w:val="none" w:sz="0" w:space="0" w:color="auto"/>
                <w:right w:val="none" w:sz="0" w:space="0" w:color="auto"/>
              </w:divBdr>
            </w:div>
            <w:div w:id="759570383">
              <w:marLeft w:val="0"/>
              <w:marRight w:val="0"/>
              <w:marTop w:val="0"/>
              <w:marBottom w:val="0"/>
              <w:divBdr>
                <w:top w:val="none" w:sz="0" w:space="0" w:color="auto"/>
                <w:left w:val="none" w:sz="0" w:space="0" w:color="auto"/>
                <w:bottom w:val="none" w:sz="0" w:space="0" w:color="auto"/>
                <w:right w:val="none" w:sz="0" w:space="0" w:color="auto"/>
              </w:divBdr>
            </w:div>
            <w:div w:id="1621648266">
              <w:marLeft w:val="0"/>
              <w:marRight w:val="0"/>
              <w:marTop w:val="0"/>
              <w:marBottom w:val="0"/>
              <w:divBdr>
                <w:top w:val="none" w:sz="0" w:space="0" w:color="auto"/>
                <w:left w:val="none" w:sz="0" w:space="0" w:color="auto"/>
                <w:bottom w:val="none" w:sz="0" w:space="0" w:color="auto"/>
                <w:right w:val="none" w:sz="0" w:space="0" w:color="auto"/>
              </w:divBdr>
            </w:div>
            <w:div w:id="1236890494">
              <w:marLeft w:val="0"/>
              <w:marRight w:val="0"/>
              <w:marTop w:val="0"/>
              <w:marBottom w:val="0"/>
              <w:divBdr>
                <w:top w:val="none" w:sz="0" w:space="0" w:color="auto"/>
                <w:left w:val="none" w:sz="0" w:space="0" w:color="auto"/>
                <w:bottom w:val="none" w:sz="0" w:space="0" w:color="auto"/>
                <w:right w:val="none" w:sz="0" w:space="0" w:color="auto"/>
              </w:divBdr>
            </w:div>
            <w:div w:id="1493064933">
              <w:marLeft w:val="0"/>
              <w:marRight w:val="0"/>
              <w:marTop w:val="0"/>
              <w:marBottom w:val="0"/>
              <w:divBdr>
                <w:top w:val="none" w:sz="0" w:space="0" w:color="auto"/>
                <w:left w:val="none" w:sz="0" w:space="0" w:color="auto"/>
                <w:bottom w:val="none" w:sz="0" w:space="0" w:color="auto"/>
                <w:right w:val="none" w:sz="0" w:space="0" w:color="auto"/>
              </w:divBdr>
            </w:div>
            <w:div w:id="1869367172">
              <w:marLeft w:val="0"/>
              <w:marRight w:val="0"/>
              <w:marTop w:val="0"/>
              <w:marBottom w:val="0"/>
              <w:divBdr>
                <w:top w:val="none" w:sz="0" w:space="0" w:color="auto"/>
                <w:left w:val="none" w:sz="0" w:space="0" w:color="auto"/>
                <w:bottom w:val="none" w:sz="0" w:space="0" w:color="auto"/>
                <w:right w:val="none" w:sz="0" w:space="0" w:color="auto"/>
              </w:divBdr>
            </w:div>
            <w:div w:id="1113939093">
              <w:marLeft w:val="0"/>
              <w:marRight w:val="0"/>
              <w:marTop w:val="0"/>
              <w:marBottom w:val="0"/>
              <w:divBdr>
                <w:top w:val="none" w:sz="0" w:space="0" w:color="auto"/>
                <w:left w:val="none" w:sz="0" w:space="0" w:color="auto"/>
                <w:bottom w:val="none" w:sz="0" w:space="0" w:color="auto"/>
                <w:right w:val="none" w:sz="0" w:space="0" w:color="auto"/>
              </w:divBdr>
            </w:div>
            <w:div w:id="1375157577">
              <w:marLeft w:val="0"/>
              <w:marRight w:val="0"/>
              <w:marTop w:val="0"/>
              <w:marBottom w:val="0"/>
              <w:divBdr>
                <w:top w:val="none" w:sz="0" w:space="0" w:color="auto"/>
                <w:left w:val="none" w:sz="0" w:space="0" w:color="auto"/>
                <w:bottom w:val="none" w:sz="0" w:space="0" w:color="auto"/>
                <w:right w:val="none" w:sz="0" w:space="0" w:color="auto"/>
              </w:divBdr>
            </w:div>
            <w:div w:id="1048408001">
              <w:marLeft w:val="0"/>
              <w:marRight w:val="0"/>
              <w:marTop w:val="0"/>
              <w:marBottom w:val="0"/>
              <w:divBdr>
                <w:top w:val="none" w:sz="0" w:space="0" w:color="auto"/>
                <w:left w:val="none" w:sz="0" w:space="0" w:color="auto"/>
                <w:bottom w:val="none" w:sz="0" w:space="0" w:color="auto"/>
                <w:right w:val="none" w:sz="0" w:space="0" w:color="auto"/>
              </w:divBdr>
            </w:div>
            <w:div w:id="1797530503">
              <w:marLeft w:val="0"/>
              <w:marRight w:val="0"/>
              <w:marTop w:val="0"/>
              <w:marBottom w:val="0"/>
              <w:divBdr>
                <w:top w:val="none" w:sz="0" w:space="0" w:color="auto"/>
                <w:left w:val="none" w:sz="0" w:space="0" w:color="auto"/>
                <w:bottom w:val="none" w:sz="0" w:space="0" w:color="auto"/>
                <w:right w:val="none" w:sz="0" w:space="0" w:color="auto"/>
              </w:divBdr>
            </w:div>
            <w:div w:id="290596052">
              <w:marLeft w:val="0"/>
              <w:marRight w:val="0"/>
              <w:marTop w:val="0"/>
              <w:marBottom w:val="0"/>
              <w:divBdr>
                <w:top w:val="none" w:sz="0" w:space="0" w:color="auto"/>
                <w:left w:val="none" w:sz="0" w:space="0" w:color="auto"/>
                <w:bottom w:val="none" w:sz="0" w:space="0" w:color="auto"/>
                <w:right w:val="none" w:sz="0" w:space="0" w:color="auto"/>
              </w:divBdr>
            </w:div>
            <w:div w:id="1935429673">
              <w:marLeft w:val="0"/>
              <w:marRight w:val="0"/>
              <w:marTop w:val="0"/>
              <w:marBottom w:val="0"/>
              <w:divBdr>
                <w:top w:val="none" w:sz="0" w:space="0" w:color="auto"/>
                <w:left w:val="none" w:sz="0" w:space="0" w:color="auto"/>
                <w:bottom w:val="none" w:sz="0" w:space="0" w:color="auto"/>
                <w:right w:val="none" w:sz="0" w:space="0" w:color="auto"/>
              </w:divBdr>
            </w:div>
            <w:div w:id="1255867663">
              <w:marLeft w:val="0"/>
              <w:marRight w:val="0"/>
              <w:marTop w:val="0"/>
              <w:marBottom w:val="0"/>
              <w:divBdr>
                <w:top w:val="none" w:sz="0" w:space="0" w:color="auto"/>
                <w:left w:val="none" w:sz="0" w:space="0" w:color="auto"/>
                <w:bottom w:val="none" w:sz="0" w:space="0" w:color="auto"/>
                <w:right w:val="none" w:sz="0" w:space="0" w:color="auto"/>
              </w:divBdr>
            </w:div>
            <w:div w:id="173224023">
              <w:marLeft w:val="0"/>
              <w:marRight w:val="0"/>
              <w:marTop w:val="0"/>
              <w:marBottom w:val="0"/>
              <w:divBdr>
                <w:top w:val="none" w:sz="0" w:space="0" w:color="auto"/>
                <w:left w:val="none" w:sz="0" w:space="0" w:color="auto"/>
                <w:bottom w:val="none" w:sz="0" w:space="0" w:color="auto"/>
                <w:right w:val="none" w:sz="0" w:space="0" w:color="auto"/>
              </w:divBdr>
            </w:div>
            <w:div w:id="410857147">
              <w:marLeft w:val="0"/>
              <w:marRight w:val="0"/>
              <w:marTop w:val="0"/>
              <w:marBottom w:val="0"/>
              <w:divBdr>
                <w:top w:val="none" w:sz="0" w:space="0" w:color="auto"/>
                <w:left w:val="none" w:sz="0" w:space="0" w:color="auto"/>
                <w:bottom w:val="none" w:sz="0" w:space="0" w:color="auto"/>
                <w:right w:val="none" w:sz="0" w:space="0" w:color="auto"/>
              </w:divBdr>
            </w:div>
            <w:div w:id="1111556502">
              <w:marLeft w:val="0"/>
              <w:marRight w:val="0"/>
              <w:marTop w:val="0"/>
              <w:marBottom w:val="0"/>
              <w:divBdr>
                <w:top w:val="none" w:sz="0" w:space="0" w:color="auto"/>
                <w:left w:val="none" w:sz="0" w:space="0" w:color="auto"/>
                <w:bottom w:val="none" w:sz="0" w:space="0" w:color="auto"/>
                <w:right w:val="none" w:sz="0" w:space="0" w:color="auto"/>
              </w:divBdr>
            </w:div>
            <w:div w:id="1670019582">
              <w:marLeft w:val="0"/>
              <w:marRight w:val="0"/>
              <w:marTop w:val="0"/>
              <w:marBottom w:val="0"/>
              <w:divBdr>
                <w:top w:val="none" w:sz="0" w:space="0" w:color="auto"/>
                <w:left w:val="none" w:sz="0" w:space="0" w:color="auto"/>
                <w:bottom w:val="none" w:sz="0" w:space="0" w:color="auto"/>
                <w:right w:val="none" w:sz="0" w:space="0" w:color="auto"/>
              </w:divBdr>
            </w:div>
            <w:div w:id="902645462">
              <w:marLeft w:val="0"/>
              <w:marRight w:val="0"/>
              <w:marTop w:val="0"/>
              <w:marBottom w:val="0"/>
              <w:divBdr>
                <w:top w:val="none" w:sz="0" w:space="0" w:color="auto"/>
                <w:left w:val="none" w:sz="0" w:space="0" w:color="auto"/>
                <w:bottom w:val="none" w:sz="0" w:space="0" w:color="auto"/>
                <w:right w:val="none" w:sz="0" w:space="0" w:color="auto"/>
              </w:divBdr>
            </w:div>
            <w:div w:id="740754142">
              <w:marLeft w:val="0"/>
              <w:marRight w:val="0"/>
              <w:marTop w:val="0"/>
              <w:marBottom w:val="0"/>
              <w:divBdr>
                <w:top w:val="none" w:sz="0" w:space="0" w:color="auto"/>
                <w:left w:val="none" w:sz="0" w:space="0" w:color="auto"/>
                <w:bottom w:val="none" w:sz="0" w:space="0" w:color="auto"/>
                <w:right w:val="none" w:sz="0" w:space="0" w:color="auto"/>
              </w:divBdr>
            </w:div>
            <w:div w:id="129136094">
              <w:marLeft w:val="0"/>
              <w:marRight w:val="0"/>
              <w:marTop w:val="0"/>
              <w:marBottom w:val="0"/>
              <w:divBdr>
                <w:top w:val="none" w:sz="0" w:space="0" w:color="auto"/>
                <w:left w:val="none" w:sz="0" w:space="0" w:color="auto"/>
                <w:bottom w:val="none" w:sz="0" w:space="0" w:color="auto"/>
                <w:right w:val="none" w:sz="0" w:space="0" w:color="auto"/>
              </w:divBdr>
            </w:div>
            <w:div w:id="1634365886">
              <w:marLeft w:val="0"/>
              <w:marRight w:val="0"/>
              <w:marTop w:val="0"/>
              <w:marBottom w:val="0"/>
              <w:divBdr>
                <w:top w:val="none" w:sz="0" w:space="0" w:color="auto"/>
                <w:left w:val="none" w:sz="0" w:space="0" w:color="auto"/>
                <w:bottom w:val="none" w:sz="0" w:space="0" w:color="auto"/>
                <w:right w:val="none" w:sz="0" w:space="0" w:color="auto"/>
              </w:divBdr>
            </w:div>
            <w:div w:id="660306472">
              <w:marLeft w:val="0"/>
              <w:marRight w:val="0"/>
              <w:marTop w:val="0"/>
              <w:marBottom w:val="0"/>
              <w:divBdr>
                <w:top w:val="none" w:sz="0" w:space="0" w:color="auto"/>
                <w:left w:val="none" w:sz="0" w:space="0" w:color="auto"/>
                <w:bottom w:val="none" w:sz="0" w:space="0" w:color="auto"/>
                <w:right w:val="none" w:sz="0" w:space="0" w:color="auto"/>
              </w:divBdr>
            </w:div>
            <w:div w:id="2011062369">
              <w:marLeft w:val="0"/>
              <w:marRight w:val="0"/>
              <w:marTop w:val="0"/>
              <w:marBottom w:val="0"/>
              <w:divBdr>
                <w:top w:val="none" w:sz="0" w:space="0" w:color="auto"/>
                <w:left w:val="none" w:sz="0" w:space="0" w:color="auto"/>
                <w:bottom w:val="none" w:sz="0" w:space="0" w:color="auto"/>
                <w:right w:val="none" w:sz="0" w:space="0" w:color="auto"/>
              </w:divBdr>
            </w:div>
            <w:div w:id="2121752410">
              <w:marLeft w:val="0"/>
              <w:marRight w:val="0"/>
              <w:marTop w:val="0"/>
              <w:marBottom w:val="0"/>
              <w:divBdr>
                <w:top w:val="none" w:sz="0" w:space="0" w:color="auto"/>
                <w:left w:val="none" w:sz="0" w:space="0" w:color="auto"/>
                <w:bottom w:val="none" w:sz="0" w:space="0" w:color="auto"/>
                <w:right w:val="none" w:sz="0" w:space="0" w:color="auto"/>
              </w:divBdr>
            </w:div>
            <w:div w:id="592934893">
              <w:marLeft w:val="0"/>
              <w:marRight w:val="0"/>
              <w:marTop w:val="0"/>
              <w:marBottom w:val="0"/>
              <w:divBdr>
                <w:top w:val="none" w:sz="0" w:space="0" w:color="auto"/>
                <w:left w:val="none" w:sz="0" w:space="0" w:color="auto"/>
                <w:bottom w:val="none" w:sz="0" w:space="0" w:color="auto"/>
                <w:right w:val="none" w:sz="0" w:space="0" w:color="auto"/>
              </w:divBdr>
            </w:div>
            <w:div w:id="1931504259">
              <w:marLeft w:val="0"/>
              <w:marRight w:val="0"/>
              <w:marTop w:val="0"/>
              <w:marBottom w:val="0"/>
              <w:divBdr>
                <w:top w:val="none" w:sz="0" w:space="0" w:color="auto"/>
                <w:left w:val="none" w:sz="0" w:space="0" w:color="auto"/>
                <w:bottom w:val="none" w:sz="0" w:space="0" w:color="auto"/>
                <w:right w:val="none" w:sz="0" w:space="0" w:color="auto"/>
              </w:divBdr>
            </w:div>
            <w:div w:id="1122967588">
              <w:marLeft w:val="0"/>
              <w:marRight w:val="0"/>
              <w:marTop w:val="0"/>
              <w:marBottom w:val="0"/>
              <w:divBdr>
                <w:top w:val="none" w:sz="0" w:space="0" w:color="auto"/>
                <w:left w:val="none" w:sz="0" w:space="0" w:color="auto"/>
                <w:bottom w:val="none" w:sz="0" w:space="0" w:color="auto"/>
                <w:right w:val="none" w:sz="0" w:space="0" w:color="auto"/>
              </w:divBdr>
            </w:div>
            <w:div w:id="135266514">
              <w:marLeft w:val="0"/>
              <w:marRight w:val="0"/>
              <w:marTop w:val="0"/>
              <w:marBottom w:val="0"/>
              <w:divBdr>
                <w:top w:val="none" w:sz="0" w:space="0" w:color="auto"/>
                <w:left w:val="none" w:sz="0" w:space="0" w:color="auto"/>
                <w:bottom w:val="none" w:sz="0" w:space="0" w:color="auto"/>
                <w:right w:val="none" w:sz="0" w:space="0" w:color="auto"/>
              </w:divBdr>
            </w:div>
            <w:div w:id="2080713291">
              <w:marLeft w:val="0"/>
              <w:marRight w:val="0"/>
              <w:marTop w:val="0"/>
              <w:marBottom w:val="0"/>
              <w:divBdr>
                <w:top w:val="none" w:sz="0" w:space="0" w:color="auto"/>
                <w:left w:val="none" w:sz="0" w:space="0" w:color="auto"/>
                <w:bottom w:val="none" w:sz="0" w:space="0" w:color="auto"/>
                <w:right w:val="none" w:sz="0" w:space="0" w:color="auto"/>
              </w:divBdr>
            </w:div>
            <w:div w:id="133181093">
              <w:marLeft w:val="0"/>
              <w:marRight w:val="0"/>
              <w:marTop w:val="0"/>
              <w:marBottom w:val="0"/>
              <w:divBdr>
                <w:top w:val="none" w:sz="0" w:space="0" w:color="auto"/>
                <w:left w:val="none" w:sz="0" w:space="0" w:color="auto"/>
                <w:bottom w:val="none" w:sz="0" w:space="0" w:color="auto"/>
                <w:right w:val="none" w:sz="0" w:space="0" w:color="auto"/>
              </w:divBdr>
            </w:div>
            <w:div w:id="350230296">
              <w:marLeft w:val="0"/>
              <w:marRight w:val="0"/>
              <w:marTop w:val="0"/>
              <w:marBottom w:val="0"/>
              <w:divBdr>
                <w:top w:val="none" w:sz="0" w:space="0" w:color="auto"/>
                <w:left w:val="none" w:sz="0" w:space="0" w:color="auto"/>
                <w:bottom w:val="none" w:sz="0" w:space="0" w:color="auto"/>
                <w:right w:val="none" w:sz="0" w:space="0" w:color="auto"/>
              </w:divBdr>
            </w:div>
            <w:div w:id="315377566">
              <w:marLeft w:val="0"/>
              <w:marRight w:val="0"/>
              <w:marTop w:val="0"/>
              <w:marBottom w:val="0"/>
              <w:divBdr>
                <w:top w:val="none" w:sz="0" w:space="0" w:color="auto"/>
                <w:left w:val="none" w:sz="0" w:space="0" w:color="auto"/>
                <w:bottom w:val="none" w:sz="0" w:space="0" w:color="auto"/>
                <w:right w:val="none" w:sz="0" w:space="0" w:color="auto"/>
              </w:divBdr>
            </w:div>
            <w:div w:id="404307621">
              <w:marLeft w:val="0"/>
              <w:marRight w:val="0"/>
              <w:marTop w:val="0"/>
              <w:marBottom w:val="0"/>
              <w:divBdr>
                <w:top w:val="none" w:sz="0" w:space="0" w:color="auto"/>
                <w:left w:val="none" w:sz="0" w:space="0" w:color="auto"/>
                <w:bottom w:val="none" w:sz="0" w:space="0" w:color="auto"/>
                <w:right w:val="none" w:sz="0" w:space="0" w:color="auto"/>
              </w:divBdr>
            </w:div>
            <w:div w:id="1639653347">
              <w:marLeft w:val="0"/>
              <w:marRight w:val="0"/>
              <w:marTop w:val="0"/>
              <w:marBottom w:val="0"/>
              <w:divBdr>
                <w:top w:val="none" w:sz="0" w:space="0" w:color="auto"/>
                <w:left w:val="none" w:sz="0" w:space="0" w:color="auto"/>
                <w:bottom w:val="none" w:sz="0" w:space="0" w:color="auto"/>
                <w:right w:val="none" w:sz="0" w:space="0" w:color="auto"/>
              </w:divBdr>
            </w:div>
            <w:div w:id="1367022747">
              <w:marLeft w:val="0"/>
              <w:marRight w:val="0"/>
              <w:marTop w:val="0"/>
              <w:marBottom w:val="0"/>
              <w:divBdr>
                <w:top w:val="none" w:sz="0" w:space="0" w:color="auto"/>
                <w:left w:val="none" w:sz="0" w:space="0" w:color="auto"/>
                <w:bottom w:val="none" w:sz="0" w:space="0" w:color="auto"/>
                <w:right w:val="none" w:sz="0" w:space="0" w:color="auto"/>
              </w:divBdr>
            </w:div>
            <w:div w:id="6449074">
              <w:marLeft w:val="0"/>
              <w:marRight w:val="0"/>
              <w:marTop w:val="0"/>
              <w:marBottom w:val="0"/>
              <w:divBdr>
                <w:top w:val="none" w:sz="0" w:space="0" w:color="auto"/>
                <w:left w:val="none" w:sz="0" w:space="0" w:color="auto"/>
                <w:bottom w:val="none" w:sz="0" w:space="0" w:color="auto"/>
                <w:right w:val="none" w:sz="0" w:space="0" w:color="auto"/>
              </w:divBdr>
            </w:div>
            <w:div w:id="1207989041">
              <w:marLeft w:val="0"/>
              <w:marRight w:val="0"/>
              <w:marTop w:val="0"/>
              <w:marBottom w:val="0"/>
              <w:divBdr>
                <w:top w:val="none" w:sz="0" w:space="0" w:color="auto"/>
                <w:left w:val="none" w:sz="0" w:space="0" w:color="auto"/>
                <w:bottom w:val="none" w:sz="0" w:space="0" w:color="auto"/>
                <w:right w:val="none" w:sz="0" w:space="0" w:color="auto"/>
              </w:divBdr>
            </w:div>
            <w:div w:id="1005782691">
              <w:marLeft w:val="0"/>
              <w:marRight w:val="0"/>
              <w:marTop w:val="0"/>
              <w:marBottom w:val="0"/>
              <w:divBdr>
                <w:top w:val="none" w:sz="0" w:space="0" w:color="auto"/>
                <w:left w:val="none" w:sz="0" w:space="0" w:color="auto"/>
                <w:bottom w:val="none" w:sz="0" w:space="0" w:color="auto"/>
                <w:right w:val="none" w:sz="0" w:space="0" w:color="auto"/>
              </w:divBdr>
            </w:div>
            <w:div w:id="382682642">
              <w:marLeft w:val="0"/>
              <w:marRight w:val="0"/>
              <w:marTop w:val="0"/>
              <w:marBottom w:val="0"/>
              <w:divBdr>
                <w:top w:val="none" w:sz="0" w:space="0" w:color="auto"/>
                <w:left w:val="none" w:sz="0" w:space="0" w:color="auto"/>
                <w:bottom w:val="none" w:sz="0" w:space="0" w:color="auto"/>
                <w:right w:val="none" w:sz="0" w:space="0" w:color="auto"/>
              </w:divBdr>
            </w:div>
            <w:div w:id="765884559">
              <w:marLeft w:val="0"/>
              <w:marRight w:val="0"/>
              <w:marTop w:val="0"/>
              <w:marBottom w:val="0"/>
              <w:divBdr>
                <w:top w:val="none" w:sz="0" w:space="0" w:color="auto"/>
                <w:left w:val="none" w:sz="0" w:space="0" w:color="auto"/>
                <w:bottom w:val="none" w:sz="0" w:space="0" w:color="auto"/>
                <w:right w:val="none" w:sz="0" w:space="0" w:color="auto"/>
              </w:divBdr>
            </w:div>
            <w:div w:id="673535359">
              <w:marLeft w:val="0"/>
              <w:marRight w:val="0"/>
              <w:marTop w:val="0"/>
              <w:marBottom w:val="0"/>
              <w:divBdr>
                <w:top w:val="none" w:sz="0" w:space="0" w:color="auto"/>
                <w:left w:val="none" w:sz="0" w:space="0" w:color="auto"/>
                <w:bottom w:val="none" w:sz="0" w:space="0" w:color="auto"/>
                <w:right w:val="none" w:sz="0" w:space="0" w:color="auto"/>
              </w:divBdr>
            </w:div>
            <w:div w:id="2145348595">
              <w:marLeft w:val="0"/>
              <w:marRight w:val="0"/>
              <w:marTop w:val="0"/>
              <w:marBottom w:val="0"/>
              <w:divBdr>
                <w:top w:val="none" w:sz="0" w:space="0" w:color="auto"/>
                <w:left w:val="none" w:sz="0" w:space="0" w:color="auto"/>
                <w:bottom w:val="none" w:sz="0" w:space="0" w:color="auto"/>
                <w:right w:val="none" w:sz="0" w:space="0" w:color="auto"/>
              </w:divBdr>
            </w:div>
            <w:div w:id="1974942929">
              <w:marLeft w:val="0"/>
              <w:marRight w:val="0"/>
              <w:marTop w:val="0"/>
              <w:marBottom w:val="0"/>
              <w:divBdr>
                <w:top w:val="none" w:sz="0" w:space="0" w:color="auto"/>
                <w:left w:val="none" w:sz="0" w:space="0" w:color="auto"/>
                <w:bottom w:val="none" w:sz="0" w:space="0" w:color="auto"/>
                <w:right w:val="none" w:sz="0" w:space="0" w:color="auto"/>
              </w:divBdr>
            </w:div>
            <w:div w:id="1023896763">
              <w:marLeft w:val="0"/>
              <w:marRight w:val="0"/>
              <w:marTop w:val="0"/>
              <w:marBottom w:val="0"/>
              <w:divBdr>
                <w:top w:val="none" w:sz="0" w:space="0" w:color="auto"/>
                <w:left w:val="none" w:sz="0" w:space="0" w:color="auto"/>
                <w:bottom w:val="none" w:sz="0" w:space="0" w:color="auto"/>
                <w:right w:val="none" w:sz="0" w:space="0" w:color="auto"/>
              </w:divBdr>
            </w:div>
            <w:div w:id="2036038330">
              <w:marLeft w:val="0"/>
              <w:marRight w:val="0"/>
              <w:marTop w:val="0"/>
              <w:marBottom w:val="0"/>
              <w:divBdr>
                <w:top w:val="none" w:sz="0" w:space="0" w:color="auto"/>
                <w:left w:val="none" w:sz="0" w:space="0" w:color="auto"/>
                <w:bottom w:val="none" w:sz="0" w:space="0" w:color="auto"/>
                <w:right w:val="none" w:sz="0" w:space="0" w:color="auto"/>
              </w:divBdr>
            </w:div>
            <w:div w:id="1598900626">
              <w:marLeft w:val="0"/>
              <w:marRight w:val="0"/>
              <w:marTop w:val="0"/>
              <w:marBottom w:val="0"/>
              <w:divBdr>
                <w:top w:val="none" w:sz="0" w:space="0" w:color="auto"/>
                <w:left w:val="none" w:sz="0" w:space="0" w:color="auto"/>
                <w:bottom w:val="none" w:sz="0" w:space="0" w:color="auto"/>
                <w:right w:val="none" w:sz="0" w:space="0" w:color="auto"/>
              </w:divBdr>
            </w:div>
            <w:div w:id="271980826">
              <w:marLeft w:val="0"/>
              <w:marRight w:val="0"/>
              <w:marTop w:val="0"/>
              <w:marBottom w:val="0"/>
              <w:divBdr>
                <w:top w:val="none" w:sz="0" w:space="0" w:color="auto"/>
                <w:left w:val="none" w:sz="0" w:space="0" w:color="auto"/>
                <w:bottom w:val="none" w:sz="0" w:space="0" w:color="auto"/>
                <w:right w:val="none" w:sz="0" w:space="0" w:color="auto"/>
              </w:divBdr>
            </w:div>
            <w:div w:id="2122411952">
              <w:marLeft w:val="0"/>
              <w:marRight w:val="0"/>
              <w:marTop w:val="0"/>
              <w:marBottom w:val="0"/>
              <w:divBdr>
                <w:top w:val="none" w:sz="0" w:space="0" w:color="auto"/>
                <w:left w:val="none" w:sz="0" w:space="0" w:color="auto"/>
                <w:bottom w:val="none" w:sz="0" w:space="0" w:color="auto"/>
                <w:right w:val="none" w:sz="0" w:space="0" w:color="auto"/>
              </w:divBdr>
            </w:div>
            <w:div w:id="1370836277">
              <w:marLeft w:val="0"/>
              <w:marRight w:val="0"/>
              <w:marTop w:val="0"/>
              <w:marBottom w:val="0"/>
              <w:divBdr>
                <w:top w:val="none" w:sz="0" w:space="0" w:color="auto"/>
                <w:left w:val="none" w:sz="0" w:space="0" w:color="auto"/>
                <w:bottom w:val="none" w:sz="0" w:space="0" w:color="auto"/>
                <w:right w:val="none" w:sz="0" w:space="0" w:color="auto"/>
              </w:divBdr>
            </w:div>
            <w:div w:id="271015635">
              <w:marLeft w:val="0"/>
              <w:marRight w:val="0"/>
              <w:marTop w:val="0"/>
              <w:marBottom w:val="0"/>
              <w:divBdr>
                <w:top w:val="none" w:sz="0" w:space="0" w:color="auto"/>
                <w:left w:val="none" w:sz="0" w:space="0" w:color="auto"/>
                <w:bottom w:val="none" w:sz="0" w:space="0" w:color="auto"/>
                <w:right w:val="none" w:sz="0" w:space="0" w:color="auto"/>
              </w:divBdr>
            </w:div>
            <w:div w:id="1545673761">
              <w:marLeft w:val="0"/>
              <w:marRight w:val="0"/>
              <w:marTop w:val="0"/>
              <w:marBottom w:val="0"/>
              <w:divBdr>
                <w:top w:val="none" w:sz="0" w:space="0" w:color="auto"/>
                <w:left w:val="none" w:sz="0" w:space="0" w:color="auto"/>
                <w:bottom w:val="none" w:sz="0" w:space="0" w:color="auto"/>
                <w:right w:val="none" w:sz="0" w:space="0" w:color="auto"/>
              </w:divBdr>
            </w:div>
            <w:div w:id="760567858">
              <w:marLeft w:val="0"/>
              <w:marRight w:val="0"/>
              <w:marTop w:val="0"/>
              <w:marBottom w:val="0"/>
              <w:divBdr>
                <w:top w:val="none" w:sz="0" w:space="0" w:color="auto"/>
                <w:left w:val="none" w:sz="0" w:space="0" w:color="auto"/>
                <w:bottom w:val="none" w:sz="0" w:space="0" w:color="auto"/>
                <w:right w:val="none" w:sz="0" w:space="0" w:color="auto"/>
              </w:divBdr>
            </w:div>
            <w:div w:id="146749213">
              <w:marLeft w:val="0"/>
              <w:marRight w:val="0"/>
              <w:marTop w:val="0"/>
              <w:marBottom w:val="0"/>
              <w:divBdr>
                <w:top w:val="none" w:sz="0" w:space="0" w:color="auto"/>
                <w:left w:val="none" w:sz="0" w:space="0" w:color="auto"/>
                <w:bottom w:val="none" w:sz="0" w:space="0" w:color="auto"/>
                <w:right w:val="none" w:sz="0" w:space="0" w:color="auto"/>
              </w:divBdr>
            </w:div>
            <w:div w:id="1543513099">
              <w:marLeft w:val="0"/>
              <w:marRight w:val="0"/>
              <w:marTop w:val="0"/>
              <w:marBottom w:val="0"/>
              <w:divBdr>
                <w:top w:val="none" w:sz="0" w:space="0" w:color="auto"/>
                <w:left w:val="none" w:sz="0" w:space="0" w:color="auto"/>
                <w:bottom w:val="none" w:sz="0" w:space="0" w:color="auto"/>
                <w:right w:val="none" w:sz="0" w:space="0" w:color="auto"/>
              </w:divBdr>
            </w:div>
            <w:div w:id="1567842054">
              <w:marLeft w:val="0"/>
              <w:marRight w:val="0"/>
              <w:marTop w:val="0"/>
              <w:marBottom w:val="0"/>
              <w:divBdr>
                <w:top w:val="none" w:sz="0" w:space="0" w:color="auto"/>
                <w:left w:val="none" w:sz="0" w:space="0" w:color="auto"/>
                <w:bottom w:val="none" w:sz="0" w:space="0" w:color="auto"/>
                <w:right w:val="none" w:sz="0" w:space="0" w:color="auto"/>
              </w:divBdr>
            </w:div>
            <w:div w:id="411203197">
              <w:marLeft w:val="0"/>
              <w:marRight w:val="0"/>
              <w:marTop w:val="0"/>
              <w:marBottom w:val="0"/>
              <w:divBdr>
                <w:top w:val="none" w:sz="0" w:space="0" w:color="auto"/>
                <w:left w:val="none" w:sz="0" w:space="0" w:color="auto"/>
                <w:bottom w:val="none" w:sz="0" w:space="0" w:color="auto"/>
                <w:right w:val="none" w:sz="0" w:space="0" w:color="auto"/>
              </w:divBdr>
            </w:div>
            <w:div w:id="1064836844">
              <w:marLeft w:val="0"/>
              <w:marRight w:val="0"/>
              <w:marTop w:val="0"/>
              <w:marBottom w:val="0"/>
              <w:divBdr>
                <w:top w:val="none" w:sz="0" w:space="0" w:color="auto"/>
                <w:left w:val="none" w:sz="0" w:space="0" w:color="auto"/>
                <w:bottom w:val="none" w:sz="0" w:space="0" w:color="auto"/>
                <w:right w:val="none" w:sz="0" w:space="0" w:color="auto"/>
              </w:divBdr>
            </w:div>
            <w:div w:id="1561792653">
              <w:marLeft w:val="0"/>
              <w:marRight w:val="0"/>
              <w:marTop w:val="0"/>
              <w:marBottom w:val="0"/>
              <w:divBdr>
                <w:top w:val="none" w:sz="0" w:space="0" w:color="auto"/>
                <w:left w:val="none" w:sz="0" w:space="0" w:color="auto"/>
                <w:bottom w:val="none" w:sz="0" w:space="0" w:color="auto"/>
                <w:right w:val="none" w:sz="0" w:space="0" w:color="auto"/>
              </w:divBdr>
            </w:div>
            <w:div w:id="15350961">
              <w:marLeft w:val="0"/>
              <w:marRight w:val="0"/>
              <w:marTop w:val="0"/>
              <w:marBottom w:val="0"/>
              <w:divBdr>
                <w:top w:val="none" w:sz="0" w:space="0" w:color="auto"/>
                <w:left w:val="none" w:sz="0" w:space="0" w:color="auto"/>
                <w:bottom w:val="none" w:sz="0" w:space="0" w:color="auto"/>
                <w:right w:val="none" w:sz="0" w:space="0" w:color="auto"/>
              </w:divBdr>
            </w:div>
            <w:div w:id="2113813914">
              <w:marLeft w:val="0"/>
              <w:marRight w:val="0"/>
              <w:marTop w:val="0"/>
              <w:marBottom w:val="0"/>
              <w:divBdr>
                <w:top w:val="none" w:sz="0" w:space="0" w:color="auto"/>
                <w:left w:val="none" w:sz="0" w:space="0" w:color="auto"/>
                <w:bottom w:val="none" w:sz="0" w:space="0" w:color="auto"/>
                <w:right w:val="none" w:sz="0" w:space="0" w:color="auto"/>
              </w:divBdr>
            </w:div>
            <w:div w:id="1595699175">
              <w:marLeft w:val="0"/>
              <w:marRight w:val="0"/>
              <w:marTop w:val="0"/>
              <w:marBottom w:val="0"/>
              <w:divBdr>
                <w:top w:val="none" w:sz="0" w:space="0" w:color="auto"/>
                <w:left w:val="none" w:sz="0" w:space="0" w:color="auto"/>
                <w:bottom w:val="none" w:sz="0" w:space="0" w:color="auto"/>
                <w:right w:val="none" w:sz="0" w:space="0" w:color="auto"/>
              </w:divBdr>
            </w:div>
            <w:div w:id="297414051">
              <w:marLeft w:val="0"/>
              <w:marRight w:val="0"/>
              <w:marTop w:val="0"/>
              <w:marBottom w:val="0"/>
              <w:divBdr>
                <w:top w:val="none" w:sz="0" w:space="0" w:color="auto"/>
                <w:left w:val="none" w:sz="0" w:space="0" w:color="auto"/>
                <w:bottom w:val="none" w:sz="0" w:space="0" w:color="auto"/>
                <w:right w:val="none" w:sz="0" w:space="0" w:color="auto"/>
              </w:divBdr>
            </w:div>
            <w:div w:id="1616012879">
              <w:marLeft w:val="0"/>
              <w:marRight w:val="0"/>
              <w:marTop w:val="0"/>
              <w:marBottom w:val="0"/>
              <w:divBdr>
                <w:top w:val="none" w:sz="0" w:space="0" w:color="auto"/>
                <w:left w:val="none" w:sz="0" w:space="0" w:color="auto"/>
                <w:bottom w:val="none" w:sz="0" w:space="0" w:color="auto"/>
                <w:right w:val="none" w:sz="0" w:space="0" w:color="auto"/>
              </w:divBdr>
            </w:div>
            <w:div w:id="428820764">
              <w:marLeft w:val="0"/>
              <w:marRight w:val="0"/>
              <w:marTop w:val="0"/>
              <w:marBottom w:val="0"/>
              <w:divBdr>
                <w:top w:val="none" w:sz="0" w:space="0" w:color="auto"/>
                <w:left w:val="none" w:sz="0" w:space="0" w:color="auto"/>
                <w:bottom w:val="none" w:sz="0" w:space="0" w:color="auto"/>
                <w:right w:val="none" w:sz="0" w:space="0" w:color="auto"/>
              </w:divBdr>
            </w:div>
            <w:div w:id="1152481123">
              <w:marLeft w:val="0"/>
              <w:marRight w:val="0"/>
              <w:marTop w:val="0"/>
              <w:marBottom w:val="0"/>
              <w:divBdr>
                <w:top w:val="none" w:sz="0" w:space="0" w:color="auto"/>
                <w:left w:val="none" w:sz="0" w:space="0" w:color="auto"/>
                <w:bottom w:val="none" w:sz="0" w:space="0" w:color="auto"/>
                <w:right w:val="none" w:sz="0" w:space="0" w:color="auto"/>
              </w:divBdr>
            </w:div>
            <w:div w:id="934288380">
              <w:marLeft w:val="0"/>
              <w:marRight w:val="0"/>
              <w:marTop w:val="0"/>
              <w:marBottom w:val="0"/>
              <w:divBdr>
                <w:top w:val="none" w:sz="0" w:space="0" w:color="auto"/>
                <w:left w:val="none" w:sz="0" w:space="0" w:color="auto"/>
                <w:bottom w:val="none" w:sz="0" w:space="0" w:color="auto"/>
                <w:right w:val="none" w:sz="0" w:space="0" w:color="auto"/>
              </w:divBdr>
            </w:div>
            <w:div w:id="607280714">
              <w:marLeft w:val="0"/>
              <w:marRight w:val="0"/>
              <w:marTop w:val="0"/>
              <w:marBottom w:val="0"/>
              <w:divBdr>
                <w:top w:val="none" w:sz="0" w:space="0" w:color="auto"/>
                <w:left w:val="none" w:sz="0" w:space="0" w:color="auto"/>
                <w:bottom w:val="none" w:sz="0" w:space="0" w:color="auto"/>
                <w:right w:val="none" w:sz="0" w:space="0" w:color="auto"/>
              </w:divBdr>
            </w:div>
            <w:div w:id="1797412917">
              <w:marLeft w:val="0"/>
              <w:marRight w:val="0"/>
              <w:marTop w:val="0"/>
              <w:marBottom w:val="0"/>
              <w:divBdr>
                <w:top w:val="none" w:sz="0" w:space="0" w:color="auto"/>
                <w:left w:val="none" w:sz="0" w:space="0" w:color="auto"/>
                <w:bottom w:val="none" w:sz="0" w:space="0" w:color="auto"/>
                <w:right w:val="none" w:sz="0" w:space="0" w:color="auto"/>
              </w:divBdr>
            </w:div>
            <w:div w:id="445658992">
              <w:marLeft w:val="0"/>
              <w:marRight w:val="0"/>
              <w:marTop w:val="0"/>
              <w:marBottom w:val="0"/>
              <w:divBdr>
                <w:top w:val="none" w:sz="0" w:space="0" w:color="auto"/>
                <w:left w:val="none" w:sz="0" w:space="0" w:color="auto"/>
                <w:bottom w:val="none" w:sz="0" w:space="0" w:color="auto"/>
                <w:right w:val="none" w:sz="0" w:space="0" w:color="auto"/>
              </w:divBdr>
            </w:div>
            <w:div w:id="1524048991">
              <w:marLeft w:val="0"/>
              <w:marRight w:val="0"/>
              <w:marTop w:val="0"/>
              <w:marBottom w:val="0"/>
              <w:divBdr>
                <w:top w:val="none" w:sz="0" w:space="0" w:color="auto"/>
                <w:left w:val="none" w:sz="0" w:space="0" w:color="auto"/>
                <w:bottom w:val="none" w:sz="0" w:space="0" w:color="auto"/>
                <w:right w:val="none" w:sz="0" w:space="0" w:color="auto"/>
              </w:divBdr>
            </w:div>
            <w:div w:id="1483932996">
              <w:marLeft w:val="0"/>
              <w:marRight w:val="0"/>
              <w:marTop w:val="0"/>
              <w:marBottom w:val="0"/>
              <w:divBdr>
                <w:top w:val="none" w:sz="0" w:space="0" w:color="auto"/>
                <w:left w:val="none" w:sz="0" w:space="0" w:color="auto"/>
                <w:bottom w:val="none" w:sz="0" w:space="0" w:color="auto"/>
                <w:right w:val="none" w:sz="0" w:space="0" w:color="auto"/>
              </w:divBdr>
            </w:div>
            <w:div w:id="455872260">
              <w:marLeft w:val="0"/>
              <w:marRight w:val="0"/>
              <w:marTop w:val="0"/>
              <w:marBottom w:val="0"/>
              <w:divBdr>
                <w:top w:val="none" w:sz="0" w:space="0" w:color="auto"/>
                <w:left w:val="none" w:sz="0" w:space="0" w:color="auto"/>
                <w:bottom w:val="none" w:sz="0" w:space="0" w:color="auto"/>
                <w:right w:val="none" w:sz="0" w:space="0" w:color="auto"/>
              </w:divBdr>
            </w:div>
            <w:div w:id="216816770">
              <w:marLeft w:val="0"/>
              <w:marRight w:val="0"/>
              <w:marTop w:val="0"/>
              <w:marBottom w:val="0"/>
              <w:divBdr>
                <w:top w:val="none" w:sz="0" w:space="0" w:color="auto"/>
                <w:left w:val="none" w:sz="0" w:space="0" w:color="auto"/>
                <w:bottom w:val="none" w:sz="0" w:space="0" w:color="auto"/>
                <w:right w:val="none" w:sz="0" w:space="0" w:color="auto"/>
              </w:divBdr>
            </w:div>
            <w:div w:id="465201232">
              <w:marLeft w:val="0"/>
              <w:marRight w:val="0"/>
              <w:marTop w:val="0"/>
              <w:marBottom w:val="0"/>
              <w:divBdr>
                <w:top w:val="none" w:sz="0" w:space="0" w:color="auto"/>
                <w:left w:val="none" w:sz="0" w:space="0" w:color="auto"/>
                <w:bottom w:val="none" w:sz="0" w:space="0" w:color="auto"/>
                <w:right w:val="none" w:sz="0" w:space="0" w:color="auto"/>
              </w:divBdr>
            </w:div>
            <w:div w:id="1691300564">
              <w:marLeft w:val="0"/>
              <w:marRight w:val="0"/>
              <w:marTop w:val="0"/>
              <w:marBottom w:val="0"/>
              <w:divBdr>
                <w:top w:val="none" w:sz="0" w:space="0" w:color="auto"/>
                <w:left w:val="none" w:sz="0" w:space="0" w:color="auto"/>
                <w:bottom w:val="none" w:sz="0" w:space="0" w:color="auto"/>
                <w:right w:val="none" w:sz="0" w:space="0" w:color="auto"/>
              </w:divBdr>
            </w:div>
            <w:div w:id="2091736217">
              <w:marLeft w:val="0"/>
              <w:marRight w:val="0"/>
              <w:marTop w:val="0"/>
              <w:marBottom w:val="0"/>
              <w:divBdr>
                <w:top w:val="none" w:sz="0" w:space="0" w:color="auto"/>
                <w:left w:val="none" w:sz="0" w:space="0" w:color="auto"/>
                <w:bottom w:val="none" w:sz="0" w:space="0" w:color="auto"/>
                <w:right w:val="none" w:sz="0" w:space="0" w:color="auto"/>
              </w:divBdr>
            </w:div>
            <w:div w:id="4942364">
              <w:marLeft w:val="0"/>
              <w:marRight w:val="0"/>
              <w:marTop w:val="0"/>
              <w:marBottom w:val="0"/>
              <w:divBdr>
                <w:top w:val="none" w:sz="0" w:space="0" w:color="auto"/>
                <w:left w:val="none" w:sz="0" w:space="0" w:color="auto"/>
                <w:bottom w:val="none" w:sz="0" w:space="0" w:color="auto"/>
                <w:right w:val="none" w:sz="0" w:space="0" w:color="auto"/>
              </w:divBdr>
            </w:div>
            <w:div w:id="1789470882">
              <w:marLeft w:val="0"/>
              <w:marRight w:val="0"/>
              <w:marTop w:val="0"/>
              <w:marBottom w:val="0"/>
              <w:divBdr>
                <w:top w:val="none" w:sz="0" w:space="0" w:color="auto"/>
                <w:left w:val="none" w:sz="0" w:space="0" w:color="auto"/>
                <w:bottom w:val="none" w:sz="0" w:space="0" w:color="auto"/>
                <w:right w:val="none" w:sz="0" w:space="0" w:color="auto"/>
              </w:divBdr>
            </w:div>
            <w:div w:id="1454980547">
              <w:marLeft w:val="0"/>
              <w:marRight w:val="0"/>
              <w:marTop w:val="0"/>
              <w:marBottom w:val="0"/>
              <w:divBdr>
                <w:top w:val="none" w:sz="0" w:space="0" w:color="auto"/>
                <w:left w:val="none" w:sz="0" w:space="0" w:color="auto"/>
                <w:bottom w:val="none" w:sz="0" w:space="0" w:color="auto"/>
                <w:right w:val="none" w:sz="0" w:space="0" w:color="auto"/>
              </w:divBdr>
            </w:div>
            <w:div w:id="1961765425">
              <w:marLeft w:val="0"/>
              <w:marRight w:val="0"/>
              <w:marTop w:val="0"/>
              <w:marBottom w:val="0"/>
              <w:divBdr>
                <w:top w:val="none" w:sz="0" w:space="0" w:color="auto"/>
                <w:left w:val="none" w:sz="0" w:space="0" w:color="auto"/>
                <w:bottom w:val="none" w:sz="0" w:space="0" w:color="auto"/>
                <w:right w:val="none" w:sz="0" w:space="0" w:color="auto"/>
              </w:divBdr>
            </w:div>
            <w:div w:id="585044132">
              <w:marLeft w:val="0"/>
              <w:marRight w:val="0"/>
              <w:marTop w:val="0"/>
              <w:marBottom w:val="0"/>
              <w:divBdr>
                <w:top w:val="none" w:sz="0" w:space="0" w:color="auto"/>
                <w:left w:val="none" w:sz="0" w:space="0" w:color="auto"/>
                <w:bottom w:val="none" w:sz="0" w:space="0" w:color="auto"/>
                <w:right w:val="none" w:sz="0" w:space="0" w:color="auto"/>
              </w:divBdr>
            </w:div>
            <w:div w:id="1599172176">
              <w:marLeft w:val="0"/>
              <w:marRight w:val="0"/>
              <w:marTop w:val="0"/>
              <w:marBottom w:val="0"/>
              <w:divBdr>
                <w:top w:val="none" w:sz="0" w:space="0" w:color="auto"/>
                <w:left w:val="none" w:sz="0" w:space="0" w:color="auto"/>
                <w:bottom w:val="none" w:sz="0" w:space="0" w:color="auto"/>
                <w:right w:val="none" w:sz="0" w:space="0" w:color="auto"/>
              </w:divBdr>
            </w:div>
            <w:div w:id="187984508">
              <w:marLeft w:val="0"/>
              <w:marRight w:val="0"/>
              <w:marTop w:val="0"/>
              <w:marBottom w:val="0"/>
              <w:divBdr>
                <w:top w:val="none" w:sz="0" w:space="0" w:color="auto"/>
                <w:left w:val="none" w:sz="0" w:space="0" w:color="auto"/>
                <w:bottom w:val="none" w:sz="0" w:space="0" w:color="auto"/>
                <w:right w:val="none" w:sz="0" w:space="0" w:color="auto"/>
              </w:divBdr>
            </w:div>
            <w:div w:id="1310402960">
              <w:marLeft w:val="0"/>
              <w:marRight w:val="0"/>
              <w:marTop w:val="0"/>
              <w:marBottom w:val="0"/>
              <w:divBdr>
                <w:top w:val="none" w:sz="0" w:space="0" w:color="auto"/>
                <w:left w:val="none" w:sz="0" w:space="0" w:color="auto"/>
                <w:bottom w:val="none" w:sz="0" w:space="0" w:color="auto"/>
                <w:right w:val="none" w:sz="0" w:space="0" w:color="auto"/>
              </w:divBdr>
            </w:div>
            <w:div w:id="238828597">
              <w:marLeft w:val="0"/>
              <w:marRight w:val="0"/>
              <w:marTop w:val="0"/>
              <w:marBottom w:val="0"/>
              <w:divBdr>
                <w:top w:val="none" w:sz="0" w:space="0" w:color="auto"/>
                <w:left w:val="none" w:sz="0" w:space="0" w:color="auto"/>
                <w:bottom w:val="none" w:sz="0" w:space="0" w:color="auto"/>
                <w:right w:val="none" w:sz="0" w:space="0" w:color="auto"/>
              </w:divBdr>
            </w:div>
            <w:div w:id="1142621627">
              <w:marLeft w:val="0"/>
              <w:marRight w:val="0"/>
              <w:marTop w:val="0"/>
              <w:marBottom w:val="0"/>
              <w:divBdr>
                <w:top w:val="none" w:sz="0" w:space="0" w:color="auto"/>
                <w:left w:val="none" w:sz="0" w:space="0" w:color="auto"/>
                <w:bottom w:val="none" w:sz="0" w:space="0" w:color="auto"/>
                <w:right w:val="none" w:sz="0" w:space="0" w:color="auto"/>
              </w:divBdr>
            </w:div>
            <w:div w:id="1867788793">
              <w:marLeft w:val="0"/>
              <w:marRight w:val="0"/>
              <w:marTop w:val="0"/>
              <w:marBottom w:val="0"/>
              <w:divBdr>
                <w:top w:val="none" w:sz="0" w:space="0" w:color="auto"/>
                <w:left w:val="none" w:sz="0" w:space="0" w:color="auto"/>
                <w:bottom w:val="none" w:sz="0" w:space="0" w:color="auto"/>
                <w:right w:val="none" w:sz="0" w:space="0" w:color="auto"/>
              </w:divBdr>
            </w:div>
            <w:div w:id="1026373987">
              <w:marLeft w:val="0"/>
              <w:marRight w:val="0"/>
              <w:marTop w:val="0"/>
              <w:marBottom w:val="0"/>
              <w:divBdr>
                <w:top w:val="none" w:sz="0" w:space="0" w:color="auto"/>
                <w:left w:val="none" w:sz="0" w:space="0" w:color="auto"/>
                <w:bottom w:val="none" w:sz="0" w:space="0" w:color="auto"/>
                <w:right w:val="none" w:sz="0" w:space="0" w:color="auto"/>
              </w:divBdr>
            </w:div>
            <w:div w:id="685714362">
              <w:marLeft w:val="0"/>
              <w:marRight w:val="0"/>
              <w:marTop w:val="0"/>
              <w:marBottom w:val="0"/>
              <w:divBdr>
                <w:top w:val="none" w:sz="0" w:space="0" w:color="auto"/>
                <w:left w:val="none" w:sz="0" w:space="0" w:color="auto"/>
                <w:bottom w:val="none" w:sz="0" w:space="0" w:color="auto"/>
                <w:right w:val="none" w:sz="0" w:space="0" w:color="auto"/>
              </w:divBdr>
            </w:div>
            <w:div w:id="317656099">
              <w:marLeft w:val="0"/>
              <w:marRight w:val="0"/>
              <w:marTop w:val="0"/>
              <w:marBottom w:val="0"/>
              <w:divBdr>
                <w:top w:val="none" w:sz="0" w:space="0" w:color="auto"/>
                <w:left w:val="none" w:sz="0" w:space="0" w:color="auto"/>
                <w:bottom w:val="none" w:sz="0" w:space="0" w:color="auto"/>
                <w:right w:val="none" w:sz="0" w:space="0" w:color="auto"/>
              </w:divBdr>
            </w:div>
            <w:div w:id="590086680">
              <w:marLeft w:val="0"/>
              <w:marRight w:val="0"/>
              <w:marTop w:val="0"/>
              <w:marBottom w:val="0"/>
              <w:divBdr>
                <w:top w:val="none" w:sz="0" w:space="0" w:color="auto"/>
                <w:left w:val="none" w:sz="0" w:space="0" w:color="auto"/>
                <w:bottom w:val="none" w:sz="0" w:space="0" w:color="auto"/>
                <w:right w:val="none" w:sz="0" w:space="0" w:color="auto"/>
              </w:divBdr>
            </w:div>
            <w:div w:id="1209761753">
              <w:marLeft w:val="0"/>
              <w:marRight w:val="0"/>
              <w:marTop w:val="0"/>
              <w:marBottom w:val="0"/>
              <w:divBdr>
                <w:top w:val="none" w:sz="0" w:space="0" w:color="auto"/>
                <w:left w:val="none" w:sz="0" w:space="0" w:color="auto"/>
                <w:bottom w:val="none" w:sz="0" w:space="0" w:color="auto"/>
                <w:right w:val="none" w:sz="0" w:space="0" w:color="auto"/>
              </w:divBdr>
            </w:div>
            <w:div w:id="1737049667">
              <w:marLeft w:val="0"/>
              <w:marRight w:val="0"/>
              <w:marTop w:val="0"/>
              <w:marBottom w:val="0"/>
              <w:divBdr>
                <w:top w:val="none" w:sz="0" w:space="0" w:color="auto"/>
                <w:left w:val="none" w:sz="0" w:space="0" w:color="auto"/>
                <w:bottom w:val="none" w:sz="0" w:space="0" w:color="auto"/>
                <w:right w:val="none" w:sz="0" w:space="0" w:color="auto"/>
              </w:divBdr>
            </w:div>
            <w:div w:id="283122655">
              <w:marLeft w:val="0"/>
              <w:marRight w:val="0"/>
              <w:marTop w:val="0"/>
              <w:marBottom w:val="0"/>
              <w:divBdr>
                <w:top w:val="none" w:sz="0" w:space="0" w:color="auto"/>
                <w:left w:val="none" w:sz="0" w:space="0" w:color="auto"/>
                <w:bottom w:val="none" w:sz="0" w:space="0" w:color="auto"/>
                <w:right w:val="none" w:sz="0" w:space="0" w:color="auto"/>
              </w:divBdr>
            </w:div>
            <w:div w:id="1017853217">
              <w:marLeft w:val="0"/>
              <w:marRight w:val="0"/>
              <w:marTop w:val="0"/>
              <w:marBottom w:val="0"/>
              <w:divBdr>
                <w:top w:val="none" w:sz="0" w:space="0" w:color="auto"/>
                <w:left w:val="none" w:sz="0" w:space="0" w:color="auto"/>
                <w:bottom w:val="none" w:sz="0" w:space="0" w:color="auto"/>
                <w:right w:val="none" w:sz="0" w:space="0" w:color="auto"/>
              </w:divBdr>
            </w:div>
            <w:div w:id="1155416414">
              <w:marLeft w:val="0"/>
              <w:marRight w:val="0"/>
              <w:marTop w:val="0"/>
              <w:marBottom w:val="0"/>
              <w:divBdr>
                <w:top w:val="none" w:sz="0" w:space="0" w:color="auto"/>
                <w:left w:val="none" w:sz="0" w:space="0" w:color="auto"/>
                <w:bottom w:val="none" w:sz="0" w:space="0" w:color="auto"/>
                <w:right w:val="none" w:sz="0" w:space="0" w:color="auto"/>
              </w:divBdr>
            </w:div>
            <w:div w:id="1517966989">
              <w:marLeft w:val="0"/>
              <w:marRight w:val="0"/>
              <w:marTop w:val="0"/>
              <w:marBottom w:val="0"/>
              <w:divBdr>
                <w:top w:val="none" w:sz="0" w:space="0" w:color="auto"/>
                <w:left w:val="none" w:sz="0" w:space="0" w:color="auto"/>
                <w:bottom w:val="none" w:sz="0" w:space="0" w:color="auto"/>
                <w:right w:val="none" w:sz="0" w:space="0" w:color="auto"/>
              </w:divBdr>
            </w:div>
            <w:div w:id="1891839342">
              <w:marLeft w:val="0"/>
              <w:marRight w:val="0"/>
              <w:marTop w:val="0"/>
              <w:marBottom w:val="0"/>
              <w:divBdr>
                <w:top w:val="none" w:sz="0" w:space="0" w:color="auto"/>
                <w:left w:val="none" w:sz="0" w:space="0" w:color="auto"/>
                <w:bottom w:val="none" w:sz="0" w:space="0" w:color="auto"/>
                <w:right w:val="none" w:sz="0" w:space="0" w:color="auto"/>
              </w:divBdr>
            </w:div>
            <w:div w:id="1987011060">
              <w:marLeft w:val="0"/>
              <w:marRight w:val="0"/>
              <w:marTop w:val="0"/>
              <w:marBottom w:val="0"/>
              <w:divBdr>
                <w:top w:val="none" w:sz="0" w:space="0" w:color="auto"/>
                <w:left w:val="none" w:sz="0" w:space="0" w:color="auto"/>
                <w:bottom w:val="none" w:sz="0" w:space="0" w:color="auto"/>
                <w:right w:val="none" w:sz="0" w:space="0" w:color="auto"/>
              </w:divBdr>
            </w:div>
            <w:div w:id="1853714600">
              <w:marLeft w:val="0"/>
              <w:marRight w:val="0"/>
              <w:marTop w:val="0"/>
              <w:marBottom w:val="0"/>
              <w:divBdr>
                <w:top w:val="none" w:sz="0" w:space="0" w:color="auto"/>
                <w:left w:val="none" w:sz="0" w:space="0" w:color="auto"/>
                <w:bottom w:val="none" w:sz="0" w:space="0" w:color="auto"/>
                <w:right w:val="none" w:sz="0" w:space="0" w:color="auto"/>
              </w:divBdr>
            </w:div>
            <w:div w:id="257956814">
              <w:marLeft w:val="0"/>
              <w:marRight w:val="0"/>
              <w:marTop w:val="0"/>
              <w:marBottom w:val="0"/>
              <w:divBdr>
                <w:top w:val="none" w:sz="0" w:space="0" w:color="auto"/>
                <w:left w:val="none" w:sz="0" w:space="0" w:color="auto"/>
                <w:bottom w:val="none" w:sz="0" w:space="0" w:color="auto"/>
                <w:right w:val="none" w:sz="0" w:space="0" w:color="auto"/>
              </w:divBdr>
            </w:div>
            <w:div w:id="1270357059">
              <w:marLeft w:val="0"/>
              <w:marRight w:val="0"/>
              <w:marTop w:val="0"/>
              <w:marBottom w:val="0"/>
              <w:divBdr>
                <w:top w:val="none" w:sz="0" w:space="0" w:color="auto"/>
                <w:left w:val="none" w:sz="0" w:space="0" w:color="auto"/>
                <w:bottom w:val="none" w:sz="0" w:space="0" w:color="auto"/>
                <w:right w:val="none" w:sz="0" w:space="0" w:color="auto"/>
              </w:divBdr>
            </w:div>
            <w:div w:id="1211115665">
              <w:marLeft w:val="0"/>
              <w:marRight w:val="0"/>
              <w:marTop w:val="0"/>
              <w:marBottom w:val="0"/>
              <w:divBdr>
                <w:top w:val="none" w:sz="0" w:space="0" w:color="auto"/>
                <w:left w:val="none" w:sz="0" w:space="0" w:color="auto"/>
                <w:bottom w:val="none" w:sz="0" w:space="0" w:color="auto"/>
                <w:right w:val="none" w:sz="0" w:space="0" w:color="auto"/>
              </w:divBdr>
            </w:div>
            <w:div w:id="1630236566">
              <w:marLeft w:val="0"/>
              <w:marRight w:val="0"/>
              <w:marTop w:val="0"/>
              <w:marBottom w:val="0"/>
              <w:divBdr>
                <w:top w:val="none" w:sz="0" w:space="0" w:color="auto"/>
                <w:left w:val="none" w:sz="0" w:space="0" w:color="auto"/>
                <w:bottom w:val="none" w:sz="0" w:space="0" w:color="auto"/>
                <w:right w:val="none" w:sz="0" w:space="0" w:color="auto"/>
              </w:divBdr>
            </w:div>
            <w:div w:id="2030718322">
              <w:marLeft w:val="0"/>
              <w:marRight w:val="0"/>
              <w:marTop w:val="0"/>
              <w:marBottom w:val="0"/>
              <w:divBdr>
                <w:top w:val="none" w:sz="0" w:space="0" w:color="auto"/>
                <w:left w:val="none" w:sz="0" w:space="0" w:color="auto"/>
                <w:bottom w:val="none" w:sz="0" w:space="0" w:color="auto"/>
                <w:right w:val="none" w:sz="0" w:space="0" w:color="auto"/>
              </w:divBdr>
            </w:div>
            <w:div w:id="586815907">
              <w:marLeft w:val="0"/>
              <w:marRight w:val="0"/>
              <w:marTop w:val="0"/>
              <w:marBottom w:val="0"/>
              <w:divBdr>
                <w:top w:val="none" w:sz="0" w:space="0" w:color="auto"/>
                <w:left w:val="none" w:sz="0" w:space="0" w:color="auto"/>
                <w:bottom w:val="none" w:sz="0" w:space="0" w:color="auto"/>
                <w:right w:val="none" w:sz="0" w:space="0" w:color="auto"/>
              </w:divBdr>
            </w:div>
            <w:div w:id="447243277">
              <w:marLeft w:val="0"/>
              <w:marRight w:val="0"/>
              <w:marTop w:val="0"/>
              <w:marBottom w:val="0"/>
              <w:divBdr>
                <w:top w:val="none" w:sz="0" w:space="0" w:color="auto"/>
                <w:left w:val="none" w:sz="0" w:space="0" w:color="auto"/>
                <w:bottom w:val="none" w:sz="0" w:space="0" w:color="auto"/>
                <w:right w:val="none" w:sz="0" w:space="0" w:color="auto"/>
              </w:divBdr>
            </w:div>
            <w:div w:id="1601377105">
              <w:marLeft w:val="0"/>
              <w:marRight w:val="0"/>
              <w:marTop w:val="0"/>
              <w:marBottom w:val="0"/>
              <w:divBdr>
                <w:top w:val="none" w:sz="0" w:space="0" w:color="auto"/>
                <w:left w:val="none" w:sz="0" w:space="0" w:color="auto"/>
                <w:bottom w:val="none" w:sz="0" w:space="0" w:color="auto"/>
                <w:right w:val="none" w:sz="0" w:space="0" w:color="auto"/>
              </w:divBdr>
            </w:div>
            <w:div w:id="624623935">
              <w:marLeft w:val="0"/>
              <w:marRight w:val="0"/>
              <w:marTop w:val="0"/>
              <w:marBottom w:val="0"/>
              <w:divBdr>
                <w:top w:val="none" w:sz="0" w:space="0" w:color="auto"/>
                <w:left w:val="none" w:sz="0" w:space="0" w:color="auto"/>
                <w:bottom w:val="none" w:sz="0" w:space="0" w:color="auto"/>
                <w:right w:val="none" w:sz="0" w:space="0" w:color="auto"/>
              </w:divBdr>
            </w:div>
            <w:div w:id="1607076703">
              <w:marLeft w:val="0"/>
              <w:marRight w:val="0"/>
              <w:marTop w:val="0"/>
              <w:marBottom w:val="0"/>
              <w:divBdr>
                <w:top w:val="none" w:sz="0" w:space="0" w:color="auto"/>
                <w:left w:val="none" w:sz="0" w:space="0" w:color="auto"/>
                <w:bottom w:val="none" w:sz="0" w:space="0" w:color="auto"/>
                <w:right w:val="none" w:sz="0" w:space="0" w:color="auto"/>
              </w:divBdr>
            </w:div>
            <w:div w:id="1192957045">
              <w:marLeft w:val="0"/>
              <w:marRight w:val="0"/>
              <w:marTop w:val="0"/>
              <w:marBottom w:val="0"/>
              <w:divBdr>
                <w:top w:val="none" w:sz="0" w:space="0" w:color="auto"/>
                <w:left w:val="none" w:sz="0" w:space="0" w:color="auto"/>
                <w:bottom w:val="none" w:sz="0" w:space="0" w:color="auto"/>
                <w:right w:val="none" w:sz="0" w:space="0" w:color="auto"/>
              </w:divBdr>
            </w:div>
            <w:div w:id="1701776831">
              <w:marLeft w:val="0"/>
              <w:marRight w:val="0"/>
              <w:marTop w:val="0"/>
              <w:marBottom w:val="0"/>
              <w:divBdr>
                <w:top w:val="none" w:sz="0" w:space="0" w:color="auto"/>
                <w:left w:val="none" w:sz="0" w:space="0" w:color="auto"/>
                <w:bottom w:val="none" w:sz="0" w:space="0" w:color="auto"/>
                <w:right w:val="none" w:sz="0" w:space="0" w:color="auto"/>
              </w:divBdr>
            </w:div>
            <w:div w:id="1481000166">
              <w:marLeft w:val="0"/>
              <w:marRight w:val="0"/>
              <w:marTop w:val="0"/>
              <w:marBottom w:val="0"/>
              <w:divBdr>
                <w:top w:val="none" w:sz="0" w:space="0" w:color="auto"/>
                <w:left w:val="none" w:sz="0" w:space="0" w:color="auto"/>
                <w:bottom w:val="none" w:sz="0" w:space="0" w:color="auto"/>
                <w:right w:val="none" w:sz="0" w:space="0" w:color="auto"/>
              </w:divBdr>
            </w:div>
            <w:div w:id="1474717021">
              <w:marLeft w:val="0"/>
              <w:marRight w:val="0"/>
              <w:marTop w:val="0"/>
              <w:marBottom w:val="0"/>
              <w:divBdr>
                <w:top w:val="none" w:sz="0" w:space="0" w:color="auto"/>
                <w:left w:val="none" w:sz="0" w:space="0" w:color="auto"/>
                <w:bottom w:val="none" w:sz="0" w:space="0" w:color="auto"/>
                <w:right w:val="none" w:sz="0" w:space="0" w:color="auto"/>
              </w:divBdr>
            </w:div>
            <w:div w:id="42172048">
              <w:marLeft w:val="0"/>
              <w:marRight w:val="0"/>
              <w:marTop w:val="0"/>
              <w:marBottom w:val="0"/>
              <w:divBdr>
                <w:top w:val="none" w:sz="0" w:space="0" w:color="auto"/>
                <w:left w:val="none" w:sz="0" w:space="0" w:color="auto"/>
                <w:bottom w:val="none" w:sz="0" w:space="0" w:color="auto"/>
                <w:right w:val="none" w:sz="0" w:space="0" w:color="auto"/>
              </w:divBdr>
            </w:div>
            <w:div w:id="8608525">
              <w:marLeft w:val="0"/>
              <w:marRight w:val="0"/>
              <w:marTop w:val="0"/>
              <w:marBottom w:val="0"/>
              <w:divBdr>
                <w:top w:val="none" w:sz="0" w:space="0" w:color="auto"/>
                <w:left w:val="none" w:sz="0" w:space="0" w:color="auto"/>
                <w:bottom w:val="none" w:sz="0" w:space="0" w:color="auto"/>
                <w:right w:val="none" w:sz="0" w:space="0" w:color="auto"/>
              </w:divBdr>
            </w:div>
            <w:div w:id="462893798">
              <w:marLeft w:val="0"/>
              <w:marRight w:val="0"/>
              <w:marTop w:val="0"/>
              <w:marBottom w:val="0"/>
              <w:divBdr>
                <w:top w:val="none" w:sz="0" w:space="0" w:color="auto"/>
                <w:left w:val="none" w:sz="0" w:space="0" w:color="auto"/>
                <w:bottom w:val="none" w:sz="0" w:space="0" w:color="auto"/>
                <w:right w:val="none" w:sz="0" w:space="0" w:color="auto"/>
              </w:divBdr>
            </w:div>
            <w:div w:id="1306355901">
              <w:marLeft w:val="0"/>
              <w:marRight w:val="0"/>
              <w:marTop w:val="0"/>
              <w:marBottom w:val="0"/>
              <w:divBdr>
                <w:top w:val="none" w:sz="0" w:space="0" w:color="auto"/>
                <w:left w:val="none" w:sz="0" w:space="0" w:color="auto"/>
                <w:bottom w:val="none" w:sz="0" w:space="0" w:color="auto"/>
                <w:right w:val="none" w:sz="0" w:space="0" w:color="auto"/>
              </w:divBdr>
              <w:divsChild>
                <w:div w:id="71857825">
                  <w:marLeft w:val="0"/>
                  <w:marRight w:val="0"/>
                  <w:marTop w:val="0"/>
                  <w:marBottom w:val="0"/>
                  <w:divBdr>
                    <w:top w:val="none" w:sz="0" w:space="0" w:color="auto"/>
                    <w:left w:val="none" w:sz="0" w:space="0" w:color="auto"/>
                    <w:bottom w:val="none" w:sz="0" w:space="0" w:color="auto"/>
                    <w:right w:val="none" w:sz="0" w:space="0" w:color="auto"/>
                  </w:divBdr>
                </w:div>
              </w:divsChild>
            </w:div>
            <w:div w:id="12517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21</Pages>
  <Words>37254</Words>
  <Characters>21235</Characters>
  <Application>Microsoft Office Word</Application>
  <DocSecurity>0</DocSecurity>
  <Lines>176</Lines>
  <Paragraphs>116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Beāte Paula</cp:lastModifiedBy>
  <cp:revision>16</cp:revision>
  <dcterms:created xsi:type="dcterms:W3CDTF">2019-12-30T11:21:00Z</dcterms:created>
  <dcterms:modified xsi:type="dcterms:W3CDTF">2020-07-23T12:54:00Z</dcterms:modified>
</cp:coreProperties>
</file>