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B91" w:rsidRPr="001D3E6A" w:rsidRDefault="005C7B91" w:rsidP="005C7B91">
      <w:pPr>
        <w:spacing w:after="0" w:line="240" w:lineRule="auto"/>
        <w:jc w:val="both"/>
        <w:rPr>
          <w:rFonts w:ascii="Times New Roman" w:hAnsi="Times New Roman"/>
          <w:sz w:val="24"/>
          <w:szCs w:val="24"/>
        </w:rPr>
      </w:pPr>
    </w:p>
    <w:p w:rsidR="005C7B91" w:rsidRPr="001D3E6A" w:rsidRDefault="005C7B91" w:rsidP="005C7B91">
      <w:pPr>
        <w:widowControl w:val="0"/>
        <w:spacing w:after="0" w:line="240" w:lineRule="auto"/>
        <w:jc w:val="both"/>
        <w:rPr>
          <w:rFonts w:ascii="Times New Roman" w:hAnsi="Times New Roman"/>
          <w:sz w:val="20"/>
          <w:szCs w:val="24"/>
        </w:rPr>
      </w:pPr>
      <w:r w:rsidRPr="001D3E6A">
        <w:rPr>
          <w:rFonts w:ascii="Times New Roman" w:hAnsi="Times New Roman"/>
          <w:sz w:val="20"/>
          <w:szCs w:val="24"/>
        </w:rPr>
        <w:t>Text consolidated by Valsts valodas centrs (State Language Centre) with amending regulations of:</w:t>
      </w:r>
    </w:p>
    <w:p w:rsidR="005C7B91" w:rsidRPr="001D3E6A" w:rsidRDefault="005C7B91" w:rsidP="005C7B91">
      <w:pPr>
        <w:pStyle w:val="BlockText"/>
        <w:ind w:left="0" w:right="26"/>
        <w:jc w:val="center"/>
        <w:rPr>
          <w:szCs w:val="24"/>
        </w:rPr>
      </w:pPr>
      <w:r w:rsidRPr="001D3E6A">
        <w:rPr>
          <w:szCs w:val="24"/>
        </w:rPr>
        <w:t>3 November 2014 [shall come into force from 6 November 2014].</w:t>
      </w:r>
    </w:p>
    <w:p w:rsidR="005C7B91" w:rsidRPr="001D3E6A" w:rsidRDefault="005C7B91" w:rsidP="005C7B91">
      <w:pPr>
        <w:widowControl w:val="0"/>
        <w:spacing w:after="0" w:line="240" w:lineRule="auto"/>
        <w:jc w:val="both"/>
        <w:rPr>
          <w:rFonts w:ascii="Times New Roman" w:hAnsi="Times New Roman"/>
          <w:sz w:val="20"/>
          <w:szCs w:val="24"/>
        </w:rPr>
      </w:pPr>
      <w:r w:rsidRPr="001D3E6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5C7B91" w:rsidRPr="001D3E6A" w:rsidRDefault="005C7B91" w:rsidP="005C7B91">
      <w:pPr>
        <w:spacing w:after="0" w:line="240" w:lineRule="auto"/>
        <w:jc w:val="both"/>
        <w:rPr>
          <w:rFonts w:ascii="Times New Roman" w:hAnsi="Times New Roman"/>
          <w:sz w:val="24"/>
          <w:szCs w:val="24"/>
        </w:rPr>
      </w:pPr>
    </w:p>
    <w:p w:rsidR="005C7B91" w:rsidRPr="001D3E6A" w:rsidRDefault="005C7B91" w:rsidP="005C7B91">
      <w:pPr>
        <w:spacing w:after="0" w:line="240" w:lineRule="auto"/>
        <w:jc w:val="both"/>
        <w:rPr>
          <w:rFonts w:ascii="Times New Roman" w:hAnsi="Times New Roman"/>
          <w:sz w:val="24"/>
          <w:szCs w:val="24"/>
        </w:rPr>
      </w:pPr>
    </w:p>
    <w:p w:rsidR="005C7B91" w:rsidRPr="001D3E6A" w:rsidRDefault="005C7B91" w:rsidP="005C7B91">
      <w:pPr>
        <w:spacing w:after="0" w:line="240" w:lineRule="auto"/>
        <w:jc w:val="center"/>
        <w:rPr>
          <w:rFonts w:ascii="Times New Roman" w:hAnsi="Times New Roman"/>
          <w:sz w:val="24"/>
          <w:szCs w:val="24"/>
        </w:rPr>
      </w:pPr>
      <w:r w:rsidRPr="001D3E6A">
        <w:rPr>
          <w:rFonts w:ascii="Times New Roman" w:hAnsi="Times New Roman"/>
          <w:sz w:val="24"/>
          <w:szCs w:val="24"/>
        </w:rPr>
        <w:t>Republic of Latvia</w:t>
      </w:r>
    </w:p>
    <w:p w:rsidR="005C7B91" w:rsidRPr="001D3E6A" w:rsidRDefault="005C7B91" w:rsidP="005C7B91">
      <w:pPr>
        <w:spacing w:after="0" w:line="240" w:lineRule="auto"/>
        <w:jc w:val="center"/>
        <w:rPr>
          <w:rFonts w:ascii="Times New Roman" w:hAnsi="Times New Roman"/>
          <w:sz w:val="24"/>
          <w:szCs w:val="24"/>
        </w:rPr>
      </w:pPr>
    </w:p>
    <w:p w:rsidR="005C7B91" w:rsidRPr="001D3E6A" w:rsidRDefault="005C7B91" w:rsidP="005C7B91">
      <w:pPr>
        <w:spacing w:after="0" w:line="240" w:lineRule="auto"/>
        <w:jc w:val="center"/>
        <w:rPr>
          <w:rFonts w:ascii="Times New Roman" w:eastAsia="Times New Roman" w:hAnsi="Times New Roman" w:cs="Times New Roman"/>
          <w:bCs/>
          <w:noProof/>
          <w:sz w:val="24"/>
          <w:szCs w:val="24"/>
        </w:rPr>
      </w:pPr>
      <w:r w:rsidRPr="001D3E6A">
        <w:rPr>
          <w:rFonts w:ascii="Times New Roman" w:hAnsi="Times New Roman"/>
          <w:noProof/>
          <w:sz w:val="24"/>
        </w:rPr>
        <w:t>Cabinet</w:t>
      </w:r>
    </w:p>
    <w:p w:rsidR="00232E13" w:rsidRPr="00232E13" w:rsidRDefault="00232E13" w:rsidP="001878B3">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916</w:t>
      </w:r>
    </w:p>
    <w:p w:rsidR="001878B3" w:rsidRDefault="00232E13" w:rsidP="001878B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6 December 2005</w:t>
      </w:r>
    </w:p>
    <w:p w:rsidR="001878B3" w:rsidRDefault="001878B3" w:rsidP="00232E13">
      <w:pPr>
        <w:spacing w:after="0" w:line="240" w:lineRule="auto"/>
        <w:jc w:val="both"/>
        <w:rPr>
          <w:rFonts w:ascii="Times New Roman" w:eastAsia="Times New Roman" w:hAnsi="Times New Roman" w:cs="Times New Roman"/>
          <w:noProof/>
          <w:sz w:val="24"/>
          <w:szCs w:val="24"/>
        </w:rPr>
      </w:pPr>
    </w:p>
    <w:p w:rsidR="001878B3" w:rsidRDefault="001878B3" w:rsidP="00232E13">
      <w:pPr>
        <w:spacing w:after="0" w:line="240" w:lineRule="auto"/>
        <w:jc w:val="both"/>
        <w:rPr>
          <w:rFonts w:ascii="Times New Roman" w:eastAsia="Times New Roman" w:hAnsi="Times New Roman" w:cs="Times New Roman"/>
          <w:noProof/>
          <w:sz w:val="24"/>
          <w:szCs w:val="24"/>
        </w:rPr>
      </w:pPr>
    </w:p>
    <w:p w:rsidR="00232E13" w:rsidRPr="001878B3" w:rsidRDefault="00232E13" w:rsidP="001878B3">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Procedures by which Market Surveillance Institutions Inform the Consumer Rights Protection Centre Regarding the Measures Taken, which Restrict or Prohibit the Placing of Products on the Market, and the Procedures by which the Consumer Rights Protection Centre Sends the Received Information to the European Commission and Handles the Information Received from the European Commission</w:t>
      </w:r>
    </w:p>
    <w:p w:rsidR="001878B3" w:rsidRDefault="001878B3" w:rsidP="00232E13">
      <w:pPr>
        <w:spacing w:after="0" w:line="240" w:lineRule="auto"/>
        <w:jc w:val="both"/>
        <w:rPr>
          <w:rFonts w:ascii="Times New Roman" w:eastAsia="Times New Roman" w:hAnsi="Times New Roman" w:cs="Times New Roman"/>
          <w:noProof/>
          <w:sz w:val="24"/>
          <w:szCs w:val="24"/>
        </w:rPr>
      </w:pPr>
    </w:p>
    <w:p w:rsidR="001878B3" w:rsidRPr="00232E13" w:rsidRDefault="001878B3" w:rsidP="00232E13">
      <w:pPr>
        <w:spacing w:after="0" w:line="240" w:lineRule="auto"/>
        <w:jc w:val="both"/>
        <w:rPr>
          <w:rFonts w:ascii="Times New Roman" w:eastAsia="Times New Roman" w:hAnsi="Times New Roman" w:cs="Times New Roman"/>
          <w:noProof/>
          <w:sz w:val="24"/>
          <w:szCs w:val="24"/>
        </w:rPr>
      </w:pPr>
    </w:p>
    <w:p w:rsidR="005C7B91" w:rsidRDefault="005C7B91" w:rsidP="001878B3">
      <w:pPr>
        <w:spacing w:after="0" w:line="240" w:lineRule="auto"/>
        <w:jc w:val="right"/>
        <w:rPr>
          <w:rFonts w:ascii="Times New Roman" w:hAnsi="Times New Roman"/>
          <w:i/>
          <w:noProof/>
          <w:sz w:val="24"/>
        </w:rPr>
      </w:pPr>
      <w:r>
        <w:rPr>
          <w:rFonts w:ascii="Times New Roman" w:hAnsi="Times New Roman"/>
          <w:i/>
          <w:noProof/>
          <w:sz w:val="24"/>
        </w:rPr>
        <w:t>Issued pursuant to</w:t>
      </w:r>
    </w:p>
    <w:p w:rsidR="001878B3" w:rsidRPr="001878B3" w:rsidRDefault="00232E13" w:rsidP="001878B3">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16, Paragraph two of</w:t>
      </w:r>
    </w:p>
    <w:p w:rsidR="00232E13" w:rsidRPr="001878B3" w:rsidRDefault="00232E13" w:rsidP="001878B3">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the Law On the Safety of Goods and Services</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0" w:name="n1"/>
      <w:bookmarkEnd w:id="0"/>
    </w:p>
    <w:p w:rsidR="001878B3" w:rsidRDefault="001878B3" w:rsidP="00232E13">
      <w:pPr>
        <w:spacing w:after="0" w:line="240" w:lineRule="auto"/>
        <w:jc w:val="both"/>
        <w:rPr>
          <w:rFonts w:ascii="Times New Roman" w:eastAsia="Times New Roman" w:hAnsi="Times New Roman" w:cs="Times New Roman"/>
          <w:noProof/>
          <w:sz w:val="24"/>
          <w:szCs w:val="24"/>
        </w:rPr>
      </w:pPr>
    </w:p>
    <w:p w:rsidR="00232E13" w:rsidRPr="001878B3" w:rsidRDefault="00232E13" w:rsidP="001878B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 General Provisions</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1" w:name="p1"/>
      <w:bookmarkStart w:id="2" w:name="p-201575"/>
      <w:bookmarkEnd w:id="1"/>
      <w:bookmarkEnd w:id="2"/>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by which market surveillance institutions, as well as customs authorities and the Food and Veterinary Service (hereinafter — the market supervision and control institutions) shall inform the Consumer Rights Protection Centre (hereinafter — the Centre) regarding the measures taken, which restrict or prohibit the placing of products on the market, and the procedures by which the Centre shall send the received information to the European Commission and handle the information received from the European Commission.</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3" w:name="p2"/>
      <w:bookmarkStart w:id="4" w:name="p-201576"/>
      <w:bookmarkEnd w:id="3"/>
      <w:bookmarkEnd w:id="4"/>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This Regulation shall not be applicable to exchange of information regarding medicinal products, veterinary pharmaceutical products, medical devices, medical supply, medical in vitro devices, and food.</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5" w:name="p3"/>
      <w:bookmarkStart w:id="6" w:name="p-534360"/>
      <w:bookmarkEnd w:id="5"/>
      <w:bookmarkEnd w:id="6"/>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exchange of information between the Centre and the market surveillance and control institutions regarding products and services shall take place if a market surveillance and control institution takes measures in accordance with the requirements laid down in Section 13 of the Law On the Safety of Goods and Services or acts in accordance with the requirements laid down in Article 27, Paragraph three of the Regulation (EC) No 765/2008 of the European Parliament and of the Council of 9 July 2008 setting out the requirements for accreditation and market surveillance relating to the marketing of products and repealing Regulation (EEC) No 339/93.</w:t>
      </w:r>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2014]</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7" w:name="p4"/>
      <w:bookmarkStart w:id="8" w:name="p-201578"/>
      <w:bookmarkEnd w:id="7"/>
      <w:bookmarkEnd w:id="8"/>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market surveillance and control institution shall also inform the Centre if it has received information from a producer, distributor of provider of services regarding products which create a risk that is not compatible with the general safety requirements and that the relevant products or articles are also distributed in other European Union Member States. The relevant market surveillance institution shall inform the provider of information — producer, distributor or provider of services — that it has sent the relevant information to the Centre.</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9" w:name="n2"/>
      <w:bookmarkEnd w:id="9"/>
    </w:p>
    <w:p w:rsidR="00232E13" w:rsidRPr="001878B3" w:rsidRDefault="00232E13" w:rsidP="001878B3">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Exchange of Information between Market Surveillance and Control Institutions and Centre</w:t>
      </w:r>
    </w:p>
    <w:p w:rsidR="00232E13" w:rsidRPr="001878B3" w:rsidRDefault="00232E13" w:rsidP="001878B3">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[3 November 2014]</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10" w:name="p5"/>
      <w:bookmarkStart w:id="11" w:name="p-534362"/>
      <w:bookmarkEnd w:id="10"/>
      <w:bookmarkEnd w:id="11"/>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5. The Centre shall ensure exchange of information between the market surveillance and control institutions, performing functions of the national contact point of the Community Rapid Information Exchange System RAPEX (hereinafter — the RAPEX system).</w:t>
      </w:r>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2014]</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12" w:name="p6"/>
      <w:bookmarkStart w:id="13" w:name="p-534363"/>
      <w:bookmarkEnd w:id="12"/>
      <w:bookmarkEnd w:id="13"/>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[3 November 2014]</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14" w:name="p7"/>
      <w:bookmarkStart w:id="15" w:name="p-534364"/>
      <w:bookmarkEnd w:id="14"/>
      <w:bookmarkEnd w:id="15"/>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[3 November 2014]</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16" w:name="p8"/>
      <w:bookmarkStart w:id="17" w:name="p-534365"/>
      <w:bookmarkEnd w:id="16"/>
      <w:bookmarkEnd w:id="17"/>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In providing information to the Centre, the market surveillance and control institutions shall assess the risk of goods and services in conformity with the requirements laid down in the laws and regulations regarding safety of goods and services and requirements laid down in the guidelines determining the management of the Community Rapid Information System “RAPEX” established under Article 12 of Directive 2001/95/EC (the General Product Safety Directive) and the notification procedure established under Article 11 of the abovementioned Directive (hereinafter — the RAPEX guidelines).</w:t>
      </w:r>
    </w:p>
    <w:p w:rsidR="00232E13" w:rsidRPr="001878B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2014]</w:t>
      </w:r>
    </w:p>
    <w:p w:rsidR="001878B3" w:rsidRDefault="001878B3" w:rsidP="00232E13">
      <w:pPr>
        <w:spacing w:after="0" w:line="240" w:lineRule="auto"/>
        <w:jc w:val="both"/>
        <w:rPr>
          <w:rFonts w:ascii="Times New Roman" w:eastAsia="Times New Roman" w:hAnsi="Times New Roman" w:cs="Times New Roman"/>
          <w:noProof/>
          <w:sz w:val="24"/>
          <w:szCs w:val="24"/>
        </w:rPr>
      </w:pPr>
      <w:bookmarkStart w:id="18" w:name="p8.1"/>
      <w:bookmarkStart w:id="19" w:name="p-534366"/>
      <w:bookmarkEnd w:id="18"/>
      <w:bookmarkEnd w:id="19"/>
    </w:p>
    <w:p w:rsidR="00232E13" w:rsidRPr="00232E13"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 xml:space="preserve">1 </w:t>
      </w:r>
      <w:r>
        <w:rPr>
          <w:rFonts w:ascii="Times New Roman" w:hAnsi="Times New Roman"/>
          <w:noProof/>
          <w:sz w:val="24"/>
        </w:rPr>
        <w:t>The RAPEX guidelines are available in the official language on the website of the Ministry of Economics (www.em.gov.lv).</w:t>
      </w:r>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2014]</w:t>
      </w:r>
    </w:p>
    <w:p w:rsidR="008677C9" w:rsidRPr="008677C9" w:rsidRDefault="008677C9" w:rsidP="00232E13">
      <w:pPr>
        <w:spacing w:after="0" w:line="240" w:lineRule="auto"/>
        <w:jc w:val="both"/>
        <w:rPr>
          <w:rFonts w:ascii="Times New Roman" w:eastAsia="Times New Roman" w:hAnsi="Times New Roman" w:cs="Times New Roman"/>
          <w:noProof/>
          <w:sz w:val="24"/>
          <w:szCs w:val="24"/>
        </w:rPr>
      </w:pPr>
      <w:bookmarkStart w:id="20" w:name="p-534367"/>
      <w:bookmarkEnd w:id="20"/>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market surveillance and control institutions, in informing the Centre regarding measures taken in order to restrict or prohibit placing of goods on the market, shall provide the information provided for in the RAPEX guidelines.</w:t>
      </w:r>
      <w:bookmarkStart w:id="21" w:name="p9"/>
      <w:bookmarkEnd w:id="21"/>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2014]</w:t>
      </w:r>
    </w:p>
    <w:p w:rsidR="008677C9" w:rsidRDefault="008677C9" w:rsidP="00232E13">
      <w:pPr>
        <w:spacing w:after="0" w:line="240" w:lineRule="auto"/>
        <w:jc w:val="both"/>
        <w:rPr>
          <w:rFonts w:ascii="Times New Roman" w:eastAsia="Times New Roman" w:hAnsi="Times New Roman" w:cs="Times New Roman"/>
          <w:noProof/>
          <w:sz w:val="24"/>
          <w:szCs w:val="24"/>
        </w:rPr>
      </w:pPr>
      <w:bookmarkStart w:id="22" w:name="p10"/>
      <w:bookmarkStart w:id="23" w:name="p-201586"/>
      <w:bookmarkEnd w:id="22"/>
      <w:bookmarkEnd w:id="23"/>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market surveillance and control institutions shall be responsible for the validity and accuracy of the information included in a notification.</w:t>
      </w:r>
    </w:p>
    <w:p w:rsidR="008677C9" w:rsidRDefault="008677C9" w:rsidP="00232E13">
      <w:pPr>
        <w:spacing w:after="0" w:line="240" w:lineRule="auto"/>
        <w:jc w:val="both"/>
        <w:rPr>
          <w:rFonts w:ascii="Times New Roman" w:eastAsia="Times New Roman" w:hAnsi="Times New Roman" w:cs="Times New Roman"/>
          <w:noProof/>
          <w:sz w:val="24"/>
          <w:szCs w:val="24"/>
        </w:rPr>
      </w:pPr>
      <w:bookmarkStart w:id="24" w:name="n3"/>
      <w:bookmarkEnd w:id="24"/>
    </w:p>
    <w:p w:rsidR="00232E13" w:rsidRPr="008677C9" w:rsidRDefault="00232E13" w:rsidP="008677C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Exchange of Information Between the Centre and the European Commission within the Framework of the Community Rapid Information Exchange System RAPEX</w:t>
      </w:r>
    </w:p>
    <w:p w:rsidR="008677C9" w:rsidRDefault="008677C9" w:rsidP="00232E13">
      <w:pPr>
        <w:spacing w:after="0" w:line="240" w:lineRule="auto"/>
        <w:jc w:val="both"/>
        <w:rPr>
          <w:rFonts w:ascii="Times New Roman" w:eastAsia="Times New Roman" w:hAnsi="Times New Roman" w:cs="Times New Roman"/>
          <w:noProof/>
          <w:sz w:val="24"/>
          <w:szCs w:val="24"/>
        </w:rPr>
      </w:pPr>
      <w:bookmarkStart w:id="25" w:name="p11"/>
      <w:bookmarkStart w:id="26" w:name="p-534368"/>
      <w:bookmarkEnd w:id="25"/>
      <w:bookmarkEnd w:id="26"/>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After receipt of the information from the market surveillance and control institution regarding measures taken in order to restrict or prohibit placing of goods on the market, the Centre shall inform the European Commission, using the RAPEX system.</w:t>
      </w:r>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2014]</w:t>
      </w:r>
    </w:p>
    <w:p w:rsidR="008677C9" w:rsidRDefault="008677C9" w:rsidP="00232E13">
      <w:pPr>
        <w:spacing w:after="0" w:line="240" w:lineRule="auto"/>
        <w:jc w:val="both"/>
        <w:rPr>
          <w:rFonts w:ascii="Times New Roman" w:eastAsia="Times New Roman" w:hAnsi="Times New Roman" w:cs="Times New Roman"/>
          <w:noProof/>
          <w:sz w:val="24"/>
          <w:szCs w:val="24"/>
        </w:rPr>
      </w:pPr>
      <w:bookmarkStart w:id="27" w:name="p12"/>
      <w:bookmarkStart w:id="28" w:name="p-534369"/>
      <w:bookmarkEnd w:id="27"/>
      <w:bookmarkEnd w:id="28"/>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Centre and the market surveillance and control institutions shall, by preparing a notification or providing a reply to the notification of the RAPEX system, comply with the time periods for provision of a reply laid down in the RAPEX guidelines and provide the indicated information.</w:t>
      </w:r>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2014]</w:t>
      </w:r>
    </w:p>
    <w:p w:rsidR="008677C9" w:rsidRDefault="008677C9" w:rsidP="00232E13">
      <w:pPr>
        <w:spacing w:after="0" w:line="240" w:lineRule="auto"/>
        <w:jc w:val="both"/>
        <w:rPr>
          <w:rFonts w:ascii="Times New Roman" w:eastAsia="Times New Roman" w:hAnsi="Times New Roman" w:cs="Times New Roman"/>
          <w:noProof/>
          <w:sz w:val="24"/>
          <w:szCs w:val="24"/>
        </w:rPr>
      </w:pPr>
      <w:bookmarkStart w:id="29" w:name="p13"/>
      <w:bookmarkStart w:id="30" w:name="p-534370"/>
      <w:bookmarkEnd w:id="29"/>
      <w:bookmarkEnd w:id="30"/>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After receipt of the notification from the European Commission the Centre or the market surveillance and control institution responsible for the relevant field shall examine the received information and, if necessary, carry out actions in accordance with the requirements laid down in the laws and regulations regarding the safety of goods and services.</w:t>
      </w:r>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2014]</w:t>
      </w:r>
    </w:p>
    <w:p w:rsidR="008677C9" w:rsidRDefault="008677C9" w:rsidP="00232E13">
      <w:pPr>
        <w:spacing w:after="0" w:line="240" w:lineRule="auto"/>
        <w:jc w:val="both"/>
        <w:rPr>
          <w:rFonts w:ascii="Times New Roman" w:eastAsia="Times New Roman" w:hAnsi="Times New Roman" w:cs="Times New Roman"/>
          <w:noProof/>
          <w:sz w:val="24"/>
          <w:szCs w:val="24"/>
        </w:rPr>
      </w:pPr>
      <w:bookmarkStart w:id="31" w:name="p14"/>
      <w:bookmarkStart w:id="32" w:name="p-534371"/>
      <w:bookmarkEnd w:id="31"/>
      <w:bookmarkEnd w:id="32"/>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14. If the notification of the European Commission requests emergency action and identifies serious risk to health and safety of consumers, the market surveillance and control institution </w:t>
      </w:r>
      <w:r>
        <w:rPr>
          <w:rFonts w:ascii="Times New Roman" w:hAnsi="Times New Roman"/>
          <w:noProof/>
          <w:sz w:val="24"/>
        </w:rPr>
        <w:lastRenderedPageBreak/>
        <w:t>shall send a reply through the RAPEX system regarding the results of the market surveillance measures taken. The Centre shall send this information to the European Commission.</w:t>
      </w:r>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November 2014]</w:t>
      </w:r>
    </w:p>
    <w:p w:rsidR="008677C9" w:rsidRDefault="008677C9" w:rsidP="00232E13">
      <w:pPr>
        <w:spacing w:after="0" w:line="240" w:lineRule="auto"/>
        <w:jc w:val="both"/>
        <w:rPr>
          <w:rFonts w:ascii="Times New Roman" w:eastAsia="Times New Roman" w:hAnsi="Times New Roman" w:cs="Times New Roman"/>
          <w:noProof/>
          <w:sz w:val="24"/>
          <w:szCs w:val="24"/>
        </w:rPr>
      </w:pPr>
      <w:bookmarkStart w:id="33" w:name="p15"/>
      <w:bookmarkStart w:id="34" w:name="p-201593"/>
      <w:bookmarkEnd w:id="33"/>
      <w:bookmarkEnd w:id="34"/>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Centre and market surveillance and control institutions shall ensure that the Commission is able to communicate with them immediately if an emergency action is required.</w:t>
      </w:r>
    </w:p>
    <w:p w:rsidR="008677C9" w:rsidRDefault="008677C9" w:rsidP="00232E13">
      <w:pPr>
        <w:spacing w:after="0" w:line="240" w:lineRule="auto"/>
        <w:jc w:val="both"/>
        <w:rPr>
          <w:rFonts w:ascii="Times New Roman" w:eastAsia="Times New Roman" w:hAnsi="Times New Roman" w:cs="Times New Roman"/>
          <w:noProof/>
          <w:sz w:val="24"/>
          <w:szCs w:val="24"/>
        </w:rPr>
      </w:pPr>
      <w:bookmarkStart w:id="35" w:name="p16"/>
      <w:bookmarkStart w:id="36" w:name="p-201594"/>
      <w:bookmarkEnd w:id="35"/>
      <w:bookmarkEnd w:id="36"/>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market surveillance and control institutions shall prepare a notification or provide a reply to the notification of the RAPEX system regardless of whether a producer, distributor or provider of services has initiated the procedures of appeal.</w:t>
      </w:r>
    </w:p>
    <w:p w:rsidR="008677C9" w:rsidRDefault="008677C9" w:rsidP="00232E13">
      <w:pPr>
        <w:spacing w:after="0" w:line="240" w:lineRule="auto"/>
        <w:jc w:val="both"/>
        <w:rPr>
          <w:rFonts w:ascii="Times New Roman" w:eastAsia="Times New Roman" w:hAnsi="Times New Roman" w:cs="Times New Roman"/>
          <w:noProof/>
          <w:sz w:val="24"/>
          <w:szCs w:val="24"/>
        </w:rPr>
      </w:pPr>
      <w:bookmarkStart w:id="37" w:name="201595"/>
      <w:bookmarkEnd w:id="37"/>
    </w:p>
    <w:p w:rsidR="00232E13" w:rsidRPr="008677C9" w:rsidRDefault="00232E13" w:rsidP="008677C9">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European Union Directive</w:t>
      </w:r>
    </w:p>
    <w:p w:rsidR="008677C9" w:rsidRDefault="008677C9" w:rsidP="00232E13">
      <w:pPr>
        <w:spacing w:after="0" w:line="240" w:lineRule="auto"/>
        <w:jc w:val="both"/>
        <w:rPr>
          <w:rFonts w:ascii="Times New Roman" w:eastAsia="Times New Roman" w:hAnsi="Times New Roman" w:cs="Times New Roman"/>
          <w:noProof/>
          <w:sz w:val="24"/>
          <w:szCs w:val="24"/>
        </w:rPr>
      </w:pPr>
      <w:bookmarkStart w:id="38" w:name="p2001"/>
      <w:bookmarkStart w:id="39" w:name="p-201596"/>
      <w:bookmarkEnd w:id="38"/>
      <w:bookmarkEnd w:id="39"/>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This Regulation contains legal norms arising from the Directive 2001/95/EC of the European Parliament and of the Council of 3 December 2001 on general product safety.</w:t>
      </w:r>
    </w:p>
    <w:p w:rsidR="008677C9" w:rsidRDefault="008677C9" w:rsidP="00232E13">
      <w:pPr>
        <w:spacing w:after="0" w:line="240" w:lineRule="auto"/>
        <w:jc w:val="both"/>
        <w:rPr>
          <w:rFonts w:ascii="Times New Roman" w:eastAsia="Times New Roman" w:hAnsi="Times New Roman" w:cs="Times New Roman"/>
          <w:noProof/>
          <w:sz w:val="24"/>
          <w:szCs w:val="24"/>
        </w:rPr>
      </w:pPr>
    </w:p>
    <w:p w:rsidR="008677C9" w:rsidRDefault="008677C9" w:rsidP="00232E13">
      <w:pPr>
        <w:spacing w:after="0" w:line="240" w:lineRule="auto"/>
        <w:jc w:val="both"/>
        <w:rPr>
          <w:rFonts w:ascii="Times New Roman" w:eastAsia="Times New Roman" w:hAnsi="Times New Roman" w:cs="Times New Roman"/>
          <w:noProof/>
          <w:sz w:val="24"/>
          <w:szCs w:val="24"/>
        </w:rPr>
      </w:pPr>
    </w:p>
    <w:p w:rsidR="00232E13" w:rsidRPr="008677C9" w:rsidRDefault="005C7B91"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40" w:name="_GoBack"/>
      <w:bookmarkEnd w:id="40"/>
      <w:r w:rsidR="00232E13">
        <w:rPr>
          <w:rFonts w:ascii="Times New Roman" w:hAnsi="Times New Roman"/>
          <w:noProof/>
          <w:sz w:val="24"/>
        </w:rPr>
        <w:t>A. Kalvītis</w:t>
      </w:r>
    </w:p>
    <w:p w:rsidR="00232E13" w:rsidRPr="008677C9" w:rsidRDefault="00232E13" w:rsidP="00232E13">
      <w:pPr>
        <w:spacing w:after="0" w:line="240" w:lineRule="auto"/>
        <w:jc w:val="both"/>
        <w:rPr>
          <w:rFonts w:ascii="Times New Roman" w:eastAsia="Times New Roman" w:hAnsi="Times New Roman" w:cs="Times New Roman"/>
          <w:noProof/>
          <w:sz w:val="24"/>
          <w:szCs w:val="24"/>
        </w:rPr>
      </w:pPr>
    </w:p>
    <w:p w:rsidR="00232E13" w:rsidRPr="008677C9" w:rsidRDefault="00232E13" w:rsidP="00232E1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Economics</w:t>
      </w:r>
      <w:r w:rsidR="005C7B91">
        <w:rPr>
          <w:rFonts w:ascii="Times New Roman" w:hAnsi="Times New Roman"/>
          <w:noProof/>
          <w:sz w:val="24"/>
        </w:rPr>
        <w:tab/>
      </w:r>
      <w:r w:rsidR="005C7B91">
        <w:rPr>
          <w:rFonts w:ascii="Times New Roman" w:hAnsi="Times New Roman"/>
          <w:noProof/>
          <w:sz w:val="24"/>
        </w:rPr>
        <w:tab/>
      </w:r>
      <w:r w:rsidR="005C7B91">
        <w:rPr>
          <w:rFonts w:ascii="Times New Roman" w:hAnsi="Times New Roman"/>
          <w:noProof/>
          <w:sz w:val="24"/>
        </w:rPr>
        <w:tab/>
      </w:r>
      <w:r w:rsidR="005C7B91">
        <w:rPr>
          <w:rFonts w:ascii="Times New Roman" w:hAnsi="Times New Roman"/>
          <w:noProof/>
          <w:sz w:val="24"/>
        </w:rPr>
        <w:tab/>
      </w:r>
      <w:r w:rsidR="005C7B91">
        <w:rPr>
          <w:rFonts w:ascii="Times New Roman" w:hAnsi="Times New Roman"/>
          <w:noProof/>
          <w:sz w:val="24"/>
        </w:rPr>
        <w:tab/>
      </w:r>
      <w:r w:rsidR="005C7B91">
        <w:rPr>
          <w:rFonts w:ascii="Times New Roman" w:hAnsi="Times New Roman"/>
          <w:noProof/>
          <w:sz w:val="24"/>
        </w:rPr>
        <w:tab/>
      </w:r>
      <w:r w:rsidR="005C7B91">
        <w:rPr>
          <w:rFonts w:ascii="Times New Roman" w:hAnsi="Times New Roman"/>
          <w:noProof/>
          <w:sz w:val="24"/>
        </w:rPr>
        <w:tab/>
      </w:r>
      <w:r>
        <w:rPr>
          <w:rFonts w:ascii="Times New Roman" w:hAnsi="Times New Roman"/>
          <w:noProof/>
          <w:sz w:val="24"/>
        </w:rPr>
        <w:t>A. K. Kariņš</w:t>
      </w:r>
    </w:p>
    <w:p w:rsidR="00232E13" w:rsidRPr="008677C9" w:rsidRDefault="00232E13" w:rsidP="00232E13">
      <w:pPr>
        <w:spacing w:after="0" w:line="240" w:lineRule="auto"/>
        <w:jc w:val="both"/>
        <w:rPr>
          <w:rFonts w:ascii="Times New Roman" w:hAnsi="Times New Roman" w:cs="Times New Roman"/>
          <w:noProof/>
        </w:rPr>
      </w:pPr>
    </w:p>
    <w:p w:rsidR="008677C9" w:rsidRPr="008677C9" w:rsidRDefault="008677C9" w:rsidP="00232E13">
      <w:pPr>
        <w:spacing w:after="0" w:line="240" w:lineRule="auto"/>
        <w:jc w:val="both"/>
        <w:rPr>
          <w:rFonts w:ascii="Times New Roman" w:hAnsi="Times New Roman" w:cs="Times New Roman"/>
          <w:noProof/>
        </w:rPr>
      </w:pPr>
    </w:p>
    <w:sectPr w:rsidR="008677C9" w:rsidRPr="008677C9" w:rsidSect="00232E1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E13" w:rsidRPr="00232E13" w:rsidRDefault="00232E13" w:rsidP="00232E13">
      <w:pPr>
        <w:spacing w:after="0" w:line="240" w:lineRule="auto"/>
        <w:rPr>
          <w:noProof/>
          <w:lang w:val="en-US"/>
        </w:rPr>
      </w:pPr>
      <w:r w:rsidRPr="00232E13">
        <w:rPr>
          <w:noProof/>
          <w:lang w:val="en-US"/>
        </w:rPr>
        <w:separator/>
      </w:r>
    </w:p>
  </w:endnote>
  <w:endnote w:type="continuationSeparator" w:id="0">
    <w:p w:rsidR="00232E13" w:rsidRPr="00232E13" w:rsidRDefault="00232E13" w:rsidP="00232E13">
      <w:pPr>
        <w:spacing w:after="0" w:line="240" w:lineRule="auto"/>
        <w:rPr>
          <w:noProof/>
          <w:lang w:val="en-US"/>
        </w:rPr>
      </w:pPr>
      <w:r w:rsidRPr="00232E1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91" w:rsidRPr="00750961" w:rsidRDefault="005C7B91" w:rsidP="005C7B91">
    <w:pPr>
      <w:pStyle w:val="Footer"/>
      <w:tabs>
        <w:tab w:val="clear" w:pos="4153"/>
        <w:tab w:val="clear" w:pos="8306"/>
        <w:tab w:val="right" w:pos="9072"/>
      </w:tabs>
      <w:rPr>
        <w:rFonts w:ascii="Times New Roman" w:hAnsi="Times New Roman"/>
        <w:sz w:val="20"/>
      </w:rPr>
    </w:pPr>
  </w:p>
  <w:p w:rsidR="005C7B91" w:rsidRPr="000523BF" w:rsidRDefault="005C7B91" w:rsidP="005C7B91">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B91" w:rsidRPr="00750961" w:rsidRDefault="005C7B91" w:rsidP="005C7B91">
    <w:pPr>
      <w:pStyle w:val="Footer"/>
      <w:rPr>
        <w:rFonts w:ascii="Times New Roman" w:hAnsi="Times New Roman"/>
        <w:sz w:val="20"/>
      </w:rPr>
    </w:pPr>
  </w:p>
  <w:p w:rsidR="005C7B91" w:rsidRPr="000523BF" w:rsidRDefault="005C7B91" w:rsidP="005C7B91">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E13" w:rsidRPr="00232E13" w:rsidRDefault="00232E13" w:rsidP="00232E13">
      <w:pPr>
        <w:spacing w:after="0" w:line="240" w:lineRule="auto"/>
        <w:rPr>
          <w:noProof/>
          <w:lang w:val="en-US"/>
        </w:rPr>
      </w:pPr>
      <w:r w:rsidRPr="00232E13">
        <w:rPr>
          <w:noProof/>
          <w:lang w:val="en-US"/>
        </w:rPr>
        <w:separator/>
      </w:r>
    </w:p>
  </w:footnote>
  <w:footnote w:type="continuationSeparator" w:id="0">
    <w:p w:rsidR="00232E13" w:rsidRPr="00232E13" w:rsidRDefault="00232E13" w:rsidP="00232E13">
      <w:pPr>
        <w:spacing w:after="0" w:line="240" w:lineRule="auto"/>
        <w:rPr>
          <w:noProof/>
          <w:lang w:val="en-US"/>
        </w:rPr>
      </w:pPr>
      <w:r w:rsidRPr="00232E1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54A"/>
    <w:rsid w:val="001878B3"/>
    <w:rsid w:val="00232E13"/>
    <w:rsid w:val="003D37EA"/>
    <w:rsid w:val="005C7B91"/>
    <w:rsid w:val="008677C9"/>
    <w:rsid w:val="009C6AA1"/>
    <w:rsid w:val="00C90CFF"/>
    <w:rsid w:val="00CA35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946CD-5172-4372-BE97-06CDAD22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0CFF"/>
    <w:rPr>
      <w:color w:val="0000FF"/>
      <w:u w:val="single"/>
    </w:rPr>
  </w:style>
  <w:style w:type="paragraph" w:customStyle="1" w:styleId="tv213">
    <w:name w:val="tv213"/>
    <w:basedOn w:val="Normal"/>
    <w:rsid w:val="00C90C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C90C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DefaultParagraphFont"/>
    <w:rsid w:val="00C90CFF"/>
  </w:style>
  <w:style w:type="paragraph" w:styleId="Header">
    <w:name w:val="header"/>
    <w:basedOn w:val="Normal"/>
    <w:link w:val="HeaderChar"/>
    <w:uiPriority w:val="99"/>
    <w:unhideWhenUsed/>
    <w:rsid w:val="00232E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2E13"/>
  </w:style>
  <w:style w:type="paragraph" w:styleId="Footer">
    <w:name w:val="footer"/>
    <w:basedOn w:val="Normal"/>
    <w:link w:val="FooterChar"/>
    <w:unhideWhenUsed/>
    <w:rsid w:val="00232E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2E13"/>
  </w:style>
  <w:style w:type="paragraph" w:styleId="BlockText">
    <w:name w:val="Block Text"/>
    <w:basedOn w:val="Normal"/>
    <w:rsid w:val="005C7B91"/>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rsid w:val="005C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083328">
      <w:bodyDiv w:val="1"/>
      <w:marLeft w:val="0"/>
      <w:marRight w:val="0"/>
      <w:marTop w:val="0"/>
      <w:marBottom w:val="0"/>
      <w:divBdr>
        <w:top w:val="none" w:sz="0" w:space="0" w:color="auto"/>
        <w:left w:val="none" w:sz="0" w:space="0" w:color="auto"/>
        <w:bottom w:val="none" w:sz="0" w:space="0" w:color="auto"/>
        <w:right w:val="none" w:sz="0" w:space="0" w:color="auto"/>
      </w:divBdr>
      <w:divsChild>
        <w:div w:id="1683893771">
          <w:marLeft w:val="0"/>
          <w:marRight w:val="0"/>
          <w:marTop w:val="0"/>
          <w:marBottom w:val="0"/>
          <w:divBdr>
            <w:top w:val="none" w:sz="0" w:space="0" w:color="auto"/>
            <w:left w:val="none" w:sz="0" w:space="0" w:color="auto"/>
            <w:bottom w:val="none" w:sz="0" w:space="0" w:color="auto"/>
            <w:right w:val="none" w:sz="0" w:space="0" w:color="auto"/>
          </w:divBdr>
        </w:div>
        <w:div w:id="1586451387">
          <w:marLeft w:val="0"/>
          <w:marRight w:val="0"/>
          <w:marTop w:val="0"/>
          <w:marBottom w:val="0"/>
          <w:divBdr>
            <w:top w:val="none" w:sz="0" w:space="0" w:color="auto"/>
            <w:left w:val="none" w:sz="0" w:space="0" w:color="auto"/>
            <w:bottom w:val="none" w:sz="0" w:space="0" w:color="auto"/>
            <w:right w:val="none" w:sz="0" w:space="0" w:color="auto"/>
          </w:divBdr>
        </w:div>
        <w:div w:id="1272008383">
          <w:marLeft w:val="0"/>
          <w:marRight w:val="0"/>
          <w:marTop w:val="0"/>
          <w:marBottom w:val="0"/>
          <w:divBdr>
            <w:top w:val="none" w:sz="0" w:space="0" w:color="auto"/>
            <w:left w:val="none" w:sz="0" w:space="0" w:color="auto"/>
            <w:bottom w:val="none" w:sz="0" w:space="0" w:color="auto"/>
            <w:right w:val="none" w:sz="0" w:space="0" w:color="auto"/>
          </w:divBdr>
        </w:div>
        <w:div w:id="579600820">
          <w:marLeft w:val="0"/>
          <w:marRight w:val="0"/>
          <w:marTop w:val="0"/>
          <w:marBottom w:val="0"/>
          <w:divBdr>
            <w:top w:val="none" w:sz="0" w:space="0" w:color="auto"/>
            <w:left w:val="none" w:sz="0" w:space="0" w:color="auto"/>
            <w:bottom w:val="none" w:sz="0" w:space="0" w:color="auto"/>
            <w:right w:val="none" w:sz="0" w:space="0" w:color="auto"/>
          </w:divBdr>
        </w:div>
        <w:div w:id="1564098519">
          <w:marLeft w:val="0"/>
          <w:marRight w:val="0"/>
          <w:marTop w:val="0"/>
          <w:marBottom w:val="0"/>
          <w:divBdr>
            <w:top w:val="none" w:sz="0" w:space="0" w:color="auto"/>
            <w:left w:val="none" w:sz="0" w:space="0" w:color="auto"/>
            <w:bottom w:val="none" w:sz="0" w:space="0" w:color="auto"/>
            <w:right w:val="none" w:sz="0" w:space="0" w:color="auto"/>
          </w:divBdr>
        </w:div>
        <w:div w:id="806702365">
          <w:marLeft w:val="0"/>
          <w:marRight w:val="0"/>
          <w:marTop w:val="0"/>
          <w:marBottom w:val="0"/>
          <w:divBdr>
            <w:top w:val="none" w:sz="0" w:space="0" w:color="auto"/>
            <w:left w:val="none" w:sz="0" w:space="0" w:color="auto"/>
            <w:bottom w:val="none" w:sz="0" w:space="0" w:color="auto"/>
            <w:right w:val="none" w:sz="0" w:space="0" w:color="auto"/>
          </w:divBdr>
        </w:div>
        <w:div w:id="1664896692">
          <w:marLeft w:val="0"/>
          <w:marRight w:val="0"/>
          <w:marTop w:val="0"/>
          <w:marBottom w:val="0"/>
          <w:divBdr>
            <w:top w:val="none" w:sz="0" w:space="0" w:color="auto"/>
            <w:left w:val="none" w:sz="0" w:space="0" w:color="auto"/>
            <w:bottom w:val="none" w:sz="0" w:space="0" w:color="auto"/>
            <w:right w:val="none" w:sz="0" w:space="0" w:color="auto"/>
          </w:divBdr>
        </w:div>
        <w:div w:id="1829323334">
          <w:marLeft w:val="0"/>
          <w:marRight w:val="0"/>
          <w:marTop w:val="0"/>
          <w:marBottom w:val="0"/>
          <w:divBdr>
            <w:top w:val="none" w:sz="0" w:space="0" w:color="auto"/>
            <w:left w:val="none" w:sz="0" w:space="0" w:color="auto"/>
            <w:bottom w:val="none" w:sz="0" w:space="0" w:color="auto"/>
            <w:right w:val="none" w:sz="0" w:space="0" w:color="auto"/>
          </w:divBdr>
        </w:div>
        <w:div w:id="419177511">
          <w:marLeft w:val="0"/>
          <w:marRight w:val="0"/>
          <w:marTop w:val="0"/>
          <w:marBottom w:val="0"/>
          <w:divBdr>
            <w:top w:val="none" w:sz="0" w:space="0" w:color="auto"/>
            <w:left w:val="none" w:sz="0" w:space="0" w:color="auto"/>
            <w:bottom w:val="none" w:sz="0" w:space="0" w:color="auto"/>
            <w:right w:val="none" w:sz="0" w:space="0" w:color="auto"/>
          </w:divBdr>
        </w:div>
        <w:div w:id="2088913216">
          <w:marLeft w:val="0"/>
          <w:marRight w:val="0"/>
          <w:marTop w:val="0"/>
          <w:marBottom w:val="0"/>
          <w:divBdr>
            <w:top w:val="none" w:sz="0" w:space="0" w:color="auto"/>
            <w:left w:val="none" w:sz="0" w:space="0" w:color="auto"/>
            <w:bottom w:val="none" w:sz="0" w:space="0" w:color="auto"/>
            <w:right w:val="none" w:sz="0" w:space="0" w:color="auto"/>
          </w:divBdr>
        </w:div>
        <w:div w:id="791747781">
          <w:marLeft w:val="0"/>
          <w:marRight w:val="0"/>
          <w:marTop w:val="0"/>
          <w:marBottom w:val="0"/>
          <w:divBdr>
            <w:top w:val="none" w:sz="0" w:space="0" w:color="auto"/>
            <w:left w:val="none" w:sz="0" w:space="0" w:color="auto"/>
            <w:bottom w:val="none" w:sz="0" w:space="0" w:color="auto"/>
            <w:right w:val="none" w:sz="0" w:space="0" w:color="auto"/>
          </w:divBdr>
        </w:div>
        <w:div w:id="1123233688">
          <w:marLeft w:val="0"/>
          <w:marRight w:val="0"/>
          <w:marTop w:val="0"/>
          <w:marBottom w:val="0"/>
          <w:divBdr>
            <w:top w:val="none" w:sz="0" w:space="0" w:color="auto"/>
            <w:left w:val="none" w:sz="0" w:space="0" w:color="auto"/>
            <w:bottom w:val="none" w:sz="0" w:space="0" w:color="auto"/>
            <w:right w:val="none" w:sz="0" w:space="0" w:color="auto"/>
          </w:divBdr>
        </w:div>
        <w:div w:id="1986546137">
          <w:marLeft w:val="0"/>
          <w:marRight w:val="0"/>
          <w:marTop w:val="0"/>
          <w:marBottom w:val="0"/>
          <w:divBdr>
            <w:top w:val="none" w:sz="0" w:space="0" w:color="auto"/>
            <w:left w:val="none" w:sz="0" w:space="0" w:color="auto"/>
            <w:bottom w:val="none" w:sz="0" w:space="0" w:color="auto"/>
            <w:right w:val="none" w:sz="0" w:space="0" w:color="auto"/>
          </w:divBdr>
        </w:div>
        <w:div w:id="742994059">
          <w:marLeft w:val="0"/>
          <w:marRight w:val="0"/>
          <w:marTop w:val="0"/>
          <w:marBottom w:val="0"/>
          <w:divBdr>
            <w:top w:val="none" w:sz="0" w:space="0" w:color="auto"/>
            <w:left w:val="none" w:sz="0" w:space="0" w:color="auto"/>
            <w:bottom w:val="none" w:sz="0" w:space="0" w:color="auto"/>
            <w:right w:val="none" w:sz="0" w:space="0" w:color="auto"/>
          </w:divBdr>
        </w:div>
        <w:div w:id="1608346782">
          <w:marLeft w:val="0"/>
          <w:marRight w:val="0"/>
          <w:marTop w:val="0"/>
          <w:marBottom w:val="0"/>
          <w:divBdr>
            <w:top w:val="none" w:sz="0" w:space="0" w:color="auto"/>
            <w:left w:val="none" w:sz="0" w:space="0" w:color="auto"/>
            <w:bottom w:val="none" w:sz="0" w:space="0" w:color="auto"/>
            <w:right w:val="none" w:sz="0" w:space="0" w:color="auto"/>
          </w:divBdr>
        </w:div>
        <w:div w:id="322398006">
          <w:marLeft w:val="0"/>
          <w:marRight w:val="0"/>
          <w:marTop w:val="0"/>
          <w:marBottom w:val="0"/>
          <w:divBdr>
            <w:top w:val="none" w:sz="0" w:space="0" w:color="auto"/>
            <w:left w:val="none" w:sz="0" w:space="0" w:color="auto"/>
            <w:bottom w:val="none" w:sz="0" w:space="0" w:color="auto"/>
            <w:right w:val="none" w:sz="0" w:space="0" w:color="auto"/>
          </w:divBdr>
        </w:div>
        <w:div w:id="554434644">
          <w:marLeft w:val="0"/>
          <w:marRight w:val="0"/>
          <w:marTop w:val="0"/>
          <w:marBottom w:val="0"/>
          <w:divBdr>
            <w:top w:val="none" w:sz="0" w:space="0" w:color="auto"/>
            <w:left w:val="none" w:sz="0" w:space="0" w:color="auto"/>
            <w:bottom w:val="none" w:sz="0" w:space="0" w:color="auto"/>
            <w:right w:val="none" w:sz="0" w:space="0" w:color="auto"/>
          </w:divBdr>
        </w:div>
        <w:div w:id="828905466">
          <w:marLeft w:val="0"/>
          <w:marRight w:val="0"/>
          <w:marTop w:val="0"/>
          <w:marBottom w:val="0"/>
          <w:divBdr>
            <w:top w:val="none" w:sz="0" w:space="0" w:color="auto"/>
            <w:left w:val="none" w:sz="0" w:space="0" w:color="auto"/>
            <w:bottom w:val="none" w:sz="0" w:space="0" w:color="auto"/>
            <w:right w:val="none" w:sz="0" w:space="0" w:color="auto"/>
          </w:divBdr>
        </w:div>
        <w:div w:id="1554610581">
          <w:marLeft w:val="0"/>
          <w:marRight w:val="0"/>
          <w:marTop w:val="0"/>
          <w:marBottom w:val="0"/>
          <w:divBdr>
            <w:top w:val="none" w:sz="0" w:space="0" w:color="auto"/>
            <w:left w:val="none" w:sz="0" w:space="0" w:color="auto"/>
            <w:bottom w:val="none" w:sz="0" w:space="0" w:color="auto"/>
            <w:right w:val="none" w:sz="0" w:space="0" w:color="auto"/>
          </w:divBdr>
        </w:div>
        <w:div w:id="1820656111">
          <w:marLeft w:val="0"/>
          <w:marRight w:val="0"/>
          <w:marTop w:val="0"/>
          <w:marBottom w:val="0"/>
          <w:divBdr>
            <w:top w:val="none" w:sz="0" w:space="0" w:color="auto"/>
            <w:left w:val="none" w:sz="0" w:space="0" w:color="auto"/>
            <w:bottom w:val="none" w:sz="0" w:space="0" w:color="auto"/>
            <w:right w:val="none" w:sz="0" w:space="0" w:color="auto"/>
          </w:divBdr>
        </w:div>
        <w:div w:id="1070008459">
          <w:marLeft w:val="0"/>
          <w:marRight w:val="0"/>
          <w:marTop w:val="0"/>
          <w:marBottom w:val="0"/>
          <w:divBdr>
            <w:top w:val="none" w:sz="0" w:space="0" w:color="auto"/>
            <w:left w:val="none" w:sz="0" w:space="0" w:color="auto"/>
            <w:bottom w:val="none" w:sz="0" w:space="0" w:color="auto"/>
            <w:right w:val="none" w:sz="0" w:space="0" w:color="auto"/>
          </w:divBdr>
        </w:div>
        <w:div w:id="1100371424">
          <w:marLeft w:val="0"/>
          <w:marRight w:val="0"/>
          <w:marTop w:val="0"/>
          <w:marBottom w:val="0"/>
          <w:divBdr>
            <w:top w:val="none" w:sz="0" w:space="0" w:color="auto"/>
            <w:left w:val="none" w:sz="0" w:space="0" w:color="auto"/>
            <w:bottom w:val="none" w:sz="0" w:space="0" w:color="auto"/>
            <w:right w:val="none" w:sz="0" w:space="0" w:color="auto"/>
          </w:divBdr>
        </w:div>
        <w:div w:id="510880665">
          <w:marLeft w:val="0"/>
          <w:marRight w:val="0"/>
          <w:marTop w:val="0"/>
          <w:marBottom w:val="0"/>
          <w:divBdr>
            <w:top w:val="none" w:sz="0" w:space="0" w:color="auto"/>
            <w:left w:val="none" w:sz="0" w:space="0" w:color="auto"/>
            <w:bottom w:val="none" w:sz="0" w:space="0" w:color="auto"/>
            <w:right w:val="none" w:sz="0" w:space="0" w:color="auto"/>
          </w:divBdr>
        </w:div>
        <w:div w:id="1896968567">
          <w:marLeft w:val="0"/>
          <w:marRight w:val="0"/>
          <w:marTop w:val="0"/>
          <w:marBottom w:val="0"/>
          <w:divBdr>
            <w:top w:val="none" w:sz="0" w:space="0" w:color="auto"/>
            <w:left w:val="none" w:sz="0" w:space="0" w:color="auto"/>
            <w:bottom w:val="none" w:sz="0" w:space="0" w:color="auto"/>
            <w:right w:val="none" w:sz="0" w:space="0" w:color="auto"/>
          </w:divBdr>
        </w:div>
        <w:div w:id="2072194896">
          <w:marLeft w:val="0"/>
          <w:marRight w:val="0"/>
          <w:marTop w:val="0"/>
          <w:marBottom w:val="0"/>
          <w:divBdr>
            <w:top w:val="none" w:sz="0" w:space="0" w:color="auto"/>
            <w:left w:val="none" w:sz="0" w:space="0" w:color="auto"/>
            <w:bottom w:val="none" w:sz="0" w:space="0" w:color="auto"/>
            <w:right w:val="none" w:sz="0" w:space="0" w:color="auto"/>
          </w:divBdr>
        </w:div>
        <w:div w:id="365762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1023</Words>
  <Characters>5796</Characters>
  <Application>Microsoft Office Word</Application>
  <DocSecurity>0</DocSecurity>
  <Lines>137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2016-01-13T14:08:00Z</dcterms:created>
  <dcterms:modified xsi:type="dcterms:W3CDTF">2016-11-22T09:04:00Z</dcterms:modified>
</cp:coreProperties>
</file>