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4E127" w14:textId="02939F44" w:rsidR="008E3F72" w:rsidRPr="00F35F4D" w:rsidRDefault="008E3F72" w:rsidP="008E3F72">
      <w:pPr>
        <w:pStyle w:val="BodyText"/>
        <w:widowControl/>
        <w:kinsoku w:val="0"/>
        <w:overflowPunct w:val="0"/>
        <w:spacing w:before="0"/>
        <w:ind w:left="0"/>
        <w:rPr>
          <w:noProof/>
          <w:sz w:val="24"/>
          <w:szCs w:val="24"/>
        </w:rPr>
      </w:pPr>
    </w:p>
    <w:p w14:paraId="004E5802" w14:textId="749EE9BC" w:rsidR="008E3F72" w:rsidRPr="00F35F4D" w:rsidRDefault="00946FBE" w:rsidP="008E3F72">
      <w:pPr>
        <w:pStyle w:val="BodyText"/>
        <w:widowControl/>
        <w:kinsoku w:val="0"/>
        <w:overflowPunct w:val="0"/>
        <w:spacing w:before="0"/>
        <w:ind w:left="0"/>
        <w:jc w:val="both"/>
        <w:rPr>
          <w:noProof/>
          <w:sz w:val="24"/>
          <w:szCs w:val="24"/>
        </w:rPr>
      </w:pPr>
      <w:r w:rsidRPr="00F35F4D">
        <w:rPr>
          <w:noProof/>
          <w:sz w:val="24"/>
          <w:szCs w:val="24"/>
          <w:lang w:bidi="ar-SA"/>
        </w:rPr>
        <w:drawing>
          <wp:inline distT="0" distB="0" distL="0" distR="0" wp14:anchorId="23DFE670" wp14:editId="6A3F9D7C">
            <wp:extent cx="5057775" cy="737933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7775" cy="7379336"/>
                    </a:xfrm>
                    <a:prstGeom prst="rect">
                      <a:avLst/>
                    </a:prstGeom>
                    <a:noFill/>
                    <a:ln>
                      <a:noFill/>
                    </a:ln>
                  </pic:spPr>
                </pic:pic>
              </a:graphicData>
            </a:graphic>
          </wp:inline>
        </w:drawing>
      </w:r>
    </w:p>
    <w:p w14:paraId="5C760E06" w14:textId="77777777" w:rsidR="008E3F72" w:rsidRPr="00F35F4D" w:rsidRDefault="008E3F72" w:rsidP="008E3F72">
      <w:pPr>
        <w:pStyle w:val="BodyText"/>
        <w:widowControl/>
        <w:kinsoku w:val="0"/>
        <w:overflowPunct w:val="0"/>
        <w:spacing w:before="0"/>
        <w:ind w:left="0"/>
        <w:jc w:val="both"/>
        <w:rPr>
          <w:noProof/>
          <w:sz w:val="24"/>
          <w:szCs w:val="24"/>
        </w:rPr>
      </w:pPr>
    </w:p>
    <w:p w14:paraId="3804DEC9" w14:textId="77777777" w:rsidR="008E3F72" w:rsidRPr="00F35F4D" w:rsidRDefault="008E3F72" w:rsidP="008E3F72">
      <w:pPr>
        <w:widowControl/>
        <w:jc w:val="both"/>
        <w:rPr>
          <w:noProof/>
        </w:rPr>
      </w:pPr>
      <w:r w:rsidRPr="00F35F4D">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6"/>
      </w:tblGrid>
      <w:tr w:rsidR="008E3F72" w:rsidRPr="00F35F4D" w14:paraId="0E0B4ED3" w14:textId="77777777" w:rsidTr="0010018A">
        <w:tc>
          <w:tcPr>
            <w:tcW w:w="9106" w:type="dxa"/>
          </w:tcPr>
          <w:p w14:paraId="2DE3A05C" w14:textId="77777777" w:rsidR="008E3F72" w:rsidRPr="00F35F4D" w:rsidRDefault="008E3F72" w:rsidP="0010018A">
            <w:pPr>
              <w:widowControl/>
              <w:jc w:val="both"/>
              <w:rPr>
                <w:noProof/>
              </w:rPr>
            </w:pPr>
          </w:p>
          <w:p w14:paraId="108BAD03" w14:textId="77777777" w:rsidR="008E3F72" w:rsidRPr="00F35F4D" w:rsidRDefault="008E3F72" w:rsidP="0010018A">
            <w:pPr>
              <w:widowControl/>
              <w:jc w:val="both"/>
              <w:rPr>
                <w:noProof/>
              </w:rPr>
            </w:pPr>
            <w:r w:rsidRPr="00F35F4D">
              <w:t>ANO Eiropas Ekonomikas komisijas Konvencijas par robežšķērsojošo gaisa piesārņošanu lielos attālumos Ķīmiski aktīvā slāpekļa darba grupas vārdā materiālu publicējis Ekoloģijas un hidroloģijas centrs (</w:t>
            </w:r>
            <w:r w:rsidRPr="00F35F4D">
              <w:rPr>
                <w:i/>
              </w:rPr>
              <w:t>Centre for Ecology and Hydrology (CEH)</w:t>
            </w:r>
            <w:r w:rsidRPr="00F35F4D">
              <w:t>), Edinburga, AK</w:t>
            </w:r>
          </w:p>
          <w:p w14:paraId="5978F96C" w14:textId="77777777" w:rsidR="008E3F72" w:rsidRPr="00F35F4D" w:rsidRDefault="008E3F72" w:rsidP="0010018A">
            <w:pPr>
              <w:widowControl/>
              <w:jc w:val="both"/>
              <w:rPr>
                <w:noProof/>
              </w:rPr>
            </w:pPr>
            <w:r w:rsidRPr="00F35F4D">
              <w:t>ISBN: 978-1-906698-46-1</w:t>
            </w:r>
          </w:p>
          <w:p w14:paraId="110579F5" w14:textId="77777777" w:rsidR="008E3F72" w:rsidRPr="00F35F4D" w:rsidRDefault="008E3F72" w:rsidP="0010018A">
            <w:pPr>
              <w:widowControl/>
              <w:jc w:val="both"/>
              <w:rPr>
                <w:noProof/>
              </w:rPr>
            </w:pPr>
            <w:r w:rsidRPr="00F35F4D">
              <w:t>© Ekoloģijas un hidroloģijas centrs, 2014.</w:t>
            </w:r>
          </w:p>
          <w:p w14:paraId="1A2457B1" w14:textId="77777777" w:rsidR="008E3F72" w:rsidRPr="00F35F4D" w:rsidRDefault="008E3F72" w:rsidP="0010018A">
            <w:pPr>
              <w:widowControl/>
              <w:jc w:val="both"/>
              <w:rPr>
                <w:noProof/>
              </w:rPr>
            </w:pPr>
            <w:r w:rsidRPr="00F35F4D">
              <w:t>Uz šo publikāciju attiecas autortiesību aizsardzība. To drīkst citēt un grafiski reproducēt, ievērojot citēšanas noteikumus.</w:t>
            </w:r>
          </w:p>
          <w:p w14:paraId="7F44D0CD" w14:textId="77777777" w:rsidR="008E3F72" w:rsidRPr="00F35F4D" w:rsidRDefault="008E3F72" w:rsidP="0010018A">
            <w:pPr>
              <w:widowControl/>
              <w:jc w:val="both"/>
              <w:rPr>
                <w:noProof/>
              </w:rPr>
            </w:pPr>
          </w:p>
        </w:tc>
      </w:tr>
      <w:tr w:rsidR="008E3F72" w:rsidRPr="00F35F4D" w14:paraId="6A717E3A" w14:textId="77777777" w:rsidTr="0010018A">
        <w:tc>
          <w:tcPr>
            <w:tcW w:w="9106" w:type="dxa"/>
          </w:tcPr>
          <w:p w14:paraId="62DB9BFD" w14:textId="77777777" w:rsidR="008E3F72" w:rsidRPr="00F35F4D" w:rsidRDefault="008E3F72" w:rsidP="0010018A">
            <w:pPr>
              <w:widowControl/>
              <w:jc w:val="both"/>
              <w:rPr>
                <w:noProof/>
              </w:rPr>
            </w:pPr>
          </w:p>
          <w:p w14:paraId="1DFC209D" w14:textId="77777777" w:rsidR="008E3F72" w:rsidRPr="00F35F4D" w:rsidRDefault="008E3F72" w:rsidP="0010018A">
            <w:pPr>
              <w:widowControl/>
              <w:jc w:val="both"/>
              <w:rPr>
                <w:noProof/>
              </w:rPr>
            </w:pPr>
          </w:p>
          <w:p w14:paraId="6C7BE97F" w14:textId="77777777" w:rsidR="008E3F72" w:rsidRPr="00F35F4D" w:rsidRDefault="008E3F72" w:rsidP="0010018A">
            <w:pPr>
              <w:widowControl/>
              <w:jc w:val="both"/>
              <w:rPr>
                <w:b/>
                <w:noProof/>
              </w:rPr>
            </w:pPr>
            <w:r w:rsidRPr="00F35F4D">
              <w:rPr>
                <w:b/>
                <w:noProof/>
              </w:rPr>
              <w:t>Ieteicamais citēšanas veids –</w:t>
            </w:r>
          </w:p>
          <w:p w14:paraId="68B98B65" w14:textId="77777777" w:rsidR="008E3F72" w:rsidRPr="00F35F4D" w:rsidRDefault="008E3F72" w:rsidP="0010018A">
            <w:pPr>
              <w:widowControl/>
              <w:jc w:val="both"/>
              <w:rPr>
                <w:noProof/>
              </w:rPr>
            </w:pPr>
          </w:p>
          <w:p w14:paraId="31258F03" w14:textId="77777777" w:rsidR="008E3F72" w:rsidRPr="00F35F4D" w:rsidRDefault="008E3F72" w:rsidP="0010018A">
            <w:pPr>
              <w:widowControl/>
              <w:jc w:val="both"/>
              <w:rPr>
                <w:noProof/>
              </w:rPr>
            </w:pPr>
            <w:r w:rsidRPr="00F35F4D">
              <w:rPr>
                <w:i/>
              </w:rPr>
              <w:t>Bittman, S.</w:t>
            </w:r>
            <w:r w:rsidRPr="00F35F4D">
              <w:t xml:space="preserve">, </w:t>
            </w:r>
            <w:r w:rsidRPr="00F35F4D">
              <w:rPr>
                <w:i/>
              </w:rPr>
              <w:t>Dedina, M</w:t>
            </w:r>
            <w:r w:rsidRPr="00F35F4D">
              <w:t xml:space="preserve">., </w:t>
            </w:r>
            <w:r w:rsidRPr="00F35F4D">
              <w:rPr>
                <w:i/>
              </w:rPr>
              <w:t>Howard C.M.</w:t>
            </w:r>
            <w:r w:rsidRPr="00F35F4D">
              <w:t xml:space="preserve">, </w:t>
            </w:r>
            <w:r w:rsidRPr="00F35F4D">
              <w:rPr>
                <w:i/>
              </w:rPr>
              <w:t>Oenema, O</w:t>
            </w:r>
            <w:r w:rsidRPr="00F35F4D">
              <w:t xml:space="preserve">., </w:t>
            </w:r>
            <w:r w:rsidRPr="00F35F4D">
              <w:rPr>
                <w:i/>
              </w:rPr>
              <w:t>Sutton, M.A.</w:t>
            </w:r>
            <w:r w:rsidRPr="00F35F4D">
              <w:t>, (red.), 2014, Amonjaka emisijas samazināšanas iespējas. ANO Eiropas Ekonomikas komisijas Ķīmiski aktīvā slāpekļa darba grupas metodiskie norādījumi. Ekoloģijas un hidroloģijas centrs, Edinburga, AK.</w:t>
            </w:r>
          </w:p>
          <w:p w14:paraId="08EC4075" w14:textId="77777777" w:rsidR="008E3F72" w:rsidRPr="00F35F4D" w:rsidRDefault="008E3F72" w:rsidP="0010018A">
            <w:pPr>
              <w:widowControl/>
              <w:jc w:val="both"/>
              <w:rPr>
                <w:noProof/>
              </w:rPr>
            </w:pPr>
          </w:p>
        </w:tc>
      </w:tr>
      <w:tr w:rsidR="008E3F72" w:rsidRPr="00F35F4D" w14:paraId="7B95C0AF" w14:textId="77777777" w:rsidTr="001001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06" w:type="dxa"/>
            <w:tcBorders>
              <w:top w:val="nil"/>
              <w:left w:val="nil"/>
              <w:bottom w:val="nil"/>
              <w:right w:val="nil"/>
            </w:tcBorders>
          </w:tcPr>
          <w:p w14:paraId="1F0459FA" w14:textId="77777777" w:rsidR="008E3F72" w:rsidRPr="00F35F4D" w:rsidRDefault="008E3F72" w:rsidP="0010018A">
            <w:pPr>
              <w:widowControl/>
              <w:jc w:val="both"/>
              <w:rPr>
                <w:noProof/>
              </w:rPr>
            </w:pPr>
          </w:p>
          <w:p w14:paraId="04FC9CAC" w14:textId="77777777" w:rsidR="008E3F72" w:rsidRPr="00F35F4D" w:rsidRDefault="008E3F72" w:rsidP="0010018A">
            <w:pPr>
              <w:widowControl/>
              <w:jc w:val="both"/>
              <w:rPr>
                <w:noProof/>
                <w:color w:val="000000"/>
              </w:rPr>
            </w:pPr>
            <w:r w:rsidRPr="00F35F4D">
              <w:t xml:space="preserve">Šis ziņojums ir pieejams tiešsaistē vietnē </w:t>
            </w:r>
            <w:hyperlink r:id="rId9">
              <w:r w:rsidRPr="00F35F4D">
                <w:rPr>
                  <w:rStyle w:val="Hyperlink"/>
                  <w:noProof/>
                </w:rPr>
                <w:t>www.clrtap-tfrn.org</w:t>
              </w:r>
            </w:hyperlink>
            <w:r w:rsidRPr="00F35F4D">
              <w:t>; ja jūs to vēlaties saņemt papīra versijā, lūdzu sazinieties</w:t>
            </w:r>
            <w:r w:rsidRPr="00F35F4D">
              <w:rPr>
                <w:noProof/>
                <w:sz w:val="22"/>
              </w:rPr>
              <w:t xml:space="preserve"> ar</w:t>
            </w:r>
            <w:hyperlink r:id="rId10">
              <w:r w:rsidRPr="00F35F4D">
                <w:rPr>
                  <w:rStyle w:val="Hyperlink"/>
                  <w:noProof/>
                </w:rPr>
                <w:t>tfrn@ceh.ac.uk</w:t>
              </w:r>
            </w:hyperlink>
            <w:r w:rsidRPr="00F35F4D">
              <w:rPr>
                <w:noProof/>
                <w:color w:val="000000"/>
              </w:rPr>
              <w:t>.</w:t>
            </w:r>
          </w:p>
          <w:p w14:paraId="6A132595" w14:textId="77777777" w:rsidR="008E3F72" w:rsidRPr="00F35F4D" w:rsidRDefault="008E3F72" w:rsidP="0010018A">
            <w:pPr>
              <w:widowControl/>
              <w:jc w:val="both"/>
              <w:rPr>
                <w:noProof/>
              </w:rPr>
            </w:pPr>
          </w:p>
        </w:tc>
      </w:tr>
    </w:tbl>
    <w:p w14:paraId="3B0DE792" w14:textId="77777777" w:rsidR="008E3F72" w:rsidRPr="00F35F4D" w:rsidRDefault="008E3F72" w:rsidP="008E3F72">
      <w:pPr>
        <w:widowControl/>
        <w:jc w:val="both"/>
        <w:rPr>
          <w:noProof/>
        </w:rPr>
      </w:pPr>
    </w:p>
    <w:p w14:paraId="4AE094EC" w14:textId="35CA92E7" w:rsidR="00E23E42" w:rsidRPr="00F35F4D" w:rsidRDefault="00E23E42">
      <w:pPr>
        <w:widowControl/>
        <w:autoSpaceDE/>
        <w:autoSpaceDN/>
        <w:adjustRightInd/>
        <w:spacing w:after="160" w:line="259" w:lineRule="auto"/>
        <w:rPr>
          <w:noProof/>
        </w:rPr>
      </w:pPr>
      <w:r w:rsidRPr="00F35F4D">
        <w:rPr>
          <w:noProof/>
        </w:rPr>
        <w:br w:type="page"/>
      </w:r>
    </w:p>
    <w:p w14:paraId="377285E1" w14:textId="77777777" w:rsidR="008E3F72" w:rsidRPr="00F35F4D" w:rsidRDefault="008E3F72" w:rsidP="008E3F72">
      <w:pPr>
        <w:pStyle w:val="BodyText"/>
        <w:widowControl/>
        <w:kinsoku w:val="0"/>
        <w:overflowPunct w:val="0"/>
        <w:spacing w:before="0"/>
        <w:ind w:left="0"/>
        <w:jc w:val="both"/>
        <w:rPr>
          <w:noProof/>
          <w:sz w:val="40"/>
          <w:szCs w:val="40"/>
        </w:rPr>
      </w:pPr>
    </w:p>
    <w:p w14:paraId="648277D8" w14:textId="77777777" w:rsidR="006178D5" w:rsidRPr="00F35F4D" w:rsidRDefault="006178D5" w:rsidP="008E3F72">
      <w:pPr>
        <w:pStyle w:val="BodyText"/>
        <w:widowControl/>
        <w:kinsoku w:val="0"/>
        <w:overflowPunct w:val="0"/>
        <w:spacing w:before="0"/>
        <w:ind w:left="0"/>
        <w:jc w:val="both"/>
        <w:rPr>
          <w:noProof/>
          <w:sz w:val="40"/>
          <w:szCs w:val="40"/>
        </w:rPr>
      </w:pPr>
    </w:p>
    <w:p w14:paraId="7C3C9313" w14:textId="77777777" w:rsidR="006178D5" w:rsidRPr="00F35F4D" w:rsidRDefault="006178D5" w:rsidP="008E3F72">
      <w:pPr>
        <w:pStyle w:val="BodyText"/>
        <w:widowControl/>
        <w:kinsoku w:val="0"/>
        <w:overflowPunct w:val="0"/>
        <w:spacing w:before="0"/>
        <w:ind w:left="0"/>
        <w:jc w:val="both"/>
        <w:rPr>
          <w:noProof/>
          <w:sz w:val="40"/>
          <w:szCs w:val="40"/>
        </w:rPr>
      </w:pPr>
    </w:p>
    <w:p w14:paraId="1ADBB2AE" w14:textId="77777777" w:rsidR="006178D5" w:rsidRPr="00F35F4D" w:rsidRDefault="006178D5" w:rsidP="008E3F72">
      <w:pPr>
        <w:pStyle w:val="BodyText"/>
        <w:widowControl/>
        <w:kinsoku w:val="0"/>
        <w:overflowPunct w:val="0"/>
        <w:spacing w:before="0"/>
        <w:ind w:left="0"/>
        <w:jc w:val="both"/>
        <w:rPr>
          <w:noProof/>
          <w:sz w:val="40"/>
          <w:szCs w:val="40"/>
        </w:rPr>
      </w:pPr>
    </w:p>
    <w:p w14:paraId="7962909A" w14:textId="77777777" w:rsidR="006178D5" w:rsidRPr="00F35F4D" w:rsidRDefault="006178D5" w:rsidP="008E3F72">
      <w:pPr>
        <w:pStyle w:val="BodyText"/>
        <w:widowControl/>
        <w:kinsoku w:val="0"/>
        <w:overflowPunct w:val="0"/>
        <w:spacing w:before="0"/>
        <w:ind w:left="0"/>
        <w:jc w:val="both"/>
        <w:rPr>
          <w:noProof/>
          <w:sz w:val="40"/>
          <w:szCs w:val="40"/>
        </w:rPr>
      </w:pPr>
    </w:p>
    <w:p w14:paraId="55526A84" w14:textId="77777777" w:rsidR="006178D5" w:rsidRPr="00F35F4D" w:rsidRDefault="006178D5" w:rsidP="008E3F72">
      <w:pPr>
        <w:pStyle w:val="BodyText"/>
        <w:widowControl/>
        <w:kinsoku w:val="0"/>
        <w:overflowPunct w:val="0"/>
        <w:spacing w:before="0"/>
        <w:ind w:left="0"/>
        <w:jc w:val="both"/>
        <w:rPr>
          <w:noProof/>
          <w:sz w:val="40"/>
          <w:szCs w:val="40"/>
        </w:rPr>
      </w:pPr>
    </w:p>
    <w:p w14:paraId="54E2C63B" w14:textId="77777777" w:rsidR="006178D5" w:rsidRPr="00F35F4D" w:rsidRDefault="006178D5" w:rsidP="008E3F72">
      <w:pPr>
        <w:pStyle w:val="BodyText"/>
        <w:widowControl/>
        <w:kinsoku w:val="0"/>
        <w:overflowPunct w:val="0"/>
        <w:spacing w:before="0"/>
        <w:ind w:left="0"/>
        <w:jc w:val="both"/>
        <w:rPr>
          <w:noProof/>
          <w:sz w:val="40"/>
          <w:szCs w:val="40"/>
        </w:rPr>
      </w:pPr>
    </w:p>
    <w:p w14:paraId="24BE02EB" w14:textId="77777777" w:rsidR="008E3F72" w:rsidRPr="00F35F4D" w:rsidRDefault="008E3F72" w:rsidP="008E3F72">
      <w:pPr>
        <w:pStyle w:val="BodyText"/>
        <w:widowControl/>
        <w:kinsoku w:val="0"/>
        <w:overflowPunct w:val="0"/>
        <w:spacing w:before="0"/>
        <w:ind w:left="0"/>
        <w:jc w:val="both"/>
        <w:rPr>
          <w:b/>
          <w:bCs/>
          <w:noProof/>
          <w:color w:val="0D0D0D"/>
          <w:sz w:val="40"/>
          <w:szCs w:val="40"/>
        </w:rPr>
      </w:pPr>
      <w:r w:rsidRPr="00F35F4D">
        <w:rPr>
          <w:b/>
          <w:noProof/>
          <w:color w:val="0D0D0D"/>
          <w:sz w:val="40"/>
          <w:szCs w:val="40"/>
        </w:rPr>
        <w:t>Amonjaka emisijas samazināšanas iespējas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tblGrid>
      <w:tr w:rsidR="00E23E42" w:rsidRPr="00F35F4D" w14:paraId="0921CE8E" w14:textId="77777777" w:rsidTr="00E23E42">
        <w:tc>
          <w:tcPr>
            <w:tcW w:w="7955" w:type="dxa"/>
          </w:tcPr>
          <w:p w14:paraId="40F16E50" w14:textId="77777777" w:rsidR="00E23E42" w:rsidRPr="00F35F4D" w:rsidRDefault="00E23E42" w:rsidP="008E3F72">
            <w:pPr>
              <w:pStyle w:val="BodyText"/>
              <w:widowControl/>
              <w:kinsoku w:val="0"/>
              <w:overflowPunct w:val="0"/>
              <w:spacing w:before="0"/>
              <w:ind w:left="0"/>
              <w:jc w:val="both"/>
              <w:rPr>
                <w:noProof/>
                <w:color w:val="585858"/>
                <w:sz w:val="24"/>
                <w:szCs w:val="24"/>
                <w:u w:val="single"/>
              </w:rPr>
            </w:pPr>
          </w:p>
        </w:tc>
      </w:tr>
    </w:tbl>
    <w:p w14:paraId="2882BB67" w14:textId="77777777" w:rsidR="008E3F72" w:rsidRPr="00F35F4D" w:rsidRDefault="008E3F72" w:rsidP="008E3F72">
      <w:pPr>
        <w:pStyle w:val="BodyText"/>
        <w:widowControl/>
        <w:kinsoku w:val="0"/>
        <w:overflowPunct w:val="0"/>
        <w:spacing w:before="0"/>
        <w:ind w:left="0"/>
        <w:jc w:val="both"/>
        <w:rPr>
          <w:noProof/>
          <w:color w:val="585858"/>
          <w:sz w:val="24"/>
          <w:szCs w:val="24"/>
          <w:u w:val="single"/>
        </w:rPr>
      </w:pPr>
    </w:p>
    <w:p w14:paraId="3A5C2394" w14:textId="77777777" w:rsidR="008E3F72" w:rsidRPr="00F35F4D" w:rsidRDefault="008E3F72" w:rsidP="008E3F72">
      <w:pPr>
        <w:pStyle w:val="BodyText"/>
        <w:widowControl/>
        <w:kinsoku w:val="0"/>
        <w:overflowPunct w:val="0"/>
        <w:spacing w:before="0"/>
        <w:ind w:left="0"/>
        <w:jc w:val="both"/>
        <w:rPr>
          <w:noProof/>
          <w:color w:val="585858"/>
          <w:sz w:val="24"/>
          <w:szCs w:val="24"/>
        </w:rPr>
      </w:pPr>
      <w:r w:rsidRPr="00F35F4D">
        <w:rPr>
          <w:noProof/>
          <w:color w:val="585858"/>
          <w:sz w:val="24"/>
        </w:rPr>
        <w:t>ANO Eiropas Ekonomikas komisijas Ķīmiski aktīvā slāpekļa darba grupas metodiskie norādījumi</w:t>
      </w:r>
    </w:p>
    <w:p w14:paraId="7BCDB157" w14:textId="77777777" w:rsidR="008E3F72" w:rsidRPr="00F35F4D" w:rsidRDefault="008E3F72" w:rsidP="008E3F72">
      <w:pPr>
        <w:pStyle w:val="BodyText"/>
        <w:widowControl/>
        <w:kinsoku w:val="0"/>
        <w:overflowPunct w:val="0"/>
        <w:spacing w:before="0"/>
        <w:ind w:left="0"/>
        <w:jc w:val="both"/>
        <w:rPr>
          <w:noProof/>
          <w:sz w:val="24"/>
          <w:szCs w:val="24"/>
        </w:rPr>
      </w:pPr>
    </w:p>
    <w:p w14:paraId="1D1948E0" w14:textId="77777777" w:rsidR="008E3F72" w:rsidRPr="00F35F4D" w:rsidRDefault="008E3F72" w:rsidP="008E3F72">
      <w:pPr>
        <w:pStyle w:val="BodyText"/>
        <w:widowControl/>
        <w:kinsoku w:val="0"/>
        <w:overflowPunct w:val="0"/>
        <w:spacing w:before="0"/>
        <w:ind w:left="0"/>
        <w:jc w:val="both"/>
        <w:rPr>
          <w:noProof/>
          <w:sz w:val="24"/>
          <w:szCs w:val="24"/>
        </w:rPr>
      </w:pPr>
    </w:p>
    <w:p w14:paraId="6E0D6D00" w14:textId="77777777" w:rsidR="008E3F72" w:rsidRPr="00F35F4D" w:rsidRDefault="008E3F72" w:rsidP="008E3F72">
      <w:pPr>
        <w:pStyle w:val="BodyText"/>
        <w:widowControl/>
        <w:kinsoku w:val="0"/>
        <w:overflowPunct w:val="0"/>
        <w:spacing w:before="0"/>
        <w:ind w:left="0"/>
        <w:jc w:val="both"/>
        <w:rPr>
          <w:noProof/>
          <w:sz w:val="24"/>
          <w:szCs w:val="24"/>
        </w:rPr>
      </w:pPr>
    </w:p>
    <w:p w14:paraId="3AE3388A" w14:textId="77777777" w:rsidR="006178D5" w:rsidRPr="00F35F4D" w:rsidRDefault="006178D5" w:rsidP="008E3F72">
      <w:pPr>
        <w:pStyle w:val="BodyText"/>
        <w:widowControl/>
        <w:kinsoku w:val="0"/>
        <w:overflowPunct w:val="0"/>
        <w:spacing w:before="0"/>
        <w:ind w:left="0"/>
        <w:jc w:val="both"/>
        <w:rPr>
          <w:noProof/>
          <w:sz w:val="24"/>
          <w:szCs w:val="24"/>
        </w:rPr>
      </w:pPr>
    </w:p>
    <w:p w14:paraId="08D70BB3" w14:textId="77777777" w:rsidR="006178D5" w:rsidRPr="00F35F4D" w:rsidRDefault="006178D5" w:rsidP="008E3F72">
      <w:pPr>
        <w:pStyle w:val="BodyText"/>
        <w:widowControl/>
        <w:kinsoku w:val="0"/>
        <w:overflowPunct w:val="0"/>
        <w:spacing w:before="0"/>
        <w:ind w:left="0"/>
        <w:jc w:val="both"/>
        <w:rPr>
          <w:noProof/>
          <w:sz w:val="24"/>
          <w:szCs w:val="24"/>
        </w:rPr>
      </w:pPr>
    </w:p>
    <w:p w14:paraId="3CE88DAC" w14:textId="77777777" w:rsidR="006178D5" w:rsidRPr="00F35F4D" w:rsidRDefault="006178D5" w:rsidP="008E3F72">
      <w:pPr>
        <w:pStyle w:val="BodyText"/>
        <w:widowControl/>
        <w:kinsoku w:val="0"/>
        <w:overflowPunct w:val="0"/>
        <w:spacing w:before="0"/>
        <w:ind w:left="0"/>
        <w:jc w:val="both"/>
        <w:rPr>
          <w:noProof/>
          <w:sz w:val="24"/>
          <w:szCs w:val="24"/>
        </w:rPr>
      </w:pPr>
    </w:p>
    <w:p w14:paraId="408FC970" w14:textId="77777777" w:rsidR="006178D5" w:rsidRPr="00F35F4D" w:rsidRDefault="006178D5" w:rsidP="008E3F72">
      <w:pPr>
        <w:pStyle w:val="BodyText"/>
        <w:widowControl/>
        <w:kinsoku w:val="0"/>
        <w:overflowPunct w:val="0"/>
        <w:spacing w:before="0"/>
        <w:ind w:left="0"/>
        <w:jc w:val="both"/>
        <w:rPr>
          <w:noProof/>
          <w:sz w:val="24"/>
          <w:szCs w:val="24"/>
        </w:rPr>
      </w:pPr>
    </w:p>
    <w:p w14:paraId="672FB23D" w14:textId="77777777" w:rsidR="006178D5" w:rsidRPr="00F35F4D" w:rsidRDefault="006178D5" w:rsidP="008E3F72">
      <w:pPr>
        <w:pStyle w:val="BodyText"/>
        <w:widowControl/>
        <w:kinsoku w:val="0"/>
        <w:overflowPunct w:val="0"/>
        <w:spacing w:before="0"/>
        <w:ind w:left="0"/>
        <w:jc w:val="both"/>
        <w:rPr>
          <w:noProof/>
          <w:sz w:val="24"/>
          <w:szCs w:val="24"/>
        </w:rPr>
      </w:pPr>
    </w:p>
    <w:p w14:paraId="2BD5C539" w14:textId="77777777" w:rsidR="006178D5" w:rsidRPr="00F35F4D" w:rsidRDefault="006178D5" w:rsidP="008E3F72">
      <w:pPr>
        <w:pStyle w:val="BodyText"/>
        <w:widowControl/>
        <w:kinsoku w:val="0"/>
        <w:overflowPunct w:val="0"/>
        <w:spacing w:before="0"/>
        <w:ind w:left="0"/>
        <w:jc w:val="both"/>
        <w:rPr>
          <w:noProof/>
          <w:sz w:val="24"/>
          <w:szCs w:val="24"/>
        </w:rPr>
      </w:pPr>
    </w:p>
    <w:p w14:paraId="141B789D" w14:textId="77777777" w:rsidR="008E3F72" w:rsidRPr="00F35F4D" w:rsidRDefault="008E3F72" w:rsidP="008E3F72">
      <w:pPr>
        <w:pStyle w:val="BodyText"/>
        <w:widowControl/>
        <w:kinsoku w:val="0"/>
        <w:overflowPunct w:val="0"/>
        <w:spacing w:before="0"/>
        <w:ind w:left="0"/>
        <w:jc w:val="both"/>
        <w:rPr>
          <w:noProof/>
          <w:sz w:val="24"/>
          <w:szCs w:val="24"/>
        </w:rPr>
      </w:pPr>
    </w:p>
    <w:p w14:paraId="7CEEC9D1" w14:textId="77777777" w:rsidR="008E3F72" w:rsidRPr="00F35F4D" w:rsidRDefault="008E3F72" w:rsidP="008E3F72">
      <w:pPr>
        <w:pStyle w:val="BodyText"/>
        <w:widowControl/>
        <w:kinsoku w:val="0"/>
        <w:overflowPunct w:val="0"/>
        <w:spacing w:before="0"/>
        <w:ind w:left="0"/>
        <w:jc w:val="both"/>
        <w:rPr>
          <w:noProof/>
          <w:sz w:val="24"/>
          <w:szCs w:val="24"/>
        </w:rPr>
      </w:pPr>
    </w:p>
    <w:p w14:paraId="6FC14C43" w14:textId="77777777" w:rsidR="008E3F72" w:rsidRPr="00F35F4D" w:rsidRDefault="008E3F72" w:rsidP="008E3F72">
      <w:pPr>
        <w:pStyle w:val="BodyText"/>
        <w:widowControl/>
        <w:kinsoku w:val="0"/>
        <w:overflowPunct w:val="0"/>
        <w:spacing w:before="0"/>
        <w:ind w:left="0"/>
        <w:jc w:val="both"/>
        <w:rPr>
          <w:noProof/>
          <w:sz w:val="24"/>
          <w:szCs w:val="24"/>
        </w:rPr>
      </w:pPr>
    </w:p>
    <w:p w14:paraId="6597918F" w14:textId="77777777" w:rsidR="008E3F72" w:rsidRPr="00F35F4D" w:rsidRDefault="008E3F72" w:rsidP="008E3F72">
      <w:pPr>
        <w:pStyle w:val="BodyText"/>
        <w:widowControl/>
        <w:kinsoku w:val="0"/>
        <w:overflowPunct w:val="0"/>
        <w:spacing w:before="0"/>
        <w:ind w:left="0"/>
        <w:jc w:val="both"/>
        <w:rPr>
          <w:noProof/>
          <w:sz w:val="24"/>
          <w:szCs w:val="24"/>
        </w:rPr>
      </w:pPr>
    </w:p>
    <w:p w14:paraId="02B81875" w14:textId="77777777" w:rsidR="008E3F72" w:rsidRPr="00F35F4D" w:rsidRDefault="008E3F72" w:rsidP="008E3F72">
      <w:pPr>
        <w:pStyle w:val="BodyText"/>
        <w:widowControl/>
        <w:kinsoku w:val="0"/>
        <w:overflowPunct w:val="0"/>
        <w:spacing w:before="0"/>
        <w:ind w:left="0"/>
        <w:jc w:val="both"/>
        <w:rPr>
          <w:noProof/>
          <w:sz w:val="24"/>
          <w:szCs w:val="24"/>
        </w:rPr>
      </w:pPr>
    </w:p>
    <w:p w14:paraId="6B8EFD7E" w14:textId="77777777" w:rsidR="008E3F72" w:rsidRPr="00F35F4D" w:rsidRDefault="008E3F72" w:rsidP="008E3F72">
      <w:pPr>
        <w:pStyle w:val="BodyText"/>
        <w:widowControl/>
        <w:kinsoku w:val="0"/>
        <w:overflowPunct w:val="0"/>
        <w:spacing w:before="0"/>
        <w:ind w:left="0"/>
        <w:jc w:val="both"/>
        <w:rPr>
          <w:noProof/>
          <w:sz w:val="24"/>
          <w:szCs w:val="24"/>
        </w:rPr>
      </w:pPr>
    </w:p>
    <w:p w14:paraId="679FC56E" w14:textId="77777777" w:rsidR="008E3F72" w:rsidRPr="00F35F4D" w:rsidRDefault="008E3F72" w:rsidP="008E3F72">
      <w:pPr>
        <w:pStyle w:val="BodyText"/>
        <w:widowControl/>
        <w:kinsoku w:val="0"/>
        <w:overflowPunct w:val="0"/>
        <w:spacing w:before="0"/>
        <w:ind w:left="0"/>
        <w:jc w:val="both"/>
        <w:rPr>
          <w:noProof/>
          <w:sz w:val="24"/>
          <w:szCs w:val="24"/>
        </w:rPr>
      </w:pPr>
    </w:p>
    <w:p w14:paraId="77660B10"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Redaktori – S. Bittman, M. Dedina, C.M. Howard, O. Oenema, M.A. Sutton</w:t>
      </w:r>
    </w:p>
    <w:p w14:paraId="20C3598E" w14:textId="77777777" w:rsidR="008E3F72" w:rsidRPr="00F35F4D" w:rsidRDefault="008E3F72" w:rsidP="008E3F72">
      <w:pPr>
        <w:pStyle w:val="BodyText"/>
        <w:widowControl/>
        <w:kinsoku w:val="0"/>
        <w:overflowPunct w:val="0"/>
        <w:spacing w:before="0"/>
        <w:ind w:left="0"/>
        <w:jc w:val="both"/>
        <w:rPr>
          <w:noProof/>
          <w:sz w:val="24"/>
          <w:szCs w:val="24"/>
        </w:rPr>
      </w:pPr>
    </w:p>
    <w:p w14:paraId="014F5011" w14:textId="77777777" w:rsidR="008E3F72" w:rsidRPr="00F35F4D" w:rsidRDefault="008E3F72" w:rsidP="008E3F72">
      <w:pPr>
        <w:pStyle w:val="BodyText"/>
        <w:widowControl/>
        <w:kinsoku w:val="0"/>
        <w:overflowPunct w:val="0"/>
        <w:spacing w:before="0"/>
        <w:ind w:left="0"/>
        <w:jc w:val="both"/>
        <w:rPr>
          <w:noProof/>
          <w:sz w:val="24"/>
          <w:szCs w:val="24"/>
        </w:rPr>
      </w:pPr>
    </w:p>
    <w:p w14:paraId="5ABF477C" w14:textId="0116828C" w:rsidR="008E3F72" w:rsidRPr="00F35F4D" w:rsidRDefault="00720C1E" w:rsidP="008E3F72">
      <w:pPr>
        <w:pStyle w:val="BodyText"/>
        <w:widowControl/>
        <w:kinsoku w:val="0"/>
        <w:overflowPunct w:val="0"/>
        <w:spacing w:before="0"/>
        <w:ind w:left="0"/>
        <w:jc w:val="both"/>
        <w:rPr>
          <w:noProof/>
          <w:sz w:val="24"/>
          <w:szCs w:val="24"/>
        </w:rPr>
      </w:pPr>
      <w:r w:rsidRPr="00F35F4D">
        <w:rPr>
          <w:noProof/>
          <w:sz w:val="24"/>
          <w:szCs w:val="24"/>
          <w:lang w:bidi="ar-SA"/>
        </w:rPr>
        <w:drawing>
          <wp:inline distT="0" distB="0" distL="0" distR="0" wp14:anchorId="512062B6" wp14:editId="7FD09CA6">
            <wp:extent cx="2305050" cy="714375"/>
            <wp:effectExtent l="0" t="0" r="0" b="9525"/>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0" cy="714375"/>
                    </a:xfrm>
                    <a:prstGeom prst="rect">
                      <a:avLst/>
                    </a:prstGeom>
                    <a:noFill/>
                  </pic:spPr>
                </pic:pic>
              </a:graphicData>
            </a:graphic>
          </wp:inline>
        </w:drawing>
      </w:r>
    </w:p>
    <w:p w14:paraId="7726396F" w14:textId="77777777" w:rsidR="008E3F72" w:rsidRPr="00F35F4D" w:rsidRDefault="008E3F72" w:rsidP="008E3F72">
      <w:pPr>
        <w:pStyle w:val="BodyText"/>
        <w:widowControl/>
        <w:kinsoku w:val="0"/>
        <w:overflowPunct w:val="0"/>
        <w:spacing w:before="0"/>
        <w:ind w:left="0"/>
        <w:jc w:val="both"/>
        <w:rPr>
          <w:noProof/>
          <w:sz w:val="24"/>
          <w:szCs w:val="24"/>
        </w:rPr>
      </w:pPr>
    </w:p>
    <w:p w14:paraId="10765761" w14:textId="77777777" w:rsidR="008E3F72" w:rsidRPr="00F35F4D" w:rsidRDefault="008E3F72" w:rsidP="008E3F72">
      <w:pPr>
        <w:pStyle w:val="BodyText"/>
        <w:widowControl/>
        <w:kinsoku w:val="0"/>
        <w:overflowPunct w:val="0"/>
        <w:spacing w:before="0"/>
        <w:ind w:left="0"/>
        <w:jc w:val="both"/>
        <w:rPr>
          <w:noProof/>
          <w:sz w:val="24"/>
          <w:szCs w:val="24"/>
        </w:rPr>
      </w:pPr>
    </w:p>
    <w:p w14:paraId="2702E80D"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Ķīmiski aktīvā slāpekļa darba grupa</w:t>
      </w:r>
    </w:p>
    <w:p w14:paraId="358CFCF6"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Konvencija par robežšķērsojošo gaisa piesārņošanu lielos attālumos</w:t>
      </w:r>
    </w:p>
    <w:p w14:paraId="7CD132B8" w14:textId="77777777" w:rsidR="008E3F72" w:rsidRPr="00F35F4D" w:rsidRDefault="008E3F72" w:rsidP="008E3F72">
      <w:pPr>
        <w:pStyle w:val="BodyText"/>
        <w:widowControl/>
        <w:kinsoku w:val="0"/>
        <w:overflowPunct w:val="0"/>
        <w:spacing w:before="0"/>
        <w:ind w:left="0"/>
        <w:jc w:val="both"/>
        <w:rPr>
          <w:noProof/>
          <w:sz w:val="24"/>
          <w:szCs w:val="24"/>
        </w:rPr>
      </w:pPr>
    </w:p>
    <w:p w14:paraId="0093B662" w14:textId="77777777" w:rsidR="008E3F72" w:rsidRPr="00F35F4D" w:rsidRDefault="008E3F72" w:rsidP="008E3F72">
      <w:pPr>
        <w:pStyle w:val="BodyText"/>
        <w:widowControl/>
        <w:kinsoku w:val="0"/>
        <w:overflowPunct w:val="0"/>
        <w:spacing w:before="0"/>
        <w:ind w:left="0"/>
        <w:jc w:val="both"/>
        <w:rPr>
          <w:noProof/>
          <w:sz w:val="24"/>
          <w:szCs w:val="24"/>
        </w:rPr>
      </w:pPr>
      <w:r w:rsidRPr="00F35F4D">
        <w:br w:type="page"/>
      </w:r>
    </w:p>
    <w:p w14:paraId="3DC872B1" w14:textId="77777777" w:rsidR="008E3F72" w:rsidRPr="00B3704E" w:rsidRDefault="008E3F72" w:rsidP="008E3F72">
      <w:pPr>
        <w:pStyle w:val="Heading2"/>
        <w:widowControl/>
        <w:kinsoku w:val="0"/>
        <w:overflowPunct w:val="0"/>
        <w:ind w:left="0"/>
        <w:jc w:val="both"/>
        <w:rPr>
          <w:rFonts w:ascii="Times New Roman" w:hAnsi="Times New Roman" w:cs="Times New Roman"/>
          <w:noProof/>
          <w:color w:val="0D0D0D"/>
          <w:sz w:val="28"/>
          <w:szCs w:val="24"/>
        </w:rPr>
      </w:pPr>
      <w:bookmarkStart w:id="0" w:name="_Toc426033252"/>
      <w:r w:rsidRPr="00B3704E">
        <w:rPr>
          <w:rFonts w:ascii="Times New Roman" w:hAnsi="Times New Roman" w:cs="Times New Roman"/>
          <w:noProof/>
          <w:color w:val="0D0D0D"/>
          <w:sz w:val="28"/>
        </w:rPr>
        <w:lastRenderedPageBreak/>
        <w:t>Saturs</w:t>
      </w:r>
      <w:bookmarkEnd w:id="0"/>
    </w:p>
    <w:p w14:paraId="4DE4C6C5" w14:textId="77777777" w:rsidR="008E3F72" w:rsidRPr="00F35F4D" w:rsidRDefault="008E3F72" w:rsidP="008E3F72">
      <w:pPr>
        <w:pStyle w:val="BodyText"/>
        <w:widowControl/>
        <w:tabs>
          <w:tab w:val="left" w:leader="dot" w:pos="8815"/>
        </w:tabs>
        <w:kinsoku w:val="0"/>
        <w:overflowPunct w:val="0"/>
        <w:spacing w:before="0"/>
        <w:ind w:left="0"/>
        <w:jc w:val="both"/>
        <w:rPr>
          <w:noProof/>
          <w:sz w:val="24"/>
          <w:szCs w:val="24"/>
        </w:rPr>
      </w:pPr>
    </w:p>
    <w:p w14:paraId="5127CDA2"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Priekšvārds</w:t>
      </w:r>
      <w:r w:rsidRPr="00B224A6">
        <w:rPr>
          <w:rFonts w:eastAsiaTheme="minorHAnsi"/>
          <w:sz w:val="20"/>
          <w:lang w:eastAsia="en-US" w:bidi="ar-SA"/>
        </w:rPr>
        <w:tab/>
        <w:t>5</w:t>
      </w:r>
    </w:p>
    <w:p w14:paraId="7F089FFB"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Kopsavilkums</w:t>
      </w:r>
      <w:r w:rsidRPr="00B224A6">
        <w:rPr>
          <w:rFonts w:eastAsiaTheme="minorHAnsi"/>
          <w:sz w:val="20"/>
          <w:lang w:eastAsia="en-US" w:bidi="ar-SA"/>
        </w:rPr>
        <w:tab/>
        <w:t>8</w:t>
      </w:r>
    </w:p>
    <w:p w14:paraId="08EE621D"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noProof/>
          <w:sz w:val="20"/>
          <w:szCs w:val="22"/>
          <w:lang w:eastAsia="en-US" w:bidi="ar-SA"/>
        </w:rPr>
        <w:t>O. Oenema, M.A. Sutton, S. Bittman, M. Dedina, C.M. Howard</w:t>
      </w:r>
    </w:p>
    <w:p w14:paraId="634275D2"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3C36A4D0" w14:textId="5E27AE22" w:rsidR="00B224A6" w:rsidRPr="00B224A6" w:rsidRDefault="00B224A6" w:rsidP="00B224A6">
      <w:pPr>
        <w:widowControl/>
        <w:tabs>
          <w:tab w:val="center" w:leader="dot" w:pos="9072"/>
        </w:tabs>
        <w:autoSpaceDE/>
        <w:autoSpaceDN/>
        <w:adjustRightInd/>
        <w:rPr>
          <w:rFonts w:eastAsiaTheme="minorHAnsi"/>
          <w:sz w:val="20"/>
          <w:lang w:eastAsia="en-US" w:bidi="ar-SA"/>
        </w:rPr>
      </w:pPr>
      <w:r>
        <w:rPr>
          <w:rFonts w:eastAsiaTheme="minorHAnsi"/>
          <w:sz w:val="20"/>
          <w:lang w:eastAsia="en-US" w:bidi="ar-SA"/>
        </w:rPr>
        <w:t xml:space="preserve">1. nodaļa </w:t>
      </w:r>
      <w:r w:rsidRPr="00B224A6">
        <w:rPr>
          <w:rFonts w:eastAsiaTheme="minorHAnsi"/>
          <w:sz w:val="20"/>
          <w:lang w:eastAsia="en-US" w:bidi="ar-SA"/>
        </w:rPr>
        <w:t>Ievads</w:t>
      </w:r>
      <w:r w:rsidRPr="00B224A6">
        <w:rPr>
          <w:rFonts w:eastAsiaTheme="minorHAnsi"/>
          <w:sz w:val="20"/>
          <w:lang w:eastAsia="en-US" w:bidi="ar-SA"/>
        </w:rPr>
        <w:tab/>
        <w:t>15</w:t>
      </w:r>
    </w:p>
    <w:p w14:paraId="175D94D5" w14:textId="77777777" w:rsidR="00B224A6" w:rsidRPr="00B224A6" w:rsidRDefault="00B224A6" w:rsidP="00B224A6">
      <w:pPr>
        <w:widowControl/>
        <w:kinsoku w:val="0"/>
        <w:overflowPunct w:val="0"/>
        <w:jc w:val="both"/>
        <w:outlineLvl w:val="3"/>
        <w:rPr>
          <w:i/>
          <w:iCs/>
          <w:noProof/>
          <w:color w:val="0D0D0D"/>
          <w:sz w:val="20"/>
        </w:rPr>
      </w:pPr>
      <w:r w:rsidRPr="00B224A6">
        <w:rPr>
          <w:i/>
          <w:iCs/>
          <w:noProof/>
          <w:color w:val="0D0D0D"/>
          <w:sz w:val="20"/>
          <w:szCs w:val="28"/>
        </w:rPr>
        <w:t>O. Oenema, M.A. Sutton, S. Bittman, M. Dedina, C.M. Howard</w:t>
      </w:r>
    </w:p>
    <w:p w14:paraId="21E6281C"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7C237DFA"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2. nodaļa Lopkopība un tās tendences</w:t>
      </w:r>
      <w:r w:rsidRPr="00B224A6">
        <w:rPr>
          <w:rFonts w:eastAsiaTheme="minorHAnsi"/>
          <w:sz w:val="20"/>
          <w:lang w:eastAsia="en-US" w:bidi="ar-SA"/>
        </w:rPr>
        <w:tab/>
        <w:t>19</w:t>
      </w:r>
    </w:p>
    <w:p w14:paraId="78A4CE69" w14:textId="77777777" w:rsidR="00B224A6" w:rsidRPr="00B224A6" w:rsidRDefault="00B224A6" w:rsidP="00B224A6">
      <w:pPr>
        <w:widowControl/>
        <w:kinsoku w:val="0"/>
        <w:overflowPunct w:val="0"/>
        <w:jc w:val="both"/>
        <w:outlineLvl w:val="3"/>
        <w:rPr>
          <w:i/>
          <w:iCs/>
          <w:noProof/>
          <w:sz w:val="20"/>
        </w:rPr>
      </w:pPr>
      <w:r w:rsidRPr="00B224A6">
        <w:rPr>
          <w:i/>
          <w:iCs/>
          <w:noProof/>
          <w:sz w:val="20"/>
          <w:szCs w:val="28"/>
        </w:rPr>
        <w:t>O. Oenema, S. Bittman, M. Dedina, M.A. Sutton</w:t>
      </w:r>
    </w:p>
    <w:p w14:paraId="5CED97D2"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658F963E"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3. nodaļa Slāpekļa apsaimniekošana, ņemot vērā visu slāpekļa aprites ciklu</w:t>
      </w:r>
      <w:r w:rsidRPr="00B224A6">
        <w:rPr>
          <w:rFonts w:eastAsiaTheme="minorHAnsi"/>
          <w:sz w:val="20"/>
          <w:lang w:eastAsia="en-US" w:bidi="ar-SA"/>
        </w:rPr>
        <w:tab/>
        <w:t>22</w:t>
      </w:r>
    </w:p>
    <w:p w14:paraId="5083AB5A" w14:textId="77777777" w:rsidR="00B224A6" w:rsidRPr="00B224A6" w:rsidRDefault="00B224A6" w:rsidP="00B224A6">
      <w:pPr>
        <w:widowControl/>
        <w:kinsoku w:val="0"/>
        <w:overflowPunct w:val="0"/>
        <w:jc w:val="both"/>
        <w:outlineLvl w:val="3"/>
        <w:rPr>
          <w:i/>
          <w:iCs/>
          <w:noProof/>
          <w:sz w:val="20"/>
        </w:rPr>
      </w:pPr>
      <w:r w:rsidRPr="00B224A6">
        <w:rPr>
          <w:i/>
          <w:iCs/>
          <w:noProof/>
          <w:sz w:val="20"/>
          <w:szCs w:val="28"/>
        </w:rPr>
        <w:t>O. Oenema, S. Bittman, M. Dedina, C.M. Howard, M.A. Sutton, N.J. Hutchings,</w:t>
      </w:r>
    </w:p>
    <w:p w14:paraId="66518BF0" w14:textId="77777777" w:rsidR="00B224A6" w:rsidRPr="00B224A6" w:rsidRDefault="00B224A6" w:rsidP="00B224A6">
      <w:pPr>
        <w:widowControl/>
        <w:kinsoku w:val="0"/>
        <w:overflowPunct w:val="0"/>
        <w:jc w:val="both"/>
        <w:rPr>
          <w:i/>
          <w:iCs/>
          <w:noProof/>
          <w:sz w:val="20"/>
        </w:rPr>
      </w:pPr>
      <w:r w:rsidRPr="00B224A6">
        <w:rPr>
          <w:i/>
          <w:noProof/>
          <w:sz w:val="20"/>
          <w:szCs w:val="20"/>
        </w:rPr>
        <w:t>W. Winiwarter</w:t>
      </w:r>
    </w:p>
    <w:p w14:paraId="2F94076C"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617253C5" w14:textId="7B5CD5BF"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 xml:space="preserve">4. nodaļa Lauksaimniecības </w:t>
      </w:r>
      <w:r w:rsidR="00012926">
        <w:rPr>
          <w:rFonts w:eastAsiaTheme="minorHAnsi"/>
          <w:sz w:val="20"/>
          <w:lang w:eastAsia="en-US" w:bidi="ar-SA"/>
        </w:rPr>
        <w:t>dzīvnieku ēdināšanas</w:t>
      </w:r>
      <w:r w:rsidRPr="00B224A6">
        <w:rPr>
          <w:rFonts w:eastAsiaTheme="minorHAnsi"/>
          <w:sz w:val="20"/>
          <w:lang w:eastAsia="en-US" w:bidi="ar-SA"/>
        </w:rPr>
        <w:t xml:space="preserve"> stratēģijas</w:t>
      </w:r>
      <w:r w:rsidRPr="00B224A6">
        <w:rPr>
          <w:rFonts w:eastAsiaTheme="minorHAnsi"/>
          <w:sz w:val="20"/>
          <w:lang w:eastAsia="en-US" w:bidi="ar-SA"/>
        </w:rPr>
        <w:tab/>
        <w:t>27</w:t>
      </w:r>
    </w:p>
    <w:p w14:paraId="7A04A7BF" w14:textId="77777777" w:rsidR="00B224A6" w:rsidRPr="00B224A6" w:rsidRDefault="00B224A6" w:rsidP="00B224A6">
      <w:pPr>
        <w:widowControl/>
        <w:kinsoku w:val="0"/>
        <w:overflowPunct w:val="0"/>
        <w:jc w:val="both"/>
        <w:outlineLvl w:val="3"/>
        <w:rPr>
          <w:i/>
          <w:iCs/>
          <w:noProof/>
          <w:sz w:val="20"/>
        </w:rPr>
      </w:pPr>
      <w:r w:rsidRPr="00B224A6">
        <w:rPr>
          <w:i/>
          <w:iCs/>
          <w:noProof/>
          <w:sz w:val="20"/>
          <w:szCs w:val="28"/>
        </w:rPr>
        <w:t>O. Oenema, S. Tamminga, H. Menzi, A.J.A. Aarnink, C. Piñeiro Noguera,</w:t>
      </w:r>
    </w:p>
    <w:p w14:paraId="1FA43BE8" w14:textId="77777777" w:rsidR="00B224A6" w:rsidRPr="00B224A6" w:rsidRDefault="00B224A6" w:rsidP="00B224A6">
      <w:pPr>
        <w:widowControl/>
        <w:kinsoku w:val="0"/>
        <w:overflowPunct w:val="0"/>
        <w:jc w:val="both"/>
        <w:rPr>
          <w:i/>
          <w:iCs/>
          <w:noProof/>
          <w:sz w:val="20"/>
        </w:rPr>
      </w:pPr>
      <w:r w:rsidRPr="00B224A6">
        <w:rPr>
          <w:i/>
          <w:noProof/>
          <w:sz w:val="20"/>
          <w:szCs w:val="20"/>
        </w:rPr>
        <w:t>G. Montalvo Bermejo</w:t>
      </w:r>
    </w:p>
    <w:p w14:paraId="0DB9E507"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7A9AEDF2"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5. nodaļa Lauksaimniecības dzīvnieku novietnes</w:t>
      </w:r>
      <w:r w:rsidRPr="00B224A6">
        <w:rPr>
          <w:rFonts w:eastAsiaTheme="minorHAnsi"/>
          <w:sz w:val="20"/>
          <w:lang w:eastAsia="en-US" w:bidi="ar-SA"/>
        </w:rPr>
        <w:tab/>
        <w:t>31</w:t>
      </w:r>
    </w:p>
    <w:p w14:paraId="24A765BC" w14:textId="77777777" w:rsidR="00B224A6" w:rsidRPr="00B224A6" w:rsidRDefault="00B224A6" w:rsidP="00B224A6">
      <w:pPr>
        <w:widowControl/>
        <w:kinsoku w:val="0"/>
        <w:overflowPunct w:val="0"/>
        <w:jc w:val="both"/>
        <w:outlineLvl w:val="3"/>
        <w:rPr>
          <w:i/>
          <w:iCs/>
          <w:noProof/>
          <w:sz w:val="20"/>
        </w:rPr>
      </w:pPr>
      <w:r w:rsidRPr="00B224A6">
        <w:rPr>
          <w:i/>
          <w:iCs/>
          <w:noProof/>
          <w:sz w:val="20"/>
          <w:szCs w:val="28"/>
        </w:rPr>
        <w:t>C.M. Groenestein, L.Valli, C. Piñeiro Noguera, H. Menzi, G. Bonazzi, H. Döhler, K. van der Hoek, A.J.A. Aarnink, O. Oenema, N. Kozlova, T. Kuczynski, Z. Klimont,</w:t>
      </w:r>
    </w:p>
    <w:p w14:paraId="44F6AAD9" w14:textId="77777777" w:rsidR="00B224A6" w:rsidRPr="00B224A6" w:rsidRDefault="00B224A6" w:rsidP="00B224A6">
      <w:pPr>
        <w:widowControl/>
        <w:kinsoku w:val="0"/>
        <w:overflowPunct w:val="0"/>
        <w:jc w:val="both"/>
        <w:rPr>
          <w:i/>
          <w:iCs/>
          <w:noProof/>
          <w:sz w:val="20"/>
        </w:rPr>
      </w:pPr>
      <w:r w:rsidRPr="00B224A6">
        <w:rPr>
          <w:i/>
          <w:noProof/>
          <w:sz w:val="20"/>
          <w:szCs w:val="20"/>
        </w:rPr>
        <w:t>G. Montalvo Bermejo</w:t>
      </w:r>
    </w:p>
    <w:p w14:paraId="3E6A43DA"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46052099"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6.nodaļa Kūtsmēslu uzglabāšanas paņēmieni</w:t>
      </w:r>
      <w:r w:rsidRPr="00B224A6">
        <w:rPr>
          <w:rFonts w:eastAsiaTheme="minorHAnsi"/>
          <w:sz w:val="20"/>
          <w:lang w:eastAsia="en-US" w:bidi="ar-SA"/>
        </w:rPr>
        <w:tab/>
        <w:t>46</w:t>
      </w:r>
    </w:p>
    <w:p w14:paraId="4DC05849" w14:textId="77777777" w:rsidR="00B224A6" w:rsidRPr="00B224A6" w:rsidRDefault="00B224A6" w:rsidP="00B224A6">
      <w:pPr>
        <w:widowControl/>
        <w:kinsoku w:val="0"/>
        <w:overflowPunct w:val="0"/>
        <w:jc w:val="both"/>
        <w:outlineLvl w:val="3"/>
        <w:rPr>
          <w:i/>
          <w:iCs/>
          <w:noProof/>
          <w:sz w:val="20"/>
        </w:rPr>
      </w:pPr>
      <w:r w:rsidRPr="00B224A6">
        <w:rPr>
          <w:i/>
          <w:iCs/>
          <w:noProof/>
          <w:sz w:val="20"/>
          <w:szCs w:val="28"/>
        </w:rPr>
        <w:t>B. Amon, K. Smith, L. Valli, H. Döhler, M.N. Hansen, H. Menzi, S. Wulf, J. Webb, Z. Klimont, E. Fiani</w:t>
      </w:r>
    </w:p>
    <w:p w14:paraId="73E8A0B5"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6707C607" w14:textId="5D2DA98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 xml:space="preserve">7. nodaļa </w:t>
      </w:r>
      <w:r w:rsidR="009367E7">
        <w:rPr>
          <w:rFonts w:eastAsiaTheme="minorHAnsi"/>
          <w:sz w:val="20"/>
          <w:lang w:eastAsia="en-US" w:bidi="ar-SA"/>
        </w:rPr>
        <w:t>Kūtsmēslu lietošanas metodes</w:t>
      </w:r>
      <w:r w:rsidRPr="00B224A6">
        <w:rPr>
          <w:rFonts w:eastAsiaTheme="minorHAnsi"/>
          <w:sz w:val="20"/>
          <w:lang w:eastAsia="en-US" w:bidi="ar-SA"/>
        </w:rPr>
        <w:tab/>
        <w:t>50</w:t>
      </w:r>
    </w:p>
    <w:p w14:paraId="3044EEC2" w14:textId="77777777" w:rsidR="00B224A6" w:rsidRPr="00B224A6" w:rsidRDefault="00B224A6" w:rsidP="00B224A6">
      <w:pPr>
        <w:widowControl/>
        <w:kinsoku w:val="0"/>
        <w:overflowPunct w:val="0"/>
        <w:jc w:val="both"/>
        <w:outlineLvl w:val="3"/>
        <w:rPr>
          <w:i/>
          <w:iCs/>
          <w:noProof/>
          <w:sz w:val="20"/>
        </w:rPr>
      </w:pPr>
      <w:r w:rsidRPr="00B224A6">
        <w:rPr>
          <w:i/>
          <w:iCs/>
          <w:noProof/>
          <w:sz w:val="20"/>
          <w:szCs w:val="28"/>
        </w:rPr>
        <w:t>J. Webb, S.T.J. Lalor, S. Bittman, T. Misselbrook, M.A. Sutton, H. Menzi, H. Döhler, K. Smith, S. Gyldenkaerne, N.J. Hutchings, K. van der Hoek, E. Fiani, S. Lukin, Z. Klimont</w:t>
      </w:r>
    </w:p>
    <w:p w14:paraId="79635CB6"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5F8857C0"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8. nodaļa Mēslošanas līdzekļu izmantošana</w:t>
      </w:r>
      <w:r w:rsidRPr="00B224A6">
        <w:rPr>
          <w:rFonts w:eastAsiaTheme="minorHAnsi"/>
          <w:sz w:val="20"/>
          <w:lang w:eastAsia="en-US" w:bidi="ar-SA"/>
        </w:rPr>
        <w:tab/>
        <w:t>66</w:t>
      </w:r>
    </w:p>
    <w:p w14:paraId="0C9B4156" w14:textId="77777777" w:rsidR="00B224A6" w:rsidRPr="00B224A6" w:rsidRDefault="00B224A6" w:rsidP="00B224A6">
      <w:pPr>
        <w:widowControl/>
        <w:kinsoku w:val="0"/>
        <w:overflowPunct w:val="0"/>
        <w:jc w:val="both"/>
        <w:outlineLvl w:val="3"/>
        <w:rPr>
          <w:i/>
          <w:iCs/>
          <w:noProof/>
          <w:sz w:val="20"/>
        </w:rPr>
      </w:pPr>
      <w:r w:rsidRPr="00B224A6">
        <w:rPr>
          <w:i/>
          <w:iCs/>
          <w:noProof/>
          <w:sz w:val="20"/>
          <w:szCs w:val="28"/>
        </w:rPr>
        <w:t>T. Misselbrook, J. Webb, C. Pallière, M.A. Sutton, S. Lukin, B. Wade</w:t>
      </w:r>
    </w:p>
    <w:p w14:paraId="50020AC1"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3B2638E3" w14:textId="6CADECC4"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 xml:space="preserve">9. nodaļa Citi pasākumi, </w:t>
      </w:r>
      <w:r w:rsidR="00DF7973">
        <w:rPr>
          <w:rFonts w:eastAsiaTheme="minorHAnsi"/>
          <w:sz w:val="20"/>
          <w:lang w:eastAsia="en-US" w:bidi="ar-SA"/>
        </w:rPr>
        <w:t>kas saistīti ar lauksaimniecībā radīto</w:t>
      </w:r>
      <w:r w:rsidRPr="00B224A6">
        <w:rPr>
          <w:rFonts w:eastAsiaTheme="minorHAnsi"/>
          <w:sz w:val="20"/>
          <w:lang w:eastAsia="en-US" w:bidi="ar-SA"/>
        </w:rPr>
        <w:t xml:space="preserve"> slāpekli</w:t>
      </w:r>
      <w:r w:rsidRPr="00B224A6">
        <w:rPr>
          <w:rFonts w:eastAsiaTheme="minorHAnsi"/>
          <w:sz w:val="20"/>
          <w:lang w:eastAsia="en-US" w:bidi="ar-SA"/>
        </w:rPr>
        <w:tab/>
        <w:t>71</w:t>
      </w:r>
    </w:p>
    <w:p w14:paraId="44614298" w14:textId="77777777" w:rsidR="00B224A6" w:rsidRPr="00B224A6" w:rsidRDefault="00B224A6" w:rsidP="00B224A6">
      <w:pPr>
        <w:widowControl/>
        <w:kinsoku w:val="0"/>
        <w:overflowPunct w:val="0"/>
        <w:jc w:val="both"/>
        <w:outlineLvl w:val="3"/>
        <w:rPr>
          <w:i/>
          <w:iCs/>
          <w:noProof/>
          <w:sz w:val="20"/>
        </w:rPr>
      </w:pPr>
      <w:r w:rsidRPr="00B224A6">
        <w:rPr>
          <w:i/>
          <w:iCs/>
          <w:noProof/>
          <w:sz w:val="20"/>
          <w:szCs w:val="28"/>
        </w:rPr>
        <w:t>S. Bittman, M.A. Sutton</w:t>
      </w:r>
    </w:p>
    <w:p w14:paraId="13D43BAD"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7A8D9C2E"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10. nodaļa Nelauksaimnieciskie stacionārie un mobilie emisijas avoti</w:t>
      </w:r>
      <w:r w:rsidRPr="00B224A6">
        <w:rPr>
          <w:rFonts w:eastAsiaTheme="minorHAnsi"/>
          <w:sz w:val="20"/>
          <w:lang w:eastAsia="en-US" w:bidi="ar-SA"/>
        </w:rPr>
        <w:tab/>
        <w:t>73</w:t>
      </w:r>
    </w:p>
    <w:p w14:paraId="25AD9C61" w14:textId="77777777" w:rsidR="00B224A6" w:rsidRPr="00B224A6" w:rsidRDefault="00B224A6" w:rsidP="00B224A6">
      <w:pPr>
        <w:widowControl/>
        <w:kinsoku w:val="0"/>
        <w:overflowPunct w:val="0"/>
        <w:jc w:val="both"/>
        <w:outlineLvl w:val="3"/>
        <w:rPr>
          <w:i/>
          <w:iCs/>
          <w:noProof/>
          <w:sz w:val="20"/>
        </w:rPr>
      </w:pPr>
      <w:r w:rsidRPr="00B224A6">
        <w:rPr>
          <w:i/>
          <w:iCs/>
          <w:noProof/>
          <w:sz w:val="20"/>
          <w:szCs w:val="28"/>
        </w:rPr>
        <w:t>S. Bittman, M. Dedina, O. Oenema, M.A. Sutton</w:t>
      </w:r>
    </w:p>
    <w:p w14:paraId="3350439E"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1054FEE5" w14:textId="6AD9AE2D"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1. pielikums Papildu inf</w:t>
      </w:r>
      <w:r w:rsidR="00BE45DA">
        <w:rPr>
          <w:rFonts w:eastAsiaTheme="minorHAnsi"/>
          <w:sz w:val="20"/>
          <w:lang w:eastAsia="en-US" w:bidi="ar-SA"/>
        </w:rPr>
        <w:t>ormācija Slāpekļa apsaimniekošana</w:t>
      </w:r>
      <w:r w:rsidRPr="00B224A6">
        <w:rPr>
          <w:rFonts w:eastAsiaTheme="minorHAnsi"/>
          <w:sz w:val="20"/>
          <w:lang w:eastAsia="en-US" w:bidi="ar-SA"/>
        </w:rPr>
        <w:tab/>
        <w:t>76</w:t>
      </w:r>
    </w:p>
    <w:p w14:paraId="27C35FE0" w14:textId="77777777" w:rsidR="00B224A6" w:rsidRPr="00B224A6" w:rsidRDefault="00B224A6" w:rsidP="00B224A6">
      <w:pPr>
        <w:widowControl/>
        <w:kinsoku w:val="0"/>
        <w:overflowPunct w:val="0"/>
        <w:jc w:val="both"/>
        <w:outlineLvl w:val="3"/>
        <w:rPr>
          <w:i/>
          <w:iCs/>
          <w:noProof/>
          <w:sz w:val="20"/>
        </w:rPr>
      </w:pPr>
      <w:r w:rsidRPr="00B224A6">
        <w:rPr>
          <w:i/>
          <w:iCs/>
          <w:noProof/>
          <w:sz w:val="20"/>
          <w:szCs w:val="28"/>
        </w:rPr>
        <w:t>O. Oenema, S. Bittman, M. Dedina, C.M. Howard, M.A. Sutton</w:t>
      </w:r>
    </w:p>
    <w:p w14:paraId="293EC224" w14:textId="77777777" w:rsidR="00B224A6" w:rsidRDefault="00B224A6" w:rsidP="00B224A6">
      <w:pPr>
        <w:widowControl/>
        <w:tabs>
          <w:tab w:val="center" w:leader="dot" w:pos="9072"/>
        </w:tabs>
        <w:autoSpaceDE/>
        <w:autoSpaceDN/>
        <w:adjustRightInd/>
        <w:rPr>
          <w:rFonts w:eastAsiaTheme="minorHAnsi"/>
          <w:sz w:val="20"/>
          <w:lang w:eastAsia="en-US" w:bidi="ar-SA"/>
        </w:rPr>
      </w:pPr>
    </w:p>
    <w:p w14:paraId="0D41CF32" w14:textId="60FEF366"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2. pielikums Papildu informācija Lauk</w:t>
      </w:r>
      <w:r w:rsidR="000F4940">
        <w:rPr>
          <w:rFonts w:eastAsiaTheme="minorHAnsi"/>
          <w:sz w:val="20"/>
          <w:lang w:eastAsia="en-US" w:bidi="ar-SA"/>
        </w:rPr>
        <w:t>saimniecības dzīvnieku ēdināšanas</w:t>
      </w:r>
      <w:r w:rsidRPr="00B224A6">
        <w:rPr>
          <w:rFonts w:eastAsiaTheme="minorHAnsi"/>
          <w:sz w:val="20"/>
          <w:lang w:eastAsia="en-US" w:bidi="ar-SA"/>
        </w:rPr>
        <w:t xml:space="preserve"> stratēģijas</w:t>
      </w:r>
      <w:r w:rsidRPr="00B224A6">
        <w:rPr>
          <w:rFonts w:eastAsiaTheme="minorHAnsi"/>
          <w:sz w:val="20"/>
          <w:lang w:eastAsia="en-US" w:bidi="ar-SA"/>
        </w:rPr>
        <w:tab/>
        <w:t>91</w:t>
      </w:r>
    </w:p>
    <w:p w14:paraId="30B67B32" w14:textId="77777777" w:rsidR="00B224A6" w:rsidRPr="00B224A6" w:rsidRDefault="00B224A6" w:rsidP="00B224A6">
      <w:pPr>
        <w:widowControl/>
        <w:kinsoku w:val="0"/>
        <w:overflowPunct w:val="0"/>
        <w:jc w:val="both"/>
        <w:outlineLvl w:val="3"/>
        <w:rPr>
          <w:i/>
          <w:noProof/>
          <w:sz w:val="20"/>
        </w:rPr>
      </w:pPr>
      <w:r w:rsidRPr="00B224A6">
        <w:rPr>
          <w:i/>
          <w:iCs/>
          <w:noProof/>
          <w:sz w:val="20"/>
          <w:szCs w:val="28"/>
        </w:rPr>
        <w:t>O. Oenema, S. Tamminga, H. Menzi, A.J.A. Aarnink, C. Piñeiro Noguera,G. Montalvo Bermejo</w:t>
      </w:r>
    </w:p>
    <w:p w14:paraId="63A0F252"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p>
    <w:p w14:paraId="307D26BB"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Abreviatūru un akronīmu saraksts</w:t>
      </w:r>
      <w:r w:rsidRPr="00B224A6">
        <w:rPr>
          <w:rFonts w:eastAsiaTheme="minorHAnsi"/>
          <w:sz w:val="20"/>
          <w:lang w:eastAsia="en-US" w:bidi="ar-SA"/>
        </w:rPr>
        <w:tab/>
        <w:t>103</w:t>
      </w:r>
    </w:p>
    <w:p w14:paraId="4C439FD6"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Atsauces</w:t>
      </w:r>
      <w:r w:rsidRPr="00B224A6">
        <w:rPr>
          <w:rFonts w:eastAsiaTheme="minorHAnsi"/>
          <w:sz w:val="20"/>
          <w:lang w:eastAsia="en-US" w:bidi="ar-SA"/>
        </w:rPr>
        <w:tab/>
        <w:t>104</w:t>
      </w:r>
    </w:p>
    <w:p w14:paraId="5957AEA8" w14:textId="77777777" w:rsidR="00B224A6" w:rsidRPr="00B224A6" w:rsidRDefault="00B224A6" w:rsidP="00B224A6">
      <w:pPr>
        <w:widowControl/>
        <w:tabs>
          <w:tab w:val="center" w:leader="dot" w:pos="9072"/>
        </w:tabs>
        <w:autoSpaceDE/>
        <w:autoSpaceDN/>
        <w:adjustRightInd/>
        <w:rPr>
          <w:rFonts w:eastAsiaTheme="minorHAnsi"/>
          <w:sz w:val="20"/>
          <w:lang w:eastAsia="en-US" w:bidi="ar-SA"/>
        </w:rPr>
      </w:pPr>
      <w:r w:rsidRPr="00B224A6">
        <w:rPr>
          <w:rFonts w:eastAsiaTheme="minorHAnsi"/>
          <w:sz w:val="20"/>
          <w:lang w:eastAsia="en-US" w:bidi="ar-SA"/>
        </w:rPr>
        <w:t>Par autoriem</w:t>
      </w:r>
      <w:r w:rsidRPr="00B224A6">
        <w:rPr>
          <w:rFonts w:eastAsiaTheme="minorHAnsi"/>
          <w:sz w:val="20"/>
          <w:lang w:eastAsia="en-US" w:bidi="ar-SA"/>
        </w:rPr>
        <w:tab/>
        <w:t>112</w:t>
      </w:r>
    </w:p>
    <w:p w14:paraId="4B876B47" w14:textId="77777777" w:rsidR="005A3969" w:rsidRPr="00F35F4D" w:rsidRDefault="005A3969" w:rsidP="008E3F72">
      <w:pPr>
        <w:pStyle w:val="BodyText"/>
        <w:widowControl/>
        <w:tabs>
          <w:tab w:val="left" w:leader="dot" w:pos="8815"/>
        </w:tabs>
        <w:kinsoku w:val="0"/>
        <w:overflowPunct w:val="0"/>
        <w:spacing w:before="0"/>
        <w:ind w:left="0"/>
        <w:jc w:val="both"/>
        <w:rPr>
          <w:noProof/>
          <w:sz w:val="24"/>
          <w:szCs w:val="24"/>
        </w:rPr>
      </w:pPr>
    </w:p>
    <w:p w14:paraId="0BE70647" w14:textId="55CD2C7C" w:rsidR="006178D5" w:rsidRPr="00F35F4D" w:rsidRDefault="006178D5">
      <w:pPr>
        <w:widowControl/>
        <w:autoSpaceDE/>
        <w:autoSpaceDN/>
        <w:adjustRightInd/>
        <w:spacing w:after="160" w:line="259" w:lineRule="auto"/>
        <w:rPr>
          <w:noProof/>
        </w:rPr>
      </w:pPr>
      <w:r w:rsidRPr="00F35F4D">
        <w:rPr>
          <w:noProof/>
        </w:rPr>
        <w:br w:type="page"/>
      </w:r>
    </w:p>
    <w:p w14:paraId="4A47E582" w14:textId="4AAF8194" w:rsidR="008E3F72" w:rsidRPr="00C43847" w:rsidRDefault="008E3F72" w:rsidP="00C43847">
      <w:pPr>
        <w:pStyle w:val="Heading1"/>
      </w:pPr>
      <w:bookmarkStart w:id="1" w:name="_Toc426033253"/>
      <w:r w:rsidRPr="00C43847">
        <w:lastRenderedPageBreak/>
        <w:t>Priekšvārds</w:t>
      </w:r>
      <w:bookmarkEnd w:id="1"/>
    </w:p>
    <w:p w14:paraId="4356F6F9" w14:textId="77777777" w:rsidR="00C43847" w:rsidRPr="00C43847" w:rsidRDefault="00C43847" w:rsidP="00C43847"/>
    <w:p w14:paraId="433C7D00"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Šis dokuments ir tapis liela darba rezultātā, cenšoties apkopot un aktualizēt zināšanas par to, kā kontrolēt lauksaimniecības radīto amonjaka emisiju atmosfērā.</w:t>
      </w:r>
    </w:p>
    <w:p w14:paraId="02943B80" w14:textId="77777777" w:rsidR="008E3F72" w:rsidRPr="00F35F4D" w:rsidRDefault="008E3F72" w:rsidP="008E3F72">
      <w:pPr>
        <w:pStyle w:val="BodyText"/>
        <w:widowControl/>
        <w:kinsoku w:val="0"/>
        <w:overflowPunct w:val="0"/>
        <w:spacing w:before="0"/>
        <w:ind w:left="0"/>
        <w:jc w:val="both"/>
        <w:rPr>
          <w:noProof/>
          <w:sz w:val="24"/>
          <w:szCs w:val="24"/>
        </w:rPr>
      </w:pPr>
    </w:p>
    <w:p w14:paraId="0BBB5074"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Saskaņā ar ANO Eiropas Ekonomikas komisijas (</w:t>
      </w:r>
      <w:r w:rsidRPr="00F35F4D">
        <w:rPr>
          <w:i/>
          <w:noProof/>
          <w:sz w:val="24"/>
        </w:rPr>
        <w:t>UNECE</w:t>
      </w:r>
      <w:r w:rsidRPr="00F35F4D">
        <w:rPr>
          <w:noProof/>
          <w:sz w:val="24"/>
        </w:rPr>
        <w:t>) Konvenciju par robežšķērsojošo gaisa piesārņošanu lielos attālumos (</w:t>
      </w:r>
      <w:r w:rsidRPr="00F35F4D">
        <w:rPr>
          <w:i/>
          <w:noProof/>
          <w:sz w:val="24"/>
        </w:rPr>
        <w:t>CLTRAP</w:t>
      </w:r>
      <w:r w:rsidRPr="00F35F4D">
        <w:rPr>
          <w:noProof/>
          <w:sz w:val="24"/>
        </w:rPr>
        <w:t>) atbilstīgi Gēteborgas 1999. gada protokolam tika noteikti pirmie maksimāli pieļaujamie amonjaka emisijas daudzumi valstu līmenī. Vienlaicīgi Protokolā bija iekļauts pielikums par pasākumiem amonjaka emisijas kontrolei (tas pazīstams kā IX pielikums).</w:t>
      </w:r>
    </w:p>
    <w:p w14:paraId="2C0A3967" w14:textId="77777777" w:rsidR="008E3F72" w:rsidRPr="00F35F4D" w:rsidRDefault="008E3F72" w:rsidP="008E3F72">
      <w:pPr>
        <w:pStyle w:val="BodyText"/>
        <w:widowControl/>
        <w:kinsoku w:val="0"/>
        <w:overflowPunct w:val="0"/>
        <w:spacing w:before="0"/>
        <w:ind w:left="0"/>
        <w:jc w:val="both"/>
        <w:rPr>
          <w:noProof/>
          <w:sz w:val="24"/>
          <w:szCs w:val="24"/>
        </w:rPr>
      </w:pPr>
    </w:p>
    <w:p w14:paraId="1F48E4ED" w14:textId="5D4DE05A"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 xml:space="preserve">Lai palīdzētu </w:t>
      </w:r>
      <w:r w:rsidRPr="00F35F4D">
        <w:rPr>
          <w:i/>
          <w:noProof/>
          <w:sz w:val="24"/>
        </w:rPr>
        <w:t>CLTRAP</w:t>
      </w:r>
      <w:r w:rsidRPr="00F35F4D">
        <w:rPr>
          <w:noProof/>
          <w:sz w:val="24"/>
        </w:rPr>
        <w:t xml:space="preserve"> pusēm nepārkāpt šos maksimāli pieļaujamos daudzumus un IX pielikumu, Konvencijas izpildinstitūcijas 17. sesijā nolēma izstrādāt „Metodiskos norādījumus par amonjaku”</w:t>
      </w:r>
      <w:r w:rsidR="006A3DA2" w:rsidRPr="00F35F4D">
        <w:rPr>
          <w:rStyle w:val="FootnoteReference"/>
          <w:noProof/>
          <w:sz w:val="24"/>
        </w:rPr>
        <w:footnoteReference w:id="1"/>
      </w:r>
      <w:r w:rsidRPr="00F35F4D">
        <w:rPr>
          <w:noProof/>
          <w:sz w:val="24"/>
        </w:rPr>
        <w:t>. Šī dokumenta nozīme ir vēl vairāk izcelta pašā Protokolā, kur 3. panta 8. punkta b) apakšpunktā ir prasīts, lai katra valsts, uz kuru ģeogrāfiski attiecas Kopējā programma gaisa piesārņojuma izplatības lielos attālumos novērošanai un novērtēšanai (</w:t>
      </w:r>
      <w:r w:rsidRPr="00F35F4D">
        <w:rPr>
          <w:i/>
          <w:noProof/>
          <w:sz w:val="24"/>
        </w:rPr>
        <w:t>EMEP</w:t>
      </w:r>
      <w:r w:rsidRPr="00F35F4D">
        <w:rPr>
          <w:noProof/>
          <w:sz w:val="24"/>
        </w:rPr>
        <w:t>), vajadzības gadījumā „pēc saviem ieskatiem lietotu labākās pieejamās metodes amonjaka emisijas novēršanai un samazināšanai, kā noteikts V norādījumu dokumentā, kas pieņemts Izpildinstitūcijas septiņpadsmitajā sesijā (1999. gada janvāra lēmums) un jebkuros turpmākajos labojumos.”</w:t>
      </w:r>
      <w:r w:rsidRPr="00F35F4D">
        <w:rPr>
          <w:i/>
          <w:noProof/>
          <w:sz w:val="24"/>
        </w:rPr>
        <w:t xml:space="preserve"> </w:t>
      </w:r>
      <w:r w:rsidRPr="00F35F4D">
        <w:rPr>
          <w:noProof/>
          <w:sz w:val="24"/>
        </w:rPr>
        <w:t>Tāpēc „Metodiskie norādījumi par amonjaku” ir juridiski izveidots etalons, lai salīdzinātu amonjaka emisijas samazināšanas paņēmienu īstenošanu atbilstīgi Gēteborgas protokolam.</w:t>
      </w:r>
    </w:p>
    <w:p w14:paraId="51B01507" w14:textId="77777777" w:rsidR="008E3F72" w:rsidRPr="00F35F4D" w:rsidRDefault="008E3F72" w:rsidP="008E3F72">
      <w:pPr>
        <w:pStyle w:val="BodyText"/>
        <w:widowControl/>
        <w:kinsoku w:val="0"/>
        <w:overflowPunct w:val="0"/>
        <w:spacing w:before="0"/>
        <w:ind w:left="0"/>
        <w:jc w:val="both"/>
        <w:rPr>
          <w:noProof/>
          <w:sz w:val="24"/>
          <w:szCs w:val="24"/>
        </w:rPr>
      </w:pPr>
    </w:p>
    <w:p w14:paraId="6B239757"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UNECE</w:t>
      </w:r>
      <w:r w:rsidRPr="00F35F4D">
        <w:rPr>
          <w:noProof/>
          <w:sz w:val="24"/>
        </w:rPr>
        <w:t xml:space="preserve"> Amonjaka ekspertu grupa pirmo reizi pabeidza pārskatīt „Metodiskos norādījumus par amonjaku” 2007. gadā (</w:t>
      </w:r>
      <w:r w:rsidRPr="00F35F4D">
        <w:rPr>
          <w:i/>
          <w:noProof/>
          <w:sz w:val="24"/>
        </w:rPr>
        <w:t>ECE/EB.AIR/WG.5/2007/13</w:t>
      </w:r>
      <w:r w:rsidRPr="00F35F4D">
        <w:rPr>
          <w:noProof/>
          <w:sz w:val="24"/>
        </w:rPr>
        <w:t>). Pirmais pārskatītais variants parādījās drīz pēc tam, kad stājās spēkā Gēteborgas 2005. gada protokols. Kopš tā laika ir kļuvis pieejams ievērojams daudzums papildu informācijas par amonjaka emisijas samazināšanas metodēm, to izmaksām, sniegto guvumu un praktiskiem jautājumiem. Arī pats Gēteborgas protokols ir ievērojami pārskatīts, 2012. gada maijā pieņemot jaunus maksimāli pieļaujamos emisijas daudzumus un noteikumus (Izpildinstitūcijas Lēmums 2012/1). Šīm vajadzībām un saskaņā ar Izpildinstitūcijas apstiprināto darba plānu ir sagatavots pašreizējais (otrais) „Metodisko norādījumu par amonjaku” pārskatītais variants.</w:t>
      </w:r>
    </w:p>
    <w:p w14:paraId="4F71D0BA" w14:textId="77777777" w:rsidR="008E3F72" w:rsidRPr="00F35F4D" w:rsidRDefault="008E3F72" w:rsidP="008E3F72">
      <w:pPr>
        <w:pStyle w:val="BodyText"/>
        <w:widowControl/>
        <w:kinsoku w:val="0"/>
        <w:overflowPunct w:val="0"/>
        <w:spacing w:before="0"/>
        <w:ind w:left="0"/>
        <w:jc w:val="both"/>
        <w:rPr>
          <w:noProof/>
          <w:sz w:val="24"/>
          <w:szCs w:val="24"/>
        </w:rPr>
      </w:pPr>
    </w:p>
    <w:p w14:paraId="5C614D9B"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Šī „Metodisko norādījumu par amonjaku” pārskatītā varianta sagatavošanā ir piedalījušies daudzi eksperti. Ņemot vērā Amonjaka ekspertu grupas iepriekš veikto ieguldījumu, Izpildinstitūcija atzina, ka nepieciešams plašāks skats uz slāpekļa piesārņojumu gaisā, un tāpēc 2007. gadā tika izveidota Ķīmiski aktīvā slāpekļa darba grupa (</w:t>
      </w:r>
      <w:r w:rsidRPr="00F35F4D">
        <w:rPr>
          <w:i/>
          <w:noProof/>
          <w:sz w:val="24"/>
        </w:rPr>
        <w:t>Task Force on Reactive Nitrogen (TFRN)</w:t>
      </w:r>
      <w:r w:rsidRPr="00F35F4D">
        <w:rPr>
          <w:noProof/>
          <w:sz w:val="24"/>
        </w:rPr>
        <w:t xml:space="preserve">). </w:t>
      </w:r>
      <w:r w:rsidRPr="00F35F4D">
        <w:t xml:space="preserve">Ķīmiski aktīvā slāpekļa darba grupai ir „ilgtermiņa mērķis izstrādāt tehnisko un zinātnisko informāciju un variantus, ko varētu izmantot visā ANO Eiropas Ekonomikas komisijas reģionā, lai, ņemot vērā slāpekļa ciklu, labāk saskaņotu gaisa piesārņošanas mazināšanas politiku slāpekļa jomā un darītu to tā, lai šo politiku spētu izmantot arī struktūras ārpus Konvencijas, apsverot citus kontroles pasākumus” </w:t>
      </w:r>
      <w:r w:rsidRPr="00F35F4D">
        <w:rPr>
          <w:noProof/>
          <w:sz w:val="24"/>
        </w:rPr>
        <w:t>(</w:t>
      </w:r>
      <w:hyperlink r:id="rId12">
        <w:r w:rsidRPr="00F35F4D">
          <w:rPr>
            <w:noProof/>
            <w:sz w:val="24"/>
          </w:rPr>
          <w:t>www.clrtap-tfrn.org</w:t>
        </w:r>
      </w:hyperlink>
      <w:r w:rsidRPr="00F35F4D">
        <w:rPr>
          <w:noProof/>
          <w:sz w:val="24"/>
        </w:rPr>
        <w:t xml:space="preserve">). Šajā plašākajā aspektā </w:t>
      </w:r>
      <w:r w:rsidRPr="00F35F4D">
        <w:rPr>
          <w:i/>
          <w:noProof/>
          <w:sz w:val="24"/>
        </w:rPr>
        <w:t>TFRN</w:t>
      </w:r>
      <w:r w:rsidRPr="00F35F4D">
        <w:rPr>
          <w:noProof/>
          <w:sz w:val="24"/>
        </w:rPr>
        <w:t xml:space="preserve"> darbojas ar vairāku ekspertu komisiju, tostarp Ekspertu komisijas lauksaimniecības radītās slāpekļa emisijas mazināšanai </w:t>
      </w:r>
      <w:r w:rsidRPr="00F35F4D">
        <w:rPr>
          <w:i/>
          <w:noProof/>
          <w:sz w:val="24"/>
        </w:rPr>
        <w:t xml:space="preserve">(EPMAN), </w:t>
      </w:r>
      <w:r w:rsidRPr="00F35F4D">
        <w:rPr>
          <w:noProof/>
          <w:sz w:val="24"/>
        </w:rPr>
        <w:lastRenderedPageBreak/>
        <w:t>starpniecību, un minētā komisija tad arī uzņēmās „Metodisko norādījumu par amonjaku” otrās pārskatīšanas vadību.</w:t>
      </w:r>
    </w:p>
    <w:p w14:paraId="1BEB0B94" w14:textId="77777777" w:rsidR="008E3F72" w:rsidRPr="00F35F4D" w:rsidRDefault="008E3F72" w:rsidP="008E3F72">
      <w:pPr>
        <w:pStyle w:val="BodyText"/>
        <w:widowControl/>
        <w:kinsoku w:val="0"/>
        <w:overflowPunct w:val="0"/>
        <w:spacing w:before="0"/>
        <w:ind w:left="0"/>
        <w:jc w:val="both"/>
        <w:rPr>
          <w:noProof/>
          <w:sz w:val="24"/>
          <w:szCs w:val="24"/>
        </w:rPr>
      </w:pPr>
    </w:p>
    <w:p w14:paraId="2327DF32"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 xml:space="preserve">Izpildinstitūcija apstiprināja šos otrreizēji pārskatītos „Metodiskos norādījumus par amonjaku” (Lēmums 2012/11) un publicēja tos kā dokumentu </w:t>
      </w:r>
      <w:r w:rsidRPr="00F35F4D">
        <w:rPr>
          <w:i/>
          <w:noProof/>
          <w:sz w:val="24"/>
        </w:rPr>
        <w:t>ECE/EB.AIR/120</w:t>
      </w:r>
      <w:r w:rsidRPr="00F35F4D">
        <w:rPr>
          <w:noProof/>
          <w:sz w:val="24"/>
        </w:rPr>
        <w:t xml:space="preserve">. Pēterburgas sanāksmē </w:t>
      </w:r>
      <w:r w:rsidRPr="00F35F4D">
        <w:rPr>
          <w:i/>
          <w:noProof/>
          <w:sz w:val="24"/>
        </w:rPr>
        <w:t>TFRN</w:t>
      </w:r>
      <w:r w:rsidRPr="00F35F4D">
        <w:rPr>
          <w:noProof/>
          <w:sz w:val="24"/>
        </w:rPr>
        <w:t xml:space="preserve"> sniedza piekrišanu šī dokumenta publicēšanai brīvā piekļuvē, lai veicinātu tā plašāku izmantošanu, un tas tiks publicēts gan angļu, gan krievu valodas versijā. </w:t>
      </w:r>
      <w:r w:rsidRPr="00F35F4D">
        <w:t xml:space="preserve">„Metodiskos norādījumus par amonjaku” var arī lejupielādēt no </w:t>
      </w:r>
      <w:r w:rsidRPr="00F35F4D">
        <w:rPr>
          <w:i/>
        </w:rPr>
        <w:t>TFRN</w:t>
      </w:r>
      <w:r w:rsidRPr="00F35F4D">
        <w:t xml:space="preserve"> tīmekļa vietnes </w:t>
      </w:r>
      <w:r w:rsidRPr="00F35F4D">
        <w:rPr>
          <w:noProof/>
          <w:sz w:val="24"/>
        </w:rPr>
        <w:t>(</w:t>
      </w:r>
      <w:hyperlink r:id="rId13">
        <w:r w:rsidRPr="00F35F4D">
          <w:rPr>
            <w:noProof/>
            <w:sz w:val="24"/>
          </w:rPr>
          <w:t>www.clrtap-tfrn.org</w:t>
        </w:r>
      </w:hyperlink>
      <w:r w:rsidRPr="00F35F4D">
        <w:rPr>
          <w:noProof/>
          <w:sz w:val="24"/>
        </w:rPr>
        <w:t xml:space="preserve">). Izplatīšanai ir sagatavota arī šī dokumenta vācu valodas versija, kas pieejama ar </w:t>
      </w:r>
      <w:r w:rsidRPr="00F35F4D">
        <w:rPr>
          <w:i/>
          <w:noProof/>
          <w:sz w:val="24"/>
        </w:rPr>
        <w:t>TFRN</w:t>
      </w:r>
      <w:r w:rsidRPr="00F35F4D">
        <w:rPr>
          <w:noProof/>
          <w:sz w:val="24"/>
        </w:rPr>
        <w:t xml:space="preserve"> tīmekļa vietnē publicētās saites starpniecību.</w:t>
      </w:r>
    </w:p>
    <w:p w14:paraId="4BAA3E01" w14:textId="77777777" w:rsidR="008E3F72" w:rsidRPr="00F35F4D" w:rsidRDefault="008E3F72" w:rsidP="008E3F72">
      <w:pPr>
        <w:pStyle w:val="BodyText"/>
        <w:widowControl/>
        <w:kinsoku w:val="0"/>
        <w:overflowPunct w:val="0"/>
        <w:spacing w:before="0"/>
        <w:ind w:left="0"/>
        <w:jc w:val="both"/>
        <w:rPr>
          <w:noProof/>
          <w:sz w:val="24"/>
          <w:szCs w:val="24"/>
        </w:rPr>
      </w:pPr>
    </w:p>
    <w:p w14:paraId="5D199915"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 xml:space="preserve">Tā kā </w:t>
      </w:r>
      <w:r w:rsidRPr="00F35F4D">
        <w:rPr>
          <w:i/>
          <w:noProof/>
          <w:sz w:val="24"/>
        </w:rPr>
        <w:t>TFRN</w:t>
      </w:r>
      <w:r w:rsidRPr="00F35F4D">
        <w:rPr>
          <w:noProof/>
          <w:sz w:val="24"/>
        </w:rPr>
        <w:t xml:space="preserve"> oficiālie ziņojumi </w:t>
      </w:r>
      <w:r w:rsidRPr="00F35F4D">
        <w:rPr>
          <w:i/>
          <w:noProof/>
          <w:sz w:val="24"/>
        </w:rPr>
        <w:t>UNECE</w:t>
      </w:r>
      <w:r w:rsidRPr="00F35F4D">
        <w:rPr>
          <w:noProof/>
          <w:sz w:val="24"/>
        </w:rPr>
        <w:t xml:space="preserve"> Darba grupai stratēģiju un pārskatīšanas jautājumos (</w:t>
      </w:r>
      <w:r w:rsidRPr="00F35F4D">
        <w:rPr>
          <w:i/>
          <w:noProof/>
          <w:sz w:val="24"/>
        </w:rPr>
        <w:t>WGSR</w:t>
      </w:r>
      <w:r w:rsidRPr="00F35F4D">
        <w:rPr>
          <w:noProof/>
          <w:sz w:val="24"/>
        </w:rPr>
        <w:t xml:space="preserve">) un Izpildinstitūcijai ir anonīmi, šajā publikācijā mēs savukārt esam centušies atzīt visu autoru ieguldījumu pārskatīšanas procesā. Kā redzams, šajā „Metodisko norādījumu par amonjaku” pārskatītajā variantā ir pārstāvēti līdzautori no visa </w:t>
      </w:r>
      <w:r w:rsidRPr="00F35F4D">
        <w:rPr>
          <w:i/>
          <w:noProof/>
          <w:sz w:val="24"/>
        </w:rPr>
        <w:t>UNECE</w:t>
      </w:r>
      <w:r w:rsidRPr="00F35F4D">
        <w:rPr>
          <w:noProof/>
          <w:sz w:val="24"/>
        </w:rPr>
        <w:t xml:space="preserve"> reģiona, proti, 15 valstīm, kā arī no </w:t>
      </w:r>
      <w:r w:rsidRPr="00F35F4D">
        <w:rPr>
          <w:i/>
          <w:noProof/>
          <w:sz w:val="24"/>
        </w:rPr>
        <w:t>EMEP</w:t>
      </w:r>
      <w:r w:rsidRPr="00F35F4D">
        <w:rPr>
          <w:noProof/>
          <w:sz w:val="24"/>
        </w:rPr>
        <w:t xml:space="preserve"> Integrētās novērtēšanas modelēšanas centra (</w:t>
      </w:r>
      <w:r w:rsidRPr="00F35F4D">
        <w:rPr>
          <w:i/>
          <w:noProof/>
          <w:sz w:val="24"/>
        </w:rPr>
        <w:t>CIAM</w:t>
      </w:r>
      <w:r w:rsidRPr="00F35F4D">
        <w:rPr>
          <w:noProof/>
          <w:sz w:val="24"/>
        </w:rPr>
        <w:t xml:space="preserve">). Mēs izsakām pateicību par daudzo autoru devumu, recenzijām no kolēģu un ieinteresēto pušu vides un piezīmēm, kas saņemtas no valstīm. Mēs esam jo īpaši pateicīgi </w:t>
      </w:r>
      <w:r w:rsidRPr="00F35F4D">
        <w:rPr>
          <w:i/>
          <w:noProof/>
          <w:sz w:val="24"/>
        </w:rPr>
        <w:t>UNECE</w:t>
      </w:r>
      <w:r w:rsidRPr="00F35F4D">
        <w:rPr>
          <w:noProof/>
          <w:sz w:val="24"/>
        </w:rPr>
        <w:t xml:space="preserve"> Sekretariātam par procesa gaitā sniegto atbalstu, īpaši Frančiskai Ilgai [</w:t>
      </w:r>
      <w:r w:rsidRPr="00F35F4D">
        <w:rPr>
          <w:i/>
          <w:noProof/>
          <w:sz w:val="24"/>
        </w:rPr>
        <w:t>Fransizka Ilg</w:t>
      </w:r>
      <w:r w:rsidRPr="00F35F4D">
        <w:rPr>
          <w:noProof/>
          <w:sz w:val="24"/>
        </w:rPr>
        <w:t>], Kšištofam Olendžinskim [</w:t>
      </w:r>
      <w:r w:rsidRPr="00F35F4D">
        <w:rPr>
          <w:i/>
          <w:noProof/>
          <w:sz w:val="24"/>
        </w:rPr>
        <w:t>Krzysztof Olendrzynski</w:t>
      </w:r>
      <w:r w:rsidRPr="00F35F4D">
        <w:rPr>
          <w:noProof/>
          <w:sz w:val="24"/>
        </w:rPr>
        <w:t xml:space="preserve"> ] un Albenai Karadjovai [</w:t>
      </w:r>
      <w:r w:rsidRPr="00F35F4D">
        <w:rPr>
          <w:i/>
          <w:noProof/>
          <w:sz w:val="24"/>
        </w:rPr>
        <w:t>Albena Karadjova</w:t>
      </w:r>
      <w:r w:rsidRPr="00F35F4D">
        <w:rPr>
          <w:noProof/>
          <w:sz w:val="24"/>
        </w:rPr>
        <w:t>].</w:t>
      </w:r>
    </w:p>
    <w:p w14:paraId="3A12A9F9" w14:textId="77777777" w:rsidR="008E3F72" w:rsidRPr="00F35F4D" w:rsidRDefault="008E3F72" w:rsidP="008E3F72">
      <w:pPr>
        <w:pStyle w:val="BodyText"/>
        <w:widowControl/>
        <w:kinsoku w:val="0"/>
        <w:overflowPunct w:val="0"/>
        <w:spacing w:before="0"/>
        <w:ind w:left="0"/>
        <w:jc w:val="both"/>
        <w:rPr>
          <w:noProof/>
          <w:sz w:val="24"/>
          <w:szCs w:val="24"/>
        </w:rPr>
      </w:pPr>
    </w:p>
    <w:p w14:paraId="790F8C25" w14:textId="6062E5C1"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„Metodiskie norādījumi par amonjaku” ir tapuši kā moderns atsauces dokuments lauksaimniecības radītās amonjaka emisijas novēršanai un mazināšanai, kas galvenokārt paredzēts politikas veidotājiem, nozarē nodarbinātajiem cilvēkiem un zinātniekiem. Tajā ir parādīti dažādie iespējamie pa</w:t>
      </w:r>
      <w:r w:rsidR="00943494">
        <w:rPr>
          <w:noProof/>
          <w:sz w:val="24"/>
        </w:rPr>
        <w:t>sākumi visā „dzīvnieku ēdināšanas</w:t>
      </w:r>
      <w:r w:rsidRPr="00F35F4D">
        <w:rPr>
          <w:noProof/>
          <w:sz w:val="24"/>
        </w:rPr>
        <w:t xml:space="preserve"> – dzīvnie</w:t>
      </w:r>
      <w:r w:rsidR="00943494">
        <w:rPr>
          <w:noProof/>
          <w:sz w:val="24"/>
        </w:rPr>
        <w:t>ku turēšanas – kūtsmēslu apsaimniekošanas</w:t>
      </w:r>
      <w:r w:rsidRPr="00F35F4D">
        <w:rPr>
          <w:noProof/>
          <w:sz w:val="24"/>
        </w:rPr>
        <w:t xml:space="preserve"> ķēdē”. Aplūkota ir gan pasākumu efektivitāte, gan to ekonomiskās izmaksas. Papildu informāciju par emisijas </w:t>
      </w:r>
      <w:r w:rsidR="00943494">
        <w:rPr>
          <w:noProof/>
          <w:sz w:val="24"/>
        </w:rPr>
        <w:t>sa</w:t>
      </w:r>
      <w:r w:rsidRPr="00F35F4D">
        <w:rPr>
          <w:noProof/>
          <w:sz w:val="24"/>
        </w:rPr>
        <w:t xml:space="preserve">mazināšanas pasākumu ekonomiskajām izmaksām var atrast </w:t>
      </w:r>
      <w:r w:rsidRPr="00F35F4D">
        <w:rPr>
          <w:i/>
          <w:noProof/>
          <w:sz w:val="24"/>
        </w:rPr>
        <w:t>TERN</w:t>
      </w:r>
      <w:r w:rsidRPr="00F35F4D">
        <w:rPr>
          <w:noProof/>
          <w:sz w:val="24"/>
        </w:rPr>
        <w:t xml:space="preserve"> publikācijā </w:t>
      </w:r>
      <w:r w:rsidRPr="00F35F4D">
        <w:rPr>
          <w:i/>
          <w:noProof/>
          <w:sz w:val="24"/>
        </w:rPr>
        <w:t>„Economic costs of ammonia emissions abatement”</w:t>
      </w:r>
      <w:r w:rsidRPr="00F35F4D">
        <w:rPr>
          <w:noProof/>
          <w:sz w:val="24"/>
        </w:rPr>
        <w:t xml:space="preserve"> (</w:t>
      </w:r>
      <w:r w:rsidRPr="00F35F4D">
        <w:rPr>
          <w:i/>
          <w:noProof/>
          <w:sz w:val="24"/>
        </w:rPr>
        <w:t>Reis et al.</w:t>
      </w:r>
      <w:r w:rsidRPr="00F35F4D">
        <w:rPr>
          <w:noProof/>
          <w:sz w:val="24"/>
        </w:rPr>
        <w:t>, 2014).</w:t>
      </w:r>
    </w:p>
    <w:p w14:paraId="64806DB6" w14:textId="77777777" w:rsidR="008E3F72" w:rsidRPr="00F35F4D" w:rsidRDefault="008E3F72" w:rsidP="008E3F72">
      <w:pPr>
        <w:pStyle w:val="BodyText"/>
        <w:widowControl/>
        <w:kinsoku w:val="0"/>
        <w:overflowPunct w:val="0"/>
        <w:spacing w:before="0"/>
        <w:ind w:left="0"/>
        <w:jc w:val="both"/>
        <w:rPr>
          <w:noProof/>
          <w:sz w:val="24"/>
          <w:szCs w:val="24"/>
        </w:rPr>
      </w:pPr>
    </w:p>
    <w:p w14:paraId="2DFDCC24" w14:textId="396DDE33"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 xml:space="preserve">Visbeidzot, Gēteborgas protokola 2012. gada pārskatītajā variantā ir atgādinājums par </w:t>
      </w:r>
      <w:r w:rsidRPr="00F35F4D">
        <w:rPr>
          <w:i/>
          <w:noProof/>
          <w:sz w:val="24"/>
        </w:rPr>
        <w:t>CLRTAP</w:t>
      </w:r>
      <w:r w:rsidRPr="00F35F4D">
        <w:rPr>
          <w:noProof/>
          <w:sz w:val="24"/>
        </w:rPr>
        <w:t xml:space="preserve"> pušu apņemšanos valsts līmenī izveidot „konsultatīvu labas lauksaimniecības prakses kodeksu amonjaka emisijas kontrolei” (Gēteborgas protokola IX pielikuma 3. punkts). Lai palīdzētu izpildīt šo prasību, </w:t>
      </w:r>
      <w:r w:rsidRPr="00F35F4D">
        <w:rPr>
          <w:i/>
          <w:noProof/>
          <w:sz w:val="24"/>
        </w:rPr>
        <w:t>TFRN</w:t>
      </w:r>
      <w:r w:rsidRPr="00F35F4D">
        <w:rPr>
          <w:noProof/>
          <w:sz w:val="24"/>
        </w:rPr>
        <w:t xml:space="preserve"> ar </w:t>
      </w:r>
      <w:r w:rsidRPr="00F35F4D">
        <w:rPr>
          <w:i/>
          <w:noProof/>
          <w:sz w:val="24"/>
        </w:rPr>
        <w:t>EPMAN</w:t>
      </w:r>
      <w:r w:rsidRPr="00F35F4D">
        <w:rPr>
          <w:noProof/>
          <w:sz w:val="24"/>
        </w:rPr>
        <w:t xml:space="preserve"> starpniecību pašlaik veic </w:t>
      </w:r>
      <w:r w:rsidRPr="00F35F4D">
        <w:rPr>
          <w:i/>
          <w:noProof/>
          <w:sz w:val="24"/>
        </w:rPr>
        <w:t>UNECE</w:t>
      </w:r>
      <w:r w:rsidRPr="00F35F4D">
        <w:rPr>
          <w:noProof/>
          <w:sz w:val="24"/>
        </w:rPr>
        <w:t xml:space="preserve"> „Labas lauksaimniecības prakses pamatkodeksu amonjaka emisijas samazināšanai” pārskatīšanu (</w:t>
      </w:r>
      <w:r w:rsidRPr="00F35F4D">
        <w:rPr>
          <w:i/>
          <w:noProof/>
          <w:sz w:val="24"/>
        </w:rPr>
        <w:t>EB.AIR/WG.5/2001/7</w:t>
      </w:r>
      <w:r w:rsidRPr="00F35F4D">
        <w:rPr>
          <w:noProof/>
          <w:sz w:val="24"/>
        </w:rPr>
        <w:t>). Šajā pārskatītajā pamatkodeksā uzsvars būs uz praktiskajām metodēm, piedāvājot sistēmu, kas palīdzētu politikas veidotājie</w:t>
      </w:r>
      <w:r w:rsidR="00943494">
        <w:rPr>
          <w:noProof/>
          <w:sz w:val="24"/>
        </w:rPr>
        <w:t>m un lauksaimnieku izglītošanas pakalpojumu sniedzējiem</w:t>
      </w:r>
      <w:r w:rsidRPr="00F35F4D">
        <w:rPr>
          <w:noProof/>
          <w:sz w:val="24"/>
        </w:rPr>
        <w:t xml:space="preserve"> izstrādāt un publicēt savus nacionālos amonjaka kodeksus lauksaimnieku izglītotāju un lauksaimnieku lietošanai.</w:t>
      </w:r>
    </w:p>
    <w:p w14:paraId="7C8D3F91" w14:textId="77777777" w:rsidR="008E3F72" w:rsidRPr="00F35F4D" w:rsidRDefault="008E3F72" w:rsidP="008E3F72">
      <w:pPr>
        <w:pStyle w:val="BodyText"/>
        <w:widowControl/>
        <w:kinsoku w:val="0"/>
        <w:overflowPunct w:val="0"/>
        <w:spacing w:before="0"/>
        <w:ind w:left="0"/>
        <w:jc w:val="both"/>
        <w:rPr>
          <w:noProof/>
          <w:sz w:val="24"/>
          <w:szCs w:val="24"/>
        </w:rPr>
      </w:pPr>
    </w:p>
    <w:p w14:paraId="51CC8A3F" w14:textId="036DE90E"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Marks A. Satons [</w:t>
      </w:r>
      <w:r w:rsidRPr="00F35F4D">
        <w:rPr>
          <w:i/>
          <w:noProof/>
          <w:sz w:val="24"/>
        </w:rPr>
        <w:t>Mark A. Sutton</w:t>
      </w:r>
      <w:r w:rsidRPr="00F35F4D">
        <w:rPr>
          <w:noProof/>
          <w:sz w:val="24"/>
        </w:rPr>
        <w:t>], Ene Enema [</w:t>
      </w:r>
      <w:r w:rsidRPr="00F35F4D">
        <w:rPr>
          <w:i/>
          <w:noProof/>
          <w:sz w:val="24"/>
        </w:rPr>
        <w:t>Oene Oenema</w:t>
      </w:r>
      <w:r w:rsidRPr="00F35F4D">
        <w:rPr>
          <w:noProof/>
          <w:sz w:val="24"/>
        </w:rPr>
        <w:t>]</w:t>
      </w:r>
      <w:r w:rsidR="00EB4539" w:rsidRPr="00F35F4D">
        <w:rPr>
          <w:rStyle w:val="FootnoteReference"/>
          <w:noProof/>
          <w:sz w:val="24"/>
        </w:rPr>
        <w:footnoteReference w:id="2"/>
      </w:r>
      <w:r w:rsidRPr="00F35F4D">
        <w:rPr>
          <w:noProof/>
          <w:sz w:val="24"/>
        </w:rPr>
        <w:t>, Tomijs Dalgards [</w:t>
      </w:r>
      <w:r w:rsidRPr="00F35F4D">
        <w:rPr>
          <w:i/>
          <w:noProof/>
          <w:sz w:val="24"/>
        </w:rPr>
        <w:t>Tommy Dalgaard</w:t>
      </w:r>
      <w:r w:rsidRPr="00F35F4D">
        <w:rPr>
          <w:noProof/>
          <w:sz w:val="24"/>
        </w:rPr>
        <w:t>]</w:t>
      </w:r>
      <w:r w:rsidR="00EB4539" w:rsidRPr="00F35F4D">
        <w:rPr>
          <w:rStyle w:val="FootnoteReference"/>
          <w:noProof/>
          <w:sz w:val="24"/>
        </w:rPr>
        <w:footnoteReference w:id="3"/>
      </w:r>
      <w:r w:rsidRPr="00F35F4D">
        <w:rPr>
          <w:noProof/>
          <w:sz w:val="24"/>
        </w:rPr>
        <w:t>,</w:t>
      </w:r>
    </w:p>
    <w:p w14:paraId="2EE0745F" w14:textId="77777777" w:rsidR="008E3F72" w:rsidRPr="00F35F4D" w:rsidRDefault="008E3F72" w:rsidP="008E3F72">
      <w:pPr>
        <w:pStyle w:val="BodyText"/>
        <w:widowControl/>
        <w:kinsoku w:val="0"/>
        <w:overflowPunct w:val="0"/>
        <w:spacing w:before="0"/>
        <w:ind w:left="0"/>
        <w:jc w:val="both"/>
        <w:rPr>
          <w:i/>
          <w:iCs/>
          <w:noProof/>
          <w:sz w:val="24"/>
          <w:szCs w:val="24"/>
        </w:rPr>
      </w:pPr>
      <w:r w:rsidRPr="00F35F4D">
        <w:rPr>
          <w:i/>
          <w:noProof/>
          <w:sz w:val="24"/>
        </w:rPr>
        <w:t>UNECE Ķīmiski aktīvā slāpekļa darba grupas līdzpriekšsēdētāji</w:t>
      </w:r>
    </w:p>
    <w:p w14:paraId="73DD200C" w14:textId="77777777" w:rsidR="008E3F72" w:rsidRPr="00F35F4D" w:rsidRDefault="008E3F72" w:rsidP="008E3F72">
      <w:pPr>
        <w:pStyle w:val="BodyText"/>
        <w:widowControl/>
        <w:kinsoku w:val="0"/>
        <w:overflowPunct w:val="0"/>
        <w:spacing w:before="0"/>
        <w:ind w:left="0"/>
        <w:jc w:val="both"/>
        <w:rPr>
          <w:i/>
          <w:iCs/>
          <w:noProof/>
          <w:sz w:val="24"/>
          <w:szCs w:val="24"/>
        </w:rPr>
      </w:pPr>
    </w:p>
    <w:p w14:paraId="05236DC4"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Klēra M. Hovarda [</w:t>
      </w:r>
      <w:r w:rsidRPr="00F35F4D">
        <w:rPr>
          <w:i/>
          <w:noProof/>
          <w:sz w:val="24"/>
        </w:rPr>
        <w:t>Clare M. Howard</w:t>
      </w:r>
      <w:r w:rsidRPr="00F35F4D">
        <w:rPr>
          <w:noProof/>
          <w:sz w:val="24"/>
        </w:rPr>
        <w:t>]</w:t>
      </w:r>
    </w:p>
    <w:p w14:paraId="3B369FFE" w14:textId="77777777" w:rsidR="008E3F72" w:rsidRPr="00F35F4D" w:rsidRDefault="008E3F72" w:rsidP="008E3F72">
      <w:pPr>
        <w:pStyle w:val="BodyText"/>
        <w:widowControl/>
        <w:kinsoku w:val="0"/>
        <w:overflowPunct w:val="0"/>
        <w:spacing w:before="0"/>
        <w:ind w:left="0"/>
        <w:jc w:val="both"/>
        <w:rPr>
          <w:i/>
          <w:iCs/>
          <w:noProof/>
          <w:sz w:val="24"/>
          <w:szCs w:val="24"/>
        </w:rPr>
      </w:pPr>
      <w:r w:rsidRPr="00F35F4D">
        <w:rPr>
          <w:i/>
          <w:noProof/>
          <w:sz w:val="24"/>
        </w:rPr>
        <w:t>TFRN Darba grupas koordinatore</w:t>
      </w:r>
    </w:p>
    <w:p w14:paraId="39A4980F" w14:textId="77777777" w:rsidR="008E3F72" w:rsidRPr="00F35F4D" w:rsidRDefault="008E3F72" w:rsidP="008E3F72">
      <w:pPr>
        <w:pStyle w:val="BodyText"/>
        <w:widowControl/>
        <w:kinsoku w:val="0"/>
        <w:overflowPunct w:val="0"/>
        <w:spacing w:before="0"/>
        <w:ind w:left="0"/>
        <w:jc w:val="both"/>
        <w:rPr>
          <w:i/>
          <w:iCs/>
          <w:noProof/>
          <w:sz w:val="24"/>
          <w:szCs w:val="24"/>
        </w:rPr>
      </w:pPr>
    </w:p>
    <w:p w14:paraId="60C789CF" w14:textId="77777777" w:rsidR="00C43847" w:rsidRDefault="008E3F72" w:rsidP="00EB4539">
      <w:pPr>
        <w:pStyle w:val="BodyText"/>
        <w:widowControl/>
        <w:kinsoku w:val="0"/>
        <w:overflowPunct w:val="0"/>
        <w:spacing w:before="0"/>
        <w:ind w:left="0"/>
        <w:jc w:val="both"/>
      </w:pPr>
      <w:r w:rsidRPr="00F35F4D">
        <w:rPr>
          <w:noProof/>
          <w:sz w:val="24"/>
        </w:rPr>
        <w:t>Edinburga, Vāgeningena un Orhūsa, 2014. gada februārī</w:t>
      </w:r>
      <w:r w:rsidRPr="00F35F4D">
        <w:br w:type="page"/>
      </w:r>
    </w:p>
    <w:p w14:paraId="38681425" w14:textId="61FEC6E1" w:rsidR="008E3F72" w:rsidRDefault="008E3F72" w:rsidP="00EB4539">
      <w:pPr>
        <w:pStyle w:val="BodyText"/>
        <w:widowControl/>
        <w:kinsoku w:val="0"/>
        <w:overflowPunct w:val="0"/>
        <w:spacing w:before="0"/>
        <w:ind w:left="0"/>
        <w:jc w:val="both"/>
        <w:rPr>
          <w:rStyle w:val="Heading1Char"/>
        </w:rPr>
      </w:pPr>
      <w:bookmarkStart w:id="2" w:name="_Toc426033254"/>
      <w:r w:rsidRPr="00C43847">
        <w:rPr>
          <w:rStyle w:val="Heading1Char"/>
        </w:rPr>
        <w:lastRenderedPageBreak/>
        <w:t>Kopsavilkums</w:t>
      </w:r>
      <w:bookmarkEnd w:id="2"/>
    </w:p>
    <w:p w14:paraId="18F7FEC8" w14:textId="77777777" w:rsidR="00C43847" w:rsidRPr="00F35F4D" w:rsidRDefault="00C43847" w:rsidP="00EB4539">
      <w:pPr>
        <w:pStyle w:val="BodyText"/>
        <w:widowControl/>
        <w:kinsoku w:val="0"/>
        <w:overflowPunct w:val="0"/>
        <w:spacing w:before="0"/>
        <w:ind w:left="0"/>
        <w:jc w:val="both"/>
        <w:rPr>
          <w:noProof/>
          <w:sz w:val="24"/>
          <w:szCs w:val="24"/>
        </w:rPr>
      </w:pPr>
    </w:p>
    <w:p w14:paraId="0BD994AE"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O. Oenema, M.A. Sutton, S. Bittman, M. Dedina, C.M. Howard</w:t>
      </w:r>
    </w:p>
    <w:p w14:paraId="35298465" w14:textId="77777777" w:rsidR="008E3F72" w:rsidRPr="00F35F4D" w:rsidRDefault="008E3F72" w:rsidP="008E3F72">
      <w:pPr>
        <w:pStyle w:val="BodyText"/>
        <w:widowControl/>
        <w:kinsoku w:val="0"/>
        <w:overflowPunct w:val="0"/>
        <w:spacing w:before="0"/>
        <w:ind w:left="0"/>
        <w:jc w:val="both"/>
        <w:rPr>
          <w:i/>
          <w:iCs/>
          <w:noProof/>
          <w:sz w:val="24"/>
          <w:szCs w:val="24"/>
        </w:rPr>
      </w:pPr>
    </w:p>
    <w:p w14:paraId="14C8DE7A" w14:textId="77777777"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Šī dokumenta mērķis ir sniegt pusēm, kas parakstījušas ANO Eiropas Ekonomikas komisijas (EEK) Konvenciju par robežšķērsojošo gaisa piesārņošanu lielos attālumos, norādījumus par to, kā noteikt pasākumus amonjaka (NH3) emisijas kontrolei, lai samazinātu lauksaimniecības izraisīto emisiju, kā norādīts protokola „Par paskābināšanas, eitrofikācijas un piezemes ozona līmeņa samazināšanu” (Gēteborgas protokola) IX pielikumā.</w:t>
      </w:r>
    </w:p>
    <w:p w14:paraId="790BA23E" w14:textId="77777777"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Šajā dokumentā ir apkopotas</w:t>
      </w:r>
    </w:p>
    <w:p w14:paraId="4E5C2001" w14:textId="77777777" w:rsidR="008E3F72" w:rsidRPr="00F35F4D" w:rsidRDefault="008E3F72" w:rsidP="00EB4539">
      <w:pPr>
        <w:pStyle w:val="BodyText"/>
        <w:widowControl/>
        <w:numPr>
          <w:ilvl w:val="1"/>
          <w:numId w:val="16"/>
        </w:numPr>
        <w:kinsoku w:val="0"/>
        <w:overflowPunct w:val="0"/>
        <w:spacing w:before="0"/>
        <w:ind w:left="0" w:firstLine="0"/>
        <w:jc w:val="both"/>
        <w:rPr>
          <w:noProof/>
          <w:sz w:val="24"/>
          <w:szCs w:val="24"/>
        </w:rPr>
      </w:pPr>
      <w:r w:rsidRPr="00F35F4D">
        <w:rPr>
          <w:noProof/>
          <w:sz w:val="24"/>
        </w:rPr>
        <w:t>pašreizējās zināšanas par NH3 emisijas samazināšanas paņēmieniem un stratēģijām;</w:t>
      </w:r>
    </w:p>
    <w:p w14:paraId="3F44AD64" w14:textId="77777777" w:rsidR="008E3F72" w:rsidRPr="00F35F4D" w:rsidRDefault="008E3F72" w:rsidP="00EB4539">
      <w:pPr>
        <w:pStyle w:val="BodyText"/>
        <w:widowControl/>
        <w:numPr>
          <w:ilvl w:val="1"/>
          <w:numId w:val="16"/>
        </w:numPr>
        <w:kinsoku w:val="0"/>
        <w:overflowPunct w:val="0"/>
        <w:spacing w:before="0"/>
        <w:ind w:left="0" w:firstLine="0"/>
        <w:jc w:val="both"/>
        <w:rPr>
          <w:noProof/>
          <w:sz w:val="24"/>
          <w:szCs w:val="24"/>
        </w:rPr>
      </w:pPr>
      <w:r w:rsidRPr="00F35F4D">
        <w:rPr>
          <w:noProof/>
          <w:sz w:val="24"/>
        </w:rPr>
        <w:t>šo paņēmienu un stratēģiju zinātniski tehniskais pamatojums;</w:t>
      </w:r>
    </w:p>
    <w:p w14:paraId="48BCA5CD" w14:textId="77777777" w:rsidR="008E3F72" w:rsidRPr="00F35F4D" w:rsidRDefault="008E3F72" w:rsidP="00EB4539">
      <w:pPr>
        <w:pStyle w:val="BodyText"/>
        <w:widowControl/>
        <w:numPr>
          <w:ilvl w:val="1"/>
          <w:numId w:val="16"/>
        </w:numPr>
        <w:kinsoku w:val="0"/>
        <w:overflowPunct w:val="0"/>
        <w:spacing w:before="0"/>
        <w:ind w:left="0" w:firstLine="0"/>
        <w:jc w:val="both"/>
        <w:rPr>
          <w:noProof/>
          <w:sz w:val="24"/>
          <w:szCs w:val="24"/>
        </w:rPr>
      </w:pPr>
      <w:r w:rsidRPr="00F35F4D">
        <w:rPr>
          <w:noProof/>
          <w:sz w:val="24"/>
        </w:rPr>
        <w:t xml:space="preserve">paņēmienu ekonomiskās izmaksas, kas izteiktas </w:t>
      </w:r>
      <w:r w:rsidRPr="00F35F4D">
        <w:rPr>
          <w:i/>
          <w:noProof/>
          <w:sz w:val="24"/>
        </w:rPr>
        <w:t>euro</w:t>
      </w:r>
      <w:r w:rsidRPr="00F35F4D">
        <w:rPr>
          <w:noProof/>
          <w:sz w:val="24"/>
        </w:rPr>
        <w:t xml:space="preserve"> par NH3 emisijas samazinājuma kilogramu;</w:t>
      </w:r>
    </w:p>
    <w:p w14:paraId="08318676" w14:textId="77777777" w:rsidR="008E3F72" w:rsidRPr="00F35F4D" w:rsidRDefault="008E3F72" w:rsidP="00EB4539">
      <w:pPr>
        <w:pStyle w:val="BodyText"/>
        <w:widowControl/>
        <w:numPr>
          <w:ilvl w:val="1"/>
          <w:numId w:val="16"/>
        </w:numPr>
        <w:kinsoku w:val="0"/>
        <w:overflowPunct w:val="0"/>
        <w:spacing w:before="0"/>
        <w:ind w:left="0" w:firstLine="0"/>
        <w:jc w:val="both"/>
        <w:rPr>
          <w:noProof/>
          <w:sz w:val="24"/>
          <w:szCs w:val="24"/>
        </w:rPr>
      </w:pPr>
      <w:r w:rsidRPr="00F35F4D">
        <w:rPr>
          <w:noProof/>
          <w:sz w:val="24"/>
        </w:rPr>
        <w:t>ierobežojumi vai šķēršļi šo paņēmienu piemērošanai.</w:t>
      </w:r>
    </w:p>
    <w:p w14:paraId="6F00204D" w14:textId="77777777"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Dokumentā apskatīti NH3 emisijas samazināšanas pasākumi šādās jomās:</w:t>
      </w:r>
    </w:p>
    <w:p w14:paraId="72E41617" w14:textId="6249A836" w:rsidR="008E3F72" w:rsidRPr="00F35F4D" w:rsidRDefault="00943494" w:rsidP="00EB4539">
      <w:pPr>
        <w:pStyle w:val="BodyText"/>
        <w:widowControl/>
        <w:numPr>
          <w:ilvl w:val="1"/>
          <w:numId w:val="16"/>
        </w:numPr>
        <w:kinsoku w:val="0"/>
        <w:overflowPunct w:val="0"/>
        <w:spacing w:before="0"/>
        <w:ind w:left="0" w:firstLine="0"/>
        <w:jc w:val="both"/>
        <w:rPr>
          <w:noProof/>
          <w:sz w:val="24"/>
          <w:szCs w:val="24"/>
        </w:rPr>
      </w:pPr>
      <w:r>
        <w:rPr>
          <w:noProof/>
          <w:sz w:val="24"/>
        </w:rPr>
        <w:t>slāpekļa (N) apsaimniekošana</w:t>
      </w:r>
      <w:r w:rsidR="008E3F72" w:rsidRPr="00F35F4D">
        <w:rPr>
          <w:noProof/>
          <w:sz w:val="24"/>
        </w:rPr>
        <w:t>, ņemot vērā visu N ciklu;</w:t>
      </w:r>
    </w:p>
    <w:p w14:paraId="333074C1" w14:textId="0F012C5B" w:rsidR="008E3F72" w:rsidRPr="00F35F4D" w:rsidRDefault="008E3F72" w:rsidP="00EB4539">
      <w:pPr>
        <w:pStyle w:val="BodyText"/>
        <w:widowControl/>
        <w:numPr>
          <w:ilvl w:val="1"/>
          <w:numId w:val="16"/>
        </w:numPr>
        <w:kinsoku w:val="0"/>
        <w:overflowPunct w:val="0"/>
        <w:spacing w:before="0"/>
        <w:ind w:left="0" w:firstLine="0"/>
        <w:jc w:val="both"/>
        <w:rPr>
          <w:noProof/>
          <w:sz w:val="24"/>
          <w:szCs w:val="24"/>
        </w:rPr>
      </w:pPr>
      <w:r w:rsidRPr="00F35F4D">
        <w:rPr>
          <w:noProof/>
          <w:sz w:val="24"/>
        </w:rPr>
        <w:t>lauk</w:t>
      </w:r>
      <w:r w:rsidR="00943494">
        <w:rPr>
          <w:noProof/>
          <w:sz w:val="24"/>
        </w:rPr>
        <w:t>saimniecības dzīvnieku ēdināšanas</w:t>
      </w:r>
      <w:r w:rsidRPr="00F35F4D">
        <w:rPr>
          <w:noProof/>
          <w:sz w:val="24"/>
        </w:rPr>
        <w:t xml:space="preserve"> stratēģijas;</w:t>
      </w:r>
    </w:p>
    <w:p w14:paraId="64FBE874" w14:textId="35868583" w:rsidR="008E3F72" w:rsidRPr="00F35F4D" w:rsidRDefault="008E3F72" w:rsidP="00EB4539">
      <w:pPr>
        <w:pStyle w:val="BodyText"/>
        <w:widowControl/>
        <w:numPr>
          <w:ilvl w:val="1"/>
          <w:numId w:val="16"/>
        </w:numPr>
        <w:kinsoku w:val="0"/>
        <w:overflowPunct w:val="0"/>
        <w:spacing w:before="0"/>
        <w:ind w:left="0" w:firstLine="0"/>
        <w:jc w:val="both"/>
        <w:rPr>
          <w:noProof/>
          <w:sz w:val="24"/>
          <w:szCs w:val="24"/>
        </w:rPr>
      </w:pPr>
      <w:r w:rsidRPr="00F35F4D">
        <w:rPr>
          <w:noProof/>
          <w:sz w:val="24"/>
        </w:rPr>
        <w:t>lauksaim</w:t>
      </w:r>
      <w:r w:rsidR="00943494">
        <w:rPr>
          <w:noProof/>
          <w:sz w:val="24"/>
        </w:rPr>
        <w:t>niecības dzīvnieku turēšanas</w:t>
      </w:r>
      <w:r w:rsidRPr="00F35F4D">
        <w:rPr>
          <w:noProof/>
          <w:sz w:val="24"/>
        </w:rPr>
        <w:t xml:space="preserve"> paņēmieni;</w:t>
      </w:r>
    </w:p>
    <w:p w14:paraId="2F1189E6" w14:textId="04BCC2D8" w:rsidR="008E3F72" w:rsidRPr="00F35F4D" w:rsidRDefault="008E3F72" w:rsidP="00EB4539">
      <w:pPr>
        <w:pStyle w:val="BodyText"/>
        <w:widowControl/>
        <w:numPr>
          <w:ilvl w:val="1"/>
          <w:numId w:val="16"/>
        </w:numPr>
        <w:kinsoku w:val="0"/>
        <w:overflowPunct w:val="0"/>
        <w:spacing w:before="0"/>
        <w:ind w:left="0" w:firstLine="0"/>
        <w:jc w:val="both"/>
        <w:rPr>
          <w:noProof/>
          <w:sz w:val="24"/>
          <w:szCs w:val="24"/>
        </w:rPr>
      </w:pPr>
      <w:r w:rsidRPr="00F35F4D">
        <w:rPr>
          <w:noProof/>
          <w:sz w:val="24"/>
        </w:rPr>
        <w:t xml:space="preserve">kūtsmēslu </w:t>
      </w:r>
      <w:r w:rsidR="00943494">
        <w:rPr>
          <w:noProof/>
          <w:sz w:val="24"/>
        </w:rPr>
        <w:t>uz</w:t>
      </w:r>
      <w:r w:rsidRPr="00F35F4D">
        <w:rPr>
          <w:noProof/>
          <w:sz w:val="24"/>
        </w:rPr>
        <w:t>glabāšanas paņēmieni;</w:t>
      </w:r>
    </w:p>
    <w:p w14:paraId="4EE41BA3" w14:textId="13E88AE5" w:rsidR="008E3F72" w:rsidRPr="00F35F4D" w:rsidRDefault="00943494" w:rsidP="00EB4539">
      <w:pPr>
        <w:pStyle w:val="BodyText"/>
        <w:widowControl/>
        <w:numPr>
          <w:ilvl w:val="1"/>
          <w:numId w:val="16"/>
        </w:numPr>
        <w:kinsoku w:val="0"/>
        <w:overflowPunct w:val="0"/>
        <w:spacing w:before="0"/>
        <w:ind w:left="0" w:firstLine="0"/>
        <w:jc w:val="both"/>
        <w:rPr>
          <w:noProof/>
          <w:sz w:val="24"/>
          <w:szCs w:val="24"/>
        </w:rPr>
      </w:pPr>
      <w:r>
        <w:rPr>
          <w:noProof/>
          <w:sz w:val="24"/>
        </w:rPr>
        <w:t>kūtsmēslu lietošanas metodes</w:t>
      </w:r>
      <w:r w:rsidR="008E3F72" w:rsidRPr="00F35F4D">
        <w:rPr>
          <w:noProof/>
          <w:sz w:val="24"/>
        </w:rPr>
        <w:t>;</w:t>
      </w:r>
    </w:p>
    <w:p w14:paraId="20052950" w14:textId="06DF2122" w:rsidR="008E3F72" w:rsidRPr="00F35F4D" w:rsidRDefault="00943494" w:rsidP="00EB4539">
      <w:pPr>
        <w:pStyle w:val="BodyText"/>
        <w:widowControl/>
        <w:numPr>
          <w:ilvl w:val="1"/>
          <w:numId w:val="16"/>
        </w:numPr>
        <w:kinsoku w:val="0"/>
        <w:overflowPunct w:val="0"/>
        <w:spacing w:before="0"/>
        <w:ind w:left="0" w:firstLine="0"/>
        <w:jc w:val="both"/>
        <w:rPr>
          <w:noProof/>
          <w:sz w:val="24"/>
          <w:szCs w:val="24"/>
        </w:rPr>
      </w:pPr>
      <w:r>
        <w:rPr>
          <w:noProof/>
          <w:sz w:val="24"/>
        </w:rPr>
        <w:t>mēslošanas līdzekļu tietošanas metodes</w:t>
      </w:r>
      <w:r w:rsidR="008E3F72" w:rsidRPr="00F35F4D">
        <w:rPr>
          <w:noProof/>
          <w:sz w:val="24"/>
        </w:rPr>
        <w:t>;</w:t>
      </w:r>
    </w:p>
    <w:p w14:paraId="010EA786" w14:textId="3255D03F" w:rsidR="008E3F72" w:rsidRPr="00F35F4D" w:rsidRDefault="008E3F72" w:rsidP="00EB4539">
      <w:pPr>
        <w:pStyle w:val="BodyText"/>
        <w:widowControl/>
        <w:numPr>
          <w:ilvl w:val="1"/>
          <w:numId w:val="16"/>
        </w:numPr>
        <w:kinsoku w:val="0"/>
        <w:overflowPunct w:val="0"/>
        <w:spacing w:before="0"/>
        <w:ind w:left="0" w:firstLine="0"/>
        <w:jc w:val="both"/>
        <w:rPr>
          <w:noProof/>
          <w:sz w:val="24"/>
          <w:szCs w:val="24"/>
        </w:rPr>
      </w:pPr>
      <w:r w:rsidRPr="00F35F4D">
        <w:rPr>
          <w:noProof/>
          <w:sz w:val="24"/>
        </w:rPr>
        <w:t xml:space="preserve">citi pasākumi, </w:t>
      </w:r>
      <w:r w:rsidR="00943494">
        <w:rPr>
          <w:noProof/>
          <w:sz w:val="24"/>
        </w:rPr>
        <w:t>kas saistīti ar lauksaimniecībā radīto</w:t>
      </w:r>
      <w:r w:rsidRPr="00F35F4D">
        <w:rPr>
          <w:noProof/>
          <w:sz w:val="24"/>
        </w:rPr>
        <w:t xml:space="preserve"> slāpekli;</w:t>
      </w:r>
    </w:p>
    <w:p w14:paraId="2A3D81C5" w14:textId="77777777" w:rsidR="008E3F72" w:rsidRPr="00F35F4D" w:rsidRDefault="008E3F72" w:rsidP="00EB4539">
      <w:pPr>
        <w:pStyle w:val="BodyText"/>
        <w:widowControl/>
        <w:numPr>
          <w:ilvl w:val="1"/>
          <w:numId w:val="16"/>
        </w:numPr>
        <w:kinsoku w:val="0"/>
        <w:overflowPunct w:val="0"/>
        <w:spacing w:before="0"/>
        <w:ind w:left="0" w:firstLine="0"/>
        <w:jc w:val="both"/>
        <w:rPr>
          <w:noProof/>
          <w:sz w:val="24"/>
          <w:szCs w:val="24"/>
        </w:rPr>
      </w:pPr>
      <w:r w:rsidRPr="00F35F4D">
        <w:rPr>
          <w:noProof/>
          <w:sz w:val="24"/>
        </w:rPr>
        <w:t>pasākumi, kas saistīti ar emisijas avotiem ārpus lauksaimnieciskās darbības un stacionāriem avotiem.</w:t>
      </w:r>
    </w:p>
    <w:p w14:paraId="14A81DFD" w14:textId="4170E0C8" w:rsidR="008E3F72" w:rsidRPr="00F35F4D" w:rsidRDefault="008E3F72" w:rsidP="00EB4539">
      <w:pPr>
        <w:pStyle w:val="BodyText"/>
        <w:widowControl/>
        <w:numPr>
          <w:ilvl w:val="0"/>
          <w:numId w:val="16"/>
        </w:numPr>
        <w:kinsoku w:val="0"/>
        <w:overflowPunct w:val="0"/>
        <w:spacing w:before="0"/>
        <w:ind w:left="0" w:firstLine="0"/>
        <w:jc w:val="both"/>
        <w:rPr>
          <w:noProof/>
          <w:sz w:val="24"/>
          <w:szCs w:val="24"/>
        </w:rPr>
      </w:pPr>
      <w:r w:rsidRPr="00F35F4D">
        <w:rPr>
          <w:b/>
        </w:rPr>
        <w:t>Slāpekļa apsaimniekošana</w:t>
      </w:r>
      <w:r w:rsidRPr="00F35F4D">
        <w:t xml:space="preserve"> ir pasākumu komplekss N zudumu samazināšanai.</w:t>
      </w:r>
      <w:r w:rsidRPr="00F35F4D">
        <w:rPr>
          <w:noProof/>
          <w:sz w:val="24"/>
        </w:rPr>
        <w:t xml:space="preserve"> Slāpekļa apsaimniekošanas pamata pieņēmums ir tāds, ka, samazinot slāpekļa pārpalikumu (Npārpalikumu) un palielinot N izmantošanas efektivitāti (NIE), var veicināt NH3 emisijas samazināšanos. Jauktās lopkopības saimniecībās 10–40 % no slāpekļa pārpalikuma ir saistīti ar NH3 emisiju. Vēl viens slāpekļa apsaimniekošanas mērķis ir noteikt un novērst situācijas, kad vienu piesārņojuma veidu aizstāj cits veids saistībā ar dažādiem slāpekļa savienojumiem un vides objektiem. Ienākošā un izejošā slāpekļa daudzuma bilances sastādīšana saimniecības līmenī ir priekšnoteikums kompleksai N a</w:t>
      </w:r>
      <w:r w:rsidR="00943494">
        <w:rPr>
          <w:noProof/>
          <w:sz w:val="24"/>
        </w:rPr>
        <w:t>psaimniekošanai</w:t>
      </w:r>
      <w:r w:rsidRPr="00F35F4D">
        <w:rPr>
          <w:noProof/>
          <w:sz w:val="24"/>
        </w:rPr>
        <w:t>.</w:t>
      </w:r>
    </w:p>
    <w:p w14:paraId="10933377" w14:textId="278F052F"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N bilances sastādīšanas izmaksas saimniecībā ir aptuveni no 200 līdz 500 € gadā. (Saimniecības bilance ir aprēķins par visu ienākošo N daudzumu, ko rada barība, mēslošanas līdzekļi utt., un visu ar produktiem izejošo N daudzumu.) Jāievēro, ka šajā summā nav iekļautas izmaksas, kas saistītas ar izglītību, veicināšanu un pasākumu uzsākšanu. Izmaksas par NIE</w:t>
      </w:r>
      <w:r w:rsidR="00943494">
        <w:rPr>
          <w:noProof/>
          <w:sz w:val="24"/>
        </w:rPr>
        <w:t xml:space="preserve"> paaugstināšanos labākas apsaimniekošanas</w:t>
      </w:r>
      <w:r w:rsidRPr="00F35F4D">
        <w:rPr>
          <w:noProof/>
          <w:sz w:val="24"/>
        </w:rPr>
        <w:t xml:space="preserve"> rezultātā ir aptuveni no -1,0 līdz 1,0 € par ietaupīto N kilogramu. Potenciālais ietaupījums ir saistīts ar mazākām izmaksām par mēslošanas līdzekļiem un labāku ražas kvalitāti. Potenciālās izmaksas ir saistītas ar lielākām izmaksām par konsultatīvajiem pakalpojumiem un augsnes, ražas, barības un kūtsmēslu analīzēm. Ekonomiskās izmaksas par potenciālo ieguldījumu tehnoloģiskajos risinājumos šeit nav iekļautas, bet tās ir apsvērtas kopā ar citiem noteikumiem. ES1 tabulā ir norādīti NIE un Npārpalikuma orientējošie diapazoni ienākošā un izejošā slāpekļa daudzuma bilancē dažādās saimniekošanas sistēmās. Šie diapazoni ir tikai aptuveni; tos var precizēt, ņemot vērā saimniecības un valsts specifiku. Rūpējoties par NIE,</w:t>
      </w:r>
      <w:r w:rsidR="00943494">
        <w:rPr>
          <w:noProof/>
          <w:sz w:val="24"/>
        </w:rPr>
        <w:t xml:space="preserve"> jāņem vērā kopējā </w:t>
      </w:r>
      <w:r w:rsidR="00943494">
        <w:rPr>
          <w:noProof/>
          <w:sz w:val="24"/>
        </w:rPr>
        <w:lastRenderedPageBreak/>
        <w:t>barības elementu</w:t>
      </w:r>
      <w:r w:rsidRPr="00F35F4D">
        <w:rPr>
          <w:noProof/>
          <w:sz w:val="24"/>
        </w:rPr>
        <w:t xml:space="preserve"> izmantošanas efektivitāte un </w:t>
      </w:r>
      <w:r w:rsidR="00943494">
        <w:rPr>
          <w:noProof/>
          <w:sz w:val="24"/>
        </w:rPr>
        <w:t>citi faktori, piemēram, kaitīgo organismu apkarošana</w:t>
      </w:r>
      <w:r w:rsidRPr="00F35F4D">
        <w:rPr>
          <w:noProof/>
          <w:sz w:val="24"/>
        </w:rPr>
        <w:t>.</w:t>
      </w:r>
    </w:p>
    <w:p w14:paraId="7A2A0F11" w14:textId="77777777" w:rsidR="008E3F72" w:rsidRPr="00F35F4D" w:rsidRDefault="008E3F72" w:rsidP="008E3F72">
      <w:pPr>
        <w:pStyle w:val="BodyText"/>
        <w:widowControl/>
        <w:kinsoku w:val="0"/>
        <w:overflowPunct w:val="0"/>
        <w:spacing w:before="0"/>
        <w:ind w:left="0"/>
        <w:jc w:val="both"/>
        <w:rPr>
          <w:b/>
          <w:noProof/>
          <w:color w:val="0D0D0D"/>
          <w:sz w:val="24"/>
          <w:szCs w:val="24"/>
        </w:rPr>
      </w:pPr>
      <w:r w:rsidRPr="00F35F4D">
        <w:br w:type="page"/>
      </w:r>
      <w:r w:rsidRPr="00F35F4D">
        <w:rPr>
          <w:b/>
          <w:noProof/>
          <w:color w:val="0D0D0D"/>
          <w:sz w:val="24"/>
        </w:rPr>
        <w:lastRenderedPageBreak/>
        <w:t>ES1 tabula</w:t>
      </w:r>
    </w:p>
    <w:p w14:paraId="3A90F587"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Slāpekļa pārpalikuma (Npārpalikuma) un slāpekļa izmantošanas efektivitātes (NIE) mērķvērtību orientējošie diapazoni atkarībā no saimniekošanas sistēmas, lauksaimniecības augu sugām un dzīvnieku kategorijām</w:t>
      </w:r>
    </w:p>
    <w:p w14:paraId="6627FEF4"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1600"/>
        <w:gridCol w:w="1649"/>
        <w:gridCol w:w="753"/>
        <w:gridCol w:w="1134"/>
        <w:gridCol w:w="3090"/>
      </w:tblGrid>
      <w:tr w:rsidR="008E3F72" w:rsidRPr="00F35F4D" w14:paraId="00A966A8" w14:textId="77777777" w:rsidTr="0010018A">
        <w:tc>
          <w:tcPr>
            <w:tcW w:w="916" w:type="pct"/>
            <w:tcBorders>
              <w:top w:val="single" w:sz="4" w:space="0" w:color="000000"/>
              <w:left w:val="nil"/>
              <w:bottom w:val="single" w:sz="12" w:space="0" w:color="000000"/>
              <w:right w:val="nil"/>
            </w:tcBorders>
          </w:tcPr>
          <w:p w14:paraId="276CB859" w14:textId="77777777" w:rsidR="008E3F72" w:rsidRPr="00F35F4D" w:rsidRDefault="008E3F72" w:rsidP="0010018A">
            <w:pPr>
              <w:pStyle w:val="TableParagraph"/>
              <w:widowControl/>
              <w:kinsoku w:val="0"/>
              <w:overflowPunct w:val="0"/>
              <w:jc w:val="both"/>
              <w:rPr>
                <w:b/>
                <w:bCs/>
                <w:noProof/>
                <w:sz w:val="20"/>
                <w:szCs w:val="20"/>
              </w:rPr>
            </w:pPr>
          </w:p>
          <w:p w14:paraId="10E902C8" w14:textId="77777777" w:rsidR="008E3F72" w:rsidRPr="00F35F4D" w:rsidRDefault="008E3F72" w:rsidP="0010018A">
            <w:pPr>
              <w:pStyle w:val="TableParagraph"/>
              <w:widowControl/>
              <w:kinsoku w:val="0"/>
              <w:overflowPunct w:val="0"/>
              <w:jc w:val="both"/>
              <w:rPr>
                <w:i/>
                <w:iCs/>
                <w:noProof/>
                <w:sz w:val="20"/>
                <w:szCs w:val="20"/>
              </w:rPr>
            </w:pPr>
            <w:r w:rsidRPr="00F35F4D">
              <w:rPr>
                <w:i/>
                <w:noProof/>
                <w:sz w:val="20"/>
                <w:szCs w:val="20"/>
              </w:rPr>
              <w:t>Saimniekošanas sistēmas</w:t>
            </w:r>
          </w:p>
        </w:tc>
        <w:tc>
          <w:tcPr>
            <w:tcW w:w="1039" w:type="pct"/>
            <w:tcBorders>
              <w:top w:val="single" w:sz="4" w:space="0" w:color="000000"/>
              <w:left w:val="nil"/>
              <w:bottom w:val="single" w:sz="12" w:space="0" w:color="000000"/>
              <w:right w:val="nil"/>
            </w:tcBorders>
          </w:tcPr>
          <w:p w14:paraId="561C5AF7" w14:textId="77777777" w:rsidR="008E3F72" w:rsidRPr="00F35F4D" w:rsidRDefault="008E3F72" w:rsidP="0010018A">
            <w:pPr>
              <w:pStyle w:val="TableParagraph"/>
              <w:widowControl/>
              <w:kinsoku w:val="0"/>
              <w:overflowPunct w:val="0"/>
              <w:jc w:val="both"/>
              <w:rPr>
                <w:b/>
                <w:bCs/>
                <w:noProof/>
                <w:sz w:val="20"/>
                <w:szCs w:val="20"/>
              </w:rPr>
            </w:pPr>
          </w:p>
          <w:p w14:paraId="18DAAB4C" w14:textId="77777777" w:rsidR="008E3F72" w:rsidRPr="00F35F4D" w:rsidRDefault="008E3F72" w:rsidP="0010018A">
            <w:pPr>
              <w:pStyle w:val="TableParagraph"/>
              <w:widowControl/>
              <w:kinsoku w:val="0"/>
              <w:overflowPunct w:val="0"/>
              <w:jc w:val="both"/>
              <w:rPr>
                <w:i/>
                <w:iCs/>
                <w:noProof/>
                <w:sz w:val="20"/>
                <w:szCs w:val="20"/>
              </w:rPr>
            </w:pPr>
            <w:r w:rsidRPr="00F35F4D">
              <w:rPr>
                <w:i/>
                <w:noProof/>
                <w:sz w:val="20"/>
                <w:szCs w:val="20"/>
              </w:rPr>
              <w:t>Sugas/kategorijas</w:t>
            </w:r>
          </w:p>
        </w:tc>
        <w:tc>
          <w:tcPr>
            <w:tcW w:w="494" w:type="pct"/>
            <w:tcBorders>
              <w:top w:val="single" w:sz="4" w:space="0" w:color="000000"/>
              <w:left w:val="nil"/>
              <w:bottom w:val="single" w:sz="12" w:space="0" w:color="000000"/>
              <w:right w:val="nil"/>
            </w:tcBorders>
          </w:tcPr>
          <w:p w14:paraId="17EA35DD" w14:textId="77777777" w:rsidR="008E3F72" w:rsidRPr="00F35F4D" w:rsidRDefault="008E3F72" w:rsidP="0010018A">
            <w:pPr>
              <w:pStyle w:val="TableParagraph"/>
              <w:widowControl/>
              <w:kinsoku w:val="0"/>
              <w:overflowPunct w:val="0"/>
              <w:jc w:val="both"/>
              <w:rPr>
                <w:i/>
                <w:iCs/>
                <w:noProof/>
                <w:sz w:val="20"/>
                <w:szCs w:val="20"/>
              </w:rPr>
            </w:pPr>
            <w:r w:rsidRPr="00F35F4D">
              <w:rPr>
                <w:i/>
                <w:noProof/>
                <w:sz w:val="20"/>
                <w:szCs w:val="20"/>
              </w:rPr>
              <w:t>NIE</w:t>
            </w:r>
          </w:p>
          <w:p w14:paraId="0F211C0E" w14:textId="77777777" w:rsidR="008E3F72" w:rsidRPr="00F35F4D" w:rsidRDefault="008E3F72" w:rsidP="0010018A">
            <w:pPr>
              <w:pStyle w:val="TableParagraph"/>
              <w:widowControl/>
              <w:kinsoku w:val="0"/>
              <w:overflowPunct w:val="0"/>
              <w:jc w:val="both"/>
              <w:rPr>
                <w:i/>
                <w:iCs/>
                <w:noProof/>
                <w:sz w:val="20"/>
                <w:szCs w:val="20"/>
              </w:rPr>
            </w:pPr>
            <w:r w:rsidRPr="00F35F4D">
              <w:rPr>
                <w:i/>
                <w:noProof/>
                <w:sz w:val="20"/>
                <w:szCs w:val="20"/>
              </w:rPr>
              <w:t>(kg/kg)</w:t>
            </w:r>
          </w:p>
        </w:tc>
        <w:tc>
          <w:tcPr>
            <w:tcW w:w="637" w:type="pct"/>
            <w:tcBorders>
              <w:top w:val="single" w:sz="4" w:space="0" w:color="000000"/>
              <w:left w:val="nil"/>
              <w:bottom w:val="single" w:sz="12" w:space="0" w:color="000000"/>
              <w:right w:val="nil"/>
            </w:tcBorders>
          </w:tcPr>
          <w:p w14:paraId="043E047B" w14:textId="77777777" w:rsidR="008E3F72" w:rsidRPr="00F35F4D" w:rsidRDefault="008E3F72" w:rsidP="0010018A">
            <w:pPr>
              <w:pStyle w:val="TableParagraph"/>
              <w:widowControl/>
              <w:kinsoku w:val="0"/>
              <w:overflowPunct w:val="0"/>
              <w:jc w:val="both"/>
              <w:rPr>
                <w:i/>
                <w:iCs/>
                <w:noProof/>
                <w:sz w:val="20"/>
                <w:szCs w:val="20"/>
              </w:rPr>
            </w:pPr>
            <w:r w:rsidRPr="00F35F4D">
              <w:rPr>
                <w:i/>
                <w:noProof/>
                <w:sz w:val="20"/>
                <w:szCs w:val="20"/>
              </w:rPr>
              <w:t>Npārpalikums (kg/ha gadā)</w:t>
            </w:r>
          </w:p>
        </w:tc>
        <w:tc>
          <w:tcPr>
            <w:tcW w:w="1915" w:type="pct"/>
            <w:tcBorders>
              <w:top w:val="single" w:sz="4" w:space="0" w:color="000000"/>
              <w:left w:val="nil"/>
              <w:bottom w:val="single" w:sz="12" w:space="0" w:color="000000"/>
              <w:right w:val="nil"/>
            </w:tcBorders>
          </w:tcPr>
          <w:p w14:paraId="5A3E896C" w14:textId="77777777" w:rsidR="008E3F72" w:rsidRPr="00F35F4D" w:rsidRDefault="008E3F72" w:rsidP="0010018A">
            <w:pPr>
              <w:pStyle w:val="TableParagraph"/>
              <w:widowControl/>
              <w:kinsoku w:val="0"/>
              <w:overflowPunct w:val="0"/>
              <w:jc w:val="both"/>
              <w:rPr>
                <w:b/>
                <w:bCs/>
                <w:noProof/>
                <w:sz w:val="20"/>
                <w:szCs w:val="20"/>
              </w:rPr>
            </w:pPr>
          </w:p>
          <w:p w14:paraId="2C2ACA8E" w14:textId="77777777" w:rsidR="008E3F72" w:rsidRPr="00F35F4D" w:rsidRDefault="008E3F72" w:rsidP="0010018A">
            <w:pPr>
              <w:pStyle w:val="TableParagraph"/>
              <w:widowControl/>
              <w:kinsoku w:val="0"/>
              <w:overflowPunct w:val="0"/>
              <w:jc w:val="both"/>
              <w:rPr>
                <w:i/>
                <w:iCs/>
                <w:noProof/>
                <w:sz w:val="20"/>
                <w:szCs w:val="20"/>
              </w:rPr>
            </w:pPr>
            <w:r w:rsidRPr="00F35F4D">
              <w:rPr>
                <w:i/>
                <w:noProof/>
                <w:sz w:val="20"/>
                <w:szCs w:val="20"/>
              </w:rPr>
              <w:t>Piezīmes</w:t>
            </w:r>
          </w:p>
        </w:tc>
      </w:tr>
      <w:tr w:rsidR="008E3F72" w:rsidRPr="00F35F4D" w14:paraId="5B809223" w14:textId="77777777" w:rsidTr="0010018A">
        <w:tc>
          <w:tcPr>
            <w:tcW w:w="916" w:type="pct"/>
            <w:tcBorders>
              <w:top w:val="single" w:sz="12" w:space="0" w:color="000000"/>
              <w:left w:val="nil"/>
              <w:bottom w:val="nil"/>
              <w:right w:val="nil"/>
            </w:tcBorders>
          </w:tcPr>
          <w:p w14:paraId="7DD3EFED" w14:textId="77777777" w:rsidR="008E3F72" w:rsidRPr="00F35F4D" w:rsidRDefault="008E3F72" w:rsidP="0010018A">
            <w:pPr>
              <w:pStyle w:val="TableParagraph"/>
              <w:widowControl/>
              <w:kinsoku w:val="0"/>
              <w:overflowPunct w:val="0"/>
              <w:jc w:val="both"/>
              <w:rPr>
                <w:b/>
                <w:bCs/>
                <w:noProof/>
                <w:sz w:val="20"/>
                <w:szCs w:val="20"/>
              </w:rPr>
            </w:pPr>
          </w:p>
          <w:p w14:paraId="46A86071"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Specializētas augkopības sistēmas</w:t>
            </w:r>
          </w:p>
        </w:tc>
        <w:tc>
          <w:tcPr>
            <w:tcW w:w="1039" w:type="pct"/>
            <w:tcBorders>
              <w:top w:val="single" w:sz="12" w:space="0" w:color="000000"/>
              <w:left w:val="nil"/>
              <w:bottom w:val="nil"/>
              <w:right w:val="nil"/>
            </w:tcBorders>
          </w:tcPr>
          <w:p w14:paraId="4488B27B" w14:textId="77777777" w:rsidR="008E3F72" w:rsidRPr="00F35F4D" w:rsidRDefault="008E3F72" w:rsidP="0010018A">
            <w:pPr>
              <w:pStyle w:val="TableParagraph"/>
              <w:widowControl/>
              <w:kinsoku w:val="0"/>
              <w:overflowPunct w:val="0"/>
              <w:jc w:val="both"/>
              <w:rPr>
                <w:b/>
                <w:bCs/>
                <w:noProof/>
                <w:sz w:val="20"/>
                <w:szCs w:val="20"/>
              </w:rPr>
            </w:pPr>
          </w:p>
          <w:p w14:paraId="4B33F3F2"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Laukaugi</w:t>
            </w:r>
          </w:p>
        </w:tc>
        <w:tc>
          <w:tcPr>
            <w:tcW w:w="494" w:type="pct"/>
            <w:tcBorders>
              <w:top w:val="single" w:sz="12" w:space="0" w:color="000000"/>
              <w:left w:val="nil"/>
              <w:bottom w:val="nil"/>
              <w:right w:val="nil"/>
            </w:tcBorders>
          </w:tcPr>
          <w:p w14:paraId="23226DE5" w14:textId="77777777" w:rsidR="008E3F72" w:rsidRPr="00F35F4D" w:rsidRDefault="008E3F72" w:rsidP="0010018A">
            <w:pPr>
              <w:pStyle w:val="TableParagraph"/>
              <w:widowControl/>
              <w:kinsoku w:val="0"/>
              <w:overflowPunct w:val="0"/>
              <w:jc w:val="both"/>
              <w:rPr>
                <w:b/>
                <w:bCs/>
                <w:noProof/>
                <w:sz w:val="20"/>
                <w:szCs w:val="20"/>
              </w:rPr>
            </w:pPr>
          </w:p>
          <w:p w14:paraId="7ADEC201"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0,6–0,9</w:t>
            </w:r>
          </w:p>
        </w:tc>
        <w:tc>
          <w:tcPr>
            <w:tcW w:w="637" w:type="pct"/>
            <w:tcBorders>
              <w:top w:val="single" w:sz="12" w:space="0" w:color="000000"/>
              <w:left w:val="nil"/>
              <w:bottom w:val="nil"/>
              <w:right w:val="nil"/>
            </w:tcBorders>
          </w:tcPr>
          <w:p w14:paraId="4EC59C12" w14:textId="77777777" w:rsidR="008E3F72" w:rsidRPr="00F35F4D" w:rsidRDefault="008E3F72" w:rsidP="0010018A">
            <w:pPr>
              <w:pStyle w:val="TableParagraph"/>
              <w:widowControl/>
              <w:kinsoku w:val="0"/>
              <w:overflowPunct w:val="0"/>
              <w:jc w:val="both"/>
              <w:rPr>
                <w:b/>
                <w:bCs/>
                <w:noProof/>
                <w:sz w:val="20"/>
                <w:szCs w:val="20"/>
              </w:rPr>
            </w:pPr>
          </w:p>
          <w:p w14:paraId="0E01342F"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0–50</w:t>
            </w:r>
          </w:p>
        </w:tc>
        <w:tc>
          <w:tcPr>
            <w:tcW w:w="1915" w:type="pct"/>
            <w:tcBorders>
              <w:top w:val="single" w:sz="12" w:space="0" w:color="000000"/>
              <w:left w:val="nil"/>
              <w:bottom w:val="nil"/>
              <w:right w:val="nil"/>
            </w:tcBorders>
          </w:tcPr>
          <w:p w14:paraId="5F3BBA27" w14:textId="77777777" w:rsidR="008E3F72" w:rsidRPr="00F35F4D" w:rsidRDefault="008E3F72" w:rsidP="0010018A">
            <w:pPr>
              <w:pStyle w:val="TableParagraph"/>
              <w:widowControl/>
              <w:kinsoku w:val="0"/>
              <w:overflowPunct w:val="0"/>
              <w:jc w:val="both"/>
              <w:rPr>
                <w:b/>
                <w:bCs/>
                <w:noProof/>
                <w:sz w:val="20"/>
                <w:szCs w:val="20"/>
              </w:rPr>
            </w:pPr>
          </w:p>
          <w:p w14:paraId="11614429"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Graudaugiem raksturīga augsta NIE, sakņaugiem – zema NIE</w:t>
            </w:r>
          </w:p>
        </w:tc>
      </w:tr>
      <w:tr w:rsidR="008E3F72" w:rsidRPr="00F35F4D" w14:paraId="3A9F59D3" w14:textId="77777777" w:rsidTr="0010018A">
        <w:tc>
          <w:tcPr>
            <w:tcW w:w="916" w:type="pct"/>
            <w:tcBorders>
              <w:top w:val="nil"/>
              <w:left w:val="nil"/>
              <w:bottom w:val="nil"/>
              <w:right w:val="nil"/>
            </w:tcBorders>
          </w:tcPr>
          <w:p w14:paraId="6E734039" w14:textId="77777777" w:rsidR="008E3F72" w:rsidRPr="00F35F4D" w:rsidRDefault="008E3F72" w:rsidP="0010018A">
            <w:pPr>
              <w:widowControl/>
              <w:jc w:val="both"/>
              <w:rPr>
                <w:noProof/>
                <w:sz w:val="20"/>
                <w:szCs w:val="20"/>
              </w:rPr>
            </w:pPr>
          </w:p>
        </w:tc>
        <w:tc>
          <w:tcPr>
            <w:tcW w:w="1039" w:type="pct"/>
            <w:tcBorders>
              <w:top w:val="nil"/>
              <w:left w:val="nil"/>
              <w:bottom w:val="nil"/>
              <w:right w:val="nil"/>
            </w:tcBorders>
          </w:tcPr>
          <w:p w14:paraId="5673C00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Dārzeņi</w:t>
            </w:r>
          </w:p>
        </w:tc>
        <w:tc>
          <w:tcPr>
            <w:tcW w:w="494" w:type="pct"/>
            <w:tcBorders>
              <w:top w:val="nil"/>
              <w:left w:val="nil"/>
              <w:bottom w:val="nil"/>
              <w:right w:val="nil"/>
            </w:tcBorders>
          </w:tcPr>
          <w:p w14:paraId="319B5138"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0,4–0,8</w:t>
            </w:r>
          </w:p>
        </w:tc>
        <w:tc>
          <w:tcPr>
            <w:tcW w:w="637" w:type="pct"/>
            <w:tcBorders>
              <w:top w:val="nil"/>
              <w:left w:val="nil"/>
              <w:bottom w:val="nil"/>
              <w:right w:val="nil"/>
            </w:tcBorders>
          </w:tcPr>
          <w:p w14:paraId="2E87A869"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50–100</w:t>
            </w:r>
          </w:p>
        </w:tc>
        <w:tc>
          <w:tcPr>
            <w:tcW w:w="1915" w:type="pct"/>
            <w:tcBorders>
              <w:top w:val="nil"/>
              <w:left w:val="nil"/>
              <w:bottom w:val="nil"/>
              <w:right w:val="nil"/>
            </w:tcBorders>
          </w:tcPr>
          <w:p w14:paraId="2554A088"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Lapu dārzeņiem ir zema NIE</w:t>
            </w:r>
          </w:p>
        </w:tc>
      </w:tr>
      <w:tr w:rsidR="008E3F72" w:rsidRPr="00F35F4D" w14:paraId="58B6DE76" w14:textId="77777777" w:rsidTr="0010018A">
        <w:tc>
          <w:tcPr>
            <w:tcW w:w="916" w:type="pct"/>
            <w:tcBorders>
              <w:top w:val="nil"/>
              <w:left w:val="nil"/>
              <w:bottom w:val="nil"/>
              <w:right w:val="nil"/>
            </w:tcBorders>
          </w:tcPr>
          <w:p w14:paraId="0E45B405" w14:textId="77777777" w:rsidR="008E3F72" w:rsidRPr="00F35F4D" w:rsidRDefault="008E3F72" w:rsidP="0010018A">
            <w:pPr>
              <w:widowControl/>
              <w:jc w:val="both"/>
              <w:rPr>
                <w:noProof/>
                <w:sz w:val="20"/>
                <w:szCs w:val="20"/>
              </w:rPr>
            </w:pPr>
          </w:p>
        </w:tc>
        <w:tc>
          <w:tcPr>
            <w:tcW w:w="1039" w:type="pct"/>
            <w:tcBorders>
              <w:top w:val="nil"/>
              <w:left w:val="nil"/>
              <w:bottom w:val="nil"/>
              <w:right w:val="nil"/>
            </w:tcBorders>
          </w:tcPr>
          <w:p w14:paraId="2317D86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Augļi</w:t>
            </w:r>
          </w:p>
        </w:tc>
        <w:tc>
          <w:tcPr>
            <w:tcW w:w="494" w:type="pct"/>
            <w:tcBorders>
              <w:top w:val="nil"/>
              <w:left w:val="nil"/>
              <w:bottom w:val="nil"/>
              <w:right w:val="nil"/>
            </w:tcBorders>
          </w:tcPr>
          <w:p w14:paraId="64D647FA"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0,6–0,9</w:t>
            </w:r>
          </w:p>
        </w:tc>
        <w:tc>
          <w:tcPr>
            <w:tcW w:w="637" w:type="pct"/>
            <w:tcBorders>
              <w:top w:val="nil"/>
              <w:left w:val="nil"/>
              <w:bottom w:val="nil"/>
              <w:right w:val="nil"/>
            </w:tcBorders>
          </w:tcPr>
          <w:p w14:paraId="0B942A20"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0–50</w:t>
            </w:r>
          </w:p>
        </w:tc>
        <w:tc>
          <w:tcPr>
            <w:tcW w:w="1915" w:type="pct"/>
            <w:tcBorders>
              <w:top w:val="nil"/>
              <w:left w:val="nil"/>
              <w:bottom w:val="nil"/>
              <w:right w:val="nil"/>
            </w:tcBorders>
          </w:tcPr>
          <w:p w14:paraId="4E20BB1B" w14:textId="77777777" w:rsidR="008E3F72" w:rsidRPr="00F35F4D" w:rsidRDefault="008E3F72" w:rsidP="0010018A">
            <w:pPr>
              <w:widowControl/>
              <w:jc w:val="both"/>
              <w:rPr>
                <w:noProof/>
                <w:sz w:val="20"/>
                <w:szCs w:val="20"/>
              </w:rPr>
            </w:pPr>
          </w:p>
        </w:tc>
      </w:tr>
      <w:tr w:rsidR="008E3F72" w:rsidRPr="00F35F4D" w14:paraId="205100C4" w14:textId="77777777" w:rsidTr="0010018A">
        <w:tc>
          <w:tcPr>
            <w:tcW w:w="916" w:type="pct"/>
            <w:tcBorders>
              <w:top w:val="nil"/>
              <w:left w:val="nil"/>
              <w:bottom w:val="nil"/>
              <w:right w:val="nil"/>
            </w:tcBorders>
          </w:tcPr>
          <w:p w14:paraId="7A814508"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Ganībās turēti atgremotājdzīvnieki</w:t>
            </w:r>
          </w:p>
        </w:tc>
        <w:tc>
          <w:tcPr>
            <w:tcW w:w="1039" w:type="pct"/>
            <w:tcBorders>
              <w:top w:val="nil"/>
              <w:left w:val="nil"/>
              <w:bottom w:val="nil"/>
              <w:right w:val="nil"/>
            </w:tcBorders>
          </w:tcPr>
          <w:p w14:paraId="4C4240E3" w14:textId="5A822BC5"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Piena </w:t>
            </w:r>
            <w:r w:rsidR="00943494">
              <w:rPr>
                <w:sz w:val="20"/>
                <w:szCs w:val="20"/>
              </w:rPr>
              <w:t>liel</w:t>
            </w:r>
            <w:r w:rsidRPr="00F35F4D">
              <w:rPr>
                <w:sz w:val="20"/>
                <w:szCs w:val="20"/>
              </w:rPr>
              <w:t>lopi</w:t>
            </w:r>
          </w:p>
        </w:tc>
        <w:tc>
          <w:tcPr>
            <w:tcW w:w="494" w:type="pct"/>
            <w:tcBorders>
              <w:top w:val="nil"/>
              <w:left w:val="nil"/>
              <w:bottom w:val="nil"/>
              <w:right w:val="nil"/>
            </w:tcBorders>
          </w:tcPr>
          <w:p w14:paraId="24C01D68"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0,3–0,5</w:t>
            </w:r>
          </w:p>
        </w:tc>
        <w:tc>
          <w:tcPr>
            <w:tcW w:w="637" w:type="pct"/>
            <w:tcBorders>
              <w:top w:val="nil"/>
              <w:left w:val="nil"/>
              <w:bottom w:val="nil"/>
              <w:right w:val="nil"/>
            </w:tcBorders>
          </w:tcPr>
          <w:p w14:paraId="7934E98E"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100–150</w:t>
            </w:r>
          </w:p>
        </w:tc>
        <w:tc>
          <w:tcPr>
            <w:tcW w:w="1915" w:type="pct"/>
            <w:tcBorders>
              <w:top w:val="nil"/>
              <w:left w:val="nil"/>
              <w:bottom w:val="nil"/>
              <w:right w:val="nil"/>
            </w:tcBorders>
          </w:tcPr>
          <w:p w14:paraId="7DF0F76D"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Augsti izslaukumi, augsta NIE; mazs dzīvnieku izmitināšanas blīvums, zems Npārpalikums</w:t>
            </w:r>
          </w:p>
        </w:tc>
      </w:tr>
      <w:tr w:rsidR="008E3F72" w:rsidRPr="00F35F4D" w14:paraId="2CF89DDC" w14:textId="77777777" w:rsidTr="0010018A">
        <w:tc>
          <w:tcPr>
            <w:tcW w:w="916" w:type="pct"/>
            <w:tcBorders>
              <w:top w:val="nil"/>
              <w:left w:val="nil"/>
              <w:bottom w:val="nil"/>
              <w:right w:val="nil"/>
            </w:tcBorders>
          </w:tcPr>
          <w:p w14:paraId="5E9735E5" w14:textId="77777777" w:rsidR="008E3F72" w:rsidRPr="00F35F4D" w:rsidRDefault="008E3F72" w:rsidP="0010018A">
            <w:pPr>
              <w:widowControl/>
              <w:jc w:val="both"/>
              <w:rPr>
                <w:noProof/>
                <w:sz w:val="20"/>
                <w:szCs w:val="20"/>
              </w:rPr>
            </w:pPr>
          </w:p>
        </w:tc>
        <w:tc>
          <w:tcPr>
            <w:tcW w:w="1039" w:type="pct"/>
            <w:tcBorders>
              <w:top w:val="nil"/>
              <w:left w:val="nil"/>
              <w:bottom w:val="nil"/>
              <w:right w:val="nil"/>
            </w:tcBorders>
          </w:tcPr>
          <w:p w14:paraId="69FB7219" w14:textId="4ED61675"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Gaļas </w:t>
            </w:r>
            <w:r w:rsidR="00943494">
              <w:rPr>
                <w:sz w:val="20"/>
                <w:szCs w:val="20"/>
              </w:rPr>
              <w:t>liel</w:t>
            </w:r>
            <w:r w:rsidRPr="00F35F4D">
              <w:rPr>
                <w:sz w:val="20"/>
                <w:szCs w:val="20"/>
              </w:rPr>
              <w:t>lopi</w:t>
            </w:r>
          </w:p>
        </w:tc>
        <w:tc>
          <w:tcPr>
            <w:tcW w:w="494" w:type="pct"/>
            <w:tcBorders>
              <w:top w:val="nil"/>
              <w:left w:val="nil"/>
              <w:bottom w:val="nil"/>
              <w:right w:val="nil"/>
            </w:tcBorders>
          </w:tcPr>
          <w:p w14:paraId="6E55161A"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0,2–0,4</w:t>
            </w:r>
          </w:p>
        </w:tc>
        <w:tc>
          <w:tcPr>
            <w:tcW w:w="637" w:type="pct"/>
            <w:tcBorders>
              <w:top w:val="nil"/>
              <w:left w:val="nil"/>
              <w:bottom w:val="nil"/>
              <w:right w:val="nil"/>
            </w:tcBorders>
          </w:tcPr>
          <w:p w14:paraId="513DC84C"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50–150</w:t>
            </w:r>
          </w:p>
        </w:tc>
        <w:tc>
          <w:tcPr>
            <w:tcW w:w="1915" w:type="pct"/>
            <w:tcBorders>
              <w:top w:val="nil"/>
              <w:left w:val="nil"/>
              <w:bottom w:val="nil"/>
              <w:right w:val="nil"/>
            </w:tcBorders>
          </w:tcPr>
          <w:p w14:paraId="4A39F854" w14:textId="5147A094"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Teļa gaļas ražošana, augsta NIE; 2 gadus veci gaļas </w:t>
            </w:r>
            <w:r w:rsidR="00943494">
              <w:rPr>
                <w:sz w:val="20"/>
                <w:szCs w:val="20"/>
              </w:rPr>
              <w:t>liel</w:t>
            </w:r>
            <w:r w:rsidRPr="00F35F4D">
              <w:rPr>
                <w:sz w:val="20"/>
                <w:szCs w:val="20"/>
              </w:rPr>
              <w:t>lopi, zema NIE</w:t>
            </w:r>
          </w:p>
        </w:tc>
      </w:tr>
      <w:tr w:rsidR="008E3F72" w:rsidRPr="00F35F4D" w14:paraId="566CB576" w14:textId="77777777" w:rsidTr="0010018A">
        <w:tc>
          <w:tcPr>
            <w:tcW w:w="916" w:type="pct"/>
            <w:tcBorders>
              <w:top w:val="nil"/>
              <w:left w:val="nil"/>
              <w:bottom w:val="nil"/>
              <w:right w:val="nil"/>
            </w:tcBorders>
          </w:tcPr>
          <w:p w14:paraId="58CCD79D" w14:textId="77777777" w:rsidR="008E3F72" w:rsidRPr="00F35F4D" w:rsidRDefault="008E3F72" w:rsidP="0010018A">
            <w:pPr>
              <w:widowControl/>
              <w:jc w:val="both"/>
              <w:rPr>
                <w:noProof/>
                <w:sz w:val="20"/>
                <w:szCs w:val="20"/>
              </w:rPr>
            </w:pPr>
          </w:p>
        </w:tc>
        <w:tc>
          <w:tcPr>
            <w:tcW w:w="1039" w:type="pct"/>
            <w:tcBorders>
              <w:top w:val="nil"/>
              <w:left w:val="nil"/>
              <w:bottom w:val="nil"/>
              <w:right w:val="nil"/>
            </w:tcBorders>
          </w:tcPr>
          <w:p w14:paraId="457881F2"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Aitas un kazas</w:t>
            </w:r>
          </w:p>
        </w:tc>
        <w:tc>
          <w:tcPr>
            <w:tcW w:w="494" w:type="pct"/>
            <w:tcBorders>
              <w:top w:val="nil"/>
              <w:left w:val="nil"/>
              <w:bottom w:val="nil"/>
              <w:right w:val="nil"/>
            </w:tcBorders>
          </w:tcPr>
          <w:p w14:paraId="3B1DE792"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0,2–0,3</w:t>
            </w:r>
          </w:p>
        </w:tc>
        <w:tc>
          <w:tcPr>
            <w:tcW w:w="637" w:type="pct"/>
            <w:tcBorders>
              <w:top w:val="nil"/>
              <w:left w:val="nil"/>
              <w:bottom w:val="nil"/>
              <w:right w:val="nil"/>
            </w:tcBorders>
          </w:tcPr>
          <w:p w14:paraId="0549B0E5"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50–150</w:t>
            </w:r>
          </w:p>
        </w:tc>
        <w:tc>
          <w:tcPr>
            <w:tcW w:w="1915" w:type="pct"/>
            <w:tcBorders>
              <w:top w:val="nil"/>
              <w:left w:val="nil"/>
              <w:bottom w:val="nil"/>
              <w:right w:val="nil"/>
            </w:tcBorders>
          </w:tcPr>
          <w:p w14:paraId="77140765" w14:textId="77777777" w:rsidR="008E3F72" w:rsidRPr="00F35F4D" w:rsidRDefault="008E3F72" w:rsidP="0010018A">
            <w:pPr>
              <w:widowControl/>
              <w:jc w:val="both"/>
              <w:rPr>
                <w:noProof/>
                <w:sz w:val="20"/>
                <w:szCs w:val="20"/>
              </w:rPr>
            </w:pPr>
          </w:p>
        </w:tc>
      </w:tr>
      <w:tr w:rsidR="008E3F72" w:rsidRPr="00F35F4D" w14:paraId="4CE2E335" w14:textId="77777777" w:rsidTr="0010018A">
        <w:tc>
          <w:tcPr>
            <w:tcW w:w="916" w:type="pct"/>
            <w:tcBorders>
              <w:top w:val="nil"/>
              <w:left w:val="nil"/>
              <w:bottom w:val="nil"/>
              <w:right w:val="nil"/>
            </w:tcBorders>
          </w:tcPr>
          <w:p w14:paraId="237A4ECE"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Jauktas augkopības – lopkopības sistēmas</w:t>
            </w:r>
          </w:p>
        </w:tc>
        <w:tc>
          <w:tcPr>
            <w:tcW w:w="1039" w:type="pct"/>
            <w:tcBorders>
              <w:top w:val="nil"/>
              <w:left w:val="nil"/>
              <w:bottom w:val="nil"/>
              <w:right w:val="nil"/>
            </w:tcBorders>
          </w:tcPr>
          <w:p w14:paraId="262DEDA2" w14:textId="34C6AD3A"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Piena </w:t>
            </w:r>
            <w:r w:rsidR="00943494">
              <w:rPr>
                <w:sz w:val="20"/>
                <w:szCs w:val="20"/>
              </w:rPr>
              <w:t>liel</w:t>
            </w:r>
            <w:r w:rsidRPr="00F35F4D">
              <w:rPr>
                <w:sz w:val="20"/>
                <w:szCs w:val="20"/>
              </w:rPr>
              <w:t>lopi</w:t>
            </w:r>
          </w:p>
        </w:tc>
        <w:tc>
          <w:tcPr>
            <w:tcW w:w="494" w:type="pct"/>
            <w:tcBorders>
              <w:top w:val="nil"/>
              <w:left w:val="nil"/>
              <w:bottom w:val="nil"/>
              <w:right w:val="nil"/>
            </w:tcBorders>
          </w:tcPr>
          <w:p w14:paraId="4B022D8D"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0,4–0,6</w:t>
            </w:r>
          </w:p>
        </w:tc>
        <w:tc>
          <w:tcPr>
            <w:tcW w:w="637" w:type="pct"/>
            <w:tcBorders>
              <w:top w:val="nil"/>
              <w:left w:val="nil"/>
              <w:bottom w:val="nil"/>
              <w:right w:val="nil"/>
            </w:tcBorders>
          </w:tcPr>
          <w:p w14:paraId="2D9A61ED"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50–150</w:t>
            </w:r>
          </w:p>
        </w:tc>
        <w:tc>
          <w:tcPr>
            <w:tcW w:w="1915" w:type="pct"/>
            <w:tcBorders>
              <w:top w:val="nil"/>
              <w:left w:val="nil"/>
              <w:bottom w:val="nil"/>
              <w:right w:val="nil"/>
            </w:tcBorders>
          </w:tcPr>
          <w:p w14:paraId="16AB8390"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Augsti izslaukumi, augsta NIE; barošana ar koncentrātiem, augsta NIE</w:t>
            </w:r>
          </w:p>
        </w:tc>
      </w:tr>
      <w:tr w:rsidR="008E3F72" w:rsidRPr="00F35F4D" w14:paraId="17BEF2D4" w14:textId="77777777" w:rsidTr="0010018A">
        <w:tc>
          <w:tcPr>
            <w:tcW w:w="916" w:type="pct"/>
            <w:tcBorders>
              <w:top w:val="nil"/>
              <w:left w:val="nil"/>
              <w:bottom w:val="nil"/>
              <w:right w:val="nil"/>
            </w:tcBorders>
          </w:tcPr>
          <w:p w14:paraId="3733556D" w14:textId="77777777" w:rsidR="008E3F72" w:rsidRPr="00F35F4D" w:rsidRDefault="008E3F72" w:rsidP="0010018A">
            <w:pPr>
              <w:widowControl/>
              <w:jc w:val="both"/>
              <w:rPr>
                <w:noProof/>
                <w:sz w:val="20"/>
                <w:szCs w:val="20"/>
              </w:rPr>
            </w:pPr>
          </w:p>
        </w:tc>
        <w:tc>
          <w:tcPr>
            <w:tcW w:w="1039" w:type="pct"/>
            <w:tcBorders>
              <w:top w:val="nil"/>
              <w:left w:val="nil"/>
              <w:bottom w:val="nil"/>
              <w:right w:val="nil"/>
            </w:tcBorders>
          </w:tcPr>
          <w:p w14:paraId="47610306" w14:textId="44F049AF"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Gaļas </w:t>
            </w:r>
            <w:r w:rsidR="00943494">
              <w:rPr>
                <w:sz w:val="20"/>
                <w:szCs w:val="20"/>
              </w:rPr>
              <w:t>liel</w:t>
            </w:r>
            <w:r w:rsidRPr="00F35F4D">
              <w:rPr>
                <w:sz w:val="20"/>
                <w:szCs w:val="20"/>
              </w:rPr>
              <w:t>lopi</w:t>
            </w:r>
          </w:p>
        </w:tc>
        <w:tc>
          <w:tcPr>
            <w:tcW w:w="494" w:type="pct"/>
            <w:tcBorders>
              <w:top w:val="nil"/>
              <w:left w:val="nil"/>
              <w:bottom w:val="nil"/>
              <w:right w:val="nil"/>
            </w:tcBorders>
          </w:tcPr>
          <w:p w14:paraId="6FBDE182"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0,3–0,5</w:t>
            </w:r>
          </w:p>
        </w:tc>
        <w:tc>
          <w:tcPr>
            <w:tcW w:w="637" w:type="pct"/>
            <w:tcBorders>
              <w:top w:val="nil"/>
              <w:left w:val="nil"/>
              <w:bottom w:val="nil"/>
              <w:right w:val="nil"/>
            </w:tcBorders>
          </w:tcPr>
          <w:p w14:paraId="62811A61"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50–150</w:t>
            </w:r>
          </w:p>
        </w:tc>
        <w:tc>
          <w:tcPr>
            <w:tcW w:w="1915" w:type="pct"/>
            <w:tcBorders>
              <w:top w:val="nil"/>
              <w:left w:val="nil"/>
              <w:bottom w:val="nil"/>
              <w:right w:val="nil"/>
            </w:tcBorders>
          </w:tcPr>
          <w:p w14:paraId="0DDDF9A5" w14:textId="77777777" w:rsidR="008E3F72" w:rsidRPr="00F35F4D" w:rsidRDefault="008E3F72" w:rsidP="0010018A">
            <w:pPr>
              <w:widowControl/>
              <w:jc w:val="both"/>
              <w:rPr>
                <w:noProof/>
                <w:sz w:val="20"/>
                <w:szCs w:val="20"/>
              </w:rPr>
            </w:pPr>
          </w:p>
        </w:tc>
      </w:tr>
      <w:tr w:rsidR="008E3F72" w:rsidRPr="00F35F4D" w14:paraId="45C57685" w14:textId="77777777" w:rsidTr="0010018A">
        <w:tc>
          <w:tcPr>
            <w:tcW w:w="916" w:type="pct"/>
            <w:tcBorders>
              <w:top w:val="nil"/>
              <w:left w:val="nil"/>
              <w:bottom w:val="nil"/>
              <w:right w:val="nil"/>
            </w:tcBorders>
          </w:tcPr>
          <w:p w14:paraId="13767839" w14:textId="77777777" w:rsidR="008E3F72" w:rsidRPr="00F35F4D" w:rsidRDefault="008E3F72" w:rsidP="0010018A">
            <w:pPr>
              <w:widowControl/>
              <w:jc w:val="both"/>
              <w:rPr>
                <w:noProof/>
                <w:sz w:val="20"/>
                <w:szCs w:val="20"/>
              </w:rPr>
            </w:pPr>
          </w:p>
        </w:tc>
        <w:tc>
          <w:tcPr>
            <w:tcW w:w="1039" w:type="pct"/>
            <w:tcBorders>
              <w:top w:val="nil"/>
              <w:left w:val="nil"/>
              <w:bottom w:val="nil"/>
              <w:right w:val="nil"/>
            </w:tcBorders>
          </w:tcPr>
          <w:p w14:paraId="42EEE7F1"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Cūkas</w:t>
            </w:r>
          </w:p>
        </w:tc>
        <w:tc>
          <w:tcPr>
            <w:tcW w:w="494" w:type="pct"/>
            <w:tcBorders>
              <w:top w:val="nil"/>
              <w:left w:val="nil"/>
              <w:bottom w:val="nil"/>
              <w:right w:val="nil"/>
            </w:tcBorders>
          </w:tcPr>
          <w:p w14:paraId="6244DC18"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0,3–0,6</w:t>
            </w:r>
          </w:p>
        </w:tc>
        <w:tc>
          <w:tcPr>
            <w:tcW w:w="637" w:type="pct"/>
            <w:tcBorders>
              <w:top w:val="nil"/>
              <w:left w:val="nil"/>
              <w:bottom w:val="nil"/>
              <w:right w:val="nil"/>
            </w:tcBorders>
          </w:tcPr>
          <w:p w14:paraId="06BC72DE"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50–150</w:t>
            </w:r>
          </w:p>
        </w:tc>
        <w:tc>
          <w:tcPr>
            <w:tcW w:w="1915" w:type="pct"/>
            <w:tcBorders>
              <w:top w:val="nil"/>
              <w:left w:val="nil"/>
              <w:bottom w:val="nil"/>
              <w:right w:val="nil"/>
            </w:tcBorders>
          </w:tcPr>
          <w:p w14:paraId="068F6294" w14:textId="77777777" w:rsidR="008E3F72" w:rsidRPr="00F35F4D" w:rsidRDefault="008E3F72" w:rsidP="0010018A">
            <w:pPr>
              <w:widowControl/>
              <w:jc w:val="both"/>
              <w:rPr>
                <w:noProof/>
                <w:sz w:val="20"/>
                <w:szCs w:val="20"/>
              </w:rPr>
            </w:pPr>
          </w:p>
        </w:tc>
      </w:tr>
      <w:tr w:rsidR="008E3F72" w:rsidRPr="00F35F4D" w14:paraId="039F9177" w14:textId="77777777" w:rsidTr="0010018A">
        <w:tc>
          <w:tcPr>
            <w:tcW w:w="916" w:type="pct"/>
            <w:tcBorders>
              <w:top w:val="nil"/>
              <w:left w:val="nil"/>
              <w:bottom w:val="nil"/>
              <w:right w:val="nil"/>
            </w:tcBorders>
          </w:tcPr>
          <w:p w14:paraId="4360B358" w14:textId="77777777" w:rsidR="008E3F72" w:rsidRPr="00F35F4D" w:rsidRDefault="008E3F72" w:rsidP="0010018A">
            <w:pPr>
              <w:widowControl/>
              <w:jc w:val="both"/>
              <w:rPr>
                <w:noProof/>
                <w:sz w:val="20"/>
                <w:szCs w:val="20"/>
              </w:rPr>
            </w:pPr>
          </w:p>
        </w:tc>
        <w:tc>
          <w:tcPr>
            <w:tcW w:w="1039" w:type="pct"/>
            <w:tcBorders>
              <w:top w:val="nil"/>
              <w:left w:val="nil"/>
              <w:bottom w:val="nil"/>
              <w:right w:val="nil"/>
            </w:tcBorders>
          </w:tcPr>
          <w:p w14:paraId="6FCD0770"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Mājputni</w:t>
            </w:r>
          </w:p>
        </w:tc>
        <w:tc>
          <w:tcPr>
            <w:tcW w:w="494" w:type="pct"/>
            <w:tcBorders>
              <w:top w:val="nil"/>
              <w:left w:val="nil"/>
              <w:bottom w:val="nil"/>
              <w:right w:val="nil"/>
            </w:tcBorders>
          </w:tcPr>
          <w:p w14:paraId="27A3570A"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0,3–0,6</w:t>
            </w:r>
          </w:p>
        </w:tc>
        <w:tc>
          <w:tcPr>
            <w:tcW w:w="637" w:type="pct"/>
            <w:tcBorders>
              <w:top w:val="nil"/>
              <w:left w:val="nil"/>
              <w:bottom w:val="nil"/>
              <w:right w:val="nil"/>
            </w:tcBorders>
          </w:tcPr>
          <w:p w14:paraId="404EDE25"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50–150</w:t>
            </w:r>
          </w:p>
        </w:tc>
        <w:tc>
          <w:tcPr>
            <w:tcW w:w="1915" w:type="pct"/>
            <w:tcBorders>
              <w:top w:val="nil"/>
              <w:left w:val="nil"/>
              <w:bottom w:val="nil"/>
              <w:right w:val="nil"/>
            </w:tcBorders>
          </w:tcPr>
          <w:p w14:paraId="2CACFE2B" w14:textId="77777777" w:rsidR="008E3F72" w:rsidRPr="00F35F4D" w:rsidRDefault="008E3F72" w:rsidP="0010018A">
            <w:pPr>
              <w:widowControl/>
              <w:jc w:val="both"/>
              <w:rPr>
                <w:noProof/>
                <w:sz w:val="20"/>
                <w:szCs w:val="20"/>
              </w:rPr>
            </w:pPr>
          </w:p>
        </w:tc>
      </w:tr>
      <w:tr w:rsidR="008E3F72" w:rsidRPr="00F35F4D" w14:paraId="46E8FCA4" w14:textId="77777777" w:rsidTr="0010018A">
        <w:tc>
          <w:tcPr>
            <w:tcW w:w="916" w:type="pct"/>
            <w:tcBorders>
              <w:top w:val="nil"/>
              <w:left w:val="nil"/>
              <w:bottom w:val="nil"/>
              <w:right w:val="nil"/>
            </w:tcBorders>
          </w:tcPr>
          <w:p w14:paraId="1B9C2D8B" w14:textId="77777777" w:rsidR="008E3F72" w:rsidRPr="00F35F4D" w:rsidRDefault="008E3F72" w:rsidP="0010018A">
            <w:pPr>
              <w:widowControl/>
              <w:jc w:val="both"/>
              <w:rPr>
                <w:noProof/>
                <w:sz w:val="20"/>
                <w:szCs w:val="20"/>
              </w:rPr>
            </w:pPr>
          </w:p>
        </w:tc>
        <w:tc>
          <w:tcPr>
            <w:tcW w:w="1039" w:type="pct"/>
            <w:tcBorders>
              <w:top w:val="nil"/>
              <w:left w:val="nil"/>
              <w:bottom w:val="nil"/>
              <w:right w:val="nil"/>
            </w:tcBorders>
          </w:tcPr>
          <w:p w14:paraId="518BE08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Citi dzīvnieki</w:t>
            </w:r>
          </w:p>
        </w:tc>
        <w:tc>
          <w:tcPr>
            <w:tcW w:w="494" w:type="pct"/>
            <w:tcBorders>
              <w:top w:val="nil"/>
              <w:left w:val="nil"/>
              <w:bottom w:val="nil"/>
              <w:right w:val="nil"/>
            </w:tcBorders>
          </w:tcPr>
          <w:p w14:paraId="7E3142E7"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0,3–0,6</w:t>
            </w:r>
          </w:p>
        </w:tc>
        <w:tc>
          <w:tcPr>
            <w:tcW w:w="637" w:type="pct"/>
            <w:tcBorders>
              <w:top w:val="nil"/>
              <w:left w:val="nil"/>
              <w:bottom w:val="nil"/>
              <w:right w:val="nil"/>
            </w:tcBorders>
          </w:tcPr>
          <w:p w14:paraId="42E08A09"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50–150</w:t>
            </w:r>
          </w:p>
        </w:tc>
        <w:tc>
          <w:tcPr>
            <w:tcW w:w="1915" w:type="pct"/>
            <w:tcBorders>
              <w:top w:val="nil"/>
              <w:left w:val="nil"/>
              <w:bottom w:val="nil"/>
              <w:right w:val="nil"/>
            </w:tcBorders>
          </w:tcPr>
          <w:p w14:paraId="3B1C4753" w14:textId="77777777" w:rsidR="008E3F72" w:rsidRPr="00F35F4D" w:rsidRDefault="008E3F72" w:rsidP="0010018A">
            <w:pPr>
              <w:widowControl/>
              <w:jc w:val="both"/>
              <w:rPr>
                <w:noProof/>
                <w:sz w:val="20"/>
                <w:szCs w:val="20"/>
              </w:rPr>
            </w:pPr>
          </w:p>
        </w:tc>
      </w:tr>
      <w:tr w:rsidR="008E3F72" w:rsidRPr="00F35F4D" w14:paraId="084282DB" w14:textId="77777777" w:rsidTr="0010018A">
        <w:tc>
          <w:tcPr>
            <w:tcW w:w="916" w:type="pct"/>
            <w:tcBorders>
              <w:top w:val="nil"/>
              <w:left w:val="nil"/>
              <w:bottom w:val="nil"/>
              <w:right w:val="nil"/>
            </w:tcBorders>
          </w:tcPr>
          <w:p w14:paraId="7330EFF9"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Bezzemes sistēmas</w:t>
            </w:r>
          </w:p>
        </w:tc>
        <w:tc>
          <w:tcPr>
            <w:tcW w:w="1039" w:type="pct"/>
            <w:tcBorders>
              <w:top w:val="nil"/>
              <w:left w:val="nil"/>
              <w:bottom w:val="nil"/>
              <w:right w:val="nil"/>
            </w:tcBorders>
          </w:tcPr>
          <w:p w14:paraId="37731FD7" w14:textId="43E83E15" w:rsidR="008E3F72" w:rsidRPr="00F35F4D" w:rsidRDefault="008E3F72" w:rsidP="0010018A">
            <w:pPr>
              <w:pStyle w:val="TableParagraph"/>
              <w:widowControl/>
              <w:kinsoku w:val="0"/>
              <w:overflowPunct w:val="0"/>
              <w:jc w:val="both"/>
              <w:rPr>
                <w:noProof/>
                <w:sz w:val="20"/>
                <w:szCs w:val="20"/>
              </w:rPr>
            </w:pPr>
            <w:r w:rsidRPr="00F35F4D">
              <w:rPr>
                <w:sz w:val="20"/>
                <w:szCs w:val="20"/>
              </w:rPr>
              <w:t>Piena l</w:t>
            </w:r>
            <w:r w:rsidR="00943494">
              <w:rPr>
                <w:sz w:val="20"/>
                <w:szCs w:val="20"/>
              </w:rPr>
              <w:t>iell</w:t>
            </w:r>
            <w:r w:rsidRPr="00F35F4D">
              <w:rPr>
                <w:sz w:val="20"/>
                <w:szCs w:val="20"/>
              </w:rPr>
              <w:t>opi</w:t>
            </w:r>
          </w:p>
        </w:tc>
        <w:tc>
          <w:tcPr>
            <w:tcW w:w="494" w:type="pct"/>
            <w:tcBorders>
              <w:top w:val="nil"/>
              <w:left w:val="nil"/>
              <w:bottom w:val="nil"/>
              <w:right w:val="nil"/>
            </w:tcBorders>
          </w:tcPr>
          <w:p w14:paraId="569942A9"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0,8–0,9</w:t>
            </w:r>
          </w:p>
        </w:tc>
        <w:tc>
          <w:tcPr>
            <w:tcW w:w="637" w:type="pct"/>
            <w:tcBorders>
              <w:top w:val="nil"/>
              <w:left w:val="nil"/>
              <w:bottom w:val="nil"/>
              <w:right w:val="nil"/>
            </w:tcBorders>
          </w:tcPr>
          <w:p w14:paraId="509F3924"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neattiecina </w:t>
            </w:r>
            <w:r w:rsidRPr="00F35F4D">
              <w:rPr>
                <w:i/>
                <w:noProof/>
                <w:sz w:val="20"/>
                <w:szCs w:val="20"/>
              </w:rPr>
              <w:t>a</w:t>
            </w:r>
          </w:p>
        </w:tc>
        <w:tc>
          <w:tcPr>
            <w:tcW w:w="1915" w:type="pct"/>
            <w:tcBorders>
              <w:top w:val="nil"/>
              <w:left w:val="nil"/>
              <w:bottom w:val="nil"/>
              <w:right w:val="nil"/>
            </w:tcBorders>
          </w:tcPr>
          <w:p w14:paraId="075FFB90"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Izejošais N daudzums pienā, dzīvniekos, kūtsmēslos ir aptuveni vienāds ar ienākošo N daudzumu; Npārpalikums ir gāzveida N zudumi no dzīvnieku novietnēm un kūtsmēslu krātuvēm</w:t>
            </w:r>
          </w:p>
        </w:tc>
      </w:tr>
      <w:tr w:rsidR="008E3F72" w:rsidRPr="00F35F4D" w14:paraId="186C3B53" w14:textId="77777777" w:rsidTr="0010018A">
        <w:tc>
          <w:tcPr>
            <w:tcW w:w="916" w:type="pct"/>
            <w:tcBorders>
              <w:top w:val="nil"/>
              <w:left w:val="nil"/>
              <w:bottom w:val="nil"/>
              <w:right w:val="nil"/>
            </w:tcBorders>
          </w:tcPr>
          <w:p w14:paraId="7AA2C03B" w14:textId="77777777" w:rsidR="008E3F72" w:rsidRPr="00F35F4D" w:rsidRDefault="008E3F72" w:rsidP="0010018A">
            <w:pPr>
              <w:widowControl/>
              <w:jc w:val="both"/>
              <w:rPr>
                <w:noProof/>
                <w:sz w:val="20"/>
                <w:szCs w:val="20"/>
              </w:rPr>
            </w:pPr>
          </w:p>
        </w:tc>
        <w:tc>
          <w:tcPr>
            <w:tcW w:w="1039" w:type="pct"/>
            <w:tcBorders>
              <w:top w:val="nil"/>
              <w:left w:val="nil"/>
              <w:bottom w:val="nil"/>
              <w:right w:val="nil"/>
            </w:tcBorders>
          </w:tcPr>
          <w:p w14:paraId="50B58BDF" w14:textId="3FA2902F"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Gaļas </w:t>
            </w:r>
            <w:r w:rsidR="00943494">
              <w:rPr>
                <w:sz w:val="20"/>
                <w:szCs w:val="20"/>
              </w:rPr>
              <w:t>liel</w:t>
            </w:r>
            <w:r w:rsidRPr="00F35F4D">
              <w:rPr>
                <w:sz w:val="20"/>
                <w:szCs w:val="20"/>
              </w:rPr>
              <w:t>lopi</w:t>
            </w:r>
          </w:p>
        </w:tc>
        <w:tc>
          <w:tcPr>
            <w:tcW w:w="494" w:type="pct"/>
            <w:tcBorders>
              <w:top w:val="nil"/>
              <w:left w:val="nil"/>
              <w:bottom w:val="nil"/>
              <w:right w:val="nil"/>
            </w:tcBorders>
          </w:tcPr>
          <w:p w14:paraId="5FC3CE57"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0,8–0,9</w:t>
            </w:r>
          </w:p>
        </w:tc>
        <w:tc>
          <w:tcPr>
            <w:tcW w:w="637" w:type="pct"/>
            <w:tcBorders>
              <w:top w:val="nil"/>
              <w:left w:val="nil"/>
              <w:bottom w:val="nil"/>
              <w:right w:val="nil"/>
            </w:tcBorders>
          </w:tcPr>
          <w:p w14:paraId="75CFC1C2"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neattiecina </w:t>
            </w:r>
            <w:r w:rsidRPr="00F35F4D">
              <w:rPr>
                <w:i/>
                <w:noProof/>
                <w:sz w:val="20"/>
                <w:szCs w:val="20"/>
              </w:rPr>
              <w:t>a</w:t>
            </w:r>
          </w:p>
        </w:tc>
        <w:tc>
          <w:tcPr>
            <w:tcW w:w="1915" w:type="pct"/>
            <w:tcBorders>
              <w:top w:val="nil"/>
              <w:left w:val="nil"/>
              <w:bottom w:val="nil"/>
              <w:right w:val="nil"/>
            </w:tcBorders>
          </w:tcPr>
          <w:p w14:paraId="3E492DBB" w14:textId="77777777" w:rsidR="008E3F72" w:rsidRPr="00F35F4D" w:rsidRDefault="008E3F72" w:rsidP="0010018A">
            <w:pPr>
              <w:widowControl/>
              <w:jc w:val="both"/>
              <w:rPr>
                <w:noProof/>
                <w:sz w:val="20"/>
                <w:szCs w:val="20"/>
              </w:rPr>
            </w:pPr>
          </w:p>
        </w:tc>
      </w:tr>
      <w:tr w:rsidR="008E3F72" w:rsidRPr="00F35F4D" w14:paraId="1C24F8D6" w14:textId="77777777" w:rsidTr="0010018A">
        <w:tc>
          <w:tcPr>
            <w:tcW w:w="916" w:type="pct"/>
            <w:tcBorders>
              <w:top w:val="nil"/>
              <w:left w:val="nil"/>
              <w:bottom w:val="nil"/>
              <w:right w:val="nil"/>
            </w:tcBorders>
          </w:tcPr>
          <w:p w14:paraId="0B2C9135" w14:textId="77777777" w:rsidR="008E3F72" w:rsidRPr="00F35F4D" w:rsidRDefault="008E3F72" w:rsidP="0010018A">
            <w:pPr>
              <w:widowControl/>
              <w:jc w:val="both"/>
              <w:rPr>
                <w:noProof/>
                <w:sz w:val="20"/>
                <w:szCs w:val="20"/>
              </w:rPr>
            </w:pPr>
          </w:p>
        </w:tc>
        <w:tc>
          <w:tcPr>
            <w:tcW w:w="1039" w:type="pct"/>
            <w:tcBorders>
              <w:top w:val="nil"/>
              <w:left w:val="nil"/>
              <w:bottom w:val="nil"/>
              <w:right w:val="nil"/>
            </w:tcBorders>
          </w:tcPr>
          <w:p w14:paraId="47CB5E9E"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Cūkas</w:t>
            </w:r>
          </w:p>
        </w:tc>
        <w:tc>
          <w:tcPr>
            <w:tcW w:w="494" w:type="pct"/>
            <w:tcBorders>
              <w:top w:val="nil"/>
              <w:left w:val="nil"/>
              <w:bottom w:val="nil"/>
              <w:right w:val="nil"/>
            </w:tcBorders>
          </w:tcPr>
          <w:p w14:paraId="5FF9AE5C"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0,7–0,9</w:t>
            </w:r>
          </w:p>
        </w:tc>
        <w:tc>
          <w:tcPr>
            <w:tcW w:w="637" w:type="pct"/>
            <w:tcBorders>
              <w:top w:val="nil"/>
              <w:left w:val="nil"/>
              <w:bottom w:val="nil"/>
              <w:right w:val="nil"/>
            </w:tcBorders>
          </w:tcPr>
          <w:p w14:paraId="08A2ECE5"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neattiecina </w:t>
            </w:r>
            <w:r w:rsidRPr="00F35F4D">
              <w:rPr>
                <w:i/>
                <w:noProof/>
                <w:sz w:val="20"/>
                <w:szCs w:val="20"/>
              </w:rPr>
              <w:t>a</w:t>
            </w:r>
          </w:p>
        </w:tc>
        <w:tc>
          <w:tcPr>
            <w:tcW w:w="1915" w:type="pct"/>
            <w:tcBorders>
              <w:top w:val="nil"/>
              <w:left w:val="nil"/>
              <w:bottom w:val="nil"/>
              <w:right w:val="nil"/>
            </w:tcBorders>
          </w:tcPr>
          <w:p w14:paraId="6D66CF20" w14:textId="77777777" w:rsidR="008E3F72" w:rsidRPr="00F35F4D" w:rsidRDefault="008E3F72" w:rsidP="0010018A">
            <w:pPr>
              <w:widowControl/>
              <w:jc w:val="both"/>
              <w:rPr>
                <w:noProof/>
                <w:sz w:val="20"/>
                <w:szCs w:val="20"/>
              </w:rPr>
            </w:pPr>
          </w:p>
        </w:tc>
      </w:tr>
      <w:tr w:rsidR="008E3F72" w:rsidRPr="00F35F4D" w14:paraId="208A6180" w14:textId="77777777" w:rsidTr="0010018A">
        <w:tc>
          <w:tcPr>
            <w:tcW w:w="916" w:type="pct"/>
            <w:tcBorders>
              <w:top w:val="nil"/>
              <w:left w:val="nil"/>
              <w:bottom w:val="nil"/>
              <w:right w:val="nil"/>
            </w:tcBorders>
          </w:tcPr>
          <w:p w14:paraId="516AE71C" w14:textId="77777777" w:rsidR="008E3F72" w:rsidRPr="00F35F4D" w:rsidRDefault="008E3F72" w:rsidP="0010018A">
            <w:pPr>
              <w:widowControl/>
              <w:jc w:val="both"/>
              <w:rPr>
                <w:noProof/>
                <w:sz w:val="20"/>
                <w:szCs w:val="20"/>
              </w:rPr>
            </w:pPr>
          </w:p>
        </w:tc>
        <w:tc>
          <w:tcPr>
            <w:tcW w:w="1039" w:type="pct"/>
            <w:tcBorders>
              <w:top w:val="nil"/>
              <w:left w:val="nil"/>
              <w:bottom w:val="nil"/>
              <w:right w:val="nil"/>
            </w:tcBorders>
          </w:tcPr>
          <w:p w14:paraId="0D30EDF3"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Mājputni</w:t>
            </w:r>
          </w:p>
        </w:tc>
        <w:tc>
          <w:tcPr>
            <w:tcW w:w="494" w:type="pct"/>
            <w:tcBorders>
              <w:top w:val="nil"/>
              <w:left w:val="nil"/>
              <w:bottom w:val="nil"/>
              <w:right w:val="nil"/>
            </w:tcBorders>
          </w:tcPr>
          <w:p w14:paraId="29252F69"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0,6–0,9</w:t>
            </w:r>
          </w:p>
        </w:tc>
        <w:tc>
          <w:tcPr>
            <w:tcW w:w="637" w:type="pct"/>
            <w:tcBorders>
              <w:top w:val="nil"/>
              <w:left w:val="nil"/>
              <w:bottom w:val="nil"/>
              <w:right w:val="nil"/>
            </w:tcBorders>
          </w:tcPr>
          <w:p w14:paraId="1298A87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neattiecina </w:t>
            </w:r>
            <w:r w:rsidRPr="00F35F4D">
              <w:rPr>
                <w:i/>
                <w:noProof/>
                <w:sz w:val="20"/>
                <w:szCs w:val="20"/>
              </w:rPr>
              <w:t>a</w:t>
            </w:r>
          </w:p>
        </w:tc>
        <w:tc>
          <w:tcPr>
            <w:tcW w:w="1915" w:type="pct"/>
            <w:tcBorders>
              <w:top w:val="nil"/>
              <w:left w:val="nil"/>
              <w:bottom w:val="nil"/>
              <w:right w:val="nil"/>
            </w:tcBorders>
          </w:tcPr>
          <w:p w14:paraId="05837E21" w14:textId="77777777" w:rsidR="008E3F72" w:rsidRPr="00F35F4D" w:rsidRDefault="008E3F72" w:rsidP="0010018A">
            <w:pPr>
              <w:widowControl/>
              <w:jc w:val="both"/>
              <w:rPr>
                <w:noProof/>
                <w:sz w:val="20"/>
                <w:szCs w:val="20"/>
              </w:rPr>
            </w:pPr>
          </w:p>
        </w:tc>
      </w:tr>
      <w:tr w:rsidR="008E3F72" w:rsidRPr="00F35F4D" w14:paraId="07B36254" w14:textId="77777777" w:rsidTr="0010018A">
        <w:tc>
          <w:tcPr>
            <w:tcW w:w="916" w:type="pct"/>
            <w:tcBorders>
              <w:top w:val="nil"/>
              <w:left w:val="nil"/>
              <w:bottom w:val="single" w:sz="12" w:space="0" w:color="000000"/>
              <w:right w:val="nil"/>
            </w:tcBorders>
          </w:tcPr>
          <w:p w14:paraId="77CB3719" w14:textId="77777777" w:rsidR="008E3F72" w:rsidRPr="00F35F4D" w:rsidRDefault="008E3F72" w:rsidP="0010018A">
            <w:pPr>
              <w:widowControl/>
              <w:jc w:val="both"/>
              <w:rPr>
                <w:noProof/>
                <w:sz w:val="20"/>
                <w:szCs w:val="20"/>
              </w:rPr>
            </w:pPr>
          </w:p>
        </w:tc>
        <w:tc>
          <w:tcPr>
            <w:tcW w:w="1039" w:type="pct"/>
            <w:tcBorders>
              <w:top w:val="nil"/>
              <w:left w:val="nil"/>
              <w:bottom w:val="single" w:sz="12" w:space="0" w:color="000000"/>
              <w:right w:val="nil"/>
            </w:tcBorders>
          </w:tcPr>
          <w:p w14:paraId="4A0DC4D9"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Citi dzīvnieki</w:t>
            </w:r>
          </w:p>
        </w:tc>
        <w:tc>
          <w:tcPr>
            <w:tcW w:w="494" w:type="pct"/>
            <w:tcBorders>
              <w:top w:val="nil"/>
              <w:left w:val="nil"/>
              <w:bottom w:val="single" w:sz="12" w:space="0" w:color="000000"/>
              <w:right w:val="nil"/>
            </w:tcBorders>
          </w:tcPr>
          <w:p w14:paraId="0D45A1F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0,7–0,9</w:t>
            </w:r>
          </w:p>
        </w:tc>
        <w:tc>
          <w:tcPr>
            <w:tcW w:w="637" w:type="pct"/>
            <w:tcBorders>
              <w:top w:val="nil"/>
              <w:left w:val="nil"/>
              <w:bottom w:val="single" w:sz="12" w:space="0" w:color="000000"/>
              <w:right w:val="nil"/>
            </w:tcBorders>
          </w:tcPr>
          <w:p w14:paraId="436307C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neattiecina </w:t>
            </w:r>
            <w:r w:rsidRPr="00F35F4D">
              <w:rPr>
                <w:i/>
                <w:noProof/>
                <w:sz w:val="20"/>
                <w:szCs w:val="20"/>
              </w:rPr>
              <w:t>a</w:t>
            </w:r>
          </w:p>
        </w:tc>
        <w:tc>
          <w:tcPr>
            <w:tcW w:w="1915" w:type="pct"/>
            <w:tcBorders>
              <w:top w:val="nil"/>
              <w:left w:val="nil"/>
              <w:bottom w:val="single" w:sz="12" w:space="0" w:color="000000"/>
              <w:right w:val="nil"/>
            </w:tcBorders>
          </w:tcPr>
          <w:p w14:paraId="492E139E" w14:textId="77777777" w:rsidR="008E3F72" w:rsidRPr="00F35F4D" w:rsidRDefault="008E3F72" w:rsidP="0010018A">
            <w:pPr>
              <w:widowControl/>
              <w:jc w:val="both"/>
              <w:rPr>
                <w:noProof/>
                <w:sz w:val="20"/>
                <w:szCs w:val="20"/>
              </w:rPr>
            </w:pPr>
          </w:p>
        </w:tc>
      </w:tr>
    </w:tbl>
    <w:p w14:paraId="07CFE066" w14:textId="77777777" w:rsidR="008E3F72" w:rsidRPr="00F35F4D" w:rsidRDefault="008E3F72" w:rsidP="008E3F72">
      <w:pPr>
        <w:pStyle w:val="BodyText"/>
        <w:widowControl/>
        <w:kinsoku w:val="0"/>
        <w:overflowPunct w:val="0"/>
        <w:spacing w:before="0"/>
        <w:ind w:left="0"/>
        <w:jc w:val="both"/>
        <w:rPr>
          <w:noProof/>
          <w:szCs w:val="24"/>
        </w:rPr>
      </w:pPr>
      <w:r w:rsidRPr="00F35F4D">
        <w:rPr>
          <w:i/>
          <w:szCs w:val="24"/>
        </w:rPr>
        <w:t>a</w:t>
      </w:r>
      <w:r w:rsidRPr="00F35F4D">
        <w:rPr>
          <w:szCs w:val="24"/>
        </w:rPr>
        <w:t xml:space="preserve"> Neattiecina, jo šajās saimniecībās būtībā nav zemes platību.</w:t>
      </w:r>
      <w:r w:rsidRPr="00F35F4D">
        <w:rPr>
          <w:noProof/>
          <w:szCs w:val="24"/>
        </w:rPr>
        <w:t xml:space="preserve"> Tomēr lieko slāpekli (Npārpalikumu) var izteikt kilogramos uz vienu saimniecību gadā. Ja visi dzīvnieku izcelsmes produkti, tostarp kūtsmēsli un visi atlieku produkti un atkritumi, tiek izvesti, Npārpalikuma mērķvērtība var būt no 0 līdz 1000 kg</w:t>
      </w:r>
      <w:r w:rsidRPr="00F35F4D">
        <w:rPr>
          <w:noProof/>
        </w:rPr>
        <w:t xml:space="preserve"> uz vienu saimniecību gadā atkarībā no saimniecības lieluma un gāzveida N zudumiem.</w:t>
      </w:r>
    </w:p>
    <w:p w14:paraId="4CE05F27" w14:textId="77777777" w:rsidR="008E3F72" w:rsidRPr="00F35F4D" w:rsidRDefault="008E3F72" w:rsidP="008E3F72">
      <w:pPr>
        <w:pStyle w:val="BodyText"/>
        <w:widowControl/>
        <w:kinsoku w:val="0"/>
        <w:overflowPunct w:val="0"/>
        <w:spacing w:before="0"/>
        <w:ind w:left="0"/>
        <w:jc w:val="both"/>
        <w:rPr>
          <w:noProof/>
          <w:sz w:val="24"/>
          <w:szCs w:val="24"/>
        </w:rPr>
      </w:pPr>
    </w:p>
    <w:p w14:paraId="56AF3A8D" w14:textId="21B44779"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b/>
          <w:sz w:val="24"/>
          <w:szCs w:val="24"/>
        </w:rPr>
        <w:t>Lauk</w:t>
      </w:r>
      <w:r w:rsidR="00943494">
        <w:rPr>
          <w:b/>
          <w:sz w:val="24"/>
          <w:szCs w:val="24"/>
        </w:rPr>
        <w:t>saimniecības dzīvnieku ēdināšanas</w:t>
      </w:r>
      <w:r w:rsidRPr="00F35F4D">
        <w:rPr>
          <w:b/>
          <w:sz w:val="24"/>
          <w:szCs w:val="24"/>
        </w:rPr>
        <w:t xml:space="preserve"> stratēģija</w:t>
      </w:r>
      <w:r w:rsidRPr="00F35F4D">
        <w:rPr>
          <w:sz w:val="24"/>
          <w:szCs w:val="24"/>
        </w:rPr>
        <w:t xml:space="preserve"> samazina NH3 emisiju no kūtsmēs</w:t>
      </w:r>
      <w:r w:rsidR="00943494">
        <w:rPr>
          <w:sz w:val="24"/>
          <w:szCs w:val="24"/>
        </w:rPr>
        <w:t>liem gan dzīvnieku turēšanas</w:t>
      </w:r>
      <w:r w:rsidRPr="00F35F4D">
        <w:rPr>
          <w:sz w:val="24"/>
          <w:szCs w:val="24"/>
        </w:rPr>
        <w:t xml:space="preserve"> vietās, gan krātu</w:t>
      </w:r>
      <w:r w:rsidR="00943494">
        <w:rPr>
          <w:sz w:val="24"/>
          <w:szCs w:val="24"/>
        </w:rPr>
        <w:t>vēs, kā arī pēc mēslojuma iestrādāšanas augsnē</w:t>
      </w:r>
      <w:r w:rsidRPr="00F35F4D">
        <w:rPr>
          <w:sz w:val="24"/>
          <w:szCs w:val="24"/>
        </w:rPr>
        <w:t>.</w:t>
      </w:r>
      <w:r w:rsidR="0060225B">
        <w:rPr>
          <w:noProof/>
          <w:sz w:val="24"/>
          <w:szCs w:val="24"/>
        </w:rPr>
        <w:t xml:space="preserve"> Dzīvnieku ēdināšanas</w:t>
      </w:r>
      <w:r w:rsidRPr="00F35F4D">
        <w:rPr>
          <w:noProof/>
          <w:sz w:val="24"/>
          <w:szCs w:val="24"/>
        </w:rPr>
        <w:t xml:space="preserve"> stratēģiju ir grūtāk piemērot dzīvniekiem ganībās, bet emisija no ganībām ir zema, un ganīšana pati par sevi būtībā ir 1. kategorijas pasākums</w:t>
      </w:r>
      <w:r w:rsidR="00EB4539" w:rsidRPr="00F35F4D">
        <w:rPr>
          <w:rStyle w:val="FootnoteReference"/>
          <w:noProof/>
          <w:sz w:val="24"/>
          <w:szCs w:val="24"/>
        </w:rPr>
        <w:footnoteReference w:id="4"/>
      </w:r>
      <w:r w:rsidR="0060225B">
        <w:rPr>
          <w:noProof/>
          <w:sz w:val="24"/>
          <w:szCs w:val="24"/>
        </w:rPr>
        <w:t>. Dzīvnieku ēdināšanas</w:t>
      </w:r>
      <w:r w:rsidR="0060225B">
        <w:rPr>
          <w:noProof/>
          <w:sz w:val="24"/>
        </w:rPr>
        <w:t xml:space="preserve"> stratēģijas īsteno, a) ēdinot</w:t>
      </w:r>
      <w:r w:rsidRPr="00F35F4D">
        <w:rPr>
          <w:noProof/>
          <w:sz w:val="24"/>
        </w:rPr>
        <w:t xml:space="preserve"> dzīvniekus atkarībā no attīstības stadijas; b) samazinot olbaltumvielu devu barībā ar vai bez konkrētu aminoskābju un spureklī nesagremojamu olbaltumvielu piedevas; c) palielinot barībā esošo necietes polisaharīdu saturu un d) pievienojot barībai pH līmeni pazeminošas vielas, p</w:t>
      </w:r>
      <w:r w:rsidR="0060225B">
        <w:rPr>
          <w:noProof/>
          <w:sz w:val="24"/>
        </w:rPr>
        <w:t>iemēram, benzoskābi. Dzīvnieku ēdināšana</w:t>
      </w:r>
      <w:r w:rsidRPr="00F35F4D">
        <w:rPr>
          <w:noProof/>
          <w:sz w:val="24"/>
        </w:rPr>
        <w:t xml:space="preserve"> atkarībā no </w:t>
      </w:r>
      <w:r w:rsidR="0060225B">
        <w:rPr>
          <w:noProof/>
          <w:sz w:val="24"/>
        </w:rPr>
        <w:t xml:space="preserve">attīstības </w:t>
      </w:r>
      <w:r w:rsidRPr="00F35F4D">
        <w:rPr>
          <w:noProof/>
          <w:sz w:val="24"/>
        </w:rPr>
        <w:t>stadijas ir efektī</w:t>
      </w:r>
      <w:r w:rsidR="0060225B">
        <w:rPr>
          <w:noProof/>
          <w:sz w:val="24"/>
        </w:rPr>
        <w:t>vs un ekonomiskā ziņā izdevīgs</w:t>
      </w:r>
      <w:r w:rsidRPr="00F35F4D">
        <w:rPr>
          <w:noProof/>
          <w:sz w:val="24"/>
        </w:rPr>
        <w:t xml:space="preserve"> pasākums, pat ja tās īstenošanai ir vajadzīgs papildu aprīkojums. Jauniem dzīvniekiem un ļoti produktīviem dzīvniekiem ir vajadzīga augstāka olbaltumvielu koncentrācija nekā vecākiem, mazāk produktīviem dzīvniekiem. Samazinot vidējo olbaltumvielu daudzumu barības devā </w:t>
      </w:r>
      <w:r w:rsidRPr="00F35F4D">
        <w:rPr>
          <w:noProof/>
          <w:sz w:val="24"/>
        </w:rPr>
        <w:lastRenderedPageBreak/>
        <w:t>par 10 gramiem (g) uz kilogramu (t. i., par 1 %), kopējā NH3 emisija no visiem emisijas avotiem saimniecībā samazinās par ap</w:t>
      </w:r>
      <w:r w:rsidR="0060225B">
        <w:rPr>
          <w:noProof/>
          <w:sz w:val="24"/>
        </w:rPr>
        <w:t>tuveni 10 %. Dzīvnieku ēdināšanas</w:t>
      </w:r>
      <w:r w:rsidRPr="00F35F4D">
        <w:rPr>
          <w:noProof/>
          <w:sz w:val="24"/>
        </w:rPr>
        <w:t xml:space="preserve"> stratēģijas ekonomiskās izmaksas ir atkarīgas no</w:t>
      </w:r>
    </w:p>
    <w:p w14:paraId="1B6615D5" w14:textId="77777777" w:rsidR="008E3F72" w:rsidRPr="00F35F4D" w:rsidRDefault="008E3F72" w:rsidP="008E3F72">
      <w:pPr>
        <w:pStyle w:val="BodyText"/>
        <w:widowControl/>
        <w:kinsoku w:val="0"/>
        <w:overflowPunct w:val="0"/>
        <w:spacing w:before="0"/>
        <w:ind w:left="0"/>
        <w:jc w:val="both"/>
        <w:rPr>
          <w:noProof/>
          <w:sz w:val="24"/>
          <w:szCs w:val="24"/>
        </w:rPr>
      </w:pPr>
    </w:p>
    <w:p w14:paraId="3F68D6EF" w14:textId="20E11D83" w:rsidR="008E3F72" w:rsidRPr="00F35F4D" w:rsidRDefault="008E3F72" w:rsidP="008E3F72">
      <w:pPr>
        <w:pStyle w:val="Heading7"/>
        <w:widowControl/>
        <w:kinsoku w:val="0"/>
        <w:overflowPunct w:val="0"/>
        <w:spacing w:before="0"/>
        <w:ind w:left="0"/>
        <w:jc w:val="both"/>
        <w:rPr>
          <w:noProof/>
          <w:sz w:val="24"/>
          <w:szCs w:val="24"/>
        </w:rPr>
      </w:pPr>
      <w:r w:rsidRPr="00F35F4D">
        <w:rPr>
          <w:noProof/>
          <w:sz w:val="24"/>
        </w:rPr>
        <w:t>ES2 tabula</w:t>
      </w:r>
    </w:p>
    <w:p w14:paraId="340A60DF"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Orientējošās olbaltumvielu mērķvērtības procentos no sausās barības ar standarta sausnas saturu 88 %</w:t>
      </w:r>
    </w:p>
    <w:p w14:paraId="0D3320E2" w14:textId="77777777" w:rsidR="008E3F72" w:rsidRPr="00F35F4D" w:rsidRDefault="008E3F72" w:rsidP="008E3F72">
      <w:pPr>
        <w:pStyle w:val="BodyText"/>
        <w:widowControl/>
        <w:kinsoku w:val="0"/>
        <w:overflowPunct w:val="0"/>
        <w:spacing w:before="0"/>
        <w:ind w:left="0"/>
        <w:jc w:val="both"/>
        <w:rPr>
          <w:b/>
          <w:bCs/>
          <w:noProof/>
          <w:sz w:val="24"/>
          <w:szCs w:val="24"/>
        </w:rPr>
      </w:pPr>
      <w:r w:rsidRPr="00F35F4D">
        <w:rPr>
          <w:b/>
          <w:noProof/>
          <w:sz w:val="24"/>
        </w:rPr>
        <w:t>novietnēs turētiem dzīvniekiem atkarībā no dzīvnieku kategorijas un mērķa līmeņa</w:t>
      </w:r>
    </w:p>
    <w:p w14:paraId="7D8137B8"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3765"/>
        <w:gridCol w:w="1494"/>
        <w:gridCol w:w="1611"/>
        <w:gridCol w:w="1356"/>
      </w:tblGrid>
      <w:tr w:rsidR="008E3F72" w:rsidRPr="00F35F4D" w14:paraId="75D8A91C" w14:textId="77777777" w:rsidTr="0010018A">
        <w:tc>
          <w:tcPr>
            <w:tcW w:w="5000" w:type="pct"/>
            <w:gridSpan w:val="4"/>
            <w:tcBorders>
              <w:top w:val="single" w:sz="4" w:space="0" w:color="000000"/>
              <w:left w:val="nil"/>
              <w:bottom w:val="nil"/>
              <w:right w:val="nil"/>
            </w:tcBorders>
          </w:tcPr>
          <w:p w14:paraId="614381D5" w14:textId="77777777" w:rsidR="008E3F72" w:rsidRPr="00F35F4D" w:rsidRDefault="008E3F72" w:rsidP="0010018A">
            <w:pPr>
              <w:pStyle w:val="TableParagraph"/>
              <w:widowControl/>
              <w:kinsoku w:val="0"/>
              <w:overflowPunct w:val="0"/>
              <w:jc w:val="both"/>
              <w:rPr>
                <w:i/>
                <w:iCs/>
                <w:noProof/>
                <w:sz w:val="20"/>
                <w:szCs w:val="20"/>
              </w:rPr>
            </w:pPr>
            <w:r w:rsidRPr="00F35F4D">
              <w:rPr>
                <w:i/>
                <w:noProof/>
                <w:sz w:val="20"/>
                <w:szCs w:val="20"/>
              </w:rPr>
              <w:t>Vidējais kopproteīna daudzums dzīvnieku barībā (%) a</w:t>
            </w:r>
          </w:p>
        </w:tc>
      </w:tr>
      <w:tr w:rsidR="008E3F72" w:rsidRPr="00F35F4D" w14:paraId="1373EEA6" w14:textId="77777777" w:rsidTr="0010018A">
        <w:tc>
          <w:tcPr>
            <w:tcW w:w="2289" w:type="pct"/>
            <w:tcBorders>
              <w:top w:val="nil"/>
              <w:left w:val="nil"/>
              <w:bottom w:val="single" w:sz="12" w:space="0" w:color="000000"/>
              <w:right w:val="nil"/>
            </w:tcBorders>
          </w:tcPr>
          <w:p w14:paraId="13DC841F" w14:textId="77777777" w:rsidR="008E3F72" w:rsidRPr="00F35F4D" w:rsidRDefault="008E3F72" w:rsidP="0010018A">
            <w:pPr>
              <w:pStyle w:val="TableParagraph"/>
              <w:widowControl/>
              <w:kinsoku w:val="0"/>
              <w:overflowPunct w:val="0"/>
              <w:jc w:val="both"/>
              <w:rPr>
                <w:i/>
                <w:iCs/>
                <w:noProof/>
                <w:sz w:val="20"/>
                <w:szCs w:val="20"/>
              </w:rPr>
            </w:pPr>
            <w:r w:rsidRPr="00F35F4D">
              <w:rPr>
                <w:i/>
                <w:noProof/>
                <w:sz w:val="20"/>
                <w:szCs w:val="20"/>
              </w:rPr>
              <w:t>Dzīvnieku veids</w:t>
            </w:r>
          </w:p>
        </w:tc>
        <w:tc>
          <w:tcPr>
            <w:tcW w:w="908" w:type="pct"/>
            <w:tcBorders>
              <w:top w:val="single" w:sz="4" w:space="0" w:color="000000"/>
              <w:left w:val="nil"/>
              <w:bottom w:val="single" w:sz="12" w:space="0" w:color="000000"/>
              <w:right w:val="nil"/>
            </w:tcBorders>
          </w:tcPr>
          <w:p w14:paraId="0DC550F0" w14:textId="77777777" w:rsidR="008E3F72" w:rsidRPr="00F35F4D" w:rsidRDefault="008E3F72" w:rsidP="0010018A">
            <w:pPr>
              <w:pStyle w:val="TableParagraph"/>
              <w:widowControl/>
              <w:kinsoku w:val="0"/>
              <w:overflowPunct w:val="0"/>
              <w:jc w:val="both"/>
              <w:rPr>
                <w:i/>
                <w:iCs/>
                <w:noProof/>
                <w:sz w:val="20"/>
                <w:szCs w:val="20"/>
              </w:rPr>
            </w:pPr>
            <w:r w:rsidRPr="00F35F4D">
              <w:rPr>
                <w:i/>
                <w:noProof/>
                <w:sz w:val="20"/>
                <w:szCs w:val="20"/>
              </w:rPr>
              <w:t>Zems mērķis</w:t>
            </w:r>
          </w:p>
        </w:tc>
        <w:tc>
          <w:tcPr>
            <w:tcW w:w="979" w:type="pct"/>
            <w:tcBorders>
              <w:top w:val="single" w:sz="4" w:space="0" w:color="000000"/>
              <w:left w:val="nil"/>
              <w:bottom w:val="single" w:sz="12" w:space="0" w:color="000000"/>
              <w:right w:val="nil"/>
            </w:tcBorders>
          </w:tcPr>
          <w:p w14:paraId="65BEB916" w14:textId="77777777" w:rsidR="008E3F72" w:rsidRPr="00F35F4D" w:rsidRDefault="008E3F72" w:rsidP="0010018A">
            <w:pPr>
              <w:pStyle w:val="TableParagraph"/>
              <w:widowControl/>
              <w:kinsoku w:val="0"/>
              <w:overflowPunct w:val="0"/>
              <w:jc w:val="both"/>
              <w:rPr>
                <w:i/>
                <w:iCs/>
                <w:noProof/>
                <w:sz w:val="20"/>
                <w:szCs w:val="20"/>
              </w:rPr>
            </w:pPr>
            <w:r w:rsidRPr="00F35F4D">
              <w:rPr>
                <w:i/>
                <w:noProof/>
                <w:sz w:val="20"/>
                <w:szCs w:val="20"/>
              </w:rPr>
              <w:t>Vidējs mērķis</w:t>
            </w:r>
          </w:p>
        </w:tc>
        <w:tc>
          <w:tcPr>
            <w:tcW w:w="824" w:type="pct"/>
            <w:tcBorders>
              <w:top w:val="single" w:sz="4" w:space="0" w:color="000000"/>
              <w:left w:val="nil"/>
              <w:bottom w:val="single" w:sz="12" w:space="0" w:color="000000"/>
              <w:right w:val="nil"/>
            </w:tcBorders>
          </w:tcPr>
          <w:p w14:paraId="60CF8025" w14:textId="77777777" w:rsidR="008E3F72" w:rsidRPr="00F35F4D" w:rsidRDefault="008E3F72" w:rsidP="0010018A">
            <w:pPr>
              <w:pStyle w:val="TableParagraph"/>
              <w:widowControl/>
              <w:kinsoku w:val="0"/>
              <w:overflowPunct w:val="0"/>
              <w:jc w:val="both"/>
              <w:rPr>
                <w:i/>
                <w:iCs/>
                <w:noProof/>
                <w:sz w:val="20"/>
                <w:szCs w:val="20"/>
              </w:rPr>
            </w:pPr>
            <w:r w:rsidRPr="00F35F4D">
              <w:rPr>
                <w:i/>
                <w:noProof/>
                <w:sz w:val="20"/>
                <w:szCs w:val="20"/>
              </w:rPr>
              <w:t>Augsts mērķis</w:t>
            </w:r>
          </w:p>
        </w:tc>
      </w:tr>
      <w:tr w:rsidR="008E3F72" w:rsidRPr="00F35F4D" w14:paraId="7D336EBC" w14:textId="77777777" w:rsidTr="0010018A">
        <w:tc>
          <w:tcPr>
            <w:tcW w:w="5000" w:type="pct"/>
            <w:gridSpan w:val="4"/>
            <w:tcBorders>
              <w:top w:val="single" w:sz="12" w:space="0" w:color="000000"/>
              <w:left w:val="nil"/>
              <w:bottom w:val="nil"/>
              <w:right w:val="nil"/>
            </w:tcBorders>
          </w:tcPr>
          <w:p w14:paraId="61971CA9" w14:textId="77777777" w:rsidR="008E3F72" w:rsidRPr="00F35F4D" w:rsidRDefault="008E3F72" w:rsidP="0010018A">
            <w:pPr>
              <w:pStyle w:val="TableParagraph"/>
              <w:widowControl/>
              <w:kinsoku w:val="0"/>
              <w:overflowPunct w:val="0"/>
              <w:jc w:val="both"/>
              <w:rPr>
                <w:b/>
                <w:bCs/>
                <w:noProof/>
                <w:sz w:val="20"/>
                <w:szCs w:val="20"/>
              </w:rPr>
            </w:pPr>
            <w:r w:rsidRPr="00F35F4D">
              <w:rPr>
                <w:b/>
                <w:noProof/>
                <w:sz w:val="20"/>
                <w:szCs w:val="20"/>
              </w:rPr>
              <w:t>Liellopi</w:t>
            </w:r>
          </w:p>
        </w:tc>
      </w:tr>
      <w:tr w:rsidR="008E3F72" w:rsidRPr="00F35F4D" w14:paraId="1703337F" w14:textId="77777777" w:rsidTr="0010018A">
        <w:tc>
          <w:tcPr>
            <w:tcW w:w="2289" w:type="pct"/>
            <w:tcBorders>
              <w:top w:val="nil"/>
              <w:left w:val="nil"/>
              <w:bottom w:val="nil"/>
              <w:right w:val="nil"/>
            </w:tcBorders>
          </w:tcPr>
          <w:p w14:paraId="392C1F5A" w14:textId="1C26AF32"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Piena </w:t>
            </w:r>
            <w:r w:rsidR="0060225B">
              <w:rPr>
                <w:sz w:val="20"/>
                <w:szCs w:val="20"/>
              </w:rPr>
              <w:t>liel</w:t>
            </w:r>
            <w:r w:rsidRPr="00F35F4D">
              <w:rPr>
                <w:sz w:val="20"/>
                <w:szCs w:val="20"/>
              </w:rPr>
              <w:t>lopi, agrīnā laktācija (&gt; 30 kg dienā)</w:t>
            </w:r>
          </w:p>
        </w:tc>
        <w:tc>
          <w:tcPr>
            <w:tcW w:w="908" w:type="pct"/>
            <w:tcBorders>
              <w:top w:val="nil"/>
              <w:left w:val="nil"/>
              <w:bottom w:val="nil"/>
              <w:right w:val="nil"/>
            </w:tcBorders>
          </w:tcPr>
          <w:p w14:paraId="6CBB9FAD" w14:textId="77777777" w:rsidR="008E3F72" w:rsidRPr="00F35F4D" w:rsidRDefault="008E3F72" w:rsidP="0010018A">
            <w:pPr>
              <w:pStyle w:val="TableParagraph"/>
              <w:widowControl/>
              <w:kinsoku w:val="0"/>
              <w:overflowPunct w:val="0"/>
              <w:jc w:val="both"/>
              <w:rPr>
                <w:b/>
                <w:bCs/>
                <w:noProof/>
                <w:sz w:val="20"/>
                <w:szCs w:val="20"/>
              </w:rPr>
            </w:pPr>
          </w:p>
          <w:p w14:paraId="74E9A3D5"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17–18</w:t>
            </w:r>
          </w:p>
        </w:tc>
        <w:tc>
          <w:tcPr>
            <w:tcW w:w="979" w:type="pct"/>
            <w:tcBorders>
              <w:top w:val="nil"/>
              <w:left w:val="nil"/>
              <w:bottom w:val="nil"/>
              <w:right w:val="nil"/>
            </w:tcBorders>
          </w:tcPr>
          <w:p w14:paraId="423F297A" w14:textId="77777777" w:rsidR="008E3F72" w:rsidRPr="00F35F4D" w:rsidRDefault="008E3F72" w:rsidP="0010018A">
            <w:pPr>
              <w:pStyle w:val="TableParagraph"/>
              <w:widowControl/>
              <w:kinsoku w:val="0"/>
              <w:overflowPunct w:val="0"/>
              <w:jc w:val="both"/>
              <w:rPr>
                <w:b/>
                <w:bCs/>
                <w:noProof/>
                <w:sz w:val="20"/>
                <w:szCs w:val="20"/>
              </w:rPr>
            </w:pPr>
          </w:p>
          <w:p w14:paraId="0C26F3F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16–17</w:t>
            </w:r>
          </w:p>
        </w:tc>
        <w:tc>
          <w:tcPr>
            <w:tcW w:w="824" w:type="pct"/>
            <w:tcBorders>
              <w:top w:val="nil"/>
              <w:left w:val="nil"/>
              <w:bottom w:val="nil"/>
              <w:right w:val="nil"/>
            </w:tcBorders>
          </w:tcPr>
          <w:p w14:paraId="4D6AA2AC" w14:textId="77777777" w:rsidR="008E3F72" w:rsidRPr="00F35F4D" w:rsidRDefault="008E3F72" w:rsidP="0010018A">
            <w:pPr>
              <w:pStyle w:val="TableParagraph"/>
              <w:widowControl/>
              <w:kinsoku w:val="0"/>
              <w:overflowPunct w:val="0"/>
              <w:jc w:val="both"/>
              <w:rPr>
                <w:b/>
                <w:bCs/>
                <w:noProof/>
                <w:sz w:val="20"/>
                <w:szCs w:val="20"/>
              </w:rPr>
            </w:pPr>
          </w:p>
          <w:p w14:paraId="0EEF8D0F"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15–16</w:t>
            </w:r>
          </w:p>
        </w:tc>
      </w:tr>
      <w:tr w:rsidR="008E3F72" w:rsidRPr="00F35F4D" w14:paraId="283AD5A2" w14:textId="77777777" w:rsidTr="0010018A">
        <w:tc>
          <w:tcPr>
            <w:tcW w:w="2289" w:type="pct"/>
            <w:tcBorders>
              <w:top w:val="nil"/>
              <w:left w:val="nil"/>
              <w:bottom w:val="nil"/>
              <w:right w:val="nil"/>
            </w:tcBorders>
          </w:tcPr>
          <w:p w14:paraId="70DB47B4" w14:textId="131BDA86"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Piena </w:t>
            </w:r>
            <w:r w:rsidR="0060225B">
              <w:rPr>
                <w:sz w:val="20"/>
                <w:szCs w:val="20"/>
              </w:rPr>
              <w:t>liel</w:t>
            </w:r>
            <w:r w:rsidRPr="00F35F4D">
              <w:rPr>
                <w:sz w:val="20"/>
                <w:szCs w:val="20"/>
              </w:rPr>
              <w:t>lopi, agrīnā laktācija (&lt; 30 kg dienā)</w:t>
            </w:r>
          </w:p>
        </w:tc>
        <w:tc>
          <w:tcPr>
            <w:tcW w:w="908" w:type="pct"/>
            <w:tcBorders>
              <w:top w:val="nil"/>
              <w:left w:val="nil"/>
              <w:bottom w:val="nil"/>
              <w:right w:val="nil"/>
            </w:tcBorders>
          </w:tcPr>
          <w:p w14:paraId="275AC9EA" w14:textId="77777777" w:rsidR="008E3F72" w:rsidRPr="00F35F4D" w:rsidRDefault="008E3F72" w:rsidP="0010018A">
            <w:pPr>
              <w:pStyle w:val="TableParagraph"/>
              <w:widowControl/>
              <w:kinsoku w:val="0"/>
              <w:overflowPunct w:val="0"/>
              <w:jc w:val="both"/>
              <w:rPr>
                <w:b/>
                <w:bCs/>
                <w:noProof/>
                <w:sz w:val="20"/>
                <w:szCs w:val="20"/>
              </w:rPr>
            </w:pPr>
          </w:p>
          <w:p w14:paraId="6100E3D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16–17</w:t>
            </w:r>
          </w:p>
        </w:tc>
        <w:tc>
          <w:tcPr>
            <w:tcW w:w="979" w:type="pct"/>
            <w:tcBorders>
              <w:top w:val="nil"/>
              <w:left w:val="nil"/>
              <w:bottom w:val="nil"/>
              <w:right w:val="nil"/>
            </w:tcBorders>
          </w:tcPr>
          <w:p w14:paraId="7A323E31" w14:textId="77777777" w:rsidR="008E3F72" w:rsidRPr="00F35F4D" w:rsidRDefault="008E3F72" w:rsidP="0010018A">
            <w:pPr>
              <w:pStyle w:val="TableParagraph"/>
              <w:widowControl/>
              <w:kinsoku w:val="0"/>
              <w:overflowPunct w:val="0"/>
              <w:jc w:val="both"/>
              <w:rPr>
                <w:b/>
                <w:bCs/>
                <w:noProof/>
                <w:sz w:val="20"/>
                <w:szCs w:val="20"/>
              </w:rPr>
            </w:pPr>
          </w:p>
          <w:p w14:paraId="7488E4BE"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15–16</w:t>
            </w:r>
          </w:p>
        </w:tc>
        <w:tc>
          <w:tcPr>
            <w:tcW w:w="824" w:type="pct"/>
            <w:tcBorders>
              <w:top w:val="nil"/>
              <w:left w:val="nil"/>
              <w:bottom w:val="nil"/>
              <w:right w:val="nil"/>
            </w:tcBorders>
          </w:tcPr>
          <w:p w14:paraId="42BC5279" w14:textId="77777777" w:rsidR="008E3F72" w:rsidRPr="00F35F4D" w:rsidRDefault="008E3F72" w:rsidP="0010018A">
            <w:pPr>
              <w:pStyle w:val="TableParagraph"/>
              <w:widowControl/>
              <w:kinsoku w:val="0"/>
              <w:overflowPunct w:val="0"/>
              <w:jc w:val="both"/>
              <w:rPr>
                <w:b/>
                <w:bCs/>
                <w:noProof/>
                <w:sz w:val="20"/>
                <w:szCs w:val="20"/>
              </w:rPr>
            </w:pPr>
          </w:p>
          <w:p w14:paraId="4DB4B2C4"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14–15</w:t>
            </w:r>
          </w:p>
        </w:tc>
      </w:tr>
      <w:tr w:rsidR="008E3F72" w:rsidRPr="00F35F4D" w14:paraId="342245DE" w14:textId="77777777" w:rsidTr="0010018A">
        <w:tc>
          <w:tcPr>
            <w:tcW w:w="2289" w:type="pct"/>
            <w:tcBorders>
              <w:top w:val="nil"/>
              <w:left w:val="nil"/>
              <w:bottom w:val="nil"/>
              <w:right w:val="nil"/>
            </w:tcBorders>
          </w:tcPr>
          <w:p w14:paraId="742265D0" w14:textId="2E9AF37D" w:rsidR="008E3F72" w:rsidRPr="00F35F4D" w:rsidRDefault="008E3F72" w:rsidP="0010018A">
            <w:pPr>
              <w:pStyle w:val="TableParagraph"/>
              <w:widowControl/>
              <w:kinsoku w:val="0"/>
              <w:overflowPunct w:val="0"/>
              <w:jc w:val="both"/>
              <w:rPr>
                <w:noProof/>
                <w:sz w:val="20"/>
                <w:szCs w:val="20"/>
              </w:rPr>
            </w:pPr>
            <w:r w:rsidRPr="00F35F4D">
              <w:rPr>
                <w:sz w:val="20"/>
                <w:szCs w:val="20"/>
              </w:rPr>
              <w:t xml:space="preserve">Piena </w:t>
            </w:r>
            <w:r w:rsidR="0060225B">
              <w:rPr>
                <w:sz w:val="20"/>
                <w:szCs w:val="20"/>
              </w:rPr>
              <w:t>liel</w:t>
            </w:r>
            <w:r w:rsidRPr="00F35F4D">
              <w:rPr>
                <w:sz w:val="20"/>
                <w:szCs w:val="20"/>
              </w:rPr>
              <w:t>lopi, vēlīnā laktācija</w:t>
            </w:r>
          </w:p>
        </w:tc>
        <w:tc>
          <w:tcPr>
            <w:tcW w:w="908" w:type="pct"/>
            <w:tcBorders>
              <w:top w:val="nil"/>
              <w:left w:val="nil"/>
              <w:bottom w:val="nil"/>
              <w:right w:val="nil"/>
            </w:tcBorders>
          </w:tcPr>
          <w:p w14:paraId="66A8E514"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15–16</w:t>
            </w:r>
          </w:p>
        </w:tc>
        <w:tc>
          <w:tcPr>
            <w:tcW w:w="979" w:type="pct"/>
            <w:tcBorders>
              <w:top w:val="nil"/>
              <w:left w:val="nil"/>
              <w:bottom w:val="nil"/>
              <w:right w:val="nil"/>
            </w:tcBorders>
          </w:tcPr>
          <w:p w14:paraId="78692EA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14–15</w:t>
            </w:r>
          </w:p>
        </w:tc>
        <w:tc>
          <w:tcPr>
            <w:tcW w:w="824" w:type="pct"/>
            <w:tcBorders>
              <w:top w:val="nil"/>
              <w:left w:val="nil"/>
              <w:bottom w:val="nil"/>
              <w:right w:val="nil"/>
            </w:tcBorders>
          </w:tcPr>
          <w:p w14:paraId="7630405E"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12–14</w:t>
            </w:r>
          </w:p>
        </w:tc>
      </w:tr>
      <w:tr w:rsidR="008E3F72" w:rsidRPr="00F35F4D" w14:paraId="327B5647" w14:textId="77777777" w:rsidTr="0010018A">
        <w:tc>
          <w:tcPr>
            <w:tcW w:w="2289" w:type="pct"/>
            <w:tcBorders>
              <w:top w:val="nil"/>
              <w:left w:val="nil"/>
              <w:bottom w:val="nil"/>
              <w:right w:val="nil"/>
            </w:tcBorders>
          </w:tcPr>
          <w:p w14:paraId="21DF28E5"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Teļi (jaunlopi)</w:t>
            </w:r>
          </w:p>
        </w:tc>
        <w:tc>
          <w:tcPr>
            <w:tcW w:w="908" w:type="pct"/>
            <w:tcBorders>
              <w:top w:val="nil"/>
              <w:left w:val="nil"/>
              <w:bottom w:val="nil"/>
              <w:right w:val="nil"/>
            </w:tcBorders>
          </w:tcPr>
          <w:p w14:paraId="0930AB77"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14–16</w:t>
            </w:r>
          </w:p>
        </w:tc>
        <w:tc>
          <w:tcPr>
            <w:tcW w:w="979" w:type="pct"/>
            <w:tcBorders>
              <w:top w:val="nil"/>
              <w:left w:val="nil"/>
              <w:bottom w:val="nil"/>
              <w:right w:val="nil"/>
            </w:tcBorders>
          </w:tcPr>
          <w:p w14:paraId="2B2EB8A4"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13–14</w:t>
            </w:r>
          </w:p>
        </w:tc>
        <w:tc>
          <w:tcPr>
            <w:tcW w:w="824" w:type="pct"/>
            <w:tcBorders>
              <w:top w:val="nil"/>
              <w:left w:val="nil"/>
              <w:bottom w:val="nil"/>
              <w:right w:val="nil"/>
            </w:tcBorders>
          </w:tcPr>
          <w:p w14:paraId="3A6E3F33"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12–13</w:t>
            </w:r>
          </w:p>
        </w:tc>
      </w:tr>
      <w:tr w:rsidR="008E3F72" w:rsidRPr="00F35F4D" w14:paraId="65DB72F3" w14:textId="77777777" w:rsidTr="0010018A">
        <w:tc>
          <w:tcPr>
            <w:tcW w:w="2289" w:type="pct"/>
            <w:tcBorders>
              <w:top w:val="nil"/>
              <w:left w:val="nil"/>
              <w:bottom w:val="nil"/>
              <w:right w:val="nil"/>
            </w:tcBorders>
          </w:tcPr>
          <w:p w14:paraId="40A9B7F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Teļi</w:t>
            </w:r>
          </w:p>
        </w:tc>
        <w:tc>
          <w:tcPr>
            <w:tcW w:w="908" w:type="pct"/>
            <w:tcBorders>
              <w:top w:val="nil"/>
              <w:left w:val="nil"/>
              <w:bottom w:val="nil"/>
              <w:right w:val="nil"/>
            </w:tcBorders>
          </w:tcPr>
          <w:p w14:paraId="4A032DDC"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20–22</w:t>
            </w:r>
          </w:p>
        </w:tc>
        <w:tc>
          <w:tcPr>
            <w:tcW w:w="979" w:type="pct"/>
            <w:tcBorders>
              <w:top w:val="nil"/>
              <w:left w:val="nil"/>
              <w:bottom w:val="nil"/>
              <w:right w:val="nil"/>
            </w:tcBorders>
          </w:tcPr>
          <w:p w14:paraId="7703346C"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19–20</w:t>
            </w:r>
          </w:p>
        </w:tc>
        <w:tc>
          <w:tcPr>
            <w:tcW w:w="824" w:type="pct"/>
            <w:tcBorders>
              <w:top w:val="nil"/>
              <w:left w:val="nil"/>
              <w:bottom w:val="nil"/>
              <w:right w:val="nil"/>
            </w:tcBorders>
          </w:tcPr>
          <w:p w14:paraId="50FF1BD4"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17–19</w:t>
            </w:r>
          </w:p>
        </w:tc>
      </w:tr>
      <w:tr w:rsidR="008E3F72" w:rsidRPr="00F35F4D" w14:paraId="4F314277" w14:textId="77777777" w:rsidTr="0010018A">
        <w:tc>
          <w:tcPr>
            <w:tcW w:w="2289" w:type="pct"/>
            <w:tcBorders>
              <w:top w:val="nil"/>
              <w:left w:val="nil"/>
              <w:bottom w:val="nil"/>
              <w:right w:val="nil"/>
            </w:tcBorders>
          </w:tcPr>
          <w:p w14:paraId="2ED5B370"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Bullīši, &lt; 3 mēneši</w:t>
            </w:r>
          </w:p>
        </w:tc>
        <w:tc>
          <w:tcPr>
            <w:tcW w:w="908" w:type="pct"/>
            <w:tcBorders>
              <w:top w:val="nil"/>
              <w:left w:val="nil"/>
              <w:bottom w:val="nil"/>
              <w:right w:val="nil"/>
            </w:tcBorders>
          </w:tcPr>
          <w:p w14:paraId="57519D63"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17–18</w:t>
            </w:r>
          </w:p>
        </w:tc>
        <w:tc>
          <w:tcPr>
            <w:tcW w:w="979" w:type="pct"/>
            <w:tcBorders>
              <w:top w:val="nil"/>
              <w:left w:val="nil"/>
              <w:bottom w:val="nil"/>
              <w:right w:val="nil"/>
            </w:tcBorders>
          </w:tcPr>
          <w:p w14:paraId="710FC6AA"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16–17</w:t>
            </w:r>
          </w:p>
        </w:tc>
        <w:tc>
          <w:tcPr>
            <w:tcW w:w="824" w:type="pct"/>
            <w:tcBorders>
              <w:top w:val="nil"/>
              <w:left w:val="nil"/>
              <w:bottom w:val="nil"/>
              <w:right w:val="nil"/>
            </w:tcBorders>
          </w:tcPr>
          <w:p w14:paraId="0545509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15–16</w:t>
            </w:r>
          </w:p>
        </w:tc>
      </w:tr>
      <w:tr w:rsidR="008E3F72" w:rsidRPr="00F35F4D" w14:paraId="65FC21FC" w14:textId="77777777" w:rsidTr="0010018A">
        <w:tc>
          <w:tcPr>
            <w:tcW w:w="2289" w:type="pct"/>
            <w:tcBorders>
              <w:top w:val="nil"/>
              <w:left w:val="nil"/>
              <w:bottom w:val="nil"/>
              <w:right w:val="nil"/>
            </w:tcBorders>
          </w:tcPr>
          <w:p w14:paraId="2FCF9D02"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Bullīši, &lt; 6 mēneši</w:t>
            </w:r>
          </w:p>
        </w:tc>
        <w:tc>
          <w:tcPr>
            <w:tcW w:w="908" w:type="pct"/>
            <w:tcBorders>
              <w:top w:val="nil"/>
              <w:left w:val="nil"/>
              <w:bottom w:val="nil"/>
              <w:right w:val="nil"/>
            </w:tcBorders>
          </w:tcPr>
          <w:p w14:paraId="4AC71E08"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14–15</w:t>
            </w:r>
          </w:p>
        </w:tc>
        <w:tc>
          <w:tcPr>
            <w:tcW w:w="979" w:type="pct"/>
            <w:tcBorders>
              <w:top w:val="nil"/>
              <w:left w:val="nil"/>
              <w:bottom w:val="nil"/>
              <w:right w:val="nil"/>
            </w:tcBorders>
          </w:tcPr>
          <w:p w14:paraId="53D7FD9C"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13–14</w:t>
            </w:r>
          </w:p>
        </w:tc>
        <w:tc>
          <w:tcPr>
            <w:tcW w:w="824" w:type="pct"/>
            <w:tcBorders>
              <w:top w:val="nil"/>
              <w:left w:val="nil"/>
              <w:bottom w:val="nil"/>
              <w:right w:val="nil"/>
            </w:tcBorders>
          </w:tcPr>
          <w:p w14:paraId="2029284F"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12–13</w:t>
            </w:r>
          </w:p>
        </w:tc>
      </w:tr>
      <w:tr w:rsidR="008E3F72" w:rsidRPr="00F35F4D" w14:paraId="56C65222" w14:textId="77777777" w:rsidTr="0010018A">
        <w:tc>
          <w:tcPr>
            <w:tcW w:w="5000" w:type="pct"/>
            <w:gridSpan w:val="4"/>
            <w:tcBorders>
              <w:top w:val="nil"/>
              <w:left w:val="nil"/>
              <w:bottom w:val="nil"/>
              <w:right w:val="nil"/>
            </w:tcBorders>
          </w:tcPr>
          <w:p w14:paraId="14B09EBC" w14:textId="77777777" w:rsidR="008E3F72" w:rsidRPr="00F35F4D" w:rsidRDefault="008E3F72" w:rsidP="0010018A">
            <w:pPr>
              <w:pStyle w:val="TableParagraph"/>
              <w:widowControl/>
              <w:kinsoku w:val="0"/>
              <w:overflowPunct w:val="0"/>
              <w:jc w:val="both"/>
              <w:rPr>
                <w:b/>
                <w:bCs/>
                <w:noProof/>
                <w:sz w:val="20"/>
                <w:szCs w:val="20"/>
              </w:rPr>
            </w:pPr>
            <w:r w:rsidRPr="00F35F4D">
              <w:rPr>
                <w:b/>
                <w:noProof/>
                <w:sz w:val="20"/>
                <w:szCs w:val="20"/>
              </w:rPr>
              <w:t>Cūkas</w:t>
            </w:r>
          </w:p>
        </w:tc>
      </w:tr>
      <w:tr w:rsidR="008E3F72" w:rsidRPr="00F35F4D" w14:paraId="2AA514E0" w14:textId="77777777" w:rsidTr="0010018A">
        <w:tc>
          <w:tcPr>
            <w:tcW w:w="2289" w:type="pct"/>
            <w:tcBorders>
              <w:top w:val="nil"/>
              <w:left w:val="nil"/>
              <w:bottom w:val="nil"/>
              <w:right w:val="nil"/>
            </w:tcBorders>
          </w:tcPr>
          <w:p w14:paraId="1149D944" w14:textId="3C137C56" w:rsidR="008E3F72" w:rsidRPr="00F35F4D" w:rsidRDefault="0060225B" w:rsidP="0010018A">
            <w:pPr>
              <w:pStyle w:val="TableParagraph"/>
              <w:widowControl/>
              <w:kinsoku w:val="0"/>
              <w:overflowPunct w:val="0"/>
              <w:jc w:val="both"/>
              <w:rPr>
                <w:noProof/>
                <w:sz w:val="20"/>
                <w:szCs w:val="20"/>
              </w:rPr>
            </w:pPr>
            <w:r>
              <w:rPr>
                <w:sz w:val="20"/>
                <w:szCs w:val="20"/>
              </w:rPr>
              <w:t>Sivēnmātes grūsnības periodā</w:t>
            </w:r>
          </w:p>
        </w:tc>
        <w:tc>
          <w:tcPr>
            <w:tcW w:w="908" w:type="pct"/>
            <w:tcBorders>
              <w:top w:val="nil"/>
              <w:left w:val="nil"/>
              <w:bottom w:val="nil"/>
              <w:right w:val="nil"/>
            </w:tcBorders>
          </w:tcPr>
          <w:p w14:paraId="5920C34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15–16</w:t>
            </w:r>
          </w:p>
        </w:tc>
        <w:tc>
          <w:tcPr>
            <w:tcW w:w="979" w:type="pct"/>
            <w:tcBorders>
              <w:top w:val="nil"/>
              <w:left w:val="nil"/>
              <w:bottom w:val="nil"/>
              <w:right w:val="nil"/>
            </w:tcBorders>
          </w:tcPr>
          <w:p w14:paraId="58F0F9EC"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14–15</w:t>
            </w:r>
          </w:p>
        </w:tc>
        <w:tc>
          <w:tcPr>
            <w:tcW w:w="824" w:type="pct"/>
            <w:tcBorders>
              <w:top w:val="nil"/>
              <w:left w:val="nil"/>
              <w:bottom w:val="nil"/>
              <w:right w:val="nil"/>
            </w:tcBorders>
          </w:tcPr>
          <w:p w14:paraId="2FB0BF3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13–14</w:t>
            </w:r>
          </w:p>
        </w:tc>
      </w:tr>
      <w:tr w:rsidR="008E3F72" w:rsidRPr="00F35F4D" w14:paraId="63D9390F" w14:textId="77777777" w:rsidTr="0010018A">
        <w:tc>
          <w:tcPr>
            <w:tcW w:w="2289" w:type="pct"/>
            <w:tcBorders>
              <w:top w:val="nil"/>
              <w:left w:val="nil"/>
              <w:bottom w:val="nil"/>
              <w:right w:val="nil"/>
            </w:tcBorders>
          </w:tcPr>
          <w:p w14:paraId="1A1E9212" w14:textId="6EA79AD1" w:rsidR="008E3F72" w:rsidRPr="00F35F4D" w:rsidRDefault="0060225B" w:rsidP="0010018A">
            <w:pPr>
              <w:pStyle w:val="TableParagraph"/>
              <w:widowControl/>
              <w:kinsoku w:val="0"/>
              <w:overflowPunct w:val="0"/>
              <w:jc w:val="both"/>
              <w:rPr>
                <w:noProof/>
                <w:sz w:val="20"/>
                <w:szCs w:val="20"/>
              </w:rPr>
            </w:pPr>
            <w:r>
              <w:rPr>
                <w:sz w:val="20"/>
                <w:szCs w:val="20"/>
              </w:rPr>
              <w:t>Sivēnmātes zīdīšanas periodā</w:t>
            </w:r>
          </w:p>
        </w:tc>
        <w:tc>
          <w:tcPr>
            <w:tcW w:w="908" w:type="pct"/>
            <w:tcBorders>
              <w:top w:val="nil"/>
              <w:left w:val="nil"/>
              <w:bottom w:val="nil"/>
              <w:right w:val="nil"/>
            </w:tcBorders>
          </w:tcPr>
          <w:p w14:paraId="21D674F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17–18</w:t>
            </w:r>
          </w:p>
        </w:tc>
        <w:tc>
          <w:tcPr>
            <w:tcW w:w="979" w:type="pct"/>
            <w:tcBorders>
              <w:top w:val="nil"/>
              <w:left w:val="nil"/>
              <w:bottom w:val="nil"/>
              <w:right w:val="nil"/>
            </w:tcBorders>
          </w:tcPr>
          <w:p w14:paraId="3B51D297"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16–17</w:t>
            </w:r>
          </w:p>
        </w:tc>
        <w:tc>
          <w:tcPr>
            <w:tcW w:w="824" w:type="pct"/>
            <w:tcBorders>
              <w:top w:val="nil"/>
              <w:left w:val="nil"/>
              <w:bottom w:val="nil"/>
              <w:right w:val="nil"/>
            </w:tcBorders>
          </w:tcPr>
          <w:p w14:paraId="4D08C0CC"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15–16</w:t>
            </w:r>
          </w:p>
        </w:tc>
      </w:tr>
      <w:tr w:rsidR="008E3F72" w:rsidRPr="00F35F4D" w14:paraId="59C4B577" w14:textId="77777777" w:rsidTr="0010018A">
        <w:tc>
          <w:tcPr>
            <w:tcW w:w="2289" w:type="pct"/>
            <w:tcBorders>
              <w:top w:val="nil"/>
              <w:left w:val="nil"/>
              <w:bottom w:val="nil"/>
              <w:right w:val="nil"/>
            </w:tcBorders>
          </w:tcPr>
          <w:p w14:paraId="1F6EE452"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Atšķirti sivēni, &lt;10 kg</w:t>
            </w:r>
          </w:p>
        </w:tc>
        <w:tc>
          <w:tcPr>
            <w:tcW w:w="908" w:type="pct"/>
            <w:tcBorders>
              <w:top w:val="nil"/>
              <w:left w:val="nil"/>
              <w:bottom w:val="nil"/>
              <w:right w:val="nil"/>
            </w:tcBorders>
          </w:tcPr>
          <w:p w14:paraId="7C39D888"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21–22</w:t>
            </w:r>
          </w:p>
        </w:tc>
        <w:tc>
          <w:tcPr>
            <w:tcW w:w="979" w:type="pct"/>
            <w:tcBorders>
              <w:top w:val="nil"/>
              <w:left w:val="nil"/>
              <w:bottom w:val="nil"/>
              <w:right w:val="nil"/>
            </w:tcBorders>
          </w:tcPr>
          <w:p w14:paraId="5234C2D4"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20–21</w:t>
            </w:r>
          </w:p>
        </w:tc>
        <w:tc>
          <w:tcPr>
            <w:tcW w:w="824" w:type="pct"/>
            <w:tcBorders>
              <w:top w:val="nil"/>
              <w:left w:val="nil"/>
              <w:bottom w:val="nil"/>
              <w:right w:val="nil"/>
            </w:tcBorders>
          </w:tcPr>
          <w:p w14:paraId="4D232EBC"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19–20</w:t>
            </w:r>
          </w:p>
        </w:tc>
      </w:tr>
      <w:tr w:rsidR="008E3F72" w:rsidRPr="00F35F4D" w14:paraId="09E492BD" w14:textId="77777777" w:rsidTr="0010018A">
        <w:tc>
          <w:tcPr>
            <w:tcW w:w="2289" w:type="pct"/>
            <w:tcBorders>
              <w:top w:val="nil"/>
              <w:left w:val="nil"/>
              <w:bottom w:val="nil"/>
              <w:right w:val="nil"/>
            </w:tcBorders>
          </w:tcPr>
          <w:p w14:paraId="6A7287E5"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Sivēni,10–25 kg</w:t>
            </w:r>
          </w:p>
        </w:tc>
        <w:tc>
          <w:tcPr>
            <w:tcW w:w="908" w:type="pct"/>
            <w:tcBorders>
              <w:top w:val="nil"/>
              <w:left w:val="nil"/>
              <w:bottom w:val="nil"/>
              <w:right w:val="nil"/>
            </w:tcBorders>
          </w:tcPr>
          <w:p w14:paraId="46D44B1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19–20</w:t>
            </w:r>
          </w:p>
        </w:tc>
        <w:tc>
          <w:tcPr>
            <w:tcW w:w="979" w:type="pct"/>
            <w:tcBorders>
              <w:top w:val="nil"/>
              <w:left w:val="nil"/>
              <w:bottom w:val="nil"/>
              <w:right w:val="nil"/>
            </w:tcBorders>
          </w:tcPr>
          <w:p w14:paraId="59515E3C"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18–19</w:t>
            </w:r>
          </w:p>
        </w:tc>
        <w:tc>
          <w:tcPr>
            <w:tcW w:w="824" w:type="pct"/>
            <w:tcBorders>
              <w:top w:val="nil"/>
              <w:left w:val="nil"/>
              <w:bottom w:val="nil"/>
              <w:right w:val="nil"/>
            </w:tcBorders>
          </w:tcPr>
          <w:p w14:paraId="21991C6F"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17–18</w:t>
            </w:r>
          </w:p>
        </w:tc>
      </w:tr>
      <w:tr w:rsidR="008E3F72" w:rsidRPr="00F35F4D" w14:paraId="05D7C827" w14:textId="77777777" w:rsidTr="0010018A">
        <w:tc>
          <w:tcPr>
            <w:tcW w:w="2289" w:type="pct"/>
            <w:tcBorders>
              <w:top w:val="nil"/>
              <w:left w:val="nil"/>
              <w:bottom w:val="nil"/>
              <w:right w:val="nil"/>
            </w:tcBorders>
          </w:tcPr>
          <w:p w14:paraId="20DE09E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Nobarojamas cūkas, 25–50 kg</w:t>
            </w:r>
          </w:p>
        </w:tc>
        <w:tc>
          <w:tcPr>
            <w:tcW w:w="908" w:type="pct"/>
            <w:tcBorders>
              <w:top w:val="nil"/>
              <w:left w:val="nil"/>
              <w:bottom w:val="nil"/>
              <w:right w:val="nil"/>
            </w:tcBorders>
          </w:tcPr>
          <w:p w14:paraId="012F4B20"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17–18</w:t>
            </w:r>
          </w:p>
        </w:tc>
        <w:tc>
          <w:tcPr>
            <w:tcW w:w="979" w:type="pct"/>
            <w:tcBorders>
              <w:top w:val="nil"/>
              <w:left w:val="nil"/>
              <w:bottom w:val="nil"/>
              <w:right w:val="nil"/>
            </w:tcBorders>
          </w:tcPr>
          <w:p w14:paraId="0E61BA6F"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16–17</w:t>
            </w:r>
          </w:p>
        </w:tc>
        <w:tc>
          <w:tcPr>
            <w:tcW w:w="824" w:type="pct"/>
            <w:tcBorders>
              <w:top w:val="nil"/>
              <w:left w:val="nil"/>
              <w:bottom w:val="nil"/>
              <w:right w:val="nil"/>
            </w:tcBorders>
          </w:tcPr>
          <w:p w14:paraId="5639E374"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15–16</w:t>
            </w:r>
          </w:p>
        </w:tc>
      </w:tr>
      <w:tr w:rsidR="008E3F72" w:rsidRPr="00F35F4D" w14:paraId="709F64D5" w14:textId="77777777" w:rsidTr="0010018A">
        <w:tc>
          <w:tcPr>
            <w:tcW w:w="2289" w:type="pct"/>
            <w:tcBorders>
              <w:top w:val="nil"/>
              <w:left w:val="nil"/>
              <w:bottom w:val="nil"/>
              <w:right w:val="nil"/>
            </w:tcBorders>
          </w:tcPr>
          <w:p w14:paraId="42262449"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Nobarojamas cūkas, 50–110 kg</w:t>
            </w:r>
          </w:p>
        </w:tc>
        <w:tc>
          <w:tcPr>
            <w:tcW w:w="908" w:type="pct"/>
            <w:tcBorders>
              <w:top w:val="nil"/>
              <w:left w:val="nil"/>
              <w:bottom w:val="nil"/>
              <w:right w:val="nil"/>
            </w:tcBorders>
          </w:tcPr>
          <w:p w14:paraId="4C4ACD20"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15–16</w:t>
            </w:r>
          </w:p>
        </w:tc>
        <w:tc>
          <w:tcPr>
            <w:tcW w:w="979" w:type="pct"/>
            <w:tcBorders>
              <w:top w:val="nil"/>
              <w:left w:val="nil"/>
              <w:bottom w:val="nil"/>
              <w:right w:val="nil"/>
            </w:tcBorders>
          </w:tcPr>
          <w:p w14:paraId="6CAC1ED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14–15</w:t>
            </w:r>
          </w:p>
        </w:tc>
        <w:tc>
          <w:tcPr>
            <w:tcW w:w="824" w:type="pct"/>
            <w:tcBorders>
              <w:top w:val="nil"/>
              <w:left w:val="nil"/>
              <w:bottom w:val="nil"/>
              <w:right w:val="nil"/>
            </w:tcBorders>
          </w:tcPr>
          <w:p w14:paraId="2227EC42"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13–14</w:t>
            </w:r>
          </w:p>
        </w:tc>
      </w:tr>
      <w:tr w:rsidR="008E3F72" w:rsidRPr="00F35F4D" w14:paraId="7242AA18" w14:textId="77777777" w:rsidTr="0010018A">
        <w:tc>
          <w:tcPr>
            <w:tcW w:w="2289" w:type="pct"/>
            <w:tcBorders>
              <w:top w:val="nil"/>
              <w:left w:val="nil"/>
              <w:bottom w:val="nil"/>
              <w:right w:val="nil"/>
            </w:tcBorders>
          </w:tcPr>
          <w:p w14:paraId="2DEC3CCF"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Nobarojamas cūkas, &gt;110 kg</w:t>
            </w:r>
          </w:p>
        </w:tc>
        <w:tc>
          <w:tcPr>
            <w:tcW w:w="908" w:type="pct"/>
            <w:tcBorders>
              <w:top w:val="nil"/>
              <w:left w:val="nil"/>
              <w:bottom w:val="nil"/>
              <w:right w:val="nil"/>
            </w:tcBorders>
          </w:tcPr>
          <w:p w14:paraId="5AE5ADBC"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13–14</w:t>
            </w:r>
          </w:p>
        </w:tc>
        <w:tc>
          <w:tcPr>
            <w:tcW w:w="979" w:type="pct"/>
            <w:tcBorders>
              <w:top w:val="nil"/>
              <w:left w:val="nil"/>
              <w:bottom w:val="nil"/>
              <w:right w:val="nil"/>
            </w:tcBorders>
          </w:tcPr>
          <w:p w14:paraId="3846EBA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12–13</w:t>
            </w:r>
          </w:p>
        </w:tc>
        <w:tc>
          <w:tcPr>
            <w:tcW w:w="824" w:type="pct"/>
            <w:tcBorders>
              <w:top w:val="nil"/>
              <w:left w:val="nil"/>
              <w:bottom w:val="nil"/>
              <w:right w:val="nil"/>
            </w:tcBorders>
          </w:tcPr>
          <w:p w14:paraId="13CB1DC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11–12</w:t>
            </w:r>
          </w:p>
        </w:tc>
      </w:tr>
      <w:tr w:rsidR="008E3F72" w:rsidRPr="00F35F4D" w14:paraId="26C40DF9" w14:textId="77777777" w:rsidTr="0010018A">
        <w:tc>
          <w:tcPr>
            <w:tcW w:w="5000" w:type="pct"/>
            <w:gridSpan w:val="4"/>
            <w:tcBorders>
              <w:top w:val="nil"/>
              <w:left w:val="nil"/>
              <w:bottom w:val="nil"/>
              <w:right w:val="nil"/>
            </w:tcBorders>
          </w:tcPr>
          <w:p w14:paraId="02844126" w14:textId="77777777" w:rsidR="008E3F72" w:rsidRPr="00F35F4D" w:rsidRDefault="008E3F72" w:rsidP="0010018A">
            <w:pPr>
              <w:pStyle w:val="TableParagraph"/>
              <w:widowControl/>
              <w:kinsoku w:val="0"/>
              <w:overflowPunct w:val="0"/>
              <w:jc w:val="both"/>
              <w:rPr>
                <w:b/>
                <w:bCs/>
                <w:noProof/>
                <w:sz w:val="20"/>
                <w:szCs w:val="20"/>
              </w:rPr>
            </w:pPr>
            <w:r w:rsidRPr="00F35F4D">
              <w:rPr>
                <w:b/>
                <w:noProof/>
                <w:sz w:val="20"/>
                <w:szCs w:val="20"/>
              </w:rPr>
              <w:t>Vistas</w:t>
            </w:r>
          </w:p>
        </w:tc>
      </w:tr>
      <w:tr w:rsidR="008E3F72" w:rsidRPr="00F35F4D" w14:paraId="1A43E552" w14:textId="77777777" w:rsidTr="0010018A">
        <w:tc>
          <w:tcPr>
            <w:tcW w:w="2289" w:type="pct"/>
            <w:tcBorders>
              <w:top w:val="nil"/>
              <w:left w:val="nil"/>
              <w:bottom w:val="nil"/>
              <w:right w:val="nil"/>
            </w:tcBorders>
          </w:tcPr>
          <w:p w14:paraId="4A58C1A8"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Broileri, cāļi</w:t>
            </w:r>
          </w:p>
        </w:tc>
        <w:tc>
          <w:tcPr>
            <w:tcW w:w="908" w:type="pct"/>
            <w:tcBorders>
              <w:top w:val="nil"/>
              <w:left w:val="nil"/>
              <w:bottom w:val="nil"/>
              <w:right w:val="nil"/>
            </w:tcBorders>
          </w:tcPr>
          <w:p w14:paraId="4A0A1D5A"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22–23</w:t>
            </w:r>
          </w:p>
        </w:tc>
        <w:tc>
          <w:tcPr>
            <w:tcW w:w="979" w:type="pct"/>
            <w:tcBorders>
              <w:top w:val="nil"/>
              <w:left w:val="nil"/>
              <w:bottom w:val="nil"/>
              <w:right w:val="nil"/>
            </w:tcBorders>
          </w:tcPr>
          <w:p w14:paraId="0114DEF0"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21–22</w:t>
            </w:r>
          </w:p>
        </w:tc>
        <w:tc>
          <w:tcPr>
            <w:tcW w:w="824" w:type="pct"/>
            <w:tcBorders>
              <w:top w:val="nil"/>
              <w:left w:val="nil"/>
              <w:bottom w:val="nil"/>
              <w:right w:val="nil"/>
            </w:tcBorders>
          </w:tcPr>
          <w:p w14:paraId="18B95D7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20–21</w:t>
            </w:r>
          </w:p>
        </w:tc>
      </w:tr>
      <w:tr w:rsidR="008E3F72" w:rsidRPr="00F35F4D" w14:paraId="6F38BB58" w14:textId="77777777" w:rsidTr="0010018A">
        <w:tc>
          <w:tcPr>
            <w:tcW w:w="2289" w:type="pct"/>
            <w:tcBorders>
              <w:top w:val="nil"/>
              <w:left w:val="nil"/>
              <w:bottom w:val="nil"/>
              <w:right w:val="nil"/>
            </w:tcBorders>
          </w:tcPr>
          <w:p w14:paraId="39C12B28"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Broileri, jaunputni</w:t>
            </w:r>
          </w:p>
        </w:tc>
        <w:tc>
          <w:tcPr>
            <w:tcW w:w="908" w:type="pct"/>
            <w:tcBorders>
              <w:top w:val="nil"/>
              <w:left w:val="nil"/>
              <w:bottom w:val="nil"/>
              <w:right w:val="nil"/>
            </w:tcBorders>
          </w:tcPr>
          <w:p w14:paraId="42A16DBE"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21–22</w:t>
            </w:r>
          </w:p>
        </w:tc>
        <w:tc>
          <w:tcPr>
            <w:tcW w:w="979" w:type="pct"/>
            <w:tcBorders>
              <w:top w:val="nil"/>
              <w:left w:val="nil"/>
              <w:bottom w:val="nil"/>
              <w:right w:val="nil"/>
            </w:tcBorders>
          </w:tcPr>
          <w:p w14:paraId="45FBE9D7"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20–21</w:t>
            </w:r>
          </w:p>
        </w:tc>
        <w:tc>
          <w:tcPr>
            <w:tcW w:w="824" w:type="pct"/>
            <w:tcBorders>
              <w:top w:val="nil"/>
              <w:left w:val="nil"/>
              <w:bottom w:val="nil"/>
              <w:right w:val="nil"/>
            </w:tcBorders>
          </w:tcPr>
          <w:p w14:paraId="6C46B272"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19–20</w:t>
            </w:r>
          </w:p>
        </w:tc>
      </w:tr>
      <w:tr w:rsidR="008E3F72" w:rsidRPr="00F35F4D" w14:paraId="3D10E571" w14:textId="77777777" w:rsidTr="0010018A">
        <w:tc>
          <w:tcPr>
            <w:tcW w:w="2289" w:type="pct"/>
            <w:tcBorders>
              <w:top w:val="nil"/>
              <w:left w:val="nil"/>
              <w:bottom w:val="nil"/>
              <w:right w:val="nil"/>
            </w:tcBorders>
          </w:tcPr>
          <w:p w14:paraId="6E780997"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Broileri, kaujamie putni</w:t>
            </w:r>
          </w:p>
        </w:tc>
        <w:tc>
          <w:tcPr>
            <w:tcW w:w="908" w:type="pct"/>
            <w:tcBorders>
              <w:top w:val="nil"/>
              <w:left w:val="nil"/>
              <w:bottom w:val="nil"/>
              <w:right w:val="nil"/>
            </w:tcBorders>
          </w:tcPr>
          <w:p w14:paraId="0E14D1F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20–21</w:t>
            </w:r>
          </w:p>
        </w:tc>
        <w:tc>
          <w:tcPr>
            <w:tcW w:w="979" w:type="pct"/>
            <w:tcBorders>
              <w:top w:val="nil"/>
              <w:left w:val="nil"/>
              <w:bottom w:val="nil"/>
              <w:right w:val="nil"/>
            </w:tcBorders>
          </w:tcPr>
          <w:p w14:paraId="4FC841D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19–20</w:t>
            </w:r>
          </w:p>
        </w:tc>
        <w:tc>
          <w:tcPr>
            <w:tcW w:w="824" w:type="pct"/>
            <w:tcBorders>
              <w:top w:val="nil"/>
              <w:left w:val="nil"/>
              <w:bottom w:val="nil"/>
              <w:right w:val="nil"/>
            </w:tcBorders>
          </w:tcPr>
          <w:p w14:paraId="509346D3"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18–19</w:t>
            </w:r>
          </w:p>
        </w:tc>
      </w:tr>
      <w:tr w:rsidR="008E3F72" w:rsidRPr="00F35F4D" w14:paraId="0152370B" w14:textId="77777777" w:rsidTr="0010018A">
        <w:tc>
          <w:tcPr>
            <w:tcW w:w="2289" w:type="pct"/>
            <w:tcBorders>
              <w:top w:val="nil"/>
              <w:left w:val="nil"/>
              <w:bottom w:val="nil"/>
              <w:right w:val="nil"/>
            </w:tcBorders>
          </w:tcPr>
          <w:p w14:paraId="4C3F0341"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Dējējvistas, 18–40 nedēļas</w:t>
            </w:r>
          </w:p>
        </w:tc>
        <w:tc>
          <w:tcPr>
            <w:tcW w:w="908" w:type="pct"/>
            <w:tcBorders>
              <w:top w:val="nil"/>
              <w:left w:val="nil"/>
              <w:bottom w:val="nil"/>
              <w:right w:val="nil"/>
            </w:tcBorders>
          </w:tcPr>
          <w:p w14:paraId="286CC15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17–18</w:t>
            </w:r>
          </w:p>
        </w:tc>
        <w:tc>
          <w:tcPr>
            <w:tcW w:w="979" w:type="pct"/>
            <w:tcBorders>
              <w:top w:val="nil"/>
              <w:left w:val="nil"/>
              <w:bottom w:val="nil"/>
              <w:right w:val="nil"/>
            </w:tcBorders>
          </w:tcPr>
          <w:p w14:paraId="6F41C938"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16–17</w:t>
            </w:r>
          </w:p>
        </w:tc>
        <w:tc>
          <w:tcPr>
            <w:tcW w:w="824" w:type="pct"/>
            <w:tcBorders>
              <w:top w:val="nil"/>
              <w:left w:val="nil"/>
              <w:bottom w:val="nil"/>
              <w:right w:val="nil"/>
            </w:tcBorders>
          </w:tcPr>
          <w:p w14:paraId="49D1666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15–16</w:t>
            </w:r>
          </w:p>
        </w:tc>
      </w:tr>
      <w:tr w:rsidR="008E3F72" w:rsidRPr="00F35F4D" w14:paraId="6BD81C9B" w14:textId="77777777" w:rsidTr="0010018A">
        <w:tc>
          <w:tcPr>
            <w:tcW w:w="2289" w:type="pct"/>
            <w:tcBorders>
              <w:top w:val="nil"/>
              <w:left w:val="nil"/>
              <w:bottom w:val="nil"/>
              <w:right w:val="nil"/>
            </w:tcBorders>
          </w:tcPr>
          <w:p w14:paraId="4A164842"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Dējējvistas, &gt; 40 nedēļas</w:t>
            </w:r>
          </w:p>
        </w:tc>
        <w:tc>
          <w:tcPr>
            <w:tcW w:w="908" w:type="pct"/>
            <w:tcBorders>
              <w:top w:val="nil"/>
              <w:left w:val="nil"/>
              <w:bottom w:val="nil"/>
              <w:right w:val="nil"/>
            </w:tcBorders>
          </w:tcPr>
          <w:p w14:paraId="53DEECB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16–17</w:t>
            </w:r>
          </w:p>
        </w:tc>
        <w:tc>
          <w:tcPr>
            <w:tcW w:w="979" w:type="pct"/>
            <w:tcBorders>
              <w:top w:val="nil"/>
              <w:left w:val="nil"/>
              <w:bottom w:val="nil"/>
              <w:right w:val="nil"/>
            </w:tcBorders>
          </w:tcPr>
          <w:p w14:paraId="2A2BD42A"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15–16</w:t>
            </w:r>
          </w:p>
        </w:tc>
        <w:tc>
          <w:tcPr>
            <w:tcW w:w="824" w:type="pct"/>
            <w:tcBorders>
              <w:top w:val="nil"/>
              <w:left w:val="nil"/>
              <w:bottom w:val="nil"/>
              <w:right w:val="nil"/>
            </w:tcBorders>
          </w:tcPr>
          <w:p w14:paraId="6E772520"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14–15</w:t>
            </w:r>
          </w:p>
        </w:tc>
      </w:tr>
      <w:tr w:rsidR="008E3F72" w:rsidRPr="00F35F4D" w14:paraId="736DD649" w14:textId="77777777" w:rsidTr="0010018A">
        <w:tc>
          <w:tcPr>
            <w:tcW w:w="5000" w:type="pct"/>
            <w:gridSpan w:val="4"/>
            <w:tcBorders>
              <w:top w:val="nil"/>
              <w:left w:val="nil"/>
              <w:bottom w:val="nil"/>
              <w:right w:val="nil"/>
            </w:tcBorders>
          </w:tcPr>
          <w:p w14:paraId="5CCE5A5F" w14:textId="77777777" w:rsidR="008E3F72" w:rsidRPr="00F35F4D" w:rsidRDefault="008E3F72" w:rsidP="0010018A">
            <w:pPr>
              <w:pStyle w:val="TableParagraph"/>
              <w:widowControl/>
              <w:kinsoku w:val="0"/>
              <w:overflowPunct w:val="0"/>
              <w:jc w:val="both"/>
              <w:rPr>
                <w:b/>
                <w:bCs/>
                <w:noProof/>
                <w:sz w:val="20"/>
                <w:szCs w:val="20"/>
              </w:rPr>
            </w:pPr>
            <w:r w:rsidRPr="00F35F4D">
              <w:rPr>
                <w:b/>
                <w:noProof/>
                <w:sz w:val="20"/>
                <w:szCs w:val="20"/>
              </w:rPr>
              <w:t>Tītari</w:t>
            </w:r>
          </w:p>
        </w:tc>
      </w:tr>
      <w:tr w:rsidR="008E3F72" w:rsidRPr="00F35F4D" w14:paraId="7A9924EB" w14:textId="77777777" w:rsidTr="0010018A">
        <w:tc>
          <w:tcPr>
            <w:tcW w:w="2289" w:type="pct"/>
            <w:tcBorders>
              <w:top w:val="nil"/>
              <w:left w:val="nil"/>
              <w:bottom w:val="nil"/>
              <w:right w:val="nil"/>
            </w:tcBorders>
          </w:tcPr>
          <w:p w14:paraId="57C29E50"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Tītari, &lt; 4 nedēļas</w:t>
            </w:r>
          </w:p>
        </w:tc>
        <w:tc>
          <w:tcPr>
            <w:tcW w:w="908" w:type="pct"/>
            <w:tcBorders>
              <w:top w:val="nil"/>
              <w:left w:val="nil"/>
              <w:bottom w:val="nil"/>
              <w:right w:val="nil"/>
            </w:tcBorders>
          </w:tcPr>
          <w:p w14:paraId="60403D33"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26–27</w:t>
            </w:r>
          </w:p>
        </w:tc>
        <w:tc>
          <w:tcPr>
            <w:tcW w:w="979" w:type="pct"/>
            <w:tcBorders>
              <w:top w:val="nil"/>
              <w:left w:val="nil"/>
              <w:bottom w:val="nil"/>
              <w:right w:val="nil"/>
            </w:tcBorders>
          </w:tcPr>
          <w:p w14:paraId="1B78BB13"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25–26</w:t>
            </w:r>
          </w:p>
        </w:tc>
        <w:tc>
          <w:tcPr>
            <w:tcW w:w="824" w:type="pct"/>
            <w:tcBorders>
              <w:top w:val="nil"/>
              <w:left w:val="nil"/>
              <w:bottom w:val="nil"/>
              <w:right w:val="nil"/>
            </w:tcBorders>
          </w:tcPr>
          <w:p w14:paraId="01AD90D0"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24–25</w:t>
            </w:r>
          </w:p>
        </w:tc>
      </w:tr>
      <w:tr w:rsidR="008E3F72" w:rsidRPr="00F35F4D" w14:paraId="251ABF38" w14:textId="77777777" w:rsidTr="0010018A">
        <w:tc>
          <w:tcPr>
            <w:tcW w:w="2289" w:type="pct"/>
            <w:tcBorders>
              <w:top w:val="nil"/>
              <w:left w:val="nil"/>
              <w:bottom w:val="nil"/>
              <w:right w:val="nil"/>
            </w:tcBorders>
          </w:tcPr>
          <w:p w14:paraId="602A55C4"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Tītari, 5–8 nedēļas</w:t>
            </w:r>
          </w:p>
        </w:tc>
        <w:tc>
          <w:tcPr>
            <w:tcW w:w="908" w:type="pct"/>
            <w:tcBorders>
              <w:top w:val="nil"/>
              <w:left w:val="nil"/>
              <w:bottom w:val="nil"/>
              <w:right w:val="nil"/>
            </w:tcBorders>
          </w:tcPr>
          <w:p w14:paraId="53291D7D"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24–25</w:t>
            </w:r>
          </w:p>
        </w:tc>
        <w:tc>
          <w:tcPr>
            <w:tcW w:w="979" w:type="pct"/>
            <w:tcBorders>
              <w:top w:val="nil"/>
              <w:left w:val="nil"/>
              <w:bottom w:val="nil"/>
              <w:right w:val="nil"/>
            </w:tcBorders>
          </w:tcPr>
          <w:p w14:paraId="6B5D23B7"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23–24</w:t>
            </w:r>
          </w:p>
        </w:tc>
        <w:tc>
          <w:tcPr>
            <w:tcW w:w="824" w:type="pct"/>
            <w:tcBorders>
              <w:top w:val="nil"/>
              <w:left w:val="nil"/>
              <w:bottom w:val="nil"/>
              <w:right w:val="nil"/>
            </w:tcBorders>
          </w:tcPr>
          <w:p w14:paraId="6F30257A"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22–23</w:t>
            </w:r>
          </w:p>
        </w:tc>
      </w:tr>
      <w:tr w:rsidR="008E3F72" w:rsidRPr="00F35F4D" w14:paraId="7B6BB22F" w14:textId="77777777" w:rsidTr="0010018A">
        <w:tc>
          <w:tcPr>
            <w:tcW w:w="2289" w:type="pct"/>
            <w:tcBorders>
              <w:top w:val="nil"/>
              <w:left w:val="nil"/>
              <w:bottom w:val="nil"/>
              <w:right w:val="nil"/>
            </w:tcBorders>
          </w:tcPr>
          <w:p w14:paraId="0E26919A"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Tītari, 9–12 nedēļas</w:t>
            </w:r>
          </w:p>
        </w:tc>
        <w:tc>
          <w:tcPr>
            <w:tcW w:w="908" w:type="pct"/>
            <w:tcBorders>
              <w:top w:val="nil"/>
              <w:left w:val="nil"/>
              <w:bottom w:val="nil"/>
              <w:right w:val="nil"/>
            </w:tcBorders>
          </w:tcPr>
          <w:p w14:paraId="78AC74A5"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21–22</w:t>
            </w:r>
          </w:p>
        </w:tc>
        <w:tc>
          <w:tcPr>
            <w:tcW w:w="979" w:type="pct"/>
            <w:tcBorders>
              <w:top w:val="nil"/>
              <w:left w:val="nil"/>
              <w:bottom w:val="nil"/>
              <w:right w:val="nil"/>
            </w:tcBorders>
          </w:tcPr>
          <w:p w14:paraId="0B03C486"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20–21</w:t>
            </w:r>
          </w:p>
        </w:tc>
        <w:tc>
          <w:tcPr>
            <w:tcW w:w="824" w:type="pct"/>
            <w:tcBorders>
              <w:top w:val="nil"/>
              <w:left w:val="nil"/>
              <w:bottom w:val="nil"/>
              <w:right w:val="nil"/>
            </w:tcBorders>
          </w:tcPr>
          <w:p w14:paraId="2A96EF6B"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19–20</w:t>
            </w:r>
          </w:p>
        </w:tc>
      </w:tr>
      <w:tr w:rsidR="008E3F72" w:rsidRPr="00F35F4D" w14:paraId="180547FE" w14:textId="77777777" w:rsidTr="0010018A">
        <w:tc>
          <w:tcPr>
            <w:tcW w:w="2289" w:type="pct"/>
            <w:tcBorders>
              <w:top w:val="nil"/>
              <w:left w:val="nil"/>
              <w:bottom w:val="nil"/>
              <w:right w:val="nil"/>
            </w:tcBorders>
          </w:tcPr>
          <w:p w14:paraId="6D9FBEDD"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Tītari, 13–16 nedēļas</w:t>
            </w:r>
          </w:p>
        </w:tc>
        <w:tc>
          <w:tcPr>
            <w:tcW w:w="908" w:type="pct"/>
            <w:tcBorders>
              <w:top w:val="nil"/>
              <w:left w:val="nil"/>
              <w:bottom w:val="nil"/>
              <w:right w:val="nil"/>
            </w:tcBorders>
          </w:tcPr>
          <w:p w14:paraId="246A25FD"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18–19</w:t>
            </w:r>
          </w:p>
        </w:tc>
        <w:tc>
          <w:tcPr>
            <w:tcW w:w="979" w:type="pct"/>
            <w:tcBorders>
              <w:top w:val="nil"/>
              <w:left w:val="nil"/>
              <w:bottom w:val="nil"/>
              <w:right w:val="nil"/>
            </w:tcBorders>
          </w:tcPr>
          <w:p w14:paraId="17401E93"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17–18</w:t>
            </w:r>
          </w:p>
        </w:tc>
        <w:tc>
          <w:tcPr>
            <w:tcW w:w="824" w:type="pct"/>
            <w:tcBorders>
              <w:top w:val="nil"/>
              <w:left w:val="nil"/>
              <w:bottom w:val="nil"/>
              <w:right w:val="nil"/>
            </w:tcBorders>
          </w:tcPr>
          <w:p w14:paraId="11E1A1B5"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16–17</w:t>
            </w:r>
          </w:p>
        </w:tc>
      </w:tr>
      <w:tr w:rsidR="008E3F72" w:rsidRPr="00F35F4D" w14:paraId="685BCFFD" w14:textId="77777777" w:rsidTr="0010018A">
        <w:tc>
          <w:tcPr>
            <w:tcW w:w="2289" w:type="pct"/>
            <w:tcBorders>
              <w:top w:val="nil"/>
              <w:left w:val="nil"/>
              <w:bottom w:val="single" w:sz="12" w:space="0" w:color="000000"/>
              <w:right w:val="nil"/>
            </w:tcBorders>
          </w:tcPr>
          <w:p w14:paraId="1DA78755"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Tītari, &gt; 16 nedēļas</w:t>
            </w:r>
          </w:p>
        </w:tc>
        <w:tc>
          <w:tcPr>
            <w:tcW w:w="908" w:type="pct"/>
            <w:tcBorders>
              <w:top w:val="nil"/>
              <w:left w:val="nil"/>
              <w:bottom w:val="single" w:sz="12" w:space="0" w:color="000000"/>
              <w:right w:val="nil"/>
            </w:tcBorders>
          </w:tcPr>
          <w:p w14:paraId="3EFF9A3A"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16–17</w:t>
            </w:r>
          </w:p>
        </w:tc>
        <w:tc>
          <w:tcPr>
            <w:tcW w:w="979" w:type="pct"/>
            <w:tcBorders>
              <w:top w:val="nil"/>
              <w:left w:val="nil"/>
              <w:bottom w:val="single" w:sz="12" w:space="0" w:color="000000"/>
              <w:right w:val="nil"/>
            </w:tcBorders>
          </w:tcPr>
          <w:p w14:paraId="6ECC6E72"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15–16</w:t>
            </w:r>
          </w:p>
        </w:tc>
        <w:tc>
          <w:tcPr>
            <w:tcW w:w="824" w:type="pct"/>
            <w:tcBorders>
              <w:top w:val="nil"/>
              <w:left w:val="nil"/>
              <w:bottom w:val="single" w:sz="12" w:space="0" w:color="000000"/>
              <w:right w:val="nil"/>
            </w:tcBorders>
          </w:tcPr>
          <w:p w14:paraId="33B60147" w14:textId="77777777" w:rsidR="008E3F72" w:rsidRPr="00F35F4D" w:rsidRDefault="008E3F72" w:rsidP="0010018A">
            <w:pPr>
              <w:pStyle w:val="TableParagraph"/>
              <w:widowControl/>
              <w:kinsoku w:val="0"/>
              <w:overflowPunct w:val="0"/>
              <w:jc w:val="both"/>
              <w:rPr>
                <w:noProof/>
                <w:sz w:val="20"/>
                <w:szCs w:val="20"/>
              </w:rPr>
            </w:pPr>
            <w:r w:rsidRPr="00F35F4D">
              <w:rPr>
                <w:sz w:val="20"/>
                <w:szCs w:val="20"/>
              </w:rPr>
              <w:t>14–15</w:t>
            </w:r>
          </w:p>
        </w:tc>
      </w:tr>
    </w:tbl>
    <w:p w14:paraId="25471CE4"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rPr>
        <w:t>Piezīme.</w:t>
      </w:r>
      <w:r w:rsidRPr="00F35F4D">
        <w:rPr>
          <w:noProof/>
          <w:sz w:val="24"/>
        </w:rPr>
        <w:t xml:space="preserve"> Samazinot olbaltumvielu saturu barībā par 1 %, kopējā NH3 emisija no visiem kūtsmēslu avotiem var samazināties par 10 %.</w:t>
      </w:r>
    </w:p>
    <w:p w14:paraId="342C1399" w14:textId="77777777" w:rsidR="008E3F72" w:rsidRDefault="008E3F72" w:rsidP="008E3F72">
      <w:pPr>
        <w:pStyle w:val="BodyText"/>
        <w:widowControl/>
        <w:kinsoku w:val="0"/>
        <w:overflowPunct w:val="0"/>
        <w:spacing w:before="0"/>
        <w:ind w:left="0"/>
        <w:jc w:val="both"/>
        <w:rPr>
          <w:noProof/>
          <w:sz w:val="24"/>
        </w:rPr>
      </w:pPr>
      <w:r w:rsidRPr="00F35F4D">
        <w:rPr>
          <w:i/>
          <w:noProof/>
          <w:sz w:val="24"/>
        </w:rPr>
        <w:t xml:space="preserve">a </w:t>
      </w:r>
      <w:r w:rsidRPr="00F35F4D">
        <w:rPr>
          <w:noProof/>
          <w:sz w:val="24"/>
        </w:rPr>
        <w:t>Ja nodrošinātas pareizi līdzsvarotas un optimāli sagremojamas aminoskābes.</w:t>
      </w:r>
    </w:p>
    <w:p w14:paraId="58C88D49" w14:textId="77777777" w:rsidR="00F35F4D" w:rsidRPr="00F35F4D" w:rsidRDefault="00F35F4D" w:rsidP="008E3F72">
      <w:pPr>
        <w:pStyle w:val="BodyText"/>
        <w:widowControl/>
        <w:kinsoku w:val="0"/>
        <w:overflowPunct w:val="0"/>
        <w:spacing w:before="0"/>
        <w:ind w:left="0"/>
        <w:jc w:val="both"/>
        <w:rPr>
          <w:noProof/>
          <w:sz w:val="24"/>
          <w:szCs w:val="24"/>
        </w:rPr>
      </w:pPr>
    </w:p>
    <w:p w14:paraId="19F893F9" w14:textId="2789AA7A"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 xml:space="preserve">barības sastāvdaļu izmaksām un iespējām optimāli koriģēt šo sastāvdaļu attiecības atkarībā no to pieejamības. </w:t>
      </w:r>
      <w:r w:rsidR="0060225B">
        <w:rPr>
          <w:noProof/>
          <w:sz w:val="24"/>
        </w:rPr>
        <w:t>Šajā gadījumā jāatsaucas uz pašreizējo vidusmēra praksi, kas atkarībā no valsts un dzīvnieku veselības un ražības rādītājiem ievērojami atšķiras, lai gan ražotāji ir novērojuši lielāku ietekmi attiecībā uz dzīvnieku veselības un ražības rādītājiem</w:t>
      </w:r>
      <w:r w:rsidRPr="00F35F4D">
        <w:rPr>
          <w:noProof/>
          <w:sz w:val="24"/>
        </w:rPr>
        <w:t>. Barības pielāgošana izmaksā aptuveni -10–10 € uz 1000 kg barības atkarībā no barības sastāvdaļu pieejamības tirgū un sintētisko aminoskābju izmaksām. Tāp</w:t>
      </w:r>
      <w:r w:rsidR="0060225B">
        <w:rPr>
          <w:noProof/>
          <w:sz w:val="24"/>
        </w:rPr>
        <w:t>ēc dažos gados izmaiņas ēdināšanā</w:t>
      </w:r>
      <w:r w:rsidRPr="00F35F4D">
        <w:rPr>
          <w:noProof/>
          <w:sz w:val="24"/>
        </w:rPr>
        <w:t xml:space="preserve"> mazina izmaksas, turpretim citos gados tās palielina izmaksas. ES2 tabulā ir kopsavilkums par mērķvērtībām, līdz kurām jāsamazina olbaltumvielu daudzums, saglabājot katras dzīvnieku kategorijas ekonomisko efektivitāti ražošanā (skatīt arī II pielikumu). Jāievēro, ka, pārejot no </w:t>
      </w:r>
      <w:r w:rsidRPr="00F35F4D">
        <w:rPr>
          <w:noProof/>
          <w:sz w:val="24"/>
        </w:rPr>
        <w:lastRenderedPageBreak/>
        <w:t>zema uz augstu vidējā olbaltumvielu daudzuma samazināšanas mērķi, ekonomiskās izmaksas pieaug.</w:t>
      </w:r>
    </w:p>
    <w:p w14:paraId="7051848E" w14:textId="7735E4F5" w:rsidR="008E3F72" w:rsidRPr="00F35F4D" w:rsidRDefault="008E3F72" w:rsidP="00F35F4D">
      <w:pPr>
        <w:pStyle w:val="BodyText"/>
        <w:widowControl/>
        <w:numPr>
          <w:ilvl w:val="0"/>
          <w:numId w:val="16"/>
        </w:numPr>
        <w:kinsoku w:val="0"/>
        <w:overflowPunct w:val="0"/>
        <w:spacing w:before="0"/>
        <w:ind w:left="0" w:firstLine="0"/>
        <w:jc w:val="both"/>
        <w:rPr>
          <w:noProof/>
          <w:sz w:val="24"/>
          <w:szCs w:val="24"/>
        </w:rPr>
      </w:pPr>
      <w:r w:rsidRPr="00F35F4D">
        <w:rPr>
          <w:noProof/>
          <w:sz w:val="24"/>
        </w:rPr>
        <w:t>NH3 emisijas samazināšana no dzīvnieku novietnēm pamatojas uz vienu vai vairākiem principiem, kas minēti turpmāk:</w:t>
      </w:r>
    </w:p>
    <w:p w14:paraId="02573845" w14:textId="77777777" w:rsidR="008E3F72" w:rsidRPr="00F35F4D" w:rsidRDefault="008E3F72" w:rsidP="00F35F4D">
      <w:pPr>
        <w:pStyle w:val="BodyText"/>
        <w:widowControl/>
        <w:numPr>
          <w:ilvl w:val="1"/>
          <w:numId w:val="16"/>
        </w:numPr>
        <w:kinsoku w:val="0"/>
        <w:overflowPunct w:val="0"/>
        <w:spacing w:before="0"/>
        <w:ind w:left="0" w:firstLine="0"/>
        <w:jc w:val="both"/>
        <w:rPr>
          <w:noProof/>
          <w:sz w:val="24"/>
          <w:szCs w:val="24"/>
        </w:rPr>
      </w:pPr>
      <w:r w:rsidRPr="00F35F4D">
        <w:rPr>
          <w:noProof/>
          <w:sz w:val="24"/>
        </w:rPr>
        <w:t>ar kūtsmēsliem piesārņotās virsmas samazināšana;</w:t>
      </w:r>
    </w:p>
    <w:p w14:paraId="67166C22" w14:textId="77777777" w:rsidR="008E3F72" w:rsidRPr="00F35F4D" w:rsidRDefault="008E3F72" w:rsidP="00F35F4D">
      <w:pPr>
        <w:pStyle w:val="BodyText"/>
        <w:widowControl/>
        <w:numPr>
          <w:ilvl w:val="1"/>
          <w:numId w:val="16"/>
        </w:numPr>
        <w:kinsoku w:val="0"/>
        <w:overflowPunct w:val="0"/>
        <w:spacing w:before="0"/>
        <w:ind w:left="0" w:firstLine="0"/>
        <w:jc w:val="both"/>
        <w:rPr>
          <w:noProof/>
          <w:sz w:val="24"/>
          <w:szCs w:val="24"/>
        </w:rPr>
      </w:pPr>
      <w:r w:rsidRPr="00F35F4D">
        <w:rPr>
          <w:noProof/>
          <w:sz w:val="24"/>
        </w:rPr>
        <w:t>urīna ātra aizvadīšana; fekāliju ātra atdalīšana no urīna;</w:t>
      </w:r>
    </w:p>
    <w:p w14:paraId="623F2F9D" w14:textId="77777777" w:rsidR="008E3F72" w:rsidRPr="00F35F4D" w:rsidRDefault="008E3F72" w:rsidP="00F35F4D">
      <w:pPr>
        <w:pStyle w:val="BodyText"/>
        <w:widowControl/>
        <w:numPr>
          <w:ilvl w:val="1"/>
          <w:numId w:val="16"/>
        </w:numPr>
        <w:kinsoku w:val="0"/>
        <w:overflowPunct w:val="0"/>
        <w:spacing w:before="0"/>
        <w:ind w:left="0" w:firstLine="0"/>
        <w:jc w:val="both"/>
        <w:rPr>
          <w:noProof/>
          <w:sz w:val="24"/>
          <w:szCs w:val="24"/>
        </w:rPr>
      </w:pPr>
      <w:r w:rsidRPr="00F35F4D">
        <w:rPr>
          <w:noProof/>
          <w:sz w:val="24"/>
        </w:rPr>
        <w:t>virs kūtsmēsliem esošās gaisa kustības ātruma samazināšana un temperatūras pazemināšana;</w:t>
      </w:r>
    </w:p>
    <w:p w14:paraId="2D129405" w14:textId="77777777" w:rsidR="008E3F72" w:rsidRPr="00F35F4D" w:rsidRDefault="008E3F72" w:rsidP="00F35F4D">
      <w:pPr>
        <w:pStyle w:val="BodyText"/>
        <w:widowControl/>
        <w:numPr>
          <w:ilvl w:val="1"/>
          <w:numId w:val="16"/>
        </w:numPr>
        <w:kinsoku w:val="0"/>
        <w:overflowPunct w:val="0"/>
        <w:spacing w:before="0"/>
        <w:ind w:left="0" w:firstLine="0"/>
        <w:jc w:val="both"/>
        <w:rPr>
          <w:noProof/>
          <w:sz w:val="24"/>
          <w:szCs w:val="24"/>
        </w:rPr>
      </w:pPr>
      <w:r w:rsidRPr="00F35F4D">
        <w:rPr>
          <w:noProof/>
          <w:sz w:val="24"/>
        </w:rPr>
        <w:t>kūtsmēslu pH līmeņa un temperatūras pazemināšana;</w:t>
      </w:r>
    </w:p>
    <w:p w14:paraId="3CC55291" w14:textId="77777777" w:rsidR="008E3F72" w:rsidRPr="00F35F4D" w:rsidRDefault="008E3F72" w:rsidP="00F35F4D">
      <w:pPr>
        <w:pStyle w:val="BodyText"/>
        <w:widowControl/>
        <w:numPr>
          <w:ilvl w:val="1"/>
          <w:numId w:val="16"/>
        </w:numPr>
        <w:kinsoku w:val="0"/>
        <w:overflowPunct w:val="0"/>
        <w:spacing w:before="0"/>
        <w:ind w:left="0" w:firstLine="0"/>
        <w:jc w:val="both"/>
        <w:rPr>
          <w:noProof/>
          <w:sz w:val="24"/>
          <w:szCs w:val="24"/>
        </w:rPr>
      </w:pPr>
      <w:r w:rsidRPr="00F35F4D">
        <w:rPr>
          <w:noProof/>
          <w:sz w:val="24"/>
        </w:rPr>
        <w:t>kūtsmēslu (jo īpaši mājputnu pakaišu) žāvēšana;</w:t>
      </w:r>
    </w:p>
    <w:p w14:paraId="78FD5AD7" w14:textId="77777777" w:rsidR="008E3F72" w:rsidRPr="00F35F4D" w:rsidRDefault="008E3F72" w:rsidP="00F35F4D">
      <w:pPr>
        <w:pStyle w:val="BodyText"/>
        <w:widowControl/>
        <w:numPr>
          <w:ilvl w:val="1"/>
          <w:numId w:val="16"/>
        </w:numPr>
        <w:kinsoku w:val="0"/>
        <w:overflowPunct w:val="0"/>
        <w:spacing w:before="0"/>
        <w:ind w:left="0" w:firstLine="0"/>
        <w:jc w:val="both"/>
        <w:rPr>
          <w:noProof/>
          <w:sz w:val="24"/>
          <w:szCs w:val="24"/>
        </w:rPr>
      </w:pPr>
      <w:r w:rsidRPr="00F35F4D">
        <w:rPr>
          <w:noProof/>
          <w:sz w:val="24"/>
        </w:rPr>
        <w:t>izvadāmā gaisa atbrīvošana no NH3 (attīrīšana ar skruberiem);</w:t>
      </w:r>
    </w:p>
    <w:p w14:paraId="2A92E5F7" w14:textId="77777777" w:rsidR="008E3F72" w:rsidRPr="00F35F4D" w:rsidRDefault="008E3F72" w:rsidP="00F35F4D">
      <w:pPr>
        <w:pStyle w:val="BodyText"/>
        <w:widowControl/>
        <w:numPr>
          <w:ilvl w:val="1"/>
          <w:numId w:val="16"/>
        </w:numPr>
        <w:kinsoku w:val="0"/>
        <w:overflowPunct w:val="0"/>
        <w:spacing w:before="0"/>
        <w:ind w:left="0" w:firstLine="0"/>
        <w:jc w:val="both"/>
        <w:rPr>
          <w:noProof/>
          <w:sz w:val="24"/>
          <w:szCs w:val="24"/>
        </w:rPr>
      </w:pPr>
      <w:r w:rsidRPr="00F35F4D">
        <w:rPr>
          <w:noProof/>
          <w:sz w:val="24"/>
        </w:rPr>
        <w:t>ganīšanas laika pagarināšana.</w:t>
      </w:r>
    </w:p>
    <w:p w14:paraId="608CF1F2" w14:textId="77DD2A1C" w:rsidR="008E3F72" w:rsidRPr="00F35F4D" w:rsidRDefault="008E3F72" w:rsidP="00F35F4D">
      <w:pPr>
        <w:pStyle w:val="BodyText"/>
        <w:widowControl/>
        <w:numPr>
          <w:ilvl w:val="0"/>
          <w:numId w:val="16"/>
        </w:numPr>
        <w:kinsoku w:val="0"/>
        <w:overflowPunct w:val="0"/>
        <w:spacing w:before="0"/>
        <w:ind w:left="0" w:firstLine="0"/>
        <w:jc w:val="both"/>
        <w:rPr>
          <w:noProof/>
          <w:sz w:val="24"/>
          <w:szCs w:val="24"/>
        </w:rPr>
      </w:pPr>
      <w:r w:rsidRPr="00F35F4D">
        <w:rPr>
          <w:noProof/>
          <w:sz w:val="24"/>
        </w:rPr>
        <w:t xml:space="preserve">Visi šie principi ir izmantoti paņēmienos, kas atbilst 1. kategorijai (t. i., ir zinātniski pamatoti un pārbaudīti praksē). Dažādām dzīvnieku kategorijām ir </w:t>
      </w:r>
      <w:r w:rsidR="0060225B">
        <w:rPr>
          <w:noProof/>
          <w:sz w:val="24"/>
        </w:rPr>
        <w:t>vajadzīgas dažādas turēšanas</w:t>
      </w:r>
      <w:r w:rsidRPr="00F35F4D">
        <w:rPr>
          <w:noProof/>
          <w:sz w:val="24"/>
        </w:rPr>
        <w:t xml:space="preserve"> sistēmas un vides apstākļi, un tas nosaka dažādu paņēmienu izmantošanu.</w:t>
      </w:r>
      <w:r w:rsidR="0060225B">
        <w:rPr>
          <w:noProof/>
          <w:sz w:val="24"/>
        </w:rPr>
        <w:t xml:space="preserve"> Dažādo prasību un turēšanas</w:t>
      </w:r>
      <w:r w:rsidRPr="00F35F4D">
        <w:rPr>
          <w:noProof/>
          <w:sz w:val="24"/>
        </w:rPr>
        <w:t xml:space="preserve"> vietu dēļ ieteikumi ir atšķirīgi atkarībā no dzīvnieku kategorijas. Atsaucei izmanto vistradicionālākās novietņu sistēmas, kurās neizmanto nekādus paņēmienus NH3 emisijas samazināšanai. Izmaksas par paņēmieniem NH3 emisijas samazināšanai no dzīvnieku novietnēm ir saistītas ar a) kapitālieguldījumu amortizācijas izmaksām; b) peļņu no ieguldījumiem; c) enerģijas izmaksām un d) ekspluatācijas un tehniskās apkopes izmaksām. Līdztekus izmaksām ir arī guvumi, kas saistīti ar dzīvnieku veselības un ražīguma uzlabošanos. Šos guvumus ir grūti izmērīt, un tie ne vienmēr ir iekļauti kopējā izmaksu aprēķinā. Ekonomiskās izmaksas ir dažādas atkarībā no paņēmiena/ tā varianta un saimniecības lieluma; paņēmieni liellopu novietnēm vēl tikai tiek izstrādāti. ES3 tabulā ir pārskats par emisijas samazinājumu un tā ekonomiskajām izmaksām dalījumā pa galvenajām dzīvnieku kategorijām</w:t>
      </w:r>
    </w:p>
    <w:p w14:paraId="1A2ABA1E" w14:textId="77777777" w:rsidR="008E3F72" w:rsidRPr="00F35F4D" w:rsidRDefault="008E3F72" w:rsidP="008E3F72">
      <w:pPr>
        <w:pStyle w:val="BodyText"/>
        <w:widowControl/>
        <w:tabs>
          <w:tab w:val="left" w:pos="861"/>
        </w:tabs>
        <w:kinsoku w:val="0"/>
        <w:overflowPunct w:val="0"/>
        <w:spacing w:before="0"/>
        <w:ind w:left="0"/>
        <w:jc w:val="both"/>
        <w:rPr>
          <w:noProof/>
          <w:sz w:val="24"/>
          <w:szCs w:val="24"/>
        </w:rPr>
      </w:pPr>
    </w:p>
    <w:p w14:paraId="7432C545" w14:textId="77777777" w:rsidR="008E3F72" w:rsidRPr="00F35F4D" w:rsidRDefault="008E3F72" w:rsidP="008E3F72">
      <w:pPr>
        <w:pStyle w:val="Heading7"/>
        <w:widowControl/>
        <w:kinsoku w:val="0"/>
        <w:overflowPunct w:val="0"/>
        <w:spacing w:before="0"/>
        <w:ind w:left="0"/>
        <w:jc w:val="both"/>
        <w:rPr>
          <w:noProof/>
          <w:color w:val="0D0D0D"/>
          <w:sz w:val="24"/>
          <w:szCs w:val="24"/>
        </w:rPr>
      </w:pPr>
      <w:r w:rsidRPr="00F35F4D">
        <w:rPr>
          <w:noProof/>
          <w:color w:val="0D0D0D"/>
          <w:sz w:val="24"/>
        </w:rPr>
        <w:t>ES3 tabula</w:t>
      </w:r>
    </w:p>
    <w:p w14:paraId="5AC6E6FE"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Amonjaka emisijas samazināšanas paņēmieni no dzīvnieku novietnēm, emisijas samazināšanas līmeņi un attiecīgās izmaksas</w:t>
      </w:r>
    </w:p>
    <w:p w14:paraId="1B989317"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3233"/>
        <w:gridCol w:w="1953"/>
        <w:gridCol w:w="3040"/>
      </w:tblGrid>
      <w:tr w:rsidR="008E3F72" w:rsidRPr="00B1767F" w14:paraId="57906A8D" w14:textId="77777777" w:rsidTr="0010018A">
        <w:tc>
          <w:tcPr>
            <w:tcW w:w="1965" w:type="pct"/>
            <w:tcBorders>
              <w:top w:val="single" w:sz="4" w:space="0" w:color="000000"/>
              <w:left w:val="nil"/>
              <w:bottom w:val="single" w:sz="12" w:space="0" w:color="000000"/>
              <w:right w:val="nil"/>
            </w:tcBorders>
          </w:tcPr>
          <w:p w14:paraId="474F93A6" w14:textId="77777777" w:rsidR="008E3F72" w:rsidRPr="00B1767F" w:rsidRDefault="008E3F72" w:rsidP="0010018A">
            <w:pPr>
              <w:pStyle w:val="TableParagraph"/>
              <w:widowControl/>
              <w:kinsoku w:val="0"/>
              <w:overflowPunct w:val="0"/>
              <w:jc w:val="both"/>
              <w:rPr>
                <w:b/>
                <w:bCs/>
                <w:noProof/>
                <w:sz w:val="20"/>
                <w:szCs w:val="20"/>
              </w:rPr>
            </w:pPr>
          </w:p>
          <w:p w14:paraId="52E02D48" w14:textId="77777777" w:rsidR="008E3F72" w:rsidRPr="00B1767F" w:rsidRDefault="008E3F72" w:rsidP="0010018A">
            <w:pPr>
              <w:pStyle w:val="TableParagraph"/>
              <w:widowControl/>
              <w:kinsoku w:val="0"/>
              <w:overflowPunct w:val="0"/>
              <w:jc w:val="both"/>
              <w:rPr>
                <w:b/>
                <w:bCs/>
                <w:noProof/>
                <w:sz w:val="20"/>
                <w:szCs w:val="20"/>
              </w:rPr>
            </w:pPr>
          </w:p>
          <w:p w14:paraId="7D360529" w14:textId="77777777" w:rsidR="008E3F72" w:rsidRPr="00B1767F" w:rsidRDefault="008E3F72" w:rsidP="0010018A">
            <w:pPr>
              <w:pStyle w:val="TableParagraph"/>
              <w:widowControl/>
              <w:kinsoku w:val="0"/>
              <w:overflowPunct w:val="0"/>
              <w:jc w:val="both"/>
              <w:rPr>
                <w:i/>
                <w:iCs/>
                <w:noProof/>
                <w:sz w:val="20"/>
                <w:szCs w:val="20"/>
              </w:rPr>
            </w:pPr>
            <w:r w:rsidRPr="00B1767F">
              <w:rPr>
                <w:i/>
                <w:noProof/>
                <w:sz w:val="20"/>
                <w:szCs w:val="20"/>
              </w:rPr>
              <w:t>Kategorija</w:t>
            </w:r>
          </w:p>
        </w:tc>
        <w:tc>
          <w:tcPr>
            <w:tcW w:w="1187" w:type="pct"/>
            <w:tcBorders>
              <w:top w:val="single" w:sz="4" w:space="0" w:color="000000"/>
              <w:left w:val="nil"/>
              <w:bottom w:val="single" w:sz="12" w:space="0" w:color="000000"/>
              <w:right w:val="nil"/>
            </w:tcBorders>
          </w:tcPr>
          <w:p w14:paraId="1C70E637" w14:textId="77777777" w:rsidR="008E3F72" w:rsidRPr="00B1767F" w:rsidRDefault="008E3F72" w:rsidP="0010018A">
            <w:pPr>
              <w:pStyle w:val="TableParagraph"/>
              <w:widowControl/>
              <w:kinsoku w:val="0"/>
              <w:overflowPunct w:val="0"/>
              <w:jc w:val="both"/>
              <w:rPr>
                <w:i/>
                <w:iCs/>
                <w:noProof/>
                <w:sz w:val="20"/>
                <w:szCs w:val="20"/>
              </w:rPr>
            </w:pPr>
            <w:r w:rsidRPr="00B1767F">
              <w:rPr>
                <w:i/>
                <w:noProof/>
                <w:sz w:val="20"/>
                <w:szCs w:val="20"/>
              </w:rPr>
              <w:t>Emisijas samazinājums salīdzinājumā ar atsauci (%) a</w:t>
            </w:r>
          </w:p>
        </w:tc>
        <w:tc>
          <w:tcPr>
            <w:tcW w:w="1848" w:type="pct"/>
            <w:tcBorders>
              <w:top w:val="single" w:sz="4" w:space="0" w:color="000000"/>
              <w:left w:val="nil"/>
              <w:bottom w:val="single" w:sz="12" w:space="0" w:color="000000"/>
              <w:right w:val="nil"/>
            </w:tcBorders>
          </w:tcPr>
          <w:p w14:paraId="323C8A3F" w14:textId="77777777" w:rsidR="008E3F72" w:rsidRPr="00B1767F" w:rsidRDefault="008E3F72" w:rsidP="0010018A">
            <w:pPr>
              <w:pStyle w:val="TableParagraph"/>
              <w:widowControl/>
              <w:kinsoku w:val="0"/>
              <w:overflowPunct w:val="0"/>
              <w:jc w:val="both"/>
              <w:rPr>
                <w:i/>
                <w:iCs/>
                <w:noProof/>
                <w:sz w:val="20"/>
                <w:szCs w:val="20"/>
              </w:rPr>
            </w:pPr>
            <w:r w:rsidRPr="00B1767F">
              <w:rPr>
                <w:i/>
                <w:noProof/>
                <w:sz w:val="20"/>
                <w:szCs w:val="20"/>
              </w:rPr>
              <w:t>Papildu izmaksas (€ par NH3-N emisijas samazinājuma kg)</w:t>
            </w:r>
          </w:p>
        </w:tc>
      </w:tr>
      <w:tr w:rsidR="008E3F72" w:rsidRPr="00B1767F" w14:paraId="5D0382EC" w14:textId="77777777" w:rsidTr="0010018A">
        <w:tc>
          <w:tcPr>
            <w:tcW w:w="1965" w:type="pct"/>
            <w:tcBorders>
              <w:top w:val="single" w:sz="12" w:space="0" w:color="000000"/>
              <w:left w:val="nil"/>
              <w:bottom w:val="nil"/>
              <w:right w:val="nil"/>
            </w:tcBorders>
          </w:tcPr>
          <w:p w14:paraId="5A5490FE"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Esošās cūku un mājputnu novietnes saimniecībās ar &gt; 2000 cūkām nobarošanai vai &gt; 750 sivēnmātēm vai &gt; 40 000 mājputniem</w:t>
            </w:r>
          </w:p>
        </w:tc>
        <w:tc>
          <w:tcPr>
            <w:tcW w:w="1187" w:type="pct"/>
            <w:tcBorders>
              <w:top w:val="single" w:sz="12" w:space="0" w:color="000000"/>
              <w:left w:val="nil"/>
              <w:bottom w:val="nil"/>
              <w:right w:val="nil"/>
            </w:tcBorders>
          </w:tcPr>
          <w:p w14:paraId="794B3E15"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20</w:t>
            </w:r>
          </w:p>
        </w:tc>
        <w:tc>
          <w:tcPr>
            <w:tcW w:w="1848" w:type="pct"/>
            <w:tcBorders>
              <w:top w:val="single" w:sz="12" w:space="0" w:color="000000"/>
              <w:left w:val="nil"/>
              <w:bottom w:val="nil"/>
              <w:right w:val="nil"/>
            </w:tcBorders>
          </w:tcPr>
          <w:p w14:paraId="5699955A"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0–3</w:t>
            </w:r>
          </w:p>
        </w:tc>
      </w:tr>
      <w:tr w:rsidR="008E3F72" w:rsidRPr="00B1767F" w14:paraId="7260E4A1" w14:textId="77777777" w:rsidTr="0010018A">
        <w:tc>
          <w:tcPr>
            <w:tcW w:w="1965" w:type="pct"/>
            <w:tcBorders>
              <w:top w:val="nil"/>
              <w:left w:val="nil"/>
              <w:bottom w:val="nil"/>
              <w:right w:val="nil"/>
            </w:tcBorders>
          </w:tcPr>
          <w:p w14:paraId="6AC280C8"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Jaunas un kapitāli pārbūvētas liellopu novietnes</w:t>
            </w:r>
          </w:p>
        </w:tc>
        <w:tc>
          <w:tcPr>
            <w:tcW w:w="1187" w:type="pct"/>
            <w:tcBorders>
              <w:top w:val="nil"/>
              <w:left w:val="nil"/>
              <w:bottom w:val="nil"/>
              <w:right w:val="nil"/>
            </w:tcBorders>
          </w:tcPr>
          <w:p w14:paraId="42D36BD2"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0–70</w:t>
            </w:r>
          </w:p>
        </w:tc>
        <w:tc>
          <w:tcPr>
            <w:tcW w:w="1848" w:type="pct"/>
            <w:tcBorders>
              <w:top w:val="nil"/>
              <w:left w:val="nil"/>
              <w:bottom w:val="nil"/>
              <w:right w:val="nil"/>
            </w:tcBorders>
          </w:tcPr>
          <w:p w14:paraId="43DC3819"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1–20</w:t>
            </w:r>
          </w:p>
        </w:tc>
      </w:tr>
      <w:tr w:rsidR="008E3F72" w:rsidRPr="00B1767F" w14:paraId="536ACEC9" w14:textId="77777777" w:rsidTr="0010018A">
        <w:tc>
          <w:tcPr>
            <w:tcW w:w="1965" w:type="pct"/>
            <w:tcBorders>
              <w:top w:val="nil"/>
              <w:left w:val="nil"/>
              <w:bottom w:val="nil"/>
              <w:right w:val="nil"/>
            </w:tcBorders>
          </w:tcPr>
          <w:p w14:paraId="0A2FF49F"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Jaunas un kapitāli pārbūvētas cūku novietnes</w:t>
            </w:r>
          </w:p>
        </w:tc>
        <w:tc>
          <w:tcPr>
            <w:tcW w:w="1187" w:type="pct"/>
            <w:tcBorders>
              <w:top w:val="nil"/>
              <w:left w:val="nil"/>
              <w:bottom w:val="nil"/>
              <w:right w:val="nil"/>
            </w:tcBorders>
          </w:tcPr>
          <w:p w14:paraId="6CC81C40"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20–90</w:t>
            </w:r>
          </w:p>
        </w:tc>
        <w:tc>
          <w:tcPr>
            <w:tcW w:w="1848" w:type="pct"/>
            <w:tcBorders>
              <w:top w:val="nil"/>
              <w:left w:val="nil"/>
              <w:bottom w:val="nil"/>
              <w:right w:val="nil"/>
            </w:tcBorders>
          </w:tcPr>
          <w:p w14:paraId="53F0AEB2"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1–20</w:t>
            </w:r>
          </w:p>
        </w:tc>
      </w:tr>
      <w:tr w:rsidR="008E3F72" w:rsidRPr="00B1767F" w14:paraId="663D610C" w14:textId="77777777" w:rsidTr="0010018A">
        <w:tc>
          <w:tcPr>
            <w:tcW w:w="1965" w:type="pct"/>
            <w:tcBorders>
              <w:top w:val="nil"/>
              <w:left w:val="nil"/>
              <w:bottom w:val="nil"/>
              <w:right w:val="nil"/>
            </w:tcBorders>
          </w:tcPr>
          <w:p w14:paraId="438BD2FB" w14:textId="38F8526A" w:rsidR="008E3F72" w:rsidRPr="00B1767F" w:rsidRDefault="008E3F72" w:rsidP="0010018A">
            <w:pPr>
              <w:pStyle w:val="TableParagraph"/>
              <w:widowControl/>
              <w:kinsoku w:val="0"/>
              <w:overflowPunct w:val="0"/>
              <w:jc w:val="both"/>
              <w:rPr>
                <w:noProof/>
                <w:sz w:val="20"/>
                <w:szCs w:val="20"/>
              </w:rPr>
            </w:pPr>
            <w:r w:rsidRPr="00B1767F">
              <w:rPr>
                <w:sz w:val="20"/>
                <w:szCs w:val="20"/>
              </w:rPr>
              <w:t>Ja</w:t>
            </w:r>
            <w:r w:rsidR="0060225B">
              <w:rPr>
                <w:sz w:val="20"/>
                <w:szCs w:val="20"/>
              </w:rPr>
              <w:t>unas un kapitāli pārbūvētas broileru</w:t>
            </w:r>
            <w:r w:rsidRPr="00B1767F">
              <w:rPr>
                <w:sz w:val="20"/>
                <w:szCs w:val="20"/>
              </w:rPr>
              <w:t xml:space="preserve"> novietnes</w:t>
            </w:r>
          </w:p>
        </w:tc>
        <w:tc>
          <w:tcPr>
            <w:tcW w:w="1187" w:type="pct"/>
            <w:tcBorders>
              <w:top w:val="nil"/>
              <w:left w:val="nil"/>
              <w:bottom w:val="nil"/>
              <w:right w:val="nil"/>
            </w:tcBorders>
          </w:tcPr>
          <w:p w14:paraId="6629B87B"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20–90</w:t>
            </w:r>
          </w:p>
        </w:tc>
        <w:tc>
          <w:tcPr>
            <w:tcW w:w="1848" w:type="pct"/>
            <w:tcBorders>
              <w:top w:val="nil"/>
              <w:left w:val="nil"/>
              <w:bottom w:val="nil"/>
              <w:right w:val="nil"/>
            </w:tcBorders>
          </w:tcPr>
          <w:p w14:paraId="69972398"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1–15</w:t>
            </w:r>
          </w:p>
        </w:tc>
      </w:tr>
      <w:tr w:rsidR="008E3F72" w:rsidRPr="00B1767F" w14:paraId="539C3039" w14:textId="77777777" w:rsidTr="0010018A">
        <w:tc>
          <w:tcPr>
            <w:tcW w:w="1965" w:type="pct"/>
            <w:tcBorders>
              <w:top w:val="nil"/>
              <w:left w:val="nil"/>
              <w:bottom w:val="nil"/>
              <w:right w:val="nil"/>
            </w:tcBorders>
          </w:tcPr>
          <w:p w14:paraId="5BC0F99A"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Jaunas un kapitāli pārbūvētas dējējvistu novietnes</w:t>
            </w:r>
          </w:p>
        </w:tc>
        <w:tc>
          <w:tcPr>
            <w:tcW w:w="1187" w:type="pct"/>
            <w:tcBorders>
              <w:top w:val="nil"/>
              <w:left w:val="nil"/>
              <w:bottom w:val="nil"/>
              <w:right w:val="nil"/>
            </w:tcBorders>
          </w:tcPr>
          <w:p w14:paraId="15346689"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20–90</w:t>
            </w:r>
          </w:p>
        </w:tc>
        <w:tc>
          <w:tcPr>
            <w:tcW w:w="1848" w:type="pct"/>
            <w:tcBorders>
              <w:top w:val="nil"/>
              <w:left w:val="nil"/>
              <w:bottom w:val="nil"/>
              <w:right w:val="nil"/>
            </w:tcBorders>
          </w:tcPr>
          <w:p w14:paraId="164E443A"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1–9</w:t>
            </w:r>
          </w:p>
        </w:tc>
      </w:tr>
      <w:tr w:rsidR="008E3F72" w:rsidRPr="00B1767F" w14:paraId="56AE8599" w14:textId="77777777" w:rsidTr="0010018A">
        <w:tc>
          <w:tcPr>
            <w:tcW w:w="1965" w:type="pct"/>
            <w:tcBorders>
              <w:top w:val="nil"/>
              <w:left w:val="nil"/>
              <w:bottom w:val="single" w:sz="12" w:space="0" w:color="000000"/>
              <w:right w:val="nil"/>
            </w:tcBorders>
          </w:tcPr>
          <w:p w14:paraId="29F2DBAA"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Jaunas un kapitāli pārbūvētas dzīvnieku novietnes saimniecībās, kur audzē citus dzīvniekus, kas šeit nav uzskaitīti</w:t>
            </w:r>
          </w:p>
        </w:tc>
        <w:tc>
          <w:tcPr>
            <w:tcW w:w="1187" w:type="pct"/>
            <w:tcBorders>
              <w:top w:val="nil"/>
              <w:left w:val="nil"/>
              <w:bottom w:val="single" w:sz="12" w:space="0" w:color="000000"/>
              <w:right w:val="nil"/>
            </w:tcBorders>
          </w:tcPr>
          <w:p w14:paraId="64E1E43E"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0–90</w:t>
            </w:r>
          </w:p>
        </w:tc>
        <w:tc>
          <w:tcPr>
            <w:tcW w:w="1848" w:type="pct"/>
            <w:tcBorders>
              <w:top w:val="nil"/>
              <w:left w:val="nil"/>
              <w:bottom w:val="single" w:sz="12" w:space="0" w:color="000000"/>
              <w:right w:val="nil"/>
            </w:tcBorders>
          </w:tcPr>
          <w:p w14:paraId="48FE1669"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1–20</w:t>
            </w:r>
          </w:p>
        </w:tc>
      </w:tr>
    </w:tbl>
    <w:p w14:paraId="723DCC21" w14:textId="47CCFCA8" w:rsidR="00B1767F" w:rsidRDefault="008E3F72" w:rsidP="008E3F72">
      <w:pPr>
        <w:pStyle w:val="BodyText"/>
        <w:widowControl/>
        <w:kinsoku w:val="0"/>
        <w:overflowPunct w:val="0"/>
        <w:spacing w:before="0"/>
        <w:ind w:left="0"/>
        <w:jc w:val="both"/>
      </w:pPr>
      <w:r w:rsidRPr="00F35F4D">
        <w:rPr>
          <w:i/>
          <w:noProof/>
          <w:sz w:val="24"/>
        </w:rPr>
        <w:t xml:space="preserve">a </w:t>
      </w:r>
      <w:r w:rsidRPr="00F35F4D">
        <w:t>Varianti salīdzināšanai ir norādīti turpmākajā metodisko norādījumu dokumenta daļā.</w:t>
      </w:r>
    </w:p>
    <w:p w14:paraId="1E059DD0" w14:textId="77777777" w:rsidR="00B1767F" w:rsidRPr="00B1767F" w:rsidRDefault="00B1767F" w:rsidP="008E3F72">
      <w:pPr>
        <w:pStyle w:val="BodyText"/>
        <w:widowControl/>
        <w:kinsoku w:val="0"/>
        <w:overflowPunct w:val="0"/>
        <w:spacing w:before="0"/>
        <w:ind w:left="0"/>
        <w:jc w:val="both"/>
      </w:pPr>
    </w:p>
    <w:p w14:paraId="685C5EB9" w14:textId="5709ECAF"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lastRenderedPageBreak/>
        <w:t>NH</w:t>
      </w:r>
      <w:r w:rsidRPr="00F35F4D">
        <w:rPr>
          <w:noProof/>
          <w:sz w:val="24"/>
          <w:vertAlign w:val="subscript"/>
        </w:rPr>
        <w:t>3</w:t>
      </w:r>
      <w:r w:rsidRPr="00F35F4D">
        <w:rPr>
          <w:noProof/>
          <w:sz w:val="24"/>
        </w:rPr>
        <w:t xml:space="preserve"> emisijas samazināšana no </w:t>
      </w:r>
      <w:r w:rsidRPr="00F35F4D">
        <w:rPr>
          <w:b/>
          <w:noProof/>
          <w:sz w:val="24"/>
        </w:rPr>
        <w:t>kūtsmēslu krātuvēm</w:t>
      </w:r>
      <w:r w:rsidRPr="00F35F4D">
        <w:rPr>
          <w:noProof/>
          <w:sz w:val="24"/>
        </w:rPr>
        <w:t xml:space="preserve"> pamatojas uz vienu vai vairākiem principiem, kas minēti turpmāk: a) emisiju radošās virsmas samazināšana, no</w:t>
      </w:r>
      <w:r w:rsidR="0060225B">
        <w:rPr>
          <w:noProof/>
          <w:sz w:val="24"/>
        </w:rPr>
        <w:t>sedzot krātuvi, veicinot segslāņa</w:t>
      </w:r>
      <w:r w:rsidRPr="00F35F4D">
        <w:rPr>
          <w:noProof/>
          <w:sz w:val="24"/>
        </w:rPr>
        <w:t xml:space="preserve"> veidošanos un palielinot krātuves dziļumu; b) emisijas virsmu radošā avota intensitātes samazināšana, t. i., pazeminot pH un amonija (NH</w:t>
      </w:r>
      <w:r w:rsidRPr="00F35F4D">
        <w:rPr>
          <w:noProof/>
          <w:sz w:val="24"/>
          <w:vertAlign w:val="subscript"/>
        </w:rPr>
        <w:t>4</w:t>
      </w:r>
      <w:r w:rsidRPr="00F35F4D">
        <w:rPr>
          <w:noProof/>
          <w:sz w:val="24"/>
        </w:rPr>
        <w:t>) koncentrāciju, un c) </w:t>
      </w:r>
      <w:r w:rsidR="0060225B">
        <w:rPr>
          <w:noProof/>
          <w:sz w:val="24"/>
        </w:rPr>
        <w:t>tādu traucējumu kā aerācija samazināšana līdz minimumam</w:t>
      </w:r>
      <w:r w:rsidRPr="00F35F4D">
        <w:rPr>
          <w:noProof/>
          <w:sz w:val="24"/>
        </w:rPr>
        <w:t>. Visi šie principi ir izmantoti paņēmienos, kas atbilst 1. kategorijai (t. i., ir zinātniski pamatoti un pārbaudīti praksē). Šie principi kopumā ir piemērojami šķidro kūtsmēslu krātuvēm un cieto kūtsmēslu (pakaišu) krātuvēm. Tomēr praksē šos principus ir vieglāk īstenot šķidro kūtsmēslu krātuvēs nekā cieto kūtsmēslu (pakaišu) krātuvēs. Atsaucei izmanto nenosegtu šķid</w:t>
      </w:r>
      <w:r w:rsidR="0060225B">
        <w:rPr>
          <w:noProof/>
          <w:sz w:val="24"/>
        </w:rPr>
        <w:t>ro kūtsmēslu krātuvi bez segslāņa</w:t>
      </w:r>
      <w:r w:rsidRPr="00F35F4D">
        <w:rPr>
          <w:noProof/>
          <w:sz w:val="24"/>
        </w:rPr>
        <w:t xml:space="preserve"> un nen</w:t>
      </w:r>
      <w:r w:rsidR="0085568E">
        <w:rPr>
          <w:noProof/>
          <w:sz w:val="24"/>
        </w:rPr>
        <w:t>osegtu</w:t>
      </w:r>
      <w:r w:rsidR="0060225B">
        <w:rPr>
          <w:noProof/>
          <w:sz w:val="24"/>
        </w:rPr>
        <w:t xml:space="preserve"> pakaišu</w:t>
      </w:r>
      <w:r w:rsidRPr="00F35F4D">
        <w:rPr>
          <w:noProof/>
          <w:sz w:val="24"/>
        </w:rPr>
        <w:t xml:space="preserve"> kūtsmēslu kaudzi.</w:t>
      </w:r>
    </w:p>
    <w:p w14:paraId="3AAAD898" w14:textId="2CB093A6" w:rsidR="008E3F72" w:rsidRPr="00B1767F"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Izmaksas par paņēmieniem NH</w:t>
      </w:r>
      <w:r w:rsidRPr="00F35F4D">
        <w:rPr>
          <w:noProof/>
          <w:sz w:val="24"/>
          <w:vertAlign w:val="subscript"/>
        </w:rPr>
        <w:t>3</w:t>
      </w:r>
      <w:r w:rsidRPr="00F35F4D">
        <w:rPr>
          <w:noProof/>
          <w:sz w:val="24"/>
        </w:rPr>
        <w:t xml:space="preserve"> emisijas samazināšanai no krātuvēm ir saistītas ar a) kapitālieguldījumu amortizācijas izmaksām; b) peļņu no ieguldījumiem un c) ekspluatācijas un tehniskās apkopes izmaksām. Tālāk ir apkopotas izmaksas, kas izteiktas </w:t>
      </w:r>
      <w:r w:rsidRPr="00F35F4D">
        <w:rPr>
          <w:i/>
          <w:noProof/>
          <w:sz w:val="24"/>
        </w:rPr>
        <w:t>euro</w:t>
      </w:r>
      <w:r w:rsidRPr="00F35F4D">
        <w:rPr>
          <w:noProof/>
          <w:sz w:val="24"/>
        </w:rPr>
        <w:t xml:space="preserve"> par ietaupītā amonjaka – slāpekļa (NH</w:t>
      </w:r>
      <w:r w:rsidRPr="00F35F4D">
        <w:rPr>
          <w:noProof/>
          <w:sz w:val="24"/>
          <w:vertAlign w:val="subscript"/>
        </w:rPr>
        <w:t>3</w:t>
      </w:r>
      <w:r w:rsidRPr="00F35F4D">
        <w:rPr>
          <w:noProof/>
          <w:sz w:val="24"/>
        </w:rPr>
        <w:t>-N) kilogramu (ES4 tabula). Līdztekus izmaksām ir guvumi, kas saistīti ar nepatīkamās smakas samazināšanos, mazāku lietus ūdens uzkrāšanos un lielāku drošību (nav vaļēju šahtu); dažus no šiem guvumiem ir grūti izmērīt, un tāpēc tie šeit nav iekļauti. Izmaksu diapazoni attiecas uz dažādiem paņēmieniem/variantiem un saimniecības lieluma. Jāievēro, ka ES4 tabulā dotajos izmaksu aprēķinos nav iekļautas pašas krātuves sistēmas izmaksas. Dažreiz krātuves var nosegt tikai tad, ja tās uzbūvē no jauna. Kopējos zudumus „</w:t>
      </w:r>
      <w:r w:rsidR="0060225B">
        <w:rPr>
          <w:noProof/>
          <w:sz w:val="24"/>
        </w:rPr>
        <w:t>uz</w:t>
      </w:r>
      <w:r w:rsidRPr="00F35F4D">
        <w:rPr>
          <w:noProof/>
          <w:sz w:val="24"/>
        </w:rPr>
        <w:t>glabāšanas” laikā var ietekmēt kūtsmēslu apstrāde, piemēram, atdalīšana, kompostēšana un fermentēšana.</w:t>
      </w:r>
    </w:p>
    <w:p w14:paraId="7D44D9CA" w14:textId="77777777" w:rsidR="00B1767F" w:rsidRPr="00F35F4D" w:rsidRDefault="00B1767F" w:rsidP="00B1767F">
      <w:pPr>
        <w:pStyle w:val="BodyText"/>
        <w:widowControl/>
        <w:tabs>
          <w:tab w:val="left" w:pos="861"/>
        </w:tabs>
        <w:kinsoku w:val="0"/>
        <w:overflowPunct w:val="0"/>
        <w:spacing w:before="0"/>
        <w:ind w:left="0"/>
        <w:jc w:val="both"/>
        <w:rPr>
          <w:noProof/>
          <w:sz w:val="24"/>
          <w:szCs w:val="24"/>
        </w:rPr>
      </w:pPr>
    </w:p>
    <w:p w14:paraId="47440AF9" w14:textId="77777777" w:rsidR="008E3F72" w:rsidRPr="00F35F4D" w:rsidRDefault="008E3F72" w:rsidP="008E3F72">
      <w:pPr>
        <w:pStyle w:val="Heading7"/>
        <w:widowControl/>
        <w:kinsoku w:val="0"/>
        <w:overflowPunct w:val="0"/>
        <w:spacing w:before="0"/>
        <w:ind w:left="0"/>
        <w:jc w:val="both"/>
        <w:rPr>
          <w:noProof/>
          <w:sz w:val="24"/>
          <w:szCs w:val="24"/>
        </w:rPr>
      </w:pPr>
      <w:r w:rsidRPr="00F35F4D">
        <w:rPr>
          <w:noProof/>
          <w:sz w:val="24"/>
        </w:rPr>
        <w:t>ES4 tabula</w:t>
      </w:r>
    </w:p>
    <w:p w14:paraId="1865BE70"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Amonjaka emisijas samazināšanas paņēmieni no kūtsmēslu krātuvēm, emisijas samazināšanas līmeņi un attiecīgās izmaksas</w:t>
      </w:r>
    </w:p>
    <w:p w14:paraId="12478936"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1722"/>
        <w:gridCol w:w="2076"/>
        <w:gridCol w:w="2312"/>
        <w:gridCol w:w="2116"/>
      </w:tblGrid>
      <w:tr w:rsidR="008E3F72" w:rsidRPr="00B1767F" w14:paraId="49BA4F9F" w14:textId="77777777" w:rsidTr="0010018A">
        <w:tc>
          <w:tcPr>
            <w:tcW w:w="1047" w:type="pct"/>
            <w:tcBorders>
              <w:top w:val="single" w:sz="4" w:space="0" w:color="000000"/>
              <w:left w:val="nil"/>
              <w:bottom w:val="single" w:sz="12" w:space="0" w:color="000000"/>
              <w:right w:val="nil"/>
            </w:tcBorders>
          </w:tcPr>
          <w:p w14:paraId="5D678AC6" w14:textId="77777777" w:rsidR="008E3F72" w:rsidRPr="00B1767F" w:rsidRDefault="008E3F72" w:rsidP="0010018A">
            <w:pPr>
              <w:pStyle w:val="TableParagraph"/>
              <w:widowControl/>
              <w:kinsoku w:val="0"/>
              <w:overflowPunct w:val="0"/>
              <w:jc w:val="both"/>
              <w:rPr>
                <w:i/>
                <w:iCs/>
                <w:noProof/>
                <w:sz w:val="20"/>
                <w:szCs w:val="20"/>
              </w:rPr>
            </w:pPr>
            <w:r w:rsidRPr="00B1767F">
              <w:rPr>
                <w:i/>
                <w:noProof/>
                <w:sz w:val="20"/>
                <w:szCs w:val="20"/>
              </w:rPr>
              <w:t>Paņēmieni</w:t>
            </w:r>
          </w:p>
        </w:tc>
        <w:tc>
          <w:tcPr>
            <w:tcW w:w="1262" w:type="pct"/>
            <w:tcBorders>
              <w:top w:val="single" w:sz="4" w:space="0" w:color="000000"/>
              <w:left w:val="nil"/>
              <w:bottom w:val="single" w:sz="12" w:space="0" w:color="000000"/>
              <w:right w:val="nil"/>
            </w:tcBorders>
          </w:tcPr>
          <w:p w14:paraId="6843A392" w14:textId="77777777" w:rsidR="008E3F72" w:rsidRPr="00B1767F" w:rsidRDefault="008E3F72" w:rsidP="0010018A">
            <w:pPr>
              <w:pStyle w:val="TableParagraph"/>
              <w:widowControl/>
              <w:kinsoku w:val="0"/>
              <w:overflowPunct w:val="0"/>
              <w:jc w:val="both"/>
              <w:rPr>
                <w:i/>
                <w:iCs/>
                <w:noProof/>
                <w:sz w:val="20"/>
                <w:szCs w:val="20"/>
              </w:rPr>
            </w:pPr>
            <w:r w:rsidRPr="00B1767F">
              <w:rPr>
                <w:i/>
                <w:noProof/>
                <w:sz w:val="20"/>
                <w:szCs w:val="20"/>
              </w:rPr>
              <w:t>Emisijas samazinājums</w:t>
            </w:r>
          </w:p>
          <w:p w14:paraId="05E7097C" w14:textId="77777777" w:rsidR="008E3F72" w:rsidRPr="00B1767F" w:rsidRDefault="008E3F72" w:rsidP="0010018A">
            <w:pPr>
              <w:pStyle w:val="TableParagraph"/>
              <w:widowControl/>
              <w:kinsoku w:val="0"/>
              <w:overflowPunct w:val="0"/>
              <w:jc w:val="both"/>
              <w:rPr>
                <w:i/>
                <w:iCs/>
                <w:noProof/>
                <w:sz w:val="20"/>
                <w:szCs w:val="20"/>
              </w:rPr>
            </w:pPr>
            <w:r w:rsidRPr="00B1767F">
              <w:rPr>
                <w:i/>
                <w:noProof/>
                <w:sz w:val="20"/>
                <w:szCs w:val="20"/>
              </w:rPr>
              <w:t>(%)</w:t>
            </w:r>
          </w:p>
        </w:tc>
        <w:tc>
          <w:tcPr>
            <w:tcW w:w="1405" w:type="pct"/>
            <w:tcBorders>
              <w:top w:val="single" w:sz="4" w:space="0" w:color="000000"/>
              <w:left w:val="nil"/>
              <w:bottom w:val="single" w:sz="12" w:space="0" w:color="000000"/>
              <w:right w:val="nil"/>
            </w:tcBorders>
          </w:tcPr>
          <w:p w14:paraId="0B638DAD" w14:textId="77777777" w:rsidR="008E3F72" w:rsidRPr="00B1767F" w:rsidRDefault="008E3F72" w:rsidP="0010018A">
            <w:pPr>
              <w:pStyle w:val="TableParagraph"/>
              <w:widowControl/>
              <w:kinsoku w:val="0"/>
              <w:overflowPunct w:val="0"/>
              <w:jc w:val="both"/>
              <w:rPr>
                <w:noProof/>
                <w:sz w:val="20"/>
                <w:szCs w:val="20"/>
              </w:rPr>
            </w:pPr>
            <w:r w:rsidRPr="00B1767F">
              <w:rPr>
                <w:i/>
                <w:noProof/>
                <w:sz w:val="20"/>
                <w:szCs w:val="20"/>
              </w:rPr>
              <w:t>Izmaksas (€ par m</w:t>
            </w:r>
            <w:r w:rsidRPr="00B1767F">
              <w:rPr>
                <w:i/>
                <w:noProof/>
                <w:sz w:val="20"/>
                <w:szCs w:val="20"/>
                <w:vertAlign w:val="superscript"/>
              </w:rPr>
              <w:t>3</w:t>
            </w:r>
            <w:r w:rsidRPr="00B1767F">
              <w:rPr>
                <w:i/>
                <w:noProof/>
                <w:sz w:val="20"/>
                <w:szCs w:val="20"/>
              </w:rPr>
              <w:t xml:space="preserve"> gadā)</w:t>
            </w:r>
          </w:p>
        </w:tc>
        <w:tc>
          <w:tcPr>
            <w:tcW w:w="1286" w:type="pct"/>
            <w:tcBorders>
              <w:top w:val="single" w:sz="4" w:space="0" w:color="000000"/>
              <w:left w:val="nil"/>
              <w:bottom w:val="single" w:sz="12" w:space="0" w:color="000000"/>
              <w:right w:val="nil"/>
            </w:tcBorders>
          </w:tcPr>
          <w:p w14:paraId="053EDF19" w14:textId="77777777" w:rsidR="008E3F72" w:rsidRPr="00B1767F" w:rsidRDefault="008E3F72" w:rsidP="0010018A">
            <w:pPr>
              <w:pStyle w:val="TableParagraph"/>
              <w:widowControl/>
              <w:kinsoku w:val="0"/>
              <w:overflowPunct w:val="0"/>
              <w:jc w:val="both"/>
              <w:rPr>
                <w:noProof/>
                <w:sz w:val="20"/>
                <w:szCs w:val="20"/>
              </w:rPr>
            </w:pPr>
            <w:r w:rsidRPr="00B1767F">
              <w:rPr>
                <w:i/>
                <w:sz w:val="20"/>
                <w:szCs w:val="20"/>
              </w:rPr>
              <w:t>Izmaksas (€ par ietaupītā</w:t>
            </w:r>
            <w:r w:rsidRPr="00B1767F">
              <w:rPr>
                <w:sz w:val="20"/>
                <w:szCs w:val="20"/>
              </w:rPr>
              <w:br/>
            </w:r>
          </w:p>
          <w:p w14:paraId="58016CDD" w14:textId="77777777" w:rsidR="008E3F72" w:rsidRPr="00B1767F" w:rsidRDefault="008E3F72" w:rsidP="0010018A">
            <w:pPr>
              <w:pStyle w:val="TableParagraph"/>
              <w:widowControl/>
              <w:kinsoku w:val="0"/>
              <w:overflowPunct w:val="0"/>
              <w:jc w:val="both"/>
              <w:rPr>
                <w:i/>
                <w:iCs/>
                <w:noProof/>
                <w:sz w:val="20"/>
                <w:szCs w:val="20"/>
              </w:rPr>
            </w:pPr>
            <w:r w:rsidRPr="00B1767F">
              <w:rPr>
                <w:i/>
                <w:noProof/>
                <w:sz w:val="20"/>
                <w:szCs w:val="20"/>
              </w:rPr>
              <w:t>NH</w:t>
            </w:r>
            <w:r w:rsidRPr="00B1767F">
              <w:rPr>
                <w:noProof/>
                <w:sz w:val="20"/>
                <w:szCs w:val="20"/>
                <w:vertAlign w:val="subscript"/>
              </w:rPr>
              <w:t>3</w:t>
            </w:r>
            <w:r w:rsidRPr="00B1767F">
              <w:rPr>
                <w:i/>
                <w:noProof/>
                <w:sz w:val="20"/>
                <w:szCs w:val="20"/>
              </w:rPr>
              <w:t>-N kg)</w:t>
            </w:r>
          </w:p>
        </w:tc>
      </w:tr>
      <w:tr w:rsidR="008E3F72" w:rsidRPr="00B1767F" w14:paraId="355FA172" w14:textId="77777777" w:rsidTr="0010018A">
        <w:tc>
          <w:tcPr>
            <w:tcW w:w="1047" w:type="pct"/>
            <w:tcBorders>
              <w:top w:val="single" w:sz="12" w:space="0" w:color="000000"/>
              <w:left w:val="nil"/>
              <w:bottom w:val="nil"/>
              <w:right w:val="nil"/>
            </w:tcBorders>
          </w:tcPr>
          <w:p w14:paraId="0B8D71D6"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Ciešs vāks</w:t>
            </w:r>
          </w:p>
        </w:tc>
        <w:tc>
          <w:tcPr>
            <w:tcW w:w="1262" w:type="pct"/>
            <w:tcBorders>
              <w:top w:val="single" w:sz="12" w:space="0" w:color="000000"/>
              <w:left w:val="nil"/>
              <w:bottom w:val="nil"/>
              <w:right w:val="nil"/>
            </w:tcBorders>
          </w:tcPr>
          <w:p w14:paraId="4C54E7DF"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&gt; 80</w:t>
            </w:r>
          </w:p>
        </w:tc>
        <w:tc>
          <w:tcPr>
            <w:tcW w:w="1405" w:type="pct"/>
            <w:tcBorders>
              <w:top w:val="single" w:sz="12" w:space="0" w:color="000000"/>
              <w:left w:val="nil"/>
              <w:bottom w:val="nil"/>
              <w:right w:val="nil"/>
            </w:tcBorders>
          </w:tcPr>
          <w:p w14:paraId="70503AA3"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2–4</w:t>
            </w:r>
          </w:p>
        </w:tc>
        <w:tc>
          <w:tcPr>
            <w:tcW w:w="1286" w:type="pct"/>
            <w:tcBorders>
              <w:top w:val="single" w:sz="12" w:space="0" w:color="000000"/>
              <w:left w:val="nil"/>
              <w:bottom w:val="nil"/>
              <w:right w:val="nil"/>
            </w:tcBorders>
          </w:tcPr>
          <w:p w14:paraId="50E67D3E"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1–2,5</w:t>
            </w:r>
          </w:p>
        </w:tc>
      </w:tr>
      <w:tr w:rsidR="008E3F72" w:rsidRPr="00B1767F" w14:paraId="6FE62B07" w14:textId="77777777" w:rsidTr="0010018A">
        <w:tc>
          <w:tcPr>
            <w:tcW w:w="1047" w:type="pct"/>
            <w:tcBorders>
              <w:top w:val="nil"/>
              <w:left w:val="nil"/>
              <w:bottom w:val="nil"/>
              <w:right w:val="nil"/>
            </w:tcBorders>
          </w:tcPr>
          <w:p w14:paraId="30C157CD"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Plastmasas segums</w:t>
            </w:r>
          </w:p>
        </w:tc>
        <w:tc>
          <w:tcPr>
            <w:tcW w:w="1262" w:type="pct"/>
            <w:tcBorders>
              <w:top w:val="nil"/>
              <w:left w:val="nil"/>
              <w:bottom w:val="nil"/>
              <w:right w:val="nil"/>
            </w:tcBorders>
          </w:tcPr>
          <w:p w14:paraId="04520E98"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&gt; 60</w:t>
            </w:r>
          </w:p>
        </w:tc>
        <w:tc>
          <w:tcPr>
            <w:tcW w:w="1405" w:type="pct"/>
            <w:tcBorders>
              <w:top w:val="nil"/>
              <w:left w:val="nil"/>
              <w:bottom w:val="nil"/>
              <w:right w:val="nil"/>
            </w:tcBorders>
          </w:tcPr>
          <w:p w14:paraId="5B069CC2"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1,5–3</w:t>
            </w:r>
          </w:p>
        </w:tc>
        <w:tc>
          <w:tcPr>
            <w:tcW w:w="1286" w:type="pct"/>
            <w:tcBorders>
              <w:top w:val="nil"/>
              <w:left w:val="nil"/>
              <w:bottom w:val="nil"/>
              <w:right w:val="nil"/>
            </w:tcBorders>
          </w:tcPr>
          <w:p w14:paraId="27B89984"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0,5–1,3</w:t>
            </w:r>
          </w:p>
        </w:tc>
      </w:tr>
      <w:tr w:rsidR="008E3F72" w:rsidRPr="00B1767F" w14:paraId="598F74B8" w14:textId="77777777" w:rsidTr="0010018A">
        <w:tc>
          <w:tcPr>
            <w:tcW w:w="1047" w:type="pct"/>
            <w:tcBorders>
              <w:top w:val="nil"/>
              <w:left w:val="nil"/>
              <w:bottom w:val="single" w:sz="12" w:space="0" w:color="000000"/>
              <w:right w:val="nil"/>
            </w:tcBorders>
          </w:tcPr>
          <w:p w14:paraId="6C0D8FB8"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Peldošs segums</w:t>
            </w:r>
          </w:p>
        </w:tc>
        <w:tc>
          <w:tcPr>
            <w:tcW w:w="1262" w:type="pct"/>
            <w:tcBorders>
              <w:top w:val="nil"/>
              <w:left w:val="nil"/>
              <w:bottom w:val="single" w:sz="12" w:space="0" w:color="000000"/>
              <w:right w:val="nil"/>
            </w:tcBorders>
          </w:tcPr>
          <w:p w14:paraId="5F4F8080"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&gt; 40</w:t>
            </w:r>
          </w:p>
        </w:tc>
        <w:tc>
          <w:tcPr>
            <w:tcW w:w="1405" w:type="pct"/>
            <w:tcBorders>
              <w:top w:val="nil"/>
              <w:left w:val="nil"/>
              <w:bottom w:val="single" w:sz="12" w:space="0" w:color="000000"/>
              <w:right w:val="nil"/>
            </w:tcBorders>
          </w:tcPr>
          <w:p w14:paraId="080195AE"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1,5–3*)</w:t>
            </w:r>
          </w:p>
        </w:tc>
        <w:tc>
          <w:tcPr>
            <w:tcW w:w="1286" w:type="pct"/>
            <w:tcBorders>
              <w:top w:val="nil"/>
              <w:left w:val="nil"/>
              <w:bottom w:val="single" w:sz="12" w:space="0" w:color="000000"/>
              <w:right w:val="nil"/>
            </w:tcBorders>
          </w:tcPr>
          <w:p w14:paraId="3FD7EC42" w14:textId="77777777" w:rsidR="008E3F72" w:rsidRPr="00B1767F" w:rsidRDefault="008E3F72" w:rsidP="0010018A">
            <w:pPr>
              <w:pStyle w:val="TableParagraph"/>
              <w:widowControl/>
              <w:kinsoku w:val="0"/>
              <w:overflowPunct w:val="0"/>
              <w:jc w:val="both"/>
              <w:rPr>
                <w:noProof/>
                <w:sz w:val="20"/>
                <w:szCs w:val="20"/>
              </w:rPr>
            </w:pPr>
            <w:r w:rsidRPr="00B1767F">
              <w:rPr>
                <w:sz w:val="20"/>
                <w:szCs w:val="20"/>
              </w:rPr>
              <w:t>0,3–5</w:t>
            </w:r>
            <w:r w:rsidRPr="00B1767F">
              <w:rPr>
                <w:i/>
                <w:noProof/>
                <w:sz w:val="20"/>
                <w:szCs w:val="20"/>
              </w:rPr>
              <w:t>a</w:t>
            </w:r>
          </w:p>
        </w:tc>
      </w:tr>
    </w:tbl>
    <w:p w14:paraId="6F7DA164" w14:textId="31EF812A"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a</w:t>
      </w:r>
      <w:r w:rsidR="0060225B">
        <w:t xml:space="preserve"> Bez segslāņa</w:t>
      </w:r>
      <w:r w:rsidRPr="00F35F4D">
        <w:t xml:space="preserve">; dažiem </w:t>
      </w:r>
      <w:r w:rsidR="0060225B">
        <w:t>kūtsmēslu veidiem virsmas segslānis</w:t>
      </w:r>
      <w:r w:rsidRPr="00F35F4D">
        <w:t xml:space="preserve"> veidojas pat</w:t>
      </w:r>
      <w:r w:rsidR="0060225B">
        <w:t>s no sevis un nav saistīts</w:t>
      </w:r>
      <w:r w:rsidRPr="00F35F4D">
        <w:t xml:space="preserve"> ar izmaksām, bet to ir grūti prognozēt.</w:t>
      </w:r>
    </w:p>
    <w:p w14:paraId="41A55E68" w14:textId="77777777" w:rsidR="008E3F72" w:rsidRPr="00F35F4D" w:rsidRDefault="008E3F72" w:rsidP="008E3F72">
      <w:pPr>
        <w:pStyle w:val="BodyText"/>
        <w:widowControl/>
        <w:kinsoku w:val="0"/>
        <w:overflowPunct w:val="0"/>
        <w:spacing w:before="0"/>
        <w:ind w:left="0"/>
        <w:jc w:val="both"/>
        <w:rPr>
          <w:noProof/>
          <w:sz w:val="24"/>
          <w:szCs w:val="24"/>
        </w:rPr>
      </w:pPr>
    </w:p>
    <w:p w14:paraId="002396F9" w14:textId="21E9C6A3" w:rsidR="008E3F72" w:rsidRPr="00E03890"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b/>
        </w:rPr>
        <w:t>Zema emisijas līmeņa mēslošana</w:t>
      </w:r>
      <w:r w:rsidRPr="00F35F4D">
        <w:t xml:space="preserve"> pamatojas uz vienu vai vairākiem turpmāk minētajiem principiem:</w:t>
      </w:r>
      <w:r w:rsidRPr="00F35F4D">
        <w:rPr>
          <w:noProof/>
          <w:sz w:val="24"/>
        </w:rPr>
        <w:t xml:space="preserve"> a) virsmas laukuma samazināšana potenciālās emisijas vietās, piemēram, mēslojot joslās, veicot mēslojuma inžekciju vai iestrādi; b) potenciālā emisijas laika samazināšana, piemēram, ātri iestrādājot kūtsmēslus augsnē, veicot tūlītēju laistīšanu vai nodrošinot strauju iesūkšanos, un c) emisijas virsmas avota intensitātes samazināšana, t. i., pazeminot pH līmeni un amonija (NH4) koncentrāciju kūtsmēslos (tos atšķaidot). Visi šie principi ir izmantoti paņēmienos, kas atbilst 1. kategorijai (t. i., ir zinātniski pamatoti un pārbaudīti praksē). Šie principi ir kopumā piemērojami mēslo</w:t>
      </w:r>
      <w:r w:rsidR="0085568E">
        <w:rPr>
          <w:noProof/>
          <w:sz w:val="24"/>
        </w:rPr>
        <w:t>šanai ar šķidrajiem un</w:t>
      </w:r>
      <w:r w:rsidR="0060225B">
        <w:rPr>
          <w:noProof/>
          <w:sz w:val="24"/>
        </w:rPr>
        <w:t xml:space="preserve"> pakaišu</w:t>
      </w:r>
      <w:r w:rsidRPr="00F35F4D">
        <w:rPr>
          <w:noProof/>
          <w:sz w:val="24"/>
        </w:rPr>
        <w:t xml:space="preserve"> kūtsmēsliem. Tomēr emisijas samazināšanas paņēmieni ir vairāk pie</w:t>
      </w:r>
      <w:r w:rsidR="0085568E">
        <w:rPr>
          <w:noProof/>
          <w:sz w:val="24"/>
        </w:rPr>
        <w:t>mēroti šķidrajiem nekā</w:t>
      </w:r>
      <w:r w:rsidR="0060225B">
        <w:rPr>
          <w:noProof/>
          <w:sz w:val="24"/>
        </w:rPr>
        <w:t xml:space="preserve"> pakaišu</w:t>
      </w:r>
      <w:r w:rsidRPr="00F35F4D">
        <w:rPr>
          <w:noProof/>
          <w:sz w:val="24"/>
        </w:rPr>
        <w:t xml:space="preserve"> kūtsmēsliem, un pirmajā gadījumā r</w:t>
      </w:r>
      <w:r w:rsidR="0085568E">
        <w:rPr>
          <w:noProof/>
          <w:sz w:val="24"/>
        </w:rPr>
        <w:t>ezultāts ir labāks. P</w:t>
      </w:r>
      <w:r w:rsidR="0060225B">
        <w:rPr>
          <w:noProof/>
          <w:sz w:val="24"/>
        </w:rPr>
        <w:t>akaišu</w:t>
      </w:r>
      <w:r w:rsidRPr="00F35F4D">
        <w:rPr>
          <w:noProof/>
          <w:sz w:val="24"/>
        </w:rPr>
        <w:t xml:space="preserve"> kūtsmēsliem vispiemērotākais paņēmiens ir ātra iestrāde augsnē un tūlītēja aplaistīšana. </w:t>
      </w:r>
      <w:r w:rsidR="0085568E">
        <w:rPr>
          <w:noProof/>
          <w:sz w:val="24"/>
        </w:rPr>
        <w:t>Atsaucei izmanto šķidro un</w:t>
      </w:r>
      <w:r w:rsidR="0060225B">
        <w:rPr>
          <w:noProof/>
          <w:sz w:val="24"/>
        </w:rPr>
        <w:t xml:space="preserve"> pakaišu</w:t>
      </w:r>
      <w:r w:rsidRPr="00F35F4D">
        <w:rPr>
          <w:noProof/>
          <w:sz w:val="24"/>
        </w:rPr>
        <w:t xml:space="preserve"> kūtsmēslu izkliedēšanu uz augsnes virsmas. Ceturto principu, proti, mēslošanu apstākļos, kas neveicina iztvaikošanu, piemēram, zemā gaisa temperatūrā un bezvēja apstākļos, </w:t>
      </w:r>
      <w:r w:rsidRPr="00F35F4D">
        <w:rPr>
          <w:noProof/>
          <w:sz w:val="24"/>
        </w:rPr>
        <w:lastRenderedPageBreak/>
        <w:t>uzskata par 2.</w:t>
      </w:r>
      <w:r w:rsidR="00E03890">
        <w:rPr>
          <w:rStyle w:val="FootnoteReference"/>
          <w:noProof/>
          <w:sz w:val="24"/>
        </w:rPr>
        <w:footnoteReference w:id="5"/>
      </w:r>
      <w:r w:rsidRPr="00F35F4D">
        <w:rPr>
          <w:noProof/>
          <w:sz w:val="24"/>
        </w:rPr>
        <w:t xml:space="preserve"> kategorijas pasākumu, jo tam vajadzīga izvērtēšanas metode. Izmaksas par paņēmieniem NH</w:t>
      </w:r>
      <w:r w:rsidRPr="00F35F4D">
        <w:rPr>
          <w:noProof/>
          <w:sz w:val="24"/>
          <w:vertAlign w:val="subscript"/>
        </w:rPr>
        <w:t>3</w:t>
      </w:r>
      <w:r w:rsidRPr="00F35F4D">
        <w:rPr>
          <w:noProof/>
          <w:sz w:val="24"/>
        </w:rPr>
        <w:t xml:space="preserve"> emisijas samazināšanai mēslošanas laikā ir saistītas ar a) amortizācijas izmaksām vai ieguldījumiem mēslošanas aprīkojumā; b) peļņu no ieguldījumiem; c) papildu izmaksām par traktortehniku un darbaspēku un d) mehānismu ekspluatācijas un tehniskās apkopes izmaksām.</w:t>
      </w:r>
    </w:p>
    <w:p w14:paraId="2C004816" w14:textId="77777777" w:rsidR="00E03890" w:rsidRPr="00F35F4D" w:rsidRDefault="00E03890" w:rsidP="00E03890">
      <w:pPr>
        <w:pStyle w:val="BodyText"/>
        <w:widowControl/>
        <w:tabs>
          <w:tab w:val="left" w:pos="861"/>
        </w:tabs>
        <w:kinsoku w:val="0"/>
        <w:overflowPunct w:val="0"/>
        <w:spacing w:before="0"/>
        <w:ind w:left="0"/>
        <w:jc w:val="both"/>
        <w:rPr>
          <w:noProof/>
          <w:sz w:val="24"/>
          <w:szCs w:val="24"/>
        </w:rPr>
      </w:pPr>
    </w:p>
    <w:p w14:paraId="7063841A" w14:textId="77777777"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Tālāk ir apkopotas izmaksas, kas izteiktas </w:t>
      </w:r>
      <w:r w:rsidRPr="00F35F4D">
        <w:rPr>
          <w:i/>
          <w:noProof/>
          <w:sz w:val="24"/>
        </w:rPr>
        <w:t>euro</w:t>
      </w:r>
      <w:r w:rsidRPr="00F35F4D">
        <w:rPr>
          <w:noProof/>
          <w:sz w:val="24"/>
        </w:rPr>
        <w:t xml:space="preserve"> par ietaupītā NH</w:t>
      </w:r>
      <w:r w:rsidRPr="00F35F4D">
        <w:rPr>
          <w:noProof/>
          <w:sz w:val="24"/>
          <w:vertAlign w:val="subscript"/>
        </w:rPr>
        <w:t>3</w:t>
      </w:r>
      <w:r w:rsidRPr="00F35F4D">
        <w:rPr>
          <w:noProof/>
          <w:sz w:val="24"/>
        </w:rPr>
        <w:t>-N kilogramu (ES5 tabula). Papildu ieguvumi ir nepatīkamās smakas samazināšanās un mazāki bioloģiskās daudzveidības zudumi, labāka zāles garša, mēslošanas viendabīgums un vienveidīga kultūraugu reakcija uz mēslojumu. Dažus no šiem guvumiem ir grūti izmērīt, un tāpēc tie visi ne vienmēr ir iekļauti kopējā izmaksu aprēķinā. Izmaksu diapazoni ir saistīti ar NH</w:t>
      </w:r>
      <w:r w:rsidRPr="00F35F4D">
        <w:rPr>
          <w:noProof/>
          <w:sz w:val="24"/>
          <w:vertAlign w:val="subscript"/>
        </w:rPr>
        <w:t>4</w:t>
      </w:r>
      <w:r w:rsidRPr="00F35F4D">
        <w:rPr>
          <w:noProof/>
          <w:sz w:val="24"/>
        </w:rPr>
        <w:t xml:space="preserve"> koncentrāciju šķidrajos/ cietajos kūtsmēslos; jo lielāks NH4 daudzums, jo zemākas ir emisijas samazināšanas izmaksas. Vidējās izmaksas varētu būt zem diapazona vidējās vērtības, jo īpaši, ja mēslošanu veic ārpakalpojumu sniedzēji lielās saimniecībās vai ar koplietošanas aprīkojumu.</w:t>
      </w:r>
    </w:p>
    <w:p w14:paraId="34CFDBC0" w14:textId="77777777" w:rsidR="008E3F72" w:rsidRPr="00F35F4D" w:rsidRDefault="008E3F72" w:rsidP="008E3F72">
      <w:pPr>
        <w:pStyle w:val="BodyText"/>
        <w:widowControl/>
        <w:kinsoku w:val="0"/>
        <w:overflowPunct w:val="0"/>
        <w:spacing w:before="0"/>
        <w:ind w:left="0"/>
        <w:jc w:val="both"/>
        <w:rPr>
          <w:noProof/>
          <w:sz w:val="24"/>
          <w:szCs w:val="24"/>
        </w:rPr>
      </w:pPr>
    </w:p>
    <w:p w14:paraId="2E15C3C6" w14:textId="0EF464BB" w:rsidR="008E3F72" w:rsidRPr="00F76C46" w:rsidRDefault="0060225B" w:rsidP="00C7060E">
      <w:pPr>
        <w:pStyle w:val="BodyText"/>
        <w:widowControl/>
        <w:numPr>
          <w:ilvl w:val="0"/>
          <w:numId w:val="16"/>
        </w:numPr>
        <w:tabs>
          <w:tab w:val="left" w:pos="861"/>
        </w:tabs>
        <w:kinsoku w:val="0"/>
        <w:overflowPunct w:val="0"/>
        <w:spacing w:before="0"/>
        <w:ind w:left="0" w:firstLine="0"/>
        <w:jc w:val="both"/>
        <w:rPr>
          <w:noProof/>
          <w:sz w:val="24"/>
        </w:rPr>
      </w:pPr>
      <w:r w:rsidRPr="00F76C46">
        <w:rPr>
          <w:noProof/>
          <w:sz w:val="24"/>
        </w:rPr>
        <w:t>Emisiju samazināšana, mēslojot augsni ar urīnvielu un amoniju saturošiem mēslošanas līdzekļiem, pamatojas uz vienu vai vairākiem no turpmāk minētajiem principiem</w:t>
      </w:r>
      <w:r w:rsidR="008E3F72" w:rsidRPr="00F76C46">
        <w:rPr>
          <w:noProof/>
          <w:sz w:val="24"/>
        </w:rPr>
        <w:t xml:space="preserve">: a) </w:t>
      </w:r>
      <w:r w:rsidR="00F76C46">
        <w:rPr>
          <w:noProof/>
          <w:sz w:val="24"/>
        </w:rPr>
        <w:t xml:space="preserve">virsmas laukuma samazināšana potenciālajās emisiju vietās, piemēram, mēslojot joslās, veicot mēslojuma inžekciju vai iestrādi (tomēr jāievēro, ka strauja pH paaugstināšanās joslās, kurās ir koncentrēta urīnviela, jo īpaši, ja tajās ir daudz augu atlieku, var radīt lielu emisijas daudzumu līdz ar pH līmeņa paaugstināšanos); b) potenciālā emisijas laika samazināšana, piemēram, ātri iestrādājot kūtsmēslus augsnē vai veicot tūlītēju laistīšanu; </w:t>
      </w:r>
      <w:r w:rsidR="008E3F72" w:rsidRPr="00F76C46">
        <w:rPr>
          <w:noProof/>
          <w:sz w:val="24"/>
        </w:rPr>
        <w:t>c) emisijas virsmas avota intensitātes samazināšana, t. i., izmantojot ureāzes inhibitorus, jaucot un</w:t>
      </w:r>
      <w:r w:rsidR="00E03890" w:rsidRPr="00F76C46">
        <w:rPr>
          <w:noProof/>
          <w:sz w:val="24"/>
          <w:szCs w:val="24"/>
        </w:rPr>
        <w:t xml:space="preserve"> </w:t>
      </w:r>
      <w:r w:rsidR="008E3F72" w:rsidRPr="00F76C46">
        <w:rPr>
          <w:noProof/>
          <w:sz w:val="24"/>
        </w:rPr>
        <w:t>paskābinot vielas un d) aizliegums šād</w:t>
      </w:r>
      <w:r w:rsidR="00F76C46">
        <w:rPr>
          <w:noProof/>
          <w:sz w:val="24"/>
        </w:rPr>
        <w:t>u mēslojumu</w:t>
      </w:r>
      <w:r w:rsidR="008E3F72" w:rsidRPr="00F76C46">
        <w:rPr>
          <w:noProof/>
          <w:sz w:val="24"/>
        </w:rPr>
        <w:t xml:space="preserve"> izmantot (piemēram, amonija (bi)karbonātu) Visi šie principi ir izmantoti paņēmienos, kas atbilst 1. kategorijai (t. i.,</w:t>
      </w:r>
      <w:r w:rsidR="00F76C46">
        <w:rPr>
          <w:noProof/>
          <w:sz w:val="24"/>
        </w:rPr>
        <w:t xml:space="preserve"> tie</w:t>
      </w:r>
      <w:r w:rsidR="008E3F72" w:rsidRPr="00F76C46">
        <w:rPr>
          <w:noProof/>
          <w:sz w:val="24"/>
        </w:rPr>
        <w:t xml:space="preserve"> ir zinātniski pamatoti un pārbaudīti praksē). Atsaucei izmanto </w:t>
      </w:r>
      <w:r w:rsidR="00F76C46">
        <w:rPr>
          <w:noProof/>
          <w:sz w:val="24"/>
        </w:rPr>
        <w:t>uz urīnvielas un amonija bāzes ražota mēslojuma (mēslošanas līdzekļa) izkliedēšanu uz augsnes virskārtas</w:t>
      </w:r>
      <w:r w:rsidR="008E3F72" w:rsidRPr="00F76C46">
        <w:rPr>
          <w:noProof/>
          <w:sz w:val="24"/>
        </w:rPr>
        <w:t>.</w:t>
      </w:r>
    </w:p>
    <w:p w14:paraId="5EA41865" w14:textId="77777777" w:rsidR="001B6AF7" w:rsidRPr="00F35F4D" w:rsidRDefault="001B6AF7" w:rsidP="008E3F72">
      <w:pPr>
        <w:pStyle w:val="BodyText"/>
        <w:widowControl/>
        <w:kinsoku w:val="0"/>
        <w:overflowPunct w:val="0"/>
        <w:spacing w:before="0"/>
        <w:ind w:left="0"/>
        <w:jc w:val="both"/>
        <w:rPr>
          <w:noProof/>
          <w:sz w:val="24"/>
          <w:szCs w:val="24"/>
        </w:rPr>
      </w:pPr>
    </w:p>
    <w:p w14:paraId="14045DE5" w14:textId="77777777" w:rsidR="008E3F72" w:rsidRPr="00F35F4D" w:rsidRDefault="008E3F72" w:rsidP="008E3F72">
      <w:pPr>
        <w:pStyle w:val="Heading7"/>
        <w:widowControl/>
        <w:kinsoku w:val="0"/>
        <w:overflowPunct w:val="0"/>
        <w:spacing w:before="0"/>
        <w:ind w:left="0"/>
        <w:jc w:val="both"/>
        <w:rPr>
          <w:noProof/>
          <w:color w:val="0D0D0D"/>
          <w:sz w:val="24"/>
          <w:szCs w:val="24"/>
        </w:rPr>
      </w:pPr>
      <w:r w:rsidRPr="00F35F4D">
        <w:rPr>
          <w:noProof/>
          <w:color w:val="0D0D0D"/>
          <w:sz w:val="24"/>
        </w:rPr>
        <w:t>ES5 tabula</w:t>
      </w:r>
    </w:p>
    <w:p w14:paraId="0692E14D" w14:textId="356F1B3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Amonjaka emisijas samazināš</w:t>
      </w:r>
      <w:r w:rsidR="00F76C46">
        <w:rPr>
          <w:noProof/>
          <w:sz w:val="24"/>
        </w:rPr>
        <w:t>anas paņēmieni, veicot kūtsmēslu iestrādi</w:t>
      </w:r>
      <w:r w:rsidRPr="00F35F4D">
        <w:rPr>
          <w:noProof/>
          <w:sz w:val="24"/>
        </w:rPr>
        <w:t>, emisijas samazināšanas līmeņi un attiecīgās izmaksas</w:t>
      </w:r>
    </w:p>
    <w:p w14:paraId="4BDA08E9"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1399"/>
        <w:gridCol w:w="3299"/>
        <w:gridCol w:w="1601"/>
        <w:gridCol w:w="1927"/>
      </w:tblGrid>
      <w:tr w:rsidR="008E3F72" w:rsidRPr="001B6AF7" w14:paraId="3BFDCB49" w14:textId="77777777" w:rsidTr="0010018A">
        <w:tc>
          <w:tcPr>
            <w:tcW w:w="850" w:type="pct"/>
            <w:tcBorders>
              <w:top w:val="single" w:sz="4" w:space="0" w:color="000000"/>
              <w:left w:val="nil"/>
              <w:bottom w:val="single" w:sz="12" w:space="0" w:color="000000"/>
              <w:right w:val="nil"/>
            </w:tcBorders>
          </w:tcPr>
          <w:p w14:paraId="0694A67E" w14:textId="77777777" w:rsidR="008E3F72" w:rsidRPr="001B6AF7" w:rsidRDefault="008E3F72" w:rsidP="0010018A">
            <w:pPr>
              <w:pStyle w:val="TableParagraph"/>
              <w:widowControl/>
              <w:kinsoku w:val="0"/>
              <w:overflowPunct w:val="0"/>
              <w:jc w:val="both"/>
              <w:rPr>
                <w:i/>
                <w:iCs/>
                <w:noProof/>
                <w:sz w:val="20"/>
              </w:rPr>
            </w:pPr>
            <w:r w:rsidRPr="001B6AF7">
              <w:rPr>
                <w:i/>
                <w:noProof/>
                <w:sz w:val="20"/>
              </w:rPr>
              <w:t>Kūtsmēslu veids</w:t>
            </w:r>
          </w:p>
        </w:tc>
        <w:tc>
          <w:tcPr>
            <w:tcW w:w="2005" w:type="pct"/>
            <w:tcBorders>
              <w:top w:val="single" w:sz="4" w:space="0" w:color="000000"/>
              <w:left w:val="nil"/>
              <w:bottom w:val="single" w:sz="12" w:space="0" w:color="000000"/>
              <w:right w:val="nil"/>
            </w:tcBorders>
          </w:tcPr>
          <w:p w14:paraId="0FC3ED11" w14:textId="77777777" w:rsidR="008E3F72" w:rsidRPr="001B6AF7" w:rsidRDefault="008E3F72" w:rsidP="0010018A">
            <w:pPr>
              <w:pStyle w:val="TableParagraph"/>
              <w:widowControl/>
              <w:kinsoku w:val="0"/>
              <w:overflowPunct w:val="0"/>
              <w:jc w:val="both"/>
              <w:rPr>
                <w:i/>
                <w:iCs/>
                <w:noProof/>
                <w:sz w:val="20"/>
              </w:rPr>
            </w:pPr>
            <w:r w:rsidRPr="001B6AF7">
              <w:rPr>
                <w:i/>
                <w:noProof/>
                <w:sz w:val="20"/>
              </w:rPr>
              <w:t>Mēslošanas paņēmieni</w:t>
            </w:r>
          </w:p>
        </w:tc>
        <w:tc>
          <w:tcPr>
            <w:tcW w:w="973" w:type="pct"/>
            <w:tcBorders>
              <w:top w:val="single" w:sz="4" w:space="0" w:color="000000"/>
              <w:left w:val="nil"/>
              <w:bottom w:val="single" w:sz="12" w:space="0" w:color="000000"/>
              <w:right w:val="nil"/>
            </w:tcBorders>
          </w:tcPr>
          <w:p w14:paraId="6A6A6EFA" w14:textId="77777777" w:rsidR="008E3F72" w:rsidRPr="001B6AF7" w:rsidRDefault="008E3F72" w:rsidP="0010018A">
            <w:pPr>
              <w:pStyle w:val="TableParagraph"/>
              <w:widowControl/>
              <w:kinsoku w:val="0"/>
              <w:overflowPunct w:val="0"/>
              <w:jc w:val="both"/>
              <w:rPr>
                <w:i/>
                <w:iCs/>
                <w:noProof/>
                <w:sz w:val="20"/>
              </w:rPr>
            </w:pPr>
            <w:r w:rsidRPr="001B6AF7">
              <w:rPr>
                <w:i/>
                <w:noProof/>
                <w:sz w:val="20"/>
              </w:rPr>
              <w:t>Emisijas samazinājums (%)</w:t>
            </w:r>
          </w:p>
        </w:tc>
        <w:tc>
          <w:tcPr>
            <w:tcW w:w="1171" w:type="pct"/>
            <w:tcBorders>
              <w:top w:val="single" w:sz="4" w:space="0" w:color="000000"/>
              <w:left w:val="nil"/>
              <w:bottom w:val="single" w:sz="12" w:space="0" w:color="000000"/>
              <w:right w:val="nil"/>
            </w:tcBorders>
          </w:tcPr>
          <w:p w14:paraId="103069CE" w14:textId="77777777" w:rsidR="008E3F72" w:rsidRPr="001B6AF7" w:rsidRDefault="008E3F72" w:rsidP="0010018A">
            <w:pPr>
              <w:pStyle w:val="TableParagraph"/>
              <w:widowControl/>
              <w:kinsoku w:val="0"/>
              <w:overflowPunct w:val="0"/>
              <w:jc w:val="both"/>
              <w:rPr>
                <w:i/>
                <w:iCs/>
                <w:noProof/>
                <w:sz w:val="20"/>
              </w:rPr>
            </w:pPr>
            <w:r w:rsidRPr="001B6AF7">
              <w:rPr>
                <w:i/>
                <w:noProof/>
                <w:sz w:val="20"/>
              </w:rPr>
              <w:t>Izmaksas</w:t>
            </w:r>
          </w:p>
          <w:p w14:paraId="2C57B66A" w14:textId="77777777" w:rsidR="008E3F72" w:rsidRPr="001B6AF7" w:rsidRDefault="008E3F72" w:rsidP="0010018A">
            <w:pPr>
              <w:pStyle w:val="TableParagraph"/>
              <w:widowControl/>
              <w:kinsoku w:val="0"/>
              <w:overflowPunct w:val="0"/>
              <w:jc w:val="both"/>
              <w:rPr>
                <w:i/>
                <w:iCs/>
                <w:noProof/>
                <w:sz w:val="20"/>
              </w:rPr>
            </w:pPr>
            <w:r w:rsidRPr="001B6AF7">
              <w:rPr>
                <w:i/>
                <w:noProof/>
                <w:sz w:val="20"/>
              </w:rPr>
              <w:t>(€ par ietaupīto NH3-N kg)</w:t>
            </w:r>
          </w:p>
        </w:tc>
      </w:tr>
      <w:tr w:rsidR="008E3F72" w:rsidRPr="001B6AF7" w14:paraId="7CEBED34" w14:textId="77777777" w:rsidTr="0010018A">
        <w:tc>
          <w:tcPr>
            <w:tcW w:w="850" w:type="pct"/>
            <w:tcBorders>
              <w:top w:val="single" w:sz="12" w:space="0" w:color="000000"/>
              <w:left w:val="nil"/>
              <w:bottom w:val="nil"/>
              <w:right w:val="nil"/>
            </w:tcBorders>
          </w:tcPr>
          <w:p w14:paraId="126C9400" w14:textId="77777777" w:rsidR="008E3F72" w:rsidRPr="001B6AF7" w:rsidRDefault="008E3F72" w:rsidP="0010018A">
            <w:pPr>
              <w:pStyle w:val="TableParagraph"/>
              <w:widowControl/>
              <w:kinsoku w:val="0"/>
              <w:overflowPunct w:val="0"/>
              <w:jc w:val="both"/>
              <w:rPr>
                <w:noProof/>
                <w:sz w:val="20"/>
              </w:rPr>
            </w:pPr>
            <w:r w:rsidRPr="001B6AF7">
              <w:rPr>
                <w:sz w:val="20"/>
              </w:rPr>
              <w:t>Šķidrie kūtsmēsli</w:t>
            </w:r>
          </w:p>
        </w:tc>
        <w:tc>
          <w:tcPr>
            <w:tcW w:w="2005" w:type="pct"/>
            <w:tcBorders>
              <w:top w:val="single" w:sz="12" w:space="0" w:color="000000"/>
              <w:left w:val="nil"/>
              <w:bottom w:val="nil"/>
              <w:right w:val="nil"/>
            </w:tcBorders>
          </w:tcPr>
          <w:p w14:paraId="6A768DBA" w14:textId="77777777" w:rsidR="008E3F72" w:rsidRPr="001B6AF7" w:rsidRDefault="008E3F72" w:rsidP="0010018A">
            <w:pPr>
              <w:pStyle w:val="TableParagraph"/>
              <w:widowControl/>
              <w:kinsoku w:val="0"/>
              <w:overflowPunct w:val="0"/>
              <w:jc w:val="both"/>
              <w:rPr>
                <w:noProof/>
                <w:sz w:val="20"/>
              </w:rPr>
            </w:pPr>
            <w:r w:rsidRPr="001B6AF7">
              <w:rPr>
                <w:sz w:val="20"/>
              </w:rPr>
              <w:t>Inžekcija</w:t>
            </w:r>
          </w:p>
        </w:tc>
        <w:tc>
          <w:tcPr>
            <w:tcW w:w="973" w:type="pct"/>
            <w:tcBorders>
              <w:top w:val="single" w:sz="12" w:space="0" w:color="000000"/>
              <w:left w:val="nil"/>
              <w:bottom w:val="nil"/>
              <w:right w:val="nil"/>
            </w:tcBorders>
          </w:tcPr>
          <w:p w14:paraId="61280E95" w14:textId="77777777" w:rsidR="008E3F72" w:rsidRPr="001B6AF7" w:rsidRDefault="008E3F72" w:rsidP="0010018A">
            <w:pPr>
              <w:pStyle w:val="TableParagraph"/>
              <w:widowControl/>
              <w:kinsoku w:val="0"/>
              <w:overflowPunct w:val="0"/>
              <w:jc w:val="both"/>
              <w:rPr>
                <w:noProof/>
                <w:sz w:val="20"/>
              </w:rPr>
            </w:pPr>
            <w:r w:rsidRPr="001B6AF7">
              <w:rPr>
                <w:sz w:val="20"/>
              </w:rPr>
              <w:t>&gt; 60</w:t>
            </w:r>
          </w:p>
        </w:tc>
        <w:tc>
          <w:tcPr>
            <w:tcW w:w="1171" w:type="pct"/>
            <w:tcBorders>
              <w:top w:val="single" w:sz="12" w:space="0" w:color="000000"/>
              <w:left w:val="nil"/>
              <w:bottom w:val="nil"/>
              <w:right w:val="nil"/>
            </w:tcBorders>
          </w:tcPr>
          <w:p w14:paraId="58C44730" w14:textId="77777777" w:rsidR="008E3F72" w:rsidRPr="001B6AF7" w:rsidRDefault="008E3F72" w:rsidP="0010018A">
            <w:pPr>
              <w:pStyle w:val="TableParagraph"/>
              <w:widowControl/>
              <w:kinsoku w:val="0"/>
              <w:overflowPunct w:val="0"/>
              <w:jc w:val="both"/>
              <w:rPr>
                <w:noProof/>
                <w:sz w:val="20"/>
              </w:rPr>
            </w:pPr>
            <w:r w:rsidRPr="001B6AF7">
              <w:rPr>
                <w:sz w:val="20"/>
              </w:rPr>
              <w:t>-0,5–1,5</w:t>
            </w:r>
          </w:p>
        </w:tc>
      </w:tr>
      <w:tr w:rsidR="008E3F72" w:rsidRPr="001B6AF7" w14:paraId="6DFDEA67" w14:textId="77777777" w:rsidTr="0010018A">
        <w:tc>
          <w:tcPr>
            <w:tcW w:w="850" w:type="pct"/>
            <w:tcBorders>
              <w:top w:val="nil"/>
              <w:left w:val="nil"/>
              <w:bottom w:val="nil"/>
              <w:right w:val="nil"/>
            </w:tcBorders>
          </w:tcPr>
          <w:p w14:paraId="01F7CBE5" w14:textId="77777777" w:rsidR="008E3F72" w:rsidRPr="001B6AF7" w:rsidRDefault="008E3F72" w:rsidP="0010018A">
            <w:pPr>
              <w:widowControl/>
              <w:jc w:val="both"/>
              <w:rPr>
                <w:noProof/>
                <w:sz w:val="20"/>
              </w:rPr>
            </w:pPr>
          </w:p>
        </w:tc>
        <w:tc>
          <w:tcPr>
            <w:tcW w:w="2005" w:type="pct"/>
            <w:tcBorders>
              <w:top w:val="nil"/>
              <w:left w:val="nil"/>
              <w:bottom w:val="nil"/>
              <w:right w:val="nil"/>
            </w:tcBorders>
          </w:tcPr>
          <w:p w14:paraId="1A55C82A" w14:textId="77777777" w:rsidR="008E3F72" w:rsidRPr="001B6AF7" w:rsidRDefault="008E3F72" w:rsidP="0010018A">
            <w:pPr>
              <w:pStyle w:val="TableParagraph"/>
              <w:widowControl/>
              <w:kinsoku w:val="0"/>
              <w:overflowPunct w:val="0"/>
              <w:jc w:val="both"/>
              <w:rPr>
                <w:noProof/>
                <w:sz w:val="20"/>
              </w:rPr>
            </w:pPr>
            <w:r w:rsidRPr="001B6AF7">
              <w:rPr>
                <w:sz w:val="20"/>
              </w:rPr>
              <w:t>Seklā inžekcija</w:t>
            </w:r>
          </w:p>
        </w:tc>
        <w:tc>
          <w:tcPr>
            <w:tcW w:w="973" w:type="pct"/>
            <w:tcBorders>
              <w:top w:val="nil"/>
              <w:left w:val="nil"/>
              <w:bottom w:val="nil"/>
              <w:right w:val="nil"/>
            </w:tcBorders>
          </w:tcPr>
          <w:p w14:paraId="67ECC109" w14:textId="77777777" w:rsidR="008E3F72" w:rsidRPr="001B6AF7" w:rsidRDefault="008E3F72" w:rsidP="0010018A">
            <w:pPr>
              <w:pStyle w:val="TableParagraph"/>
              <w:widowControl/>
              <w:kinsoku w:val="0"/>
              <w:overflowPunct w:val="0"/>
              <w:jc w:val="both"/>
              <w:rPr>
                <w:noProof/>
                <w:sz w:val="20"/>
              </w:rPr>
            </w:pPr>
            <w:r w:rsidRPr="001B6AF7">
              <w:rPr>
                <w:sz w:val="20"/>
              </w:rPr>
              <w:t>&gt; 60</w:t>
            </w:r>
          </w:p>
        </w:tc>
        <w:tc>
          <w:tcPr>
            <w:tcW w:w="1171" w:type="pct"/>
            <w:tcBorders>
              <w:top w:val="nil"/>
              <w:left w:val="nil"/>
              <w:bottom w:val="nil"/>
              <w:right w:val="nil"/>
            </w:tcBorders>
          </w:tcPr>
          <w:p w14:paraId="00B65595" w14:textId="77777777" w:rsidR="008E3F72" w:rsidRPr="001B6AF7" w:rsidRDefault="008E3F72" w:rsidP="0010018A">
            <w:pPr>
              <w:pStyle w:val="TableParagraph"/>
              <w:widowControl/>
              <w:kinsoku w:val="0"/>
              <w:overflowPunct w:val="0"/>
              <w:jc w:val="both"/>
              <w:rPr>
                <w:noProof/>
                <w:sz w:val="20"/>
              </w:rPr>
            </w:pPr>
            <w:r w:rsidRPr="001B6AF7">
              <w:rPr>
                <w:sz w:val="20"/>
              </w:rPr>
              <w:t>-0,5–1,5</w:t>
            </w:r>
          </w:p>
        </w:tc>
      </w:tr>
      <w:tr w:rsidR="008E3F72" w:rsidRPr="001B6AF7" w14:paraId="6216A57B" w14:textId="77777777" w:rsidTr="0010018A">
        <w:tc>
          <w:tcPr>
            <w:tcW w:w="850" w:type="pct"/>
            <w:tcBorders>
              <w:top w:val="nil"/>
              <w:left w:val="nil"/>
              <w:bottom w:val="nil"/>
              <w:right w:val="nil"/>
            </w:tcBorders>
          </w:tcPr>
          <w:p w14:paraId="411650E1" w14:textId="77777777" w:rsidR="008E3F72" w:rsidRPr="001B6AF7" w:rsidRDefault="008E3F72" w:rsidP="0010018A">
            <w:pPr>
              <w:widowControl/>
              <w:jc w:val="both"/>
              <w:rPr>
                <w:noProof/>
                <w:sz w:val="20"/>
              </w:rPr>
            </w:pPr>
          </w:p>
        </w:tc>
        <w:tc>
          <w:tcPr>
            <w:tcW w:w="2005" w:type="pct"/>
            <w:tcBorders>
              <w:top w:val="nil"/>
              <w:left w:val="nil"/>
              <w:bottom w:val="nil"/>
              <w:right w:val="nil"/>
            </w:tcBorders>
          </w:tcPr>
          <w:p w14:paraId="1029967E" w14:textId="7C02338F" w:rsidR="008E3F72" w:rsidRPr="001B6AF7" w:rsidRDefault="00F76C46" w:rsidP="0010018A">
            <w:pPr>
              <w:pStyle w:val="TableParagraph"/>
              <w:widowControl/>
              <w:kinsoku w:val="0"/>
              <w:overflowPunct w:val="0"/>
              <w:jc w:val="both"/>
              <w:rPr>
                <w:noProof/>
                <w:sz w:val="20"/>
              </w:rPr>
            </w:pPr>
            <w:r>
              <w:rPr>
                <w:sz w:val="20"/>
              </w:rPr>
              <w:t>Virsaugsnes lemesis</w:t>
            </w:r>
          </w:p>
        </w:tc>
        <w:tc>
          <w:tcPr>
            <w:tcW w:w="973" w:type="pct"/>
            <w:tcBorders>
              <w:top w:val="nil"/>
              <w:left w:val="nil"/>
              <w:bottom w:val="nil"/>
              <w:right w:val="nil"/>
            </w:tcBorders>
          </w:tcPr>
          <w:p w14:paraId="267F0F94" w14:textId="77777777" w:rsidR="008E3F72" w:rsidRPr="001B6AF7" w:rsidRDefault="008E3F72" w:rsidP="0010018A">
            <w:pPr>
              <w:pStyle w:val="TableParagraph"/>
              <w:widowControl/>
              <w:kinsoku w:val="0"/>
              <w:overflowPunct w:val="0"/>
              <w:jc w:val="both"/>
              <w:rPr>
                <w:noProof/>
                <w:sz w:val="20"/>
              </w:rPr>
            </w:pPr>
            <w:r w:rsidRPr="001B6AF7">
              <w:rPr>
                <w:sz w:val="20"/>
              </w:rPr>
              <w:t>&gt; 30</w:t>
            </w:r>
          </w:p>
        </w:tc>
        <w:tc>
          <w:tcPr>
            <w:tcW w:w="1171" w:type="pct"/>
            <w:tcBorders>
              <w:top w:val="nil"/>
              <w:left w:val="nil"/>
              <w:bottom w:val="nil"/>
              <w:right w:val="nil"/>
            </w:tcBorders>
          </w:tcPr>
          <w:p w14:paraId="73857642" w14:textId="77777777" w:rsidR="008E3F72" w:rsidRPr="001B6AF7" w:rsidRDefault="008E3F72" w:rsidP="0010018A">
            <w:pPr>
              <w:pStyle w:val="TableParagraph"/>
              <w:widowControl/>
              <w:kinsoku w:val="0"/>
              <w:overflowPunct w:val="0"/>
              <w:jc w:val="both"/>
              <w:rPr>
                <w:noProof/>
                <w:sz w:val="20"/>
              </w:rPr>
            </w:pPr>
            <w:r w:rsidRPr="001B6AF7">
              <w:rPr>
                <w:sz w:val="20"/>
              </w:rPr>
              <w:t>-0,5–1,5</w:t>
            </w:r>
          </w:p>
        </w:tc>
      </w:tr>
      <w:tr w:rsidR="008E3F72" w:rsidRPr="001B6AF7" w14:paraId="3B50484C" w14:textId="77777777" w:rsidTr="0010018A">
        <w:tc>
          <w:tcPr>
            <w:tcW w:w="850" w:type="pct"/>
            <w:tcBorders>
              <w:top w:val="nil"/>
              <w:left w:val="nil"/>
              <w:bottom w:val="nil"/>
              <w:right w:val="nil"/>
            </w:tcBorders>
          </w:tcPr>
          <w:p w14:paraId="19D741EB" w14:textId="77777777" w:rsidR="008E3F72" w:rsidRPr="001B6AF7" w:rsidRDefault="008E3F72" w:rsidP="0010018A">
            <w:pPr>
              <w:widowControl/>
              <w:jc w:val="both"/>
              <w:rPr>
                <w:noProof/>
                <w:sz w:val="20"/>
              </w:rPr>
            </w:pPr>
          </w:p>
        </w:tc>
        <w:tc>
          <w:tcPr>
            <w:tcW w:w="2005" w:type="pct"/>
            <w:tcBorders>
              <w:top w:val="nil"/>
              <w:left w:val="nil"/>
              <w:bottom w:val="nil"/>
              <w:right w:val="nil"/>
            </w:tcBorders>
          </w:tcPr>
          <w:p w14:paraId="72088CDD" w14:textId="77777777" w:rsidR="008E3F72" w:rsidRPr="001B6AF7" w:rsidRDefault="008E3F72" w:rsidP="0010018A">
            <w:pPr>
              <w:pStyle w:val="TableParagraph"/>
              <w:widowControl/>
              <w:kinsoku w:val="0"/>
              <w:overflowPunct w:val="0"/>
              <w:jc w:val="both"/>
              <w:rPr>
                <w:noProof/>
                <w:sz w:val="20"/>
              </w:rPr>
            </w:pPr>
            <w:r w:rsidRPr="001B6AF7">
              <w:rPr>
                <w:sz w:val="20"/>
              </w:rPr>
              <w:t>Mēslošana joslās</w:t>
            </w:r>
          </w:p>
        </w:tc>
        <w:tc>
          <w:tcPr>
            <w:tcW w:w="973" w:type="pct"/>
            <w:tcBorders>
              <w:top w:val="nil"/>
              <w:left w:val="nil"/>
              <w:bottom w:val="nil"/>
              <w:right w:val="nil"/>
            </w:tcBorders>
          </w:tcPr>
          <w:p w14:paraId="4D10F8D7" w14:textId="77777777" w:rsidR="008E3F72" w:rsidRPr="001B6AF7" w:rsidRDefault="008E3F72" w:rsidP="0010018A">
            <w:pPr>
              <w:pStyle w:val="TableParagraph"/>
              <w:widowControl/>
              <w:kinsoku w:val="0"/>
              <w:overflowPunct w:val="0"/>
              <w:jc w:val="both"/>
              <w:rPr>
                <w:noProof/>
                <w:sz w:val="20"/>
              </w:rPr>
            </w:pPr>
            <w:r w:rsidRPr="001B6AF7">
              <w:rPr>
                <w:sz w:val="20"/>
              </w:rPr>
              <w:t>&gt; 30</w:t>
            </w:r>
          </w:p>
        </w:tc>
        <w:tc>
          <w:tcPr>
            <w:tcW w:w="1171" w:type="pct"/>
            <w:tcBorders>
              <w:top w:val="nil"/>
              <w:left w:val="nil"/>
              <w:bottom w:val="nil"/>
              <w:right w:val="nil"/>
            </w:tcBorders>
          </w:tcPr>
          <w:p w14:paraId="1F272201" w14:textId="77777777" w:rsidR="008E3F72" w:rsidRPr="001B6AF7" w:rsidRDefault="008E3F72" w:rsidP="0010018A">
            <w:pPr>
              <w:pStyle w:val="TableParagraph"/>
              <w:widowControl/>
              <w:kinsoku w:val="0"/>
              <w:overflowPunct w:val="0"/>
              <w:jc w:val="both"/>
              <w:rPr>
                <w:noProof/>
                <w:sz w:val="20"/>
              </w:rPr>
            </w:pPr>
            <w:r w:rsidRPr="001B6AF7">
              <w:rPr>
                <w:sz w:val="20"/>
              </w:rPr>
              <w:t>-0,5–1,5</w:t>
            </w:r>
          </w:p>
        </w:tc>
      </w:tr>
      <w:tr w:rsidR="008E3F72" w:rsidRPr="001B6AF7" w14:paraId="34DD3082" w14:textId="77777777" w:rsidTr="0010018A">
        <w:tc>
          <w:tcPr>
            <w:tcW w:w="850" w:type="pct"/>
            <w:tcBorders>
              <w:top w:val="nil"/>
              <w:left w:val="nil"/>
              <w:bottom w:val="nil"/>
              <w:right w:val="nil"/>
            </w:tcBorders>
          </w:tcPr>
          <w:p w14:paraId="11F24D79" w14:textId="77777777" w:rsidR="008E3F72" w:rsidRPr="001B6AF7" w:rsidRDefault="008E3F72" w:rsidP="0010018A">
            <w:pPr>
              <w:widowControl/>
              <w:jc w:val="both"/>
              <w:rPr>
                <w:noProof/>
                <w:sz w:val="20"/>
              </w:rPr>
            </w:pPr>
          </w:p>
        </w:tc>
        <w:tc>
          <w:tcPr>
            <w:tcW w:w="2005" w:type="pct"/>
            <w:tcBorders>
              <w:top w:val="nil"/>
              <w:left w:val="nil"/>
              <w:bottom w:val="nil"/>
              <w:right w:val="nil"/>
            </w:tcBorders>
          </w:tcPr>
          <w:p w14:paraId="1792E7D6" w14:textId="77777777" w:rsidR="008E3F72" w:rsidRPr="001B6AF7" w:rsidRDefault="008E3F72" w:rsidP="0010018A">
            <w:pPr>
              <w:pStyle w:val="TableParagraph"/>
              <w:widowControl/>
              <w:kinsoku w:val="0"/>
              <w:overflowPunct w:val="0"/>
              <w:jc w:val="both"/>
              <w:rPr>
                <w:noProof/>
                <w:sz w:val="20"/>
              </w:rPr>
            </w:pPr>
            <w:r w:rsidRPr="001B6AF7">
              <w:rPr>
                <w:sz w:val="20"/>
              </w:rPr>
              <w:t>Atšķaidīšana</w:t>
            </w:r>
          </w:p>
        </w:tc>
        <w:tc>
          <w:tcPr>
            <w:tcW w:w="973" w:type="pct"/>
            <w:tcBorders>
              <w:top w:val="nil"/>
              <w:left w:val="nil"/>
              <w:bottom w:val="nil"/>
              <w:right w:val="nil"/>
            </w:tcBorders>
          </w:tcPr>
          <w:p w14:paraId="79D4BE27" w14:textId="77777777" w:rsidR="008E3F72" w:rsidRPr="001B6AF7" w:rsidRDefault="008E3F72" w:rsidP="0010018A">
            <w:pPr>
              <w:pStyle w:val="TableParagraph"/>
              <w:widowControl/>
              <w:kinsoku w:val="0"/>
              <w:overflowPunct w:val="0"/>
              <w:jc w:val="both"/>
              <w:rPr>
                <w:noProof/>
                <w:sz w:val="20"/>
              </w:rPr>
            </w:pPr>
            <w:r w:rsidRPr="001B6AF7">
              <w:rPr>
                <w:sz w:val="20"/>
              </w:rPr>
              <w:t>&gt; 30</w:t>
            </w:r>
          </w:p>
        </w:tc>
        <w:tc>
          <w:tcPr>
            <w:tcW w:w="1171" w:type="pct"/>
            <w:tcBorders>
              <w:top w:val="nil"/>
              <w:left w:val="nil"/>
              <w:bottom w:val="nil"/>
              <w:right w:val="nil"/>
            </w:tcBorders>
          </w:tcPr>
          <w:p w14:paraId="718FCDF5" w14:textId="77777777" w:rsidR="008E3F72" w:rsidRPr="001B6AF7" w:rsidRDefault="008E3F72" w:rsidP="0010018A">
            <w:pPr>
              <w:pStyle w:val="TableParagraph"/>
              <w:widowControl/>
              <w:kinsoku w:val="0"/>
              <w:overflowPunct w:val="0"/>
              <w:jc w:val="both"/>
              <w:rPr>
                <w:noProof/>
                <w:sz w:val="20"/>
              </w:rPr>
            </w:pPr>
            <w:r w:rsidRPr="001B6AF7">
              <w:rPr>
                <w:sz w:val="20"/>
              </w:rPr>
              <w:t>-0,5–1,0</w:t>
            </w:r>
          </w:p>
        </w:tc>
      </w:tr>
      <w:tr w:rsidR="008E3F72" w:rsidRPr="001B6AF7" w14:paraId="1EC86511" w14:textId="77777777" w:rsidTr="0010018A">
        <w:tc>
          <w:tcPr>
            <w:tcW w:w="850" w:type="pct"/>
            <w:tcBorders>
              <w:top w:val="nil"/>
              <w:left w:val="nil"/>
              <w:bottom w:val="nil"/>
              <w:right w:val="nil"/>
            </w:tcBorders>
          </w:tcPr>
          <w:p w14:paraId="249AB27C" w14:textId="77777777" w:rsidR="008E3F72" w:rsidRPr="001B6AF7" w:rsidRDefault="008E3F72" w:rsidP="0010018A">
            <w:pPr>
              <w:widowControl/>
              <w:jc w:val="both"/>
              <w:rPr>
                <w:noProof/>
                <w:sz w:val="20"/>
              </w:rPr>
            </w:pPr>
          </w:p>
        </w:tc>
        <w:tc>
          <w:tcPr>
            <w:tcW w:w="2005" w:type="pct"/>
            <w:tcBorders>
              <w:top w:val="nil"/>
              <w:left w:val="nil"/>
              <w:bottom w:val="nil"/>
              <w:right w:val="nil"/>
            </w:tcBorders>
          </w:tcPr>
          <w:p w14:paraId="5DBE0EEB" w14:textId="43758650" w:rsidR="008E3F72" w:rsidRPr="001B6AF7" w:rsidRDefault="00F76C46" w:rsidP="0010018A">
            <w:pPr>
              <w:pStyle w:val="TableParagraph"/>
              <w:widowControl/>
              <w:kinsoku w:val="0"/>
              <w:overflowPunct w:val="0"/>
              <w:jc w:val="both"/>
              <w:rPr>
                <w:noProof/>
                <w:sz w:val="20"/>
              </w:rPr>
            </w:pPr>
            <w:r>
              <w:rPr>
                <w:sz w:val="20"/>
              </w:rPr>
              <w:t>Apsaimniekošanas</w:t>
            </w:r>
            <w:r w:rsidR="008E3F72" w:rsidRPr="001B6AF7">
              <w:rPr>
                <w:sz w:val="20"/>
              </w:rPr>
              <w:t xml:space="preserve"> sistēma</w:t>
            </w:r>
            <w:r>
              <w:rPr>
                <w:sz w:val="20"/>
              </w:rPr>
              <w:t>s</w:t>
            </w:r>
          </w:p>
        </w:tc>
        <w:tc>
          <w:tcPr>
            <w:tcW w:w="973" w:type="pct"/>
            <w:tcBorders>
              <w:top w:val="nil"/>
              <w:left w:val="nil"/>
              <w:bottom w:val="nil"/>
              <w:right w:val="nil"/>
            </w:tcBorders>
          </w:tcPr>
          <w:p w14:paraId="5F4F3F56" w14:textId="77777777" w:rsidR="008E3F72" w:rsidRPr="001B6AF7" w:rsidRDefault="008E3F72" w:rsidP="0010018A">
            <w:pPr>
              <w:pStyle w:val="TableParagraph"/>
              <w:widowControl/>
              <w:kinsoku w:val="0"/>
              <w:overflowPunct w:val="0"/>
              <w:jc w:val="both"/>
              <w:rPr>
                <w:noProof/>
                <w:sz w:val="20"/>
              </w:rPr>
            </w:pPr>
            <w:r w:rsidRPr="001B6AF7">
              <w:rPr>
                <w:sz w:val="20"/>
              </w:rPr>
              <w:t>&gt; 30</w:t>
            </w:r>
          </w:p>
        </w:tc>
        <w:tc>
          <w:tcPr>
            <w:tcW w:w="1171" w:type="pct"/>
            <w:tcBorders>
              <w:top w:val="nil"/>
              <w:left w:val="nil"/>
              <w:bottom w:val="nil"/>
              <w:right w:val="nil"/>
            </w:tcBorders>
          </w:tcPr>
          <w:p w14:paraId="7E3DAAA5" w14:textId="77777777" w:rsidR="008E3F72" w:rsidRPr="001B6AF7" w:rsidRDefault="008E3F72" w:rsidP="0010018A">
            <w:pPr>
              <w:pStyle w:val="TableParagraph"/>
              <w:widowControl/>
              <w:kinsoku w:val="0"/>
              <w:overflowPunct w:val="0"/>
              <w:jc w:val="both"/>
              <w:rPr>
                <w:noProof/>
                <w:sz w:val="20"/>
              </w:rPr>
            </w:pPr>
            <w:r w:rsidRPr="001B6AF7">
              <w:rPr>
                <w:sz w:val="20"/>
              </w:rPr>
              <w:t>0,0–2,0</w:t>
            </w:r>
          </w:p>
        </w:tc>
      </w:tr>
      <w:tr w:rsidR="008E3F72" w:rsidRPr="001B6AF7" w14:paraId="49E06772" w14:textId="77777777" w:rsidTr="0010018A">
        <w:tc>
          <w:tcPr>
            <w:tcW w:w="850" w:type="pct"/>
            <w:tcBorders>
              <w:top w:val="nil"/>
              <w:left w:val="nil"/>
              <w:bottom w:val="nil"/>
              <w:right w:val="nil"/>
            </w:tcBorders>
          </w:tcPr>
          <w:p w14:paraId="08DA1106" w14:textId="77777777" w:rsidR="008E3F72" w:rsidRPr="001B6AF7" w:rsidRDefault="008E3F72" w:rsidP="0010018A">
            <w:pPr>
              <w:widowControl/>
              <w:jc w:val="both"/>
              <w:rPr>
                <w:noProof/>
                <w:sz w:val="20"/>
              </w:rPr>
            </w:pPr>
          </w:p>
        </w:tc>
        <w:tc>
          <w:tcPr>
            <w:tcW w:w="2005" w:type="pct"/>
            <w:tcBorders>
              <w:top w:val="nil"/>
              <w:left w:val="nil"/>
              <w:bottom w:val="nil"/>
              <w:right w:val="nil"/>
            </w:tcBorders>
          </w:tcPr>
          <w:p w14:paraId="30CBD079" w14:textId="77777777" w:rsidR="008E3F72" w:rsidRPr="001B6AF7" w:rsidRDefault="008E3F72" w:rsidP="0010018A">
            <w:pPr>
              <w:pStyle w:val="TableParagraph"/>
              <w:widowControl/>
              <w:kinsoku w:val="0"/>
              <w:overflowPunct w:val="0"/>
              <w:jc w:val="both"/>
              <w:rPr>
                <w:noProof/>
                <w:sz w:val="20"/>
              </w:rPr>
            </w:pPr>
            <w:r w:rsidRPr="001B6AF7">
              <w:rPr>
                <w:sz w:val="20"/>
              </w:rPr>
              <w:t>Tūlītēja iestrāde pēc izkliedēšanas uz augsnes virskārtas</w:t>
            </w:r>
          </w:p>
        </w:tc>
        <w:tc>
          <w:tcPr>
            <w:tcW w:w="973" w:type="pct"/>
            <w:tcBorders>
              <w:top w:val="nil"/>
              <w:left w:val="nil"/>
              <w:bottom w:val="nil"/>
              <w:right w:val="nil"/>
            </w:tcBorders>
          </w:tcPr>
          <w:p w14:paraId="16097BC4" w14:textId="77777777" w:rsidR="008E3F72" w:rsidRPr="001B6AF7" w:rsidRDefault="008E3F72" w:rsidP="0010018A">
            <w:pPr>
              <w:pStyle w:val="TableParagraph"/>
              <w:widowControl/>
              <w:kinsoku w:val="0"/>
              <w:overflowPunct w:val="0"/>
              <w:jc w:val="both"/>
              <w:rPr>
                <w:noProof/>
                <w:sz w:val="20"/>
              </w:rPr>
            </w:pPr>
            <w:r w:rsidRPr="001B6AF7">
              <w:rPr>
                <w:sz w:val="20"/>
              </w:rPr>
              <w:t>&gt; 30</w:t>
            </w:r>
          </w:p>
        </w:tc>
        <w:tc>
          <w:tcPr>
            <w:tcW w:w="1171" w:type="pct"/>
            <w:tcBorders>
              <w:top w:val="nil"/>
              <w:left w:val="nil"/>
              <w:bottom w:val="nil"/>
              <w:right w:val="nil"/>
            </w:tcBorders>
          </w:tcPr>
          <w:p w14:paraId="04DDBE76" w14:textId="77777777" w:rsidR="008E3F72" w:rsidRPr="001B6AF7" w:rsidRDefault="008E3F72" w:rsidP="0010018A">
            <w:pPr>
              <w:pStyle w:val="TableParagraph"/>
              <w:widowControl/>
              <w:kinsoku w:val="0"/>
              <w:overflowPunct w:val="0"/>
              <w:jc w:val="both"/>
              <w:rPr>
                <w:noProof/>
                <w:sz w:val="20"/>
              </w:rPr>
            </w:pPr>
            <w:r w:rsidRPr="001B6AF7">
              <w:rPr>
                <w:sz w:val="20"/>
              </w:rPr>
              <w:t>-0,5–2,0</w:t>
            </w:r>
          </w:p>
        </w:tc>
      </w:tr>
      <w:tr w:rsidR="008E3F72" w:rsidRPr="001B6AF7" w14:paraId="6DC20B98" w14:textId="77777777" w:rsidTr="0010018A">
        <w:tc>
          <w:tcPr>
            <w:tcW w:w="850" w:type="pct"/>
            <w:tcBorders>
              <w:top w:val="nil"/>
              <w:left w:val="nil"/>
              <w:bottom w:val="single" w:sz="12" w:space="0" w:color="000000"/>
              <w:right w:val="nil"/>
            </w:tcBorders>
          </w:tcPr>
          <w:p w14:paraId="40ED4B31" w14:textId="2A744E5E" w:rsidR="008E3F72" w:rsidRPr="001B6AF7" w:rsidRDefault="0085568E" w:rsidP="0010018A">
            <w:pPr>
              <w:pStyle w:val="TableParagraph"/>
              <w:widowControl/>
              <w:kinsoku w:val="0"/>
              <w:overflowPunct w:val="0"/>
              <w:jc w:val="both"/>
              <w:rPr>
                <w:noProof/>
                <w:sz w:val="20"/>
              </w:rPr>
            </w:pPr>
            <w:r>
              <w:rPr>
                <w:sz w:val="20"/>
              </w:rPr>
              <w:t>P</w:t>
            </w:r>
            <w:r w:rsidR="00F76C46">
              <w:rPr>
                <w:sz w:val="20"/>
              </w:rPr>
              <w:t>akaišu</w:t>
            </w:r>
            <w:r w:rsidR="008E3F72" w:rsidRPr="001B6AF7">
              <w:rPr>
                <w:sz w:val="20"/>
              </w:rPr>
              <w:t xml:space="preserve"> kūtsmēsli</w:t>
            </w:r>
          </w:p>
        </w:tc>
        <w:tc>
          <w:tcPr>
            <w:tcW w:w="2005" w:type="pct"/>
            <w:tcBorders>
              <w:top w:val="nil"/>
              <w:left w:val="nil"/>
              <w:bottom w:val="single" w:sz="12" w:space="0" w:color="000000"/>
              <w:right w:val="nil"/>
            </w:tcBorders>
          </w:tcPr>
          <w:p w14:paraId="6A6A7B47" w14:textId="77777777" w:rsidR="008E3F72" w:rsidRPr="001B6AF7" w:rsidRDefault="008E3F72" w:rsidP="0010018A">
            <w:pPr>
              <w:pStyle w:val="TableParagraph"/>
              <w:widowControl/>
              <w:kinsoku w:val="0"/>
              <w:overflowPunct w:val="0"/>
              <w:jc w:val="both"/>
              <w:rPr>
                <w:noProof/>
                <w:sz w:val="20"/>
              </w:rPr>
            </w:pPr>
            <w:r w:rsidRPr="001B6AF7">
              <w:rPr>
                <w:sz w:val="20"/>
              </w:rPr>
              <w:t>Tūlītēja iestrāde augsnē</w:t>
            </w:r>
          </w:p>
        </w:tc>
        <w:tc>
          <w:tcPr>
            <w:tcW w:w="973" w:type="pct"/>
            <w:tcBorders>
              <w:top w:val="nil"/>
              <w:left w:val="nil"/>
              <w:bottom w:val="single" w:sz="12" w:space="0" w:color="000000"/>
              <w:right w:val="nil"/>
            </w:tcBorders>
          </w:tcPr>
          <w:p w14:paraId="120842E4" w14:textId="77777777" w:rsidR="008E3F72" w:rsidRPr="001B6AF7" w:rsidRDefault="008E3F72" w:rsidP="0010018A">
            <w:pPr>
              <w:pStyle w:val="TableParagraph"/>
              <w:widowControl/>
              <w:kinsoku w:val="0"/>
              <w:overflowPunct w:val="0"/>
              <w:jc w:val="both"/>
              <w:rPr>
                <w:noProof/>
                <w:sz w:val="20"/>
              </w:rPr>
            </w:pPr>
            <w:r w:rsidRPr="001B6AF7">
              <w:rPr>
                <w:sz w:val="20"/>
              </w:rPr>
              <w:t>&gt; 30</w:t>
            </w:r>
          </w:p>
        </w:tc>
        <w:tc>
          <w:tcPr>
            <w:tcW w:w="1171" w:type="pct"/>
            <w:tcBorders>
              <w:top w:val="nil"/>
              <w:left w:val="nil"/>
              <w:bottom w:val="single" w:sz="12" w:space="0" w:color="000000"/>
              <w:right w:val="nil"/>
            </w:tcBorders>
          </w:tcPr>
          <w:p w14:paraId="61FACE1D" w14:textId="77777777" w:rsidR="008E3F72" w:rsidRPr="001B6AF7" w:rsidRDefault="008E3F72" w:rsidP="0010018A">
            <w:pPr>
              <w:pStyle w:val="TableParagraph"/>
              <w:widowControl/>
              <w:kinsoku w:val="0"/>
              <w:overflowPunct w:val="0"/>
              <w:jc w:val="both"/>
              <w:rPr>
                <w:noProof/>
                <w:sz w:val="20"/>
              </w:rPr>
            </w:pPr>
            <w:r w:rsidRPr="001B6AF7">
              <w:rPr>
                <w:sz w:val="20"/>
              </w:rPr>
              <w:t>-0,5–2,0</w:t>
            </w:r>
          </w:p>
        </w:tc>
      </w:tr>
    </w:tbl>
    <w:p w14:paraId="4843B6FC" w14:textId="77777777" w:rsidR="008E3F72" w:rsidRPr="00F35F4D" w:rsidRDefault="008E3F72" w:rsidP="008E3F72">
      <w:pPr>
        <w:pStyle w:val="BodyText"/>
        <w:widowControl/>
        <w:kinsoku w:val="0"/>
        <w:overflowPunct w:val="0"/>
        <w:spacing w:before="0"/>
        <w:ind w:left="0"/>
        <w:jc w:val="both"/>
        <w:rPr>
          <w:b/>
          <w:bCs/>
          <w:noProof/>
          <w:sz w:val="24"/>
          <w:szCs w:val="24"/>
        </w:rPr>
      </w:pPr>
    </w:p>
    <w:p w14:paraId="68CFC99F" w14:textId="77777777" w:rsidR="008E3F72" w:rsidRPr="001B6AF7" w:rsidRDefault="008E3F72" w:rsidP="008E3F72">
      <w:pPr>
        <w:pStyle w:val="BodyText"/>
        <w:widowControl/>
        <w:numPr>
          <w:ilvl w:val="0"/>
          <w:numId w:val="16"/>
        </w:numPr>
        <w:kinsoku w:val="0"/>
        <w:overflowPunct w:val="0"/>
        <w:spacing w:before="0"/>
        <w:ind w:left="0" w:firstLine="0"/>
        <w:jc w:val="both"/>
        <w:rPr>
          <w:noProof/>
          <w:sz w:val="24"/>
          <w:szCs w:val="24"/>
        </w:rPr>
      </w:pPr>
      <w:r w:rsidRPr="00F35F4D">
        <w:rPr>
          <w:noProof/>
          <w:sz w:val="24"/>
        </w:rPr>
        <w:t xml:space="preserve">Izmaksas par paņēmieniem NH3 emisijas samazināšanai no mēslošanas līdzekļa ir saistītas ar a) amortizācijas izmaksām vai ieguldījumiem mēslošanas aprīkojumā; b) peļņu no ieguldījumiem; c) papildu izmaksām par jaudīgāku </w:t>
      </w:r>
      <w:r w:rsidRPr="00F35F4D">
        <w:rPr>
          <w:noProof/>
          <w:sz w:val="24"/>
        </w:rPr>
        <w:lastRenderedPageBreak/>
        <w:t xml:space="preserve">traktortehniku un darbaspēku un d) tehniskās apkopes izmaksām. Tālāk ir apkopotas izmaksas, kas izteiktas </w:t>
      </w:r>
      <w:r w:rsidRPr="00F35F4D">
        <w:rPr>
          <w:i/>
          <w:noProof/>
          <w:sz w:val="24"/>
        </w:rPr>
        <w:t>euro</w:t>
      </w:r>
      <w:r w:rsidRPr="00F35F4D">
        <w:rPr>
          <w:noProof/>
          <w:sz w:val="24"/>
        </w:rPr>
        <w:t xml:space="preserve"> par ietaupītā NH3-N kilogramu (ES6 tabula). Iespējamie guvumi ir mazākas izmaksas par mēslošanas līdzekļiem, mazākas izmaksas, ko rada kombinētas sējas un mēslošanas sistēmas izmantošana, un mazāki bioloģiskās daudzveidības zudumi. Šos guvumus ir grūti izmērīt, un visi no tiem nav iekļauti kopējā izmaksu aprēķinā. Izmaksu diapazoni ir saistīti ar saimniecības lielumu (apjomradītiem ietaupījumiem), augsnes un klimatiskajiem apstākļiem (liels emisijas samazinājums relatīvi sausos laika apstākļos). Vidējās izmaksas varētu būt zem diapazona vidējās vērtības, ja mēslošanu veic ārpakalpojumu sniedzēji vai izmanto mēslošanas līdzekļus ar zemu emisiju.</w:t>
      </w:r>
    </w:p>
    <w:p w14:paraId="5848D63F" w14:textId="77777777" w:rsidR="001B6AF7" w:rsidRPr="00F35F4D" w:rsidRDefault="001B6AF7" w:rsidP="001B6AF7">
      <w:pPr>
        <w:pStyle w:val="BodyText"/>
        <w:widowControl/>
        <w:kinsoku w:val="0"/>
        <w:overflowPunct w:val="0"/>
        <w:spacing w:before="0"/>
        <w:ind w:left="0"/>
        <w:jc w:val="both"/>
        <w:rPr>
          <w:noProof/>
          <w:sz w:val="24"/>
          <w:szCs w:val="24"/>
        </w:rPr>
      </w:pPr>
    </w:p>
    <w:p w14:paraId="0676BE12" w14:textId="77777777" w:rsidR="008E3F72" w:rsidRPr="00F35F4D" w:rsidRDefault="008E3F72" w:rsidP="008E3F72">
      <w:pPr>
        <w:pStyle w:val="Heading7"/>
        <w:widowControl/>
        <w:kinsoku w:val="0"/>
        <w:overflowPunct w:val="0"/>
        <w:spacing w:before="0"/>
        <w:ind w:left="0"/>
        <w:jc w:val="both"/>
        <w:rPr>
          <w:noProof/>
          <w:color w:val="0D0D0D"/>
          <w:sz w:val="24"/>
          <w:szCs w:val="24"/>
        </w:rPr>
      </w:pPr>
      <w:r w:rsidRPr="00F35F4D">
        <w:rPr>
          <w:noProof/>
          <w:color w:val="0D0D0D"/>
          <w:sz w:val="24"/>
        </w:rPr>
        <w:t>ES6 tabula</w:t>
      </w:r>
    </w:p>
    <w:p w14:paraId="14665BD5"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Amonjaka emisijas samazināšanas paņēmieni, izmantojot mēslošanas līdzekli, kam pamatā ir urīnviela vai amonijs, emisijas samazināšanas līmeņi un attiecīgās izmaksas</w:t>
      </w:r>
    </w:p>
    <w:p w14:paraId="35DDC30F"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1589"/>
        <w:gridCol w:w="3322"/>
        <w:gridCol w:w="1204"/>
        <w:gridCol w:w="2111"/>
      </w:tblGrid>
      <w:tr w:rsidR="008E3F72" w:rsidRPr="001B6AF7" w14:paraId="72725E57" w14:textId="77777777" w:rsidTr="0010018A">
        <w:tc>
          <w:tcPr>
            <w:tcW w:w="966" w:type="pct"/>
            <w:tcBorders>
              <w:top w:val="single" w:sz="4" w:space="0" w:color="000000"/>
              <w:left w:val="nil"/>
              <w:bottom w:val="single" w:sz="12" w:space="0" w:color="000000"/>
              <w:right w:val="nil"/>
            </w:tcBorders>
          </w:tcPr>
          <w:p w14:paraId="1790F7A2" w14:textId="77777777" w:rsidR="008E3F72" w:rsidRPr="001B6AF7" w:rsidRDefault="008E3F72" w:rsidP="0010018A">
            <w:pPr>
              <w:pStyle w:val="TableParagraph"/>
              <w:widowControl/>
              <w:kinsoku w:val="0"/>
              <w:overflowPunct w:val="0"/>
              <w:jc w:val="both"/>
              <w:rPr>
                <w:i/>
                <w:iCs/>
                <w:noProof/>
                <w:sz w:val="20"/>
              </w:rPr>
            </w:pPr>
            <w:r w:rsidRPr="001B6AF7">
              <w:rPr>
                <w:i/>
                <w:noProof/>
                <w:sz w:val="20"/>
              </w:rPr>
              <w:t>Mēslošanas līdzekļa veids</w:t>
            </w:r>
          </w:p>
        </w:tc>
        <w:tc>
          <w:tcPr>
            <w:tcW w:w="2019" w:type="pct"/>
            <w:tcBorders>
              <w:top w:val="single" w:sz="4" w:space="0" w:color="000000"/>
              <w:left w:val="nil"/>
              <w:bottom w:val="single" w:sz="12" w:space="0" w:color="000000"/>
              <w:right w:val="nil"/>
            </w:tcBorders>
          </w:tcPr>
          <w:p w14:paraId="2F78CBE2" w14:textId="77777777" w:rsidR="008E3F72" w:rsidRPr="001B6AF7" w:rsidRDefault="008E3F72" w:rsidP="0010018A">
            <w:pPr>
              <w:pStyle w:val="TableParagraph"/>
              <w:widowControl/>
              <w:kinsoku w:val="0"/>
              <w:overflowPunct w:val="0"/>
              <w:jc w:val="both"/>
              <w:rPr>
                <w:i/>
                <w:iCs/>
                <w:noProof/>
                <w:sz w:val="20"/>
              </w:rPr>
            </w:pPr>
            <w:r w:rsidRPr="001B6AF7">
              <w:rPr>
                <w:i/>
                <w:noProof/>
                <w:sz w:val="20"/>
              </w:rPr>
              <w:t>Mēslošanas paņēmieni</w:t>
            </w:r>
          </w:p>
        </w:tc>
        <w:tc>
          <w:tcPr>
            <w:tcW w:w="732" w:type="pct"/>
            <w:tcBorders>
              <w:top w:val="single" w:sz="4" w:space="0" w:color="000000"/>
              <w:left w:val="nil"/>
              <w:bottom w:val="single" w:sz="12" w:space="0" w:color="000000"/>
              <w:right w:val="nil"/>
            </w:tcBorders>
          </w:tcPr>
          <w:p w14:paraId="48326243" w14:textId="77777777" w:rsidR="008E3F72" w:rsidRPr="001B6AF7" w:rsidRDefault="008E3F72" w:rsidP="0010018A">
            <w:pPr>
              <w:pStyle w:val="TableParagraph"/>
              <w:widowControl/>
              <w:kinsoku w:val="0"/>
              <w:overflowPunct w:val="0"/>
              <w:jc w:val="both"/>
              <w:rPr>
                <w:i/>
                <w:iCs/>
                <w:noProof/>
                <w:sz w:val="20"/>
              </w:rPr>
            </w:pPr>
            <w:r w:rsidRPr="001B6AF7">
              <w:rPr>
                <w:i/>
                <w:noProof/>
                <w:sz w:val="20"/>
              </w:rPr>
              <w:t>Emisijas samazinājums (%)</w:t>
            </w:r>
          </w:p>
        </w:tc>
        <w:tc>
          <w:tcPr>
            <w:tcW w:w="1283" w:type="pct"/>
            <w:tcBorders>
              <w:top w:val="single" w:sz="4" w:space="0" w:color="000000"/>
              <w:left w:val="nil"/>
              <w:bottom w:val="single" w:sz="12" w:space="0" w:color="000000"/>
              <w:right w:val="nil"/>
            </w:tcBorders>
          </w:tcPr>
          <w:p w14:paraId="4FF070EA" w14:textId="77777777" w:rsidR="008E3F72" w:rsidRPr="001B6AF7" w:rsidRDefault="008E3F72" w:rsidP="0010018A">
            <w:pPr>
              <w:pStyle w:val="TableParagraph"/>
              <w:widowControl/>
              <w:kinsoku w:val="0"/>
              <w:overflowPunct w:val="0"/>
              <w:jc w:val="both"/>
              <w:rPr>
                <w:i/>
                <w:iCs/>
                <w:noProof/>
                <w:sz w:val="20"/>
              </w:rPr>
            </w:pPr>
            <w:r w:rsidRPr="001B6AF7">
              <w:rPr>
                <w:i/>
                <w:noProof/>
                <w:sz w:val="20"/>
              </w:rPr>
              <w:t>Izmaksas</w:t>
            </w:r>
          </w:p>
          <w:p w14:paraId="5628B346" w14:textId="77777777" w:rsidR="008E3F72" w:rsidRPr="001B6AF7" w:rsidRDefault="008E3F72" w:rsidP="0010018A">
            <w:pPr>
              <w:pStyle w:val="TableParagraph"/>
              <w:widowControl/>
              <w:kinsoku w:val="0"/>
              <w:overflowPunct w:val="0"/>
              <w:jc w:val="both"/>
              <w:rPr>
                <w:i/>
                <w:iCs/>
                <w:noProof/>
                <w:sz w:val="20"/>
              </w:rPr>
            </w:pPr>
            <w:r w:rsidRPr="001B6AF7">
              <w:rPr>
                <w:i/>
                <w:noProof/>
                <w:sz w:val="20"/>
              </w:rPr>
              <w:t>(€ par ietaupīto NH3-N kg)</w:t>
            </w:r>
          </w:p>
        </w:tc>
      </w:tr>
      <w:tr w:rsidR="008E3F72" w:rsidRPr="001B6AF7" w14:paraId="321079FE" w14:textId="77777777" w:rsidTr="0010018A">
        <w:tc>
          <w:tcPr>
            <w:tcW w:w="966" w:type="pct"/>
            <w:tcBorders>
              <w:top w:val="single" w:sz="12" w:space="0" w:color="000000"/>
              <w:left w:val="nil"/>
              <w:bottom w:val="nil"/>
              <w:right w:val="nil"/>
            </w:tcBorders>
          </w:tcPr>
          <w:p w14:paraId="289A2E9C" w14:textId="77777777" w:rsidR="008E3F72" w:rsidRPr="001B6AF7" w:rsidRDefault="008E3F72" w:rsidP="0010018A">
            <w:pPr>
              <w:pStyle w:val="TableParagraph"/>
              <w:widowControl/>
              <w:kinsoku w:val="0"/>
              <w:overflowPunct w:val="0"/>
              <w:jc w:val="both"/>
              <w:rPr>
                <w:noProof/>
                <w:sz w:val="20"/>
              </w:rPr>
            </w:pPr>
            <w:r w:rsidRPr="001B6AF7">
              <w:rPr>
                <w:sz w:val="20"/>
              </w:rPr>
              <w:t>Urīnviela</w:t>
            </w:r>
          </w:p>
        </w:tc>
        <w:tc>
          <w:tcPr>
            <w:tcW w:w="2019" w:type="pct"/>
            <w:tcBorders>
              <w:top w:val="single" w:sz="12" w:space="0" w:color="000000"/>
              <w:left w:val="nil"/>
              <w:bottom w:val="nil"/>
              <w:right w:val="nil"/>
            </w:tcBorders>
          </w:tcPr>
          <w:p w14:paraId="3DFAEC04" w14:textId="77777777" w:rsidR="008E3F72" w:rsidRPr="001B6AF7" w:rsidRDefault="008E3F72" w:rsidP="0010018A">
            <w:pPr>
              <w:pStyle w:val="TableParagraph"/>
              <w:widowControl/>
              <w:kinsoku w:val="0"/>
              <w:overflowPunct w:val="0"/>
              <w:jc w:val="both"/>
              <w:rPr>
                <w:noProof/>
                <w:sz w:val="20"/>
              </w:rPr>
            </w:pPr>
            <w:r w:rsidRPr="001B6AF7">
              <w:rPr>
                <w:sz w:val="20"/>
              </w:rPr>
              <w:t>Inžekcija</w:t>
            </w:r>
          </w:p>
        </w:tc>
        <w:tc>
          <w:tcPr>
            <w:tcW w:w="732" w:type="pct"/>
            <w:tcBorders>
              <w:top w:val="single" w:sz="12" w:space="0" w:color="000000"/>
              <w:left w:val="nil"/>
              <w:bottom w:val="nil"/>
              <w:right w:val="nil"/>
            </w:tcBorders>
          </w:tcPr>
          <w:p w14:paraId="5E3D2B05" w14:textId="77777777" w:rsidR="008E3F72" w:rsidRPr="001B6AF7" w:rsidRDefault="008E3F72" w:rsidP="0010018A">
            <w:pPr>
              <w:pStyle w:val="TableParagraph"/>
              <w:widowControl/>
              <w:kinsoku w:val="0"/>
              <w:overflowPunct w:val="0"/>
              <w:jc w:val="both"/>
              <w:rPr>
                <w:noProof/>
                <w:sz w:val="20"/>
              </w:rPr>
            </w:pPr>
            <w:r w:rsidRPr="001B6AF7">
              <w:rPr>
                <w:sz w:val="20"/>
              </w:rPr>
              <w:t>&gt; 80</w:t>
            </w:r>
          </w:p>
        </w:tc>
        <w:tc>
          <w:tcPr>
            <w:tcW w:w="1283" w:type="pct"/>
            <w:tcBorders>
              <w:top w:val="single" w:sz="12" w:space="0" w:color="000000"/>
              <w:left w:val="nil"/>
              <w:bottom w:val="nil"/>
              <w:right w:val="nil"/>
            </w:tcBorders>
          </w:tcPr>
          <w:p w14:paraId="6BA8494A" w14:textId="77777777" w:rsidR="008E3F72" w:rsidRPr="001B6AF7" w:rsidRDefault="008E3F72" w:rsidP="0010018A">
            <w:pPr>
              <w:pStyle w:val="TableParagraph"/>
              <w:widowControl/>
              <w:kinsoku w:val="0"/>
              <w:overflowPunct w:val="0"/>
              <w:jc w:val="both"/>
              <w:rPr>
                <w:noProof/>
                <w:sz w:val="20"/>
              </w:rPr>
            </w:pPr>
            <w:r w:rsidRPr="001B6AF7">
              <w:rPr>
                <w:sz w:val="20"/>
              </w:rPr>
              <w:t>-0,5–1</w:t>
            </w:r>
          </w:p>
        </w:tc>
      </w:tr>
      <w:tr w:rsidR="008E3F72" w:rsidRPr="001B6AF7" w14:paraId="688FB2F0" w14:textId="77777777" w:rsidTr="0010018A">
        <w:tc>
          <w:tcPr>
            <w:tcW w:w="966" w:type="pct"/>
            <w:tcBorders>
              <w:top w:val="nil"/>
              <w:left w:val="nil"/>
              <w:bottom w:val="nil"/>
              <w:right w:val="nil"/>
            </w:tcBorders>
          </w:tcPr>
          <w:p w14:paraId="3D24E482" w14:textId="77777777" w:rsidR="008E3F72" w:rsidRPr="001B6AF7" w:rsidRDefault="008E3F72" w:rsidP="0010018A">
            <w:pPr>
              <w:widowControl/>
              <w:jc w:val="both"/>
              <w:rPr>
                <w:noProof/>
                <w:sz w:val="20"/>
              </w:rPr>
            </w:pPr>
          </w:p>
        </w:tc>
        <w:tc>
          <w:tcPr>
            <w:tcW w:w="2019" w:type="pct"/>
            <w:tcBorders>
              <w:top w:val="nil"/>
              <w:left w:val="nil"/>
              <w:bottom w:val="nil"/>
              <w:right w:val="nil"/>
            </w:tcBorders>
          </w:tcPr>
          <w:p w14:paraId="4B5F23E5" w14:textId="77777777" w:rsidR="008E3F72" w:rsidRPr="001B6AF7" w:rsidRDefault="008E3F72" w:rsidP="0010018A">
            <w:pPr>
              <w:pStyle w:val="TableParagraph"/>
              <w:widowControl/>
              <w:kinsoku w:val="0"/>
              <w:overflowPunct w:val="0"/>
              <w:jc w:val="both"/>
              <w:rPr>
                <w:noProof/>
                <w:sz w:val="20"/>
              </w:rPr>
            </w:pPr>
            <w:r w:rsidRPr="001B6AF7">
              <w:rPr>
                <w:sz w:val="20"/>
              </w:rPr>
              <w:t>Urīnvielas inhibitori</w:t>
            </w:r>
          </w:p>
        </w:tc>
        <w:tc>
          <w:tcPr>
            <w:tcW w:w="732" w:type="pct"/>
            <w:tcBorders>
              <w:top w:val="nil"/>
              <w:left w:val="nil"/>
              <w:bottom w:val="nil"/>
              <w:right w:val="nil"/>
            </w:tcBorders>
          </w:tcPr>
          <w:p w14:paraId="1BF0EBC6" w14:textId="77777777" w:rsidR="008E3F72" w:rsidRPr="001B6AF7" w:rsidRDefault="008E3F72" w:rsidP="0010018A">
            <w:pPr>
              <w:pStyle w:val="TableParagraph"/>
              <w:widowControl/>
              <w:kinsoku w:val="0"/>
              <w:overflowPunct w:val="0"/>
              <w:jc w:val="both"/>
              <w:rPr>
                <w:noProof/>
                <w:sz w:val="20"/>
              </w:rPr>
            </w:pPr>
            <w:r w:rsidRPr="001B6AF7">
              <w:rPr>
                <w:sz w:val="20"/>
              </w:rPr>
              <w:t>&gt; 30</w:t>
            </w:r>
          </w:p>
        </w:tc>
        <w:tc>
          <w:tcPr>
            <w:tcW w:w="1283" w:type="pct"/>
            <w:tcBorders>
              <w:top w:val="nil"/>
              <w:left w:val="nil"/>
              <w:bottom w:val="nil"/>
              <w:right w:val="nil"/>
            </w:tcBorders>
          </w:tcPr>
          <w:p w14:paraId="0491CDC5" w14:textId="77777777" w:rsidR="008E3F72" w:rsidRPr="001B6AF7" w:rsidRDefault="008E3F72" w:rsidP="0010018A">
            <w:pPr>
              <w:pStyle w:val="TableParagraph"/>
              <w:widowControl/>
              <w:kinsoku w:val="0"/>
              <w:overflowPunct w:val="0"/>
              <w:jc w:val="both"/>
              <w:rPr>
                <w:noProof/>
                <w:sz w:val="20"/>
              </w:rPr>
            </w:pPr>
            <w:r w:rsidRPr="001B6AF7">
              <w:rPr>
                <w:sz w:val="20"/>
              </w:rPr>
              <w:t>-0,5–2</w:t>
            </w:r>
          </w:p>
        </w:tc>
      </w:tr>
      <w:tr w:rsidR="008E3F72" w:rsidRPr="001B6AF7" w14:paraId="52AF69F5" w14:textId="77777777" w:rsidTr="0010018A">
        <w:tc>
          <w:tcPr>
            <w:tcW w:w="966" w:type="pct"/>
            <w:tcBorders>
              <w:top w:val="nil"/>
              <w:left w:val="nil"/>
              <w:bottom w:val="nil"/>
              <w:right w:val="nil"/>
            </w:tcBorders>
          </w:tcPr>
          <w:p w14:paraId="6BD0A01D" w14:textId="77777777" w:rsidR="008E3F72" w:rsidRPr="001B6AF7" w:rsidRDefault="008E3F72" w:rsidP="0010018A">
            <w:pPr>
              <w:widowControl/>
              <w:jc w:val="both"/>
              <w:rPr>
                <w:noProof/>
                <w:sz w:val="20"/>
              </w:rPr>
            </w:pPr>
          </w:p>
        </w:tc>
        <w:tc>
          <w:tcPr>
            <w:tcW w:w="2019" w:type="pct"/>
            <w:tcBorders>
              <w:top w:val="nil"/>
              <w:left w:val="nil"/>
              <w:bottom w:val="nil"/>
              <w:right w:val="nil"/>
            </w:tcBorders>
          </w:tcPr>
          <w:p w14:paraId="3D9B6D33" w14:textId="77777777" w:rsidR="008E3F72" w:rsidRPr="001B6AF7" w:rsidRDefault="008E3F72" w:rsidP="0010018A">
            <w:pPr>
              <w:pStyle w:val="TableParagraph"/>
              <w:widowControl/>
              <w:kinsoku w:val="0"/>
              <w:overflowPunct w:val="0"/>
              <w:jc w:val="both"/>
              <w:rPr>
                <w:noProof/>
                <w:sz w:val="20"/>
              </w:rPr>
            </w:pPr>
            <w:r w:rsidRPr="001B6AF7">
              <w:rPr>
                <w:sz w:val="20"/>
              </w:rPr>
              <w:t>Iestrāde pēc mēslojuma izkliedēšanas uz augsnes virskārtas</w:t>
            </w:r>
          </w:p>
        </w:tc>
        <w:tc>
          <w:tcPr>
            <w:tcW w:w="732" w:type="pct"/>
            <w:tcBorders>
              <w:top w:val="nil"/>
              <w:left w:val="nil"/>
              <w:bottom w:val="nil"/>
              <w:right w:val="nil"/>
            </w:tcBorders>
          </w:tcPr>
          <w:p w14:paraId="0EB91054" w14:textId="77777777" w:rsidR="008E3F72" w:rsidRPr="001B6AF7" w:rsidRDefault="008E3F72" w:rsidP="0010018A">
            <w:pPr>
              <w:pStyle w:val="TableParagraph"/>
              <w:widowControl/>
              <w:kinsoku w:val="0"/>
              <w:overflowPunct w:val="0"/>
              <w:jc w:val="both"/>
              <w:rPr>
                <w:noProof/>
                <w:sz w:val="20"/>
              </w:rPr>
            </w:pPr>
            <w:r w:rsidRPr="001B6AF7">
              <w:rPr>
                <w:sz w:val="20"/>
              </w:rPr>
              <w:t>&gt; 50</w:t>
            </w:r>
          </w:p>
        </w:tc>
        <w:tc>
          <w:tcPr>
            <w:tcW w:w="1283" w:type="pct"/>
            <w:tcBorders>
              <w:top w:val="nil"/>
              <w:left w:val="nil"/>
              <w:bottom w:val="nil"/>
              <w:right w:val="nil"/>
            </w:tcBorders>
          </w:tcPr>
          <w:p w14:paraId="6CB40EF9" w14:textId="77777777" w:rsidR="008E3F72" w:rsidRPr="001B6AF7" w:rsidRDefault="008E3F72" w:rsidP="0010018A">
            <w:pPr>
              <w:pStyle w:val="TableParagraph"/>
              <w:widowControl/>
              <w:kinsoku w:val="0"/>
              <w:overflowPunct w:val="0"/>
              <w:jc w:val="both"/>
              <w:rPr>
                <w:noProof/>
                <w:sz w:val="20"/>
              </w:rPr>
            </w:pPr>
            <w:r w:rsidRPr="001B6AF7">
              <w:rPr>
                <w:sz w:val="20"/>
              </w:rPr>
              <w:t>-0,5–2</w:t>
            </w:r>
          </w:p>
        </w:tc>
      </w:tr>
      <w:tr w:rsidR="008E3F72" w:rsidRPr="001B6AF7" w14:paraId="613472B6" w14:textId="77777777" w:rsidTr="0010018A">
        <w:tc>
          <w:tcPr>
            <w:tcW w:w="966" w:type="pct"/>
            <w:tcBorders>
              <w:top w:val="nil"/>
              <w:left w:val="nil"/>
              <w:bottom w:val="nil"/>
              <w:right w:val="nil"/>
            </w:tcBorders>
          </w:tcPr>
          <w:p w14:paraId="2E80AD74" w14:textId="77777777" w:rsidR="008E3F72" w:rsidRPr="001B6AF7" w:rsidRDefault="008E3F72" w:rsidP="0010018A">
            <w:pPr>
              <w:widowControl/>
              <w:jc w:val="both"/>
              <w:rPr>
                <w:noProof/>
                <w:sz w:val="20"/>
              </w:rPr>
            </w:pPr>
          </w:p>
        </w:tc>
        <w:tc>
          <w:tcPr>
            <w:tcW w:w="2019" w:type="pct"/>
            <w:tcBorders>
              <w:top w:val="nil"/>
              <w:left w:val="nil"/>
              <w:bottom w:val="nil"/>
              <w:right w:val="nil"/>
            </w:tcBorders>
          </w:tcPr>
          <w:p w14:paraId="198AFFA1" w14:textId="77777777" w:rsidR="008E3F72" w:rsidRPr="001B6AF7" w:rsidRDefault="008E3F72" w:rsidP="0010018A">
            <w:pPr>
              <w:pStyle w:val="TableParagraph"/>
              <w:widowControl/>
              <w:kinsoku w:val="0"/>
              <w:overflowPunct w:val="0"/>
              <w:jc w:val="both"/>
              <w:rPr>
                <w:noProof/>
                <w:sz w:val="20"/>
              </w:rPr>
            </w:pPr>
            <w:r w:rsidRPr="001B6AF7">
              <w:rPr>
                <w:sz w:val="20"/>
              </w:rPr>
              <w:t>Izkliedēšana uz augsnes virskārtas un laistīšana</w:t>
            </w:r>
          </w:p>
        </w:tc>
        <w:tc>
          <w:tcPr>
            <w:tcW w:w="732" w:type="pct"/>
            <w:tcBorders>
              <w:top w:val="nil"/>
              <w:left w:val="nil"/>
              <w:bottom w:val="nil"/>
              <w:right w:val="nil"/>
            </w:tcBorders>
          </w:tcPr>
          <w:p w14:paraId="047D77B8" w14:textId="77777777" w:rsidR="008E3F72" w:rsidRPr="001B6AF7" w:rsidRDefault="008E3F72" w:rsidP="0010018A">
            <w:pPr>
              <w:pStyle w:val="TableParagraph"/>
              <w:widowControl/>
              <w:kinsoku w:val="0"/>
              <w:overflowPunct w:val="0"/>
              <w:jc w:val="both"/>
              <w:rPr>
                <w:noProof/>
                <w:sz w:val="20"/>
              </w:rPr>
            </w:pPr>
            <w:r w:rsidRPr="001B6AF7">
              <w:rPr>
                <w:sz w:val="20"/>
              </w:rPr>
              <w:t>&gt; 40</w:t>
            </w:r>
          </w:p>
        </w:tc>
        <w:tc>
          <w:tcPr>
            <w:tcW w:w="1283" w:type="pct"/>
            <w:tcBorders>
              <w:top w:val="nil"/>
              <w:left w:val="nil"/>
              <w:bottom w:val="nil"/>
              <w:right w:val="nil"/>
            </w:tcBorders>
          </w:tcPr>
          <w:p w14:paraId="5C66721C" w14:textId="77777777" w:rsidR="008E3F72" w:rsidRPr="001B6AF7" w:rsidRDefault="008E3F72" w:rsidP="0010018A">
            <w:pPr>
              <w:pStyle w:val="TableParagraph"/>
              <w:widowControl/>
              <w:kinsoku w:val="0"/>
              <w:overflowPunct w:val="0"/>
              <w:jc w:val="both"/>
              <w:rPr>
                <w:noProof/>
                <w:sz w:val="20"/>
              </w:rPr>
            </w:pPr>
            <w:r w:rsidRPr="001B6AF7">
              <w:rPr>
                <w:sz w:val="20"/>
              </w:rPr>
              <w:t>-0,5–1</w:t>
            </w:r>
          </w:p>
        </w:tc>
      </w:tr>
      <w:tr w:rsidR="008E3F72" w:rsidRPr="001B6AF7" w14:paraId="690DE9E5" w14:textId="77777777" w:rsidTr="0010018A">
        <w:tc>
          <w:tcPr>
            <w:tcW w:w="966" w:type="pct"/>
            <w:tcBorders>
              <w:top w:val="nil"/>
              <w:left w:val="nil"/>
              <w:bottom w:val="nil"/>
              <w:right w:val="nil"/>
            </w:tcBorders>
          </w:tcPr>
          <w:p w14:paraId="3421A874" w14:textId="77777777" w:rsidR="008E3F72" w:rsidRPr="001B6AF7" w:rsidRDefault="008E3F72" w:rsidP="0010018A">
            <w:pPr>
              <w:pStyle w:val="TableParagraph"/>
              <w:widowControl/>
              <w:kinsoku w:val="0"/>
              <w:overflowPunct w:val="0"/>
              <w:jc w:val="both"/>
              <w:rPr>
                <w:noProof/>
                <w:sz w:val="20"/>
              </w:rPr>
            </w:pPr>
            <w:r w:rsidRPr="001B6AF7">
              <w:rPr>
                <w:sz w:val="20"/>
              </w:rPr>
              <w:t>Amonija karbonāts</w:t>
            </w:r>
          </w:p>
        </w:tc>
        <w:tc>
          <w:tcPr>
            <w:tcW w:w="2019" w:type="pct"/>
            <w:tcBorders>
              <w:top w:val="nil"/>
              <w:left w:val="nil"/>
              <w:bottom w:val="nil"/>
              <w:right w:val="nil"/>
            </w:tcBorders>
          </w:tcPr>
          <w:p w14:paraId="0A48390B" w14:textId="77777777" w:rsidR="008E3F72" w:rsidRPr="001B6AF7" w:rsidRDefault="008E3F72" w:rsidP="0010018A">
            <w:pPr>
              <w:pStyle w:val="TableParagraph"/>
              <w:widowControl/>
              <w:kinsoku w:val="0"/>
              <w:overflowPunct w:val="0"/>
              <w:jc w:val="both"/>
              <w:rPr>
                <w:noProof/>
                <w:sz w:val="20"/>
              </w:rPr>
            </w:pPr>
            <w:r w:rsidRPr="001B6AF7">
              <w:rPr>
                <w:sz w:val="20"/>
              </w:rPr>
              <w:t>Aizliegums</w:t>
            </w:r>
          </w:p>
        </w:tc>
        <w:tc>
          <w:tcPr>
            <w:tcW w:w="732" w:type="pct"/>
            <w:tcBorders>
              <w:top w:val="nil"/>
              <w:left w:val="nil"/>
              <w:bottom w:val="nil"/>
              <w:right w:val="nil"/>
            </w:tcBorders>
          </w:tcPr>
          <w:p w14:paraId="0FC118BE" w14:textId="77777777" w:rsidR="008E3F72" w:rsidRPr="001B6AF7" w:rsidRDefault="008E3F72" w:rsidP="0010018A">
            <w:pPr>
              <w:pStyle w:val="TableParagraph"/>
              <w:widowControl/>
              <w:kinsoku w:val="0"/>
              <w:overflowPunct w:val="0"/>
              <w:jc w:val="both"/>
              <w:rPr>
                <w:noProof/>
                <w:sz w:val="20"/>
              </w:rPr>
            </w:pPr>
            <w:r w:rsidRPr="001B6AF7">
              <w:rPr>
                <w:sz w:val="20"/>
              </w:rPr>
              <w:t>~100</w:t>
            </w:r>
          </w:p>
        </w:tc>
        <w:tc>
          <w:tcPr>
            <w:tcW w:w="1283" w:type="pct"/>
            <w:tcBorders>
              <w:top w:val="nil"/>
              <w:left w:val="nil"/>
              <w:bottom w:val="nil"/>
              <w:right w:val="nil"/>
            </w:tcBorders>
          </w:tcPr>
          <w:p w14:paraId="7DDED7E8" w14:textId="77777777" w:rsidR="008E3F72" w:rsidRPr="001B6AF7" w:rsidRDefault="008E3F72" w:rsidP="0010018A">
            <w:pPr>
              <w:pStyle w:val="TableParagraph"/>
              <w:widowControl/>
              <w:kinsoku w:val="0"/>
              <w:overflowPunct w:val="0"/>
              <w:jc w:val="both"/>
              <w:rPr>
                <w:noProof/>
                <w:sz w:val="20"/>
              </w:rPr>
            </w:pPr>
            <w:r w:rsidRPr="001B6AF7">
              <w:rPr>
                <w:sz w:val="20"/>
              </w:rPr>
              <w:t>-1–2</w:t>
            </w:r>
          </w:p>
        </w:tc>
      </w:tr>
      <w:tr w:rsidR="008E3F72" w:rsidRPr="001B6AF7" w14:paraId="0E62ED8A" w14:textId="77777777" w:rsidTr="0010018A">
        <w:tc>
          <w:tcPr>
            <w:tcW w:w="966" w:type="pct"/>
            <w:tcBorders>
              <w:top w:val="nil"/>
              <w:left w:val="nil"/>
              <w:bottom w:val="nil"/>
              <w:right w:val="nil"/>
            </w:tcBorders>
          </w:tcPr>
          <w:p w14:paraId="55D2F7E4" w14:textId="075C175B" w:rsidR="008E3F72" w:rsidRPr="001B6AF7" w:rsidRDefault="00F76C46" w:rsidP="0010018A">
            <w:pPr>
              <w:pStyle w:val="TableParagraph"/>
              <w:widowControl/>
              <w:kinsoku w:val="0"/>
              <w:overflowPunct w:val="0"/>
              <w:jc w:val="both"/>
              <w:rPr>
                <w:noProof/>
                <w:sz w:val="20"/>
              </w:rPr>
            </w:pPr>
            <w:r>
              <w:rPr>
                <w:sz w:val="20"/>
              </w:rPr>
              <w:t>Amonija mēslošanas līdzeklis</w:t>
            </w:r>
          </w:p>
        </w:tc>
        <w:tc>
          <w:tcPr>
            <w:tcW w:w="2019" w:type="pct"/>
            <w:tcBorders>
              <w:top w:val="nil"/>
              <w:left w:val="nil"/>
              <w:bottom w:val="nil"/>
              <w:right w:val="nil"/>
            </w:tcBorders>
          </w:tcPr>
          <w:p w14:paraId="197CCFC8" w14:textId="77777777" w:rsidR="008E3F72" w:rsidRPr="001B6AF7" w:rsidRDefault="008E3F72" w:rsidP="0010018A">
            <w:pPr>
              <w:pStyle w:val="TableParagraph"/>
              <w:widowControl/>
              <w:kinsoku w:val="0"/>
              <w:overflowPunct w:val="0"/>
              <w:jc w:val="both"/>
              <w:rPr>
                <w:noProof/>
                <w:sz w:val="20"/>
              </w:rPr>
            </w:pPr>
            <w:r w:rsidRPr="001B6AF7">
              <w:rPr>
                <w:sz w:val="20"/>
              </w:rPr>
              <w:t>Inžekcija</w:t>
            </w:r>
          </w:p>
        </w:tc>
        <w:tc>
          <w:tcPr>
            <w:tcW w:w="732" w:type="pct"/>
            <w:tcBorders>
              <w:top w:val="nil"/>
              <w:left w:val="nil"/>
              <w:bottom w:val="nil"/>
              <w:right w:val="nil"/>
            </w:tcBorders>
          </w:tcPr>
          <w:p w14:paraId="643BD8FC" w14:textId="77777777" w:rsidR="008E3F72" w:rsidRPr="001B6AF7" w:rsidRDefault="008E3F72" w:rsidP="0010018A">
            <w:pPr>
              <w:pStyle w:val="TableParagraph"/>
              <w:widowControl/>
              <w:kinsoku w:val="0"/>
              <w:overflowPunct w:val="0"/>
              <w:jc w:val="both"/>
              <w:rPr>
                <w:noProof/>
                <w:sz w:val="20"/>
              </w:rPr>
            </w:pPr>
            <w:r w:rsidRPr="001B6AF7">
              <w:rPr>
                <w:sz w:val="20"/>
              </w:rPr>
              <w:t>&gt; 80</w:t>
            </w:r>
          </w:p>
        </w:tc>
        <w:tc>
          <w:tcPr>
            <w:tcW w:w="1283" w:type="pct"/>
            <w:tcBorders>
              <w:top w:val="nil"/>
              <w:left w:val="nil"/>
              <w:bottom w:val="nil"/>
              <w:right w:val="nil"/>
            </w:tcBorders>
          </w:tcPr>
          <w:p w14:paraId="670037A0" w14:textId="77777777" w:rsidR="008E3F72" w:rsidRPr="001B6AF7" w:rsidRDefault="008E3F72" w:rsidP="0010018A">
            <w:pPr>
              <w:pStyle w:val="TableParagraph"/>
              <w:widowControl/>
              <w:kinsoku w:val="0"/>
              <w:overflowPunct w:val="0"/>
              <w:jc w:val="both"/>
              <w:rPr>
                <w:noProof/>
                <w:sz w:val="20"/>
              </w:rPr>
            </w:pPr>
            <w:r w:rsidRPr="001B6AF7">
              <w:rPr>
                <w:sz w:val="20"/>
              </w:rPr>
              <w:t>0–4</w:t>
            </w:r>
          </w:p>
        </w:tc>
      </w:tr>
      <w:tr w:rsidR="008E3F72" w:rsidRPr="001B6AF7" w14:paraId="04AF9581" w14:textId="77777777" w:rsidTr="0010018A">
        <w:tc>
          <w:tcPr>
            <w:tcW w:w="966" w:type="pct"/>
            <w:tcBorders>
              <w:top w:val="nil"/>
              <w:left w:val="nil"/>
              <w:bottom w:val="nil"/>
              <w:right w:val="nil"/>
            </w:tcBorders>
          </w:tcPr>
          <w:p w14:paraId="043F76A4" w14:textId="77777777" w:rsidR="008E3F72" w:rsidRPr="001B6AF7" w:rsidRDefault="008E3F72" w:rsidP="0010018A">
            <w:pPr>
              <w:widowControl/>
              <w:jc w:val="both"/>
              <w:rPr>
                <w:noProof/>
                <w:sz w:val="20"/>
              </w:rPr>
            </w:pPr>
          </w:p>
        </w:tc>
        <w:tc>
          <w:tcPr>
            <w:tcW w:w="2019" w:type="pct"/>
            <w:tcBorders>
              <w:top w:val="nil"/>
              <w:left w:val="nil"/>
              <w:bottom w:val="nil"/>
              <w:right w:val="nil"/>
            </w:tcBorders>
          </w:tcPr>
          <w:p w14:paraId="11B72B33" w14:textId="77777777" w:rsidR="008E3F72" w:rsidRPr="001B6AF7" w:rsidRDefault="008E3F72" w:rsidP="0010018A">
            <w:pPr>
              <w:pStyle w:val="TableParagraph"/>
              <w:widowControl/>
              <w:kinsoku w:val="0"/>
              <w:overflowPunct w:val="0"/>
              <w:jc w:val="both"/>
              <w:rPr>
                <w:noProof/>
                <w:sz w:val="20"/>
              </w:rPr>
            </w:pPr>
            <w:r w:rsidRPr="001B6AF7">
              <w:rPr>
                <w:sz w:val="20"/>
              </w:rPr>
              <w:t>Iestrāde pēc mēslojuma izkliedēšanas uz augsnes virskārtas</w:t>
            </w:r>
          </w:p>
        </w:tc>
        <w:tc>
          <w:tcPr>
            <w:tcW w:w="732" w:type="pct"/>
            <w:tcBorders>
              <w:top w:val="nil"/>
              <w:left w:val="nil"/>
              <w:bottom w:val="nil"/>
              <w:right w:val="nil"/>
            </w:tcBorders>
          </w:tcPr>
          <w:p w14:paraId="3B011127" w14:textId="77777777" w:rsidR="008E3F72" w:rsidRPr="001B6AF7" w:rsidRDefault="008E3F72" w:rsidP="0010018A">
            <w:pPr>
              <w:pStyle w:val="TableParagraph"/>
              <w:widowControl/>
              <w:kinsoku w:val="0"/>
              <w:overflowPunct w:val="0"/>
              <w:jc w:val="both"/>
              <w:rPr>
                <w:noProof/>
                <w:sz w:val="20"/>
              </w:rPr>
            </w:pPr>
            <w:r w:rsidRPr="001B6AF7">
              <w:rPr>
                <w:sz w:val="20"/>
              </w:rPr>
              <w:t>&gt; 50</w:t>
            </w:r>
          </w:p>
        </w:tc>
        <w:tc>
          <w:tcPr>
            <w:tcW w:w="1283" w:type="pct"/>
            <w:tcBorders>
              <w:top w:val="nil"/>
              <w:left w:val="nil"/>
              <w:bottom w:val="nil"/>
              <w:right w:val="nil"/>
            </w:tcBorders>
          </w:tcPr>
          <w:p w14:paraId="32FBE5E7" w14:textId="77777777" w:rsidR="008E3F72" w:rsidRPr="001B6AF7" w:rsidRDefault="008E3F72" w:rsidP="0010018A">
            <w:pPr>
              <w:pStyle w:val="TableParagraph"/>
              <w:widowControl/>
              <w:kinsoku w:val="0"/>
              <w:overflowPunct w:val="0"/>
              <w:jc w:val="both"/>
              <w:rPr>
                <w:noProof/>
                <w:sz w:val="20"/>
              </w:rPr>
            </w:pPr>
            <w:r w:rsidRPr="001B6AF7">
              <w:rPr>
                <w:sz w:val="20"/>
              </w:rPr>
              <w:t>0–4</w:t>
            </w:r>
          </w:p>
        </w:tc>
      </w:tr>
      <w:tr w:rsidR="008E3F72" w:rsidRPr="001B6AF7" w14:paraId="7B1C7DA6" w14:textId="77777777" w:rsidTr="0010018A">
        <w:tc>
          <w:tcPr>
            <w:tcW w:w="966" w:type="pct"/>
            <w:tcBorders>
              <w:top w:val="nil"/>
              <w:left w:val="nil"/>
              <w:bottom w:val="single" w:sz="12" w:space="0" w:color="000000"/>
              <w:right w:val="nil"/>
            </w:tcBorders>
          </w:tcPr>
          <w:p w14:paraId="5F072D62" w14:textId="77777777" w:rsidR="008E3F72" w:rsidRPr="001B6AF7" w:rsidRDefault="008E3F72" w:rsidP="0010018A">
            <w:pPr>
              <w:widowControl/>
              <w:jc w:val="both"/>
              <w:rPr>
                <w:noProof/>
                <w:sz w:val="20"/>
              </w:rPr>
            </w:pPr>
          </w:p>
        </w:tc>
        <w:tc>
          <w:tcPr>
            <w:tcW w:w="2019" w:type="pct"/>
            <w:tcBorders>
              <w:top w:val="nil"/>
              <w:left w:val="nil"/>
              <w:bottom w:val="single" w:sz="12" w:space="0" w:color="000000"/>
              <w:right w:val="nil"/>
            </w:tcBorders>
          </w:tcPr>
          <w:p w14:paraId="3164F94C" w14:textId="77777777" w:rsidR="008E3F72" w:rsidRPr="001B6AF7" w:rsidRDefault="008E3F72" w:rsidP="0010018A">
            <w:pPr>
              <w:pStyle w:val="TableParagraph"/>
              <w:widowControl/>
              <w:kinsoku w:val="0"/>
              <w:overflowPunct w:val="0"/>
              <w:jc w:val="both"/>
              <w:rPr>
                <w:noProof/>
                <w:sz w:val="20"/>
              </w:rPr>
            </w:pPr>
            <w:r w:rsidRPr="001B6AF7">
              <w:rPr>
                <w:sz w:val="20"/>
              </w:rPr>
              <w:t>Izkliedēšana uz augsnes virskārtas un laistīšana</w:t>
            </w:r>
          </w:p>
        </w:tc>
        <w:tc>
          <w:tcPr>
            <w:tcW w:w="732" w:type="pct"/>
            <w:tcBorders>
              <w:top w:val="nil"/>
              <w:left w:val="nil"/>
              <w:bottom w:val="single" w:sz="12" w:space="0" w:color="000000"/>
              <w:right w:val="nil"/>
            </w:tcBorders>
          </w:tcPr>
          <w:p w14:paraId="09BC9348" w14:textId="77777777" w:rsidR="008E3F72" w:rsidRPr="001B6AF7" w:rsidRDefault="008E3F72" w:rsidP="0010018A">
            <w:pPr>
              <w:pStyle w:val="TableParagraph"/>
              <w:widowControl/>
              <w:kinsoku w:val="0"/>
              <w:overflowPunct w:val="0"/>
              <w:jc w:val="both"/>
              <w:rPr>
                <w:noProof/>
                <w:sz w:val="20"/>
              </w:rPr>
            </w:pPr>
            <w:r w:rsidRPr="001B6AF7">
              <w:rPr>
                <w:sz w:val="20"/>
              </w:rPr>
              <w:t>&gt; 40</w:t>
            </w:r>
          </w:p>
        </w:tc>
        <w:tc>
          <w:tcPr>
            <w:tcW w:w="1283" w:type="pct"/>
            <w:tcBorders>
              <w:top w:val="nil"/>
              <w:left w:val="nil"/>
              <w:bottom w:val="single" w:sz="12" w:space="0" w:color="000000"/>
              <w:right w:val="nil"/>
            </w:tcBorders>
          </w:tcPr>
          <w:p w14:paraId="226AED40" w14:textId="77777777" w:rsidR="008E3F72" w:rsidRPr="001B6AF7" w:rsidRDefault="008E3F72" w:rsidP="0010018A">
            <w:pPr>
              <w:pStyle w:val="TableParagraph"/>
              <w:widowControl/>
              <w:kinsoku w:val="0"/>
              <w:overflowPunct w:val="0"/>
              <w:jc w:val="both"/>
              <w:rPr>
                <w:noProof/>
                <w:sz w:val="20"/>
              </w:rPr>
            </w:pPr>
            <w:r w:rsidRPr="001B6AF7">
              <w:rPr>
                <w:sz w:val="20"/>
              </w:rPr>
              <w:t>0–4</w:t>
            </w:r>
          </w:p>
        </w:tc>
      </w:tr>
    </w:tbl>
    <w:p w14:paraId="0F0D3B80" w14:textId="0E3BA775" w:rsidR="00C43847" w:rsidRDefault="00C43847" w:rsidP="008E3F72">
      <w:pPr>
        <w:pStyle w:val="BodyText"/>
        <w:widowControl/>
        <w:kinsoku w:val="0"/>
        <w:overflowPunct w:val="0"/>
        <w:spacing w:before="0"/>
        <w:ind w:left="0"/>
        <w:jc w:val="both"/>
        <w:rPr>
          <w:b/>
          <w:bCs/>
          <w:noProof/>
          <w:sz w:val="24"/>
          <w:szCs w:val="24"/>
        </w:rPr>
      </w:pPr>
    </w:p>
    <w:p w14:paraId="2193D97F" w14:textId="77777777" w:rsidR="00C43847" w:rsidRDefault="00C43847">
      <w:pPr>
        <w:widowControl/>
        <w:autoSpaceDE/>
        <w:autoSpaceDN/>
        <w:adjustRightInd/>
        <w:spacing w:after="160" w:line="259" w:lineRule="auto"/>
        <w:rPr>
          <w:b/>
          <w:bCs/>
          <w:noProof/>
        </w:rPr>
      </w:pPr>
      <w:r>
        <w:rPr>
          <w:b/>
          <w:bCs/>
          <w:noProof/>
        </w:rPr>
        <w:br w:type="page"/>
      </w:r>
    </w:p>
    <w:p w14:paraId="6EEBD177" w14:textId="77777777" w:rsidR="00C43847" w:rsidRPr="00C43847" w:rsidRDefault="00C43847" w:rsidP="00C43847">
      <w:pPr>
        <w:pStyle w:val="BodyText"/>
        <w:widowControl/>
        <w:kinsoku w:val="0"/>
        <w:overflowPunct w:val="0"/>
        <w:spacing w:before="0"/>
        <w:ind w:left="0"/>
        <w:jc w:val="right"/>
        <w:rPr>
          <w:b/>
          <w:noProof/>
          <w:sz w:val="40"/>
          <w:szCs w:val="24"/>
        </w:rPr>
      </w:pPr>
      <w:r>
        <w:rPr>
          <w:b/>
          <w:noProof/>
          <w:sz w:val="40"/>
          <w:szCs w:val="24"/>
        </w:rPr>
        <w:lastRenderedPageBreak/>
        <w:t>1</w:t>
      </w:r>
      <w:r w:rsidRPr="00C43847">
        <w:rPr>
          <w:b/>
          <w:noProof/>
          <w:sz w:val="40"/>
          <w:szCs w:val="24"/>
        </w:rPr>
        <w:t>. nodaļa</w:t>
      </w:r>
    </w:p>
    <w:p w14:paraId="00A67DFB" w14:textId="77777777" w:rsidR="008E3F72" w:rsidRPr="00F35F4D" w:rsidRDefault="008E3F72" w:rsidP="008E3F72">
      <w:pPr>
        <w:pStyle w:val="BodyText"/>
        <w:widowControl/>
        <w:kinsoku w:val="0"/>
        <w:overflowPunct w:val="0"/>
        <w:spacing w:before="0"/>
        <w:ind w:left="0"/>
        <w:jc w:val="both"/>
        <w:rPr>
          <w:b/>
          <w:bCs/>
          <w:noProof/>
          <w:sz w:val="24"/>
          <w:szCs w:val="24"/>
        </w:rPr>
      </w:pPr>
    </w:p>
    <w:p w14:paraId="09B04A16" w14:textId="77777777" w:rsidR="008E3F72" w:rsidRDefault="008E3F72" w:rsidP="00C43847">
      <w:pPr>
        <w:pStyle w:val="Heading1"/>
      </w:pPr>
      <w:bookmarkStart w:id="3" w:name="_Toc426033255"/>
      <w:r w:rsidRPr="00F35F4D">
        <w:t>Ievads</w:t>
      </w:r>
      <w:bookmarkEnd w:id="3"/>
    </w:p>
    <w:p w14:paraId="400B9FA3" w14:textId="77777777" w:rsidR="00C43847" w:rsidRPr="00C43847" w:rsidRDefault="00C43847" w:rsidP="00C43847"/>
    <w:p w14:paraId="4B16E464"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color w:val="0D0D0D"/>
          <w:sz w:val="24"/>
          <w:szCs w:val="24"/>
        </w:rPr>
      </w:pPr>
      <w:r w:rsidRPr="00F35F4D">
        <w:rPr>
          <w:rFonts w:ascii="Times New Roman" w:hAnsi="Times New Roman" w:cs="Times New Roman"/>
          <w:noProof/>
          <w:color w:val="0D0D0D"/>
          <w:sz w:val="24"/>
        </w:rPr>
        <w:t>O. Oenema, M.A. Sutton, S. Bittman, M. Dedina, C.M. Howard</w:t>
      </w:r>
    </w:p>
    <w:p w14:paraId="4844A539" w14:textId="77777777" w:rsidR="008E3F72" w:rsidRPr="00F35F4D" w:rsidRDefault="008E3F72" w:rsidP="008E3F72">
      <w:pPr>
        <w:pStyle w:val="BodyText"/>
        <w:widowControl/>
        <w:kinsoku w:val="0"/>
        <w:overflowPunct w:val="0"/>
        <w:spacing w:before="0"/>
        <w:ind w:left="0"/>
        <w:jc w:val="both"/>
        <w:rPr>
          <w:i/>
          <w:iCs/>
          <w:noProof/>
          <w:sz w:val="24"/>
          <w:szCs w:val="24"/>
        </w:rPr>
      </w:pPr>
    </w:p>
    <w:p w14:paraId="0C834DD5" w14:textId="77777777" w:rsidR="008E3F72" w:rsidRPr="008B1FFA"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Šī dokumenta mērķis ir sniegt pusēm, kas parakstījušas ANO Eiropas Ekonomikas komisijas (EEK) Konvenciju par robežšķērsojošo gaisa piesārņošanu lielos attālumos, norādījumus par to, kā noteikt pasākumus amonjaka (NH3) emisijas kontrolei, lai samazinātu lauksaimniecībā izraisīto emisiju, ņemot vērā visu slāpekļa (N) aprites ciklu. Metodiskie norādījumi atvieglos Konvencijas protokola „Par paskābināšanas, eitrofikācijas un piezemes ozona līmeņa samazināšanu” (Gēteborgas protokola) 3. pantā minēto pamatpienākumu izpildi attiecībā uz NH3 emisiju un jo īpaši būs ieguldījums IX pielikumā uzskaitīto pasākumu labai īstenošanai un Protokola II pielikuma 3. tabulā norādīto maksimāli pieļaujamo emisijas daudzumu nepārkāpšanai.</w:t>
      </w:r>
    </w:p>
    <w:p w14:paraId="6CC5B648" w14:textId="77777777" w:rsidR="008B1FFA" w:rsidRPr="00F35F4D" w:rsidRDefault="008B1FFA" w:rsidP="008B1FFA">
      <w:pPr>
        <w:pStyle w:val="BodyText"/>
        <w:widowControl/>
        <w:tabs>
          <w:tab w:val="left" w:pos="861"/>
        </w:tabs>
        <w:kinsoku w:val="0"/>
        <w:overflowPunct w:val="0"/>
        <w:spacing w:before="0"/>
        <w:ind w:left="0"/>
        <w:jc w:val="both"/>
        <w:rPr>
          <w:noProof/>
          <w:sz w:val="24"/>
          <w:szCs w:val="24"/>
        </w:rPr>
      </w:pPr>
    </w:p>
    <w:p w14:paraId="244D9ADB" w14:textId="01C2CD44" w:rsidR="008E3F72" w:rsidRPr="009322D1" w:rsidRDefault="008E3F72" w:rsidP="008E3F72">
      <w:pPr>
        <w:pStyle w:val="BodyText"/>
        <w:widowControl/>
        <w:numPr>
          <w:ilvl w:val="0"/>
          <w:numId w:val="16"/>
        </w:numPr>
        <w:kinsoku w:val="0"/>
        <w:overflowPunct w:val="0"/>
        <w:spacing w:before="0"/>
        <w:ind w:left="0" w:firstLine="0"/>
        <w:jc w:val="both"/>
        <w:rPr>
          <w:noProof/>
          <w:sz w:val="24"/>
          <w:szCs w:val="24"/>
        </w:rPr>
      </w:pPr>
      <w:r w:rsidRPr="00F35F4D">
        <w:rPr>
          <w:noProof/>
          <w:sz w:val="24"/>
        </w:rPr>
        <w:t>Dokuments attiecas uz lauksaimniecībā radītās NH3 emisijas samazināšanu. Lauksaimniecībā tiek radīts ievērojams NH3 daudzums galvenokārt no novietnēs turēto lauksaim</w:t>
      </w:r>
      <w:r w:rsidR="00F76C46">
        <w:rPr>
          <w:noProof/>
          <w:sz w:val="24"/>
        </w:rPr>
        <w:t>niecības dzīvnieku kūtsmēsliem</w:t>
      </w:r>
      <w:r w:rsidRPr="00F35F4D">
        <w:rPr>
          <w:noProof/>
          <w:sz w:val="24"/>
        </w:rPr>
        <w:t xml:space="preserve"> to uzkrāšanas, apstrādes, bagātināšanas un </w:t>
      </w:r>
      <w:r w:rsidR="00F76C46">
        <w:rPr>
          <w:noProof/>
          <w:sz w:val="24"/>
        </w:rPr>
        <w:t>mēslojuma iestrādāšanai augsnē laikā</w:t>
      </w:r>
      <w:r w:rsidRPr="00F35F4D">
        <w:rPr>
          <w:noProof/>
          <w:sz w:val="24"/>
        </w:rPr>
        <w:t>, kā arī no ganīb</w:t>
      </w:r>
      <w:r w:rsidR="00F76C46">
        <w:rPr>
          <w:noProof/>
          <w:sz w:val="24"/>
        </w:rPr>
        <w:t>ās esošo dzīvnieku kūtsmēsliem</w:t>
      </w:r>
      <w:r w:rsidRPr="00F35F4D">
        <w:rPr>
          <w:noProof/>
          <w:sz w:val="24"/>
        </w:rPr>
        <w:t>. Emisiju rada arī neorganiskie N mēslošanas līdzekļi, k</w:t>
      </w:r>
      <w:r w:rsidR="00F76C46">
        <w:rPr>
          <w:noProof/>
          <w:sz w:val="24"/>
        </w:rPr>
        <w:t>urus iestrādā augsnē</w:t>
      </w:r>
      <w:r w:rsidRPr="00F35F4D">
        <w:rPr>
          <w:noProof/>
          <w:sz w:val="24"/>
        </w:rPr>
        <w:t xml:space="preserve">, un </w:t>
      </w:r>
      <w:r w:rsidR="00F76C46">
        <w:rPr>
          <w:noProof/>
          <w:sz w:val="24"/>
        </w:rPr>
        <w:t>ar N bagāti kultūraugi un augu atliekas</w:t>
      </w:r>
      <w:r w:rsidRPr="00F35F4D">
        <w:rPr>
          <w:noProof/>
          <w:sz w:val="24"/>
        </w:rPr>
        <w:t>, tostarp zāles skābbarība. Emisiju var samazināt, izmantojot emisiju samazinošus pasākumus visiem iepriekšminētajiem gadījumiem, bet to prakt</w:t>
      </w:r>
      <w:r w:rsidR="00F76C46">
        <w:rPr>
          <w:noProof/>
          <w:sz w:val="24"/>
        </w:rPr>
        <w:t>iskais lietderīgums, efektivitāte</w:t>
      </w:r>
      <w:r w:rsidRPr="00F35F4D">
        <w:rPr>
          <w:noProof/>
          <w:sz w:val="24"/>
        </w:rPr>
        <w:t xml:space="preserve"> un izmaksas ir atšķirīgas.</w:t>
      </w:r>
    </w:p>
    <w:p w14:paraId="41D4F310" w14:textId="77777777" w:rsidR="009322D1" w:rsidRDefault="009322D1" w:rsidP="009322D1">
      <w:pPr>
        <w:pStyle w:val="ListParagraph"/>
        <w:rPr>
          <w:noProof/>
        </w:rPr>
      </w:pPr>
    </w:p>
    <w:p w14:paraId="503A790F" w14:textId="77777777" w:rsidR="008E3F72" w:rsidRPr="008B1FFA" w:rsidRDefault="008E3F72" w:rsidP="008E3F72">
      <w:pPr>
        <w:pStyle w:val="BodyText"/>
        <w:widowControl/>
        <w:numPr>
          <w:ilvl w:val="0"/>
          <w:numId w:val="16"/>
        </w:numPr>
        <w:kinsoku w:val="0"/>
        <w:overflowPunct w:val="0"/>
        <w:spacing w:before="0"/>
        <w:ind w:left="0" w:firstLine="0"/>
        <w:jc w:val="both"/>
        <w:rPr>
          <w:noProof/>
          <w:sz w:val="24"/>
          <w:szCs w:val="24"/>
        </w:rPr>
      </w:pPr>
      <w:r w:rsidRPr="00F35F4D">
        <w:rPr>
          <w:noProof/>
          <w:sz w:val="24"/>
        </w:rPr>
        <w:t xml:space="preserve">Šo metodisko norādījumu pirmajā variantā (skatīt </w:t>
      </w:r>
      <w:r w:rsidRPr="00F35F4D">
        <w:rPr>
          <w:i/>
          <w:noProof/>
          <w:sz w:val="24"/>
        </w:rPr>
        <w:t>EB.AIR/1999/2</w:t>
      </w:r>
      <w:r w:rsidRPr="00F35F4D">
        <w:rPr>
          <w:noProof/>
          <w:sz w:val="24"/>
        </w:rPr>
        <w:t>) bija doti vispārēji norādījumi par NH3 emisijas samazināšanu. Sākotnējo versiju 2007. gadā pārskatīja (</w:t>
      </w:r>
      <w:r w:rsidRPr="00F35F4D">
        <w:rPr>
          <w:i/>
          <w:noProof/>
          <w:sz w:val="24"/>
        </w:rPr>
        <w:t>ECE/EB.AIR/WG.5/2007/13</w:t>
      </w:r>
      <w:r w:rsidRPr="00F35F4D">
        <w:rPr>
          <w:noProof/>
          <w:sz w:val="24"/>
        </w:rPr>
        <w:t>). Pašreizējā versija ir pārskatīta vēlreiz un atspoguļo 2012. gada sākumā sasniegto zinātnes un tehnoloģijas attīstības stadiju.</w:t>
      </w:r>
    </w:p>
    <w:p w14:paraId="77EEDE9D" w14:textId="77777777" w:rsidR="008B1FFA" w:rsidRPr="00F35F4D" w:rsidRDefault="008B1FFA" w:rsidP="008B1FFA">
      <w:pPr>
        <w:pStyle w:val="BodyText"/>
        <w:widowControl/>
        <w:kinsoku w:val="0"/>
        <w:overflowPunct w:val="0"/>
        <w:spacing w:before="0"/>
        <w:ind w:left="0"/>
        <w:jc w:val="both"/>
        <w:rPr>
          <w:noProof/>
          <w:sz w:val="24"/>
          <w:szCs w:val="24"/>
        </w:rPr>
      </w:pPr>
    </w:p>
    <w:p w14:paraId="6E430272" w14:textId="294956D0" w:rsidR="008E3F72" w:rsidRPr="00F35F4D" w:rsidRDefault="008E3F72" w:rsidP="008E3F72">
      <w:pPr>
        <w:pStyle w:val="BodyText"/>
        <w:widowControl/>
        <w:numPr>
          <w:ilvl w:val="0"/>
          <w:numId w:val="16"/>
        </w:numPr>
        <w:kinsoku w:val="0"/>
        <w:overflowPunct w:val="0"/>
        <w:spacing w:before="0"/>
        <w:ind w:left="0" w:firstLine="0"/>
        <w:jc w:val="both"/>
        <w:rPr>
          <w:noProof/>
          <w:sz w:val="24"/>
          <w:szCs w:val="24"/>
        </w:rPr>
      </w:pPr>
      <w:r w:rsidRPr="00F35F4D">
        <w:rPr>
          <w:noProof/>
          <w:sz w:val="24"/>
        </w:rPr>
        <w:t xml:space="preserve">Šajā dokumentā stratēģijas un paņēmieni NH3 emisijas </w:t>
      </w:r>
      <w:r w:rsidR="00F76C46">
        <w:rPr>
          <w:noProof/>
          <w:sz w:val="24"/>
        </w:rPr>
        <w:t>sa</w:t>
      </w:r>
      <w:r w:rsidRPr="00F35F4D">
        <w:rPr>
          <w:noProof/>
          <w:sz w:val="24"/>
        </w:rPr>
        <w:t>mazināšanai ir sagrupēti trijās kategorijās:</w:t>
      </w:r>
    </w:p>
    <w:p w14:paraId="1BC1D2FE" w14:textId="2ACB1775" w:rsidR="008E3F72" w:rsidRPr="00F35F4D" w:rsidRDefault="008E3F72" w:rsidP="008E3F72">
      <w:pPr>
        <w:pStyle w:val="BodyText"/>
        <w:widowControl/>
        <w:numPr>
          <w:ilvl w:val="1"/>
          <w:numId w:val="16"/>
        </w:numPr>
        <w:tabs>
          <w:tab w:val="left" w:pos="1581"/>
        </w:tabs>
        <w:kinsoku w:val="0"/>
        <w:overflowPunct w:val="0"/>
        <w:spacing w:before="0"/>
        <w:ind w:left="0" w:firstLine="0"/>
        <w:jc w:val="both"/>
        <w:rPr>
          <w:noProof/>
          <w:sz w:val="24"/>
          <w:szCs w:val="24"/>
        </w:rPr>
      </w:pPr>
      <w:r w:rsidRPr="00F35F4D">
        <w:t>1. kategorijas paņēmieni un stratēģijas –</w:t>
      </w:r>
      <w:r w:rsidR="00946FBE" w:rsidRPr="00F35F4D">
        <w:t xml:space="preserve"> </w:t>
      </w:r>
      <w:r w:rsidRPr="00F35F4D">
        <w:rPr>
          <w:noProof/>
          <w:sz w:val="24"/>
        </w:rPr>
        <w:t>tās ir labi izpētītas, tiek uzskatītas par lietderīgām vai potenciāli lietderīgām izmantošanai praksē, un to iedarbīgumu emisijas samazināšanā apstiprina kvantitatīvi dati, kas iegūti vismaz eksperimentāli;</w:t>
      </w:r>
    </w:p>
    <w:p w14:paraId="75C80C3F" w14:textId="556DD4A2" w:rsidR="008E3F72" w:rsidRPr="00F35F4D" w:rsidRDefault="008E3F72" w:rsidP="008E3F72">
      <w:pPr>
        <w:pStyle w:val="BodyText"/>
        <w:widowControl/>
        <w:numPr>
          <w:ilvl w:val="1"/>
          <w:numId w:val="16"/>
        </w:numPr>
        <w:tabs>
          <w:tab w:val="left" w:pos="1581"/>
        </w:tabs>
        <w:kinsoku w:val="0"/>
        <w:overflowPunct w:val="0"/>
        <w:spacing w:before="0"/>
        <w:ind w:left="0" w:firstLine="0"/>
        <w:jc w:val="both"/>
        <w:rPr>
          <w:noProof/>
          <w:sz w:val="24"/>
          <w:szCs w:val="24"/>
        </w:rPr>
      </w:pPr>
      <w:r w:rsidRPr="00F35F4D">
        <w:t>2. kategorijas paņēmieni un stratēģijas –</w:t>
      </w:r>
      <w:r w:rsidR="00946FBE" w:rsidRPr="00F35F4D">
        <w:t xml:space="preserve"> </w:t>
      </w:r>
      <w:r w:rsidRPr="00F35F4D">
        <w:rPr>
          <w:noProof/>
          <w:sz w:val="24"/>
        </w:rPr>
        <w:t xml:space="preserve">tās ir daudzsološas, bet pagaidām vēl nav pilnībā </w:t>
      </w:r>
      <w:r w:rsidR="00F76C46">
        <w:rPr>
          <w:noProof/>
          <w:sz w:val="24"/>
        </w:rPr>
        <w:t>izpētītas vai arī to efektivitāte</w:t>
      </w:r>
      <w:r w:rsidRPr="00F35F4D">
        <w:rPr>
          <w:noProof/>
          <w:sz w:val="24"/>
        </w:rPr>
        <w:t xml:space="preserve"> emisijas samazināšanā ir kopumā grūti izmērāms. Tas nenozīmē, ka šos paņēmienus nevar izmantot kā NH3 samazināšanas stratēģijas daļu atkarībā no vietējiem apstākļiem;</w:t>
      </w:r>
    </w:p>
    <w:p w14:paraId="168AD303" w14:textId="4949E8F0" w:rsidR="008E3F72" w:rsidRPr="008B1FFA" w:rsidRDefault="008E3F72" w:rsidP="008E3F72">
      <w:pPr>
        <w:pStyle w:val="BodyText"/>
        <w:widowControl/>
        <w:numPr>
          <w:ilvl w:val="1"/>
          <w:numId w:val="16"/>
        </w:numPr>
        <w:tabs>
          <w:tab w:val="left" w:pos="1581"/>
        </w:tabs>
        <w:kinsoku w:val="0"/>
        <w:overflowPunct w:val="0"/>
        <w:spacing w:before="0"/>
        <w:ind w:left="0" w:firstLine="0"/>
        <w:jc w:val="both"/>
        <w:rPr>
          <w:noProof/>
          <w:sz w:val="24"/>
          <w:szCs w:val="24"/>
        </w:rPr>
      </w:pPr>
      <w:r w:rsidRPr="00F35F4D">
        <w:t>3. kategorijas paņēmieni un stratēģijas –</w:t>
      </w:r>
      <w:r w:rsidR="00946FBE" w:rsidRPr="00F35F4D">
        <w:t xml:space="preserve"> </w:t>
      </w:r>
      <w:r w:rsidR="00F76C46">
        <w:rPr>
          <w:noProof/>
          <w:sz w:val="24"/>
        </w:rPr>
        <w:t>to efektivitāte</w:t>
      </w:r>
      <w:r w:rsidR="00E42D67">
        <w:rPr>
          <w:noProof/>
          <w:sz w:val="24"/>
        </w:rPr>
        <w:t xml:space="preserve"> vēl nav apstiprināta</w:t>
      </w:r>
      <w:r w:rsidRPr="00F35F4D">
        <w:rPr>
          <w:noProof/>
          <w:sz w:val="24"/>
        </w:rPr>
        <w:t xml:space="preserve"> vai tās, visticamāk, netiks izmantotas praktisku apsvērumu dēļ.</w:t>
      </w:r>
    </w:p>
    <w:p w14:paraId="21DF33FC" w14:textId="77777777" w:rsidR="008B1FFA" w:rsidRPr="00F35F4D" w:rsidRDefault="008B1FFA" w:rsidP="008B1FFA">
      <w:pPr>
        <w:pStyle w:val="BodyText"/>
        <w:widowControl/>
        <w:tabs>
          <w:tab w:val="left" w:pos="1581"/>
        </w:tabs>
        <w:kinsoku w:val="0"/>
        <w:overflowPunct w:val="0"/>
        <w:spacing w:before="0"/>
        <w:ind w:left="0"/>
        <w:jc w:val="both"/>
        <w:rPr>
          <w:noProof/>
          <w:sz w:val="24"/>
          <w:szCs w:val="24"/>
        </w:rPr>
      </w:pPr>
    </w:p>
    <w:p w14:paraId="66CDD2F5" w14:textId="77777777" w:rsidR="008E3F72" w:rsidRPr="008B1FFA" w:rsidRDefault="008E3F72" w:rsidP="008E3F72">
      <w:pPr>
        <w:pStyle w:val="BodyText"/>
        <w:widowControl/>
        <w:numPr>
          <w:ilvl w:val="0"/>
          <w:numId w:val="16"/>
        </w:numPr>
        <w:kinsoku w:val="0"/>
        <w:overflowPunct w:val="0"/>
        <w:spacing w:before="0"/>
        <w:ind w:left="0" w:firstLine="0"/>
        <w:jc w:val="both"/>
        <w:rPr>
          <w:noProof/>
          <w:sz w:val="24"/>
          <w:szCs w:val="24"/>
        </w:rPr>
      </w:pPr>
      <w:r w:rsidRPr="00F35F4D">
        <w:rPr>
          <w:noProof/>
          <w:sz w:val="24"/>
        </w:rPr>
        <w:t xml:space="preserve">Pamatojoties uz esošajiem pētījumiem, 1. kategorijas paņēmienus var uzskatīt par apstiprinātiem veidiem emisijas samazināšanai. Arī 2. un 3. kategorijas paņēmienus var izmantot emisijas samazināšanai. Tomēr Pusēm, kuras tos izmanto, šajā gadījumā jānodrošina neatkarīgs apstiprinājums, lai pierādītu NH3 emisijas samazinājumu, par kuru tās ir ziņojušas. Jāatzīmē, ka klasifikācijā nav ņemtas vērā </w:t>
      </w:r>
      <w:r w:rsidRPr="00F35F4D">
        <w:rPr>
          <w:noProof/>
          <w:sz w:val="24"/>
        </w:rPr>
        <w:lastRenderedPageBreak/>
        <w:t>paņēmienu izmaksas. Informācija par izmaksām ir norādīta, lai atvieglotu lēmumu pieņemšanu par konkrēto paņēmienu izmantošanu.</w:t>
      </w:r>
    </w:p>
    <w:p w14:paraId="0ADA0345" w14:textId="77777777" w:rsidR="008B1FFA" w:rsidRPr="00F35F4D" w:rsidRDefault="008B1FFA" w:rsidP="008B1FFA">
      <w:pPr>
        <w:pStyle w:val="BodyText"/>
        <w:widowControl/>
        <w:kinsoku w:val="0"/>
        <w:overflowPunct w:val="0"/>
        <w:spacing w:before="0"/>
        <w:ind w:left="0"/>
        <w:jc w:val="both"/>
        <w:rPr>
          <w:noProof/>
          <w:sz w:val="24"/>
          <w:szCs w:val="24"/>
        </w:rPr>
      </w:pPr>
    </w:p>
    <w:p w14:paraId="0122FC0A" w14:textId="3523C470" w:rsidR="008E3F72" w:rsidRPr="008B1FFA"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 Atsevišķi norādījumi ir sagatavoti arī Eiropas Savienības (ES) līmenī saskaņā ar Direktīvu par piesārņojuma integrētu novēršanu un kontroli (PINK)</w:t>
      </w:r>
      <w:r w:rsidR="008B1FFA">
        <w:rPr>
          <w:rStyle w:val="FootnoteReference"/>
          <w:noProof/>
          <w:sz w:val="24"/>
        </w:rPr>
        <w:footnoteReference w:id="6"/>
      </w:r>
      <w:r w:rsidRPr="00F35F4D">
        <w:rPr>
          <w:noProof/>
          <w:sz w:val="24"/>
          <w:vertAlign w:val="superscript"/>
        </w:rPr>
        <w:t xml:space="preserve"> </w:t>
      </w:r>
      <w:r w:rsidRPr="00F35F4D">
        <w:rPr>
          <w:noProof/>
          <w:sz w:val="24"/>
        </w:rPr>
        <w:t>(ko 2011. gadā aizstāja Direktīva par rūpnieciskajām emisijām)</w:t>
      </w:r>
      <w:r w:rsidR="008B1FFA">
        <w:rPr>
          <w:rStyle w:val="FootnoteReference"/>
          <w:noProof/>
          <w:sz w:val="24"/>
        </w:rPr>
        <w:footnoteReference w:id="7"/>
      </w:r>
      <w:r w:rsidRPr="00F35F4D">
        <w:rPr>
          <w:noProof/>
          <w:sz w:val="24"/>
        </w:rPr>
        <w:t xml:space="preserve"> dažāda veida piesārņojošas emisijas samazināšanai no lielām cūku un mājputnu fermām. Pašlaik tiek pārskatīts „Atsauces dokuments par labākajiem pieejamiem paņēmieniem mājputnu un cūku intensīvai audzēšanai”</w:t>
      </w:r>
      <w:r w:rsidR="008B1FFA">
        <w:rPr>
          <w:rStyle w:val="FootnoteReference"/>
          <w:noProof/>
          <w:sz w:val="24"/>
        </w:rPr>
        <w:footnoteReference w:id="8"/>
      </w:r>
      <w:r w:rsidRPr="00F35F4D">
        <w:rPr>
          <w:noProof/>
          <w:sz w:val="24"/>
        </w:rPr>
        <w:t>.„ “Pēdējais no minētajiem ES atsauces dokumentiem (LPMAD) par labākajām pieejamām metodēm (LPM) tikai daļēji pārklājas ar šiem metodiskajiem norādījumiem, jo tajā labākās pieejamās metodes ir noteiktas tikai cūku un mājputnu audzēšanas nozarēm un nav noteiktas liellopu, aitu un citu lauksaimniecības dzīvnieku audzēšanai, nedz arī organiskā mēslojuma vai cita mēslošanas līdzekļa izmantošanai zemes mēslošanas vajadzībām. Šajā dokumentā turpretim ir pilnīgāka informācija saimniecībām un saimniekošanas nozarēm, jo tajā ir aplūkota arī tā NH3 emis</w:t>
      </w:r>
      <w:r w:rsidR="00E42D67">
        <w:rPr>
          <w:noProof/>
          <w:sz w:val="24"/>
        </w:rPr>
        <w:t xml:space="preserve">ija, ko rada </w:t>
      </w:r>
      <w:r w:rsidRPr="00F35F4D">
        <w:rPr>
          <w:noProof/>
          <w:sz w:val="24"/>
        </w:rPr>
        <w:t>organisko mēslojumu un cita veida m</w:t>
      </w:r>
      <w:r w:rsidR="00E42D67">
        <w:rPr>
          <w:noProof/>
          <w:sz w:val="24"/>
        </w:rPr>
        <w:t>ēslošanas līdzekļu iestrādāšana augsnē</w:t>
      </w:r>
      <w:r w:rsidRPr="00F35F4D">
        <w:rPr>
          <w:noProof/>
          <w:sz w:val="24"/>
        </w:rPr>
        <w:t>, un emisija no dažādiem citiem avotiem.</w:t>
      </w:r>
    </w:p>
    <w:p w14:paraId="68BC34CC" w14:textId="77777777" w:rsidR="008B1FFA" w:rsidRPr="00F35F4D" w:rsidRDefault="008B1FFA" w:rsidP="008B1FFA">
      <w:pPr>
        <w:pStyle w:val="BodyText"/>
        <w:widowControl/>
        <w:tabs>
          <w:tab w:val="left" w:pos="861"/>
        </w:tabs>
        <w:kinsoku w:val="0"/>
        <w:overflowPunct w:val="0"/>
        <w:spacing w:before="0"/>
        <w:ind w:left="0"/>
        <w:jc w:val="both"/>
        <w:rPr>
          <w:noProof/>
          <w:sz w:val="24"/>
          <w:szCs w:val="24"/>
        </w:rPr>
      </w:pPr>
    </w:p>
    <w:p w14:paraId="362BC8DA" w14:textId="44106E3B" w:rsidR="008E3F72" w:rsidRPr="008B1FFA"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Starp NH3 emisijas samazināšanas iespējām dažādās kūtsmēslu ražošanas un apstrādes stadijās ir savstarpēja atkarība, un kopējā emisijas samazinājuma noteikšanai pasākumus nevar vienkārši summēt. Īpaši svarīgi ir kontrolēt emisiju no zemes mēslošanas ar kūtsmēsliem, jo tai parasti ir nozīmīga vieta kopējā emisijā no lopkopības un zemes mēslošana ir pēdējā kūtsmēslu apstrādes stadija. Nerūpējoties par emisijas samazināšanu šajā posmā, liela daļa no dzīvnieku novietnēs un kūtsmēslu krātuvēs panāktā samazinājuma, kas bieži ir maksājis vairāk, var iet zudumā. Tāpat, ja ir lieli slāpekļa zudumi no kūtīm un krātuvēm, zemes mēslošanas radītās emisijas kontrole dod mazāku labumu kopējās emisijas samazināšanā no saimniecības un pilnīgākā N izmantošanā. Emisiju vistiešāk ietekmē slāpekļa daudzuma samazināšana lauksaimniecības dzīvnieku ekskrementos, un šajā dokumentā šis jautājums ir aplūkots papildus. Šīs savstarpējās saistības dēļ Pusēm būtu pēc iespējas jāizmanto tie modeļi emisijas </w:t>
      </w:r>
      <w:r w:rsidR="00E42D67">
        <w:rPr>
          <w:noProof/>
          <w:sz w:val="24"/>
        </w:rPr>
        <w:t>sa</w:t>
      </w:r>
      <w:r w:rsidRPr="00F35F4D">
        <w:rPr>
          <w:noProof/>
          <w:sz w:val="24"/>
        </w:rPr>
        <w:t>mazināšanas stratēģijas optimizēšanai, kuros tiek kvantitatīvi vērtēta kopējā N plūsma. Tāpēc šajā dokumentā ir iekļauts viss ar saimniecību saistītais konte</w:t>
      </w:r>
      <w:r w:rsidR="00E42D67">
        <w:rPr>
          <w:noProof/>
          <w:sz w:val="24"/>
        </w:rPr>
        <w:t>ksts, tostarp dzīvnieku ēdināšana</w:t>
      </w:r>
      <w:r w:rsidRPr="00F35F4D">
        <w:rPr>
          <w:noProof/>
          <w:sz w:val="24"/>
        </w:rPr>
        <w:t>.</w:t>
      </w:r>
    </w:p>
    <w:p w14:paraId="174261EF" w14:textId="77777777" w:rsidR="008B1FFA" w:rsidRPr="00F35F4D" w:rsidRDefault="008B1FFA" w:rsidP="008B1FFA">
      <w:pPr>
        <w:pStyle w:val="BodyText"/>
        <w:widowControl/>
        <w:tabs>
          <w:tab w:val="left" w:pos="861"/>
        </w:tabs>
        <w:kinsoku w:val="0"/>
        <w:overflowPunct w:val="0"/>
        <w:spacing w:before="0"/>
        <w:ind w:left="0"/>
        <w:jc w:val="both"/>
        <w:rPr>
          <w:noProof/>
          <w:sz w:val="24"/>
          <w:szCs w:val="24"/>
        </w:rPr>
      </w:pPr>
    </w:p>
    <w:p w14:paraId="48C51608" w14:textId="77777777" w:rsidR="008E3F72" w:rsidRPr="008B1FFA"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Daudzi pasākumi var prasīt kapitālieguldījumu un darbības izmaksas (skatīt 1. tabulas a) un b) punktu). Papildus teorētiskajiem aprēķiniem, kam pamatā ir kapitālieguldījumu un darbības izmaksas, kad vien iespējams, jāizmanto faktiskie dati par izmaksām (piemēram, ārpakalpojumu sniedzējiem). Papildus tiešajām izmaksām pēc iespējas jāaprēķina arī labums, ko dod pasākumi. Daudzos gadījumos kopējais labums, ko gūst lauksaimnieks (piemēram, mazāka vajadzība pēc minerālmēslojuma, lielāks agronomiskais elastīgums, mazāka emisija no citiem piesārņotājiem, mazāk sūdzību par nepatīkamu smaku), var atsvērt izmaksas. Šajā dokumentā nav salīdzinātas tīrās izmaksas lauksaimniekam (t. i., izmaksas, no kurām atskaitīti guvumi) ar citiem guvumiem videi (piemēram, labāks gaiss, augstāka ūdens un augsnes kvalitāte, mazāki zudumi bioloģiskās daudzveidības zudumi, stabilāks klimats).</w:t>
      </w:r>
    </w:p>
    <w:p w14:paraId="553BFF6D" w14:textId="77777777" w:rsidR="008B1FFA" w:rsidRDefault="008B1FFA" w:rsidP="008B1FFA">
      <w:pPr>
        <w:pStyle w:val="ListParagraph"/>
        <w:rPr>
          <w:noProof/>
        </w:rPr>
      </w:pPr>
    </w:p>
    <w:p w14:paraId="4BEB171C" w14:textId="77777777"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lastRenderedPageBreak/>
        <w:t>Paņēmienu izmaksas dažādās valstīs ir atšķirīgas. Jāatzīmē, ka apjomradītu ietaupījumu dēļ dažus paņēmienus emisijas samazināšanai var no ekonomiskā viedokļa efektīvāk izmantot lielās saimniecībās nekā mazās saimniecībās. Tas īpaši attiecas uz tiem gadījumiem, kad emisijas samazināšanai ar konkrētu paņēmienu ir vajadzīgi kapitālieguldījumi aprīkojuma iegādei, piemēram, lai samazinātu emisiju no mēslošanai izmantotajiem šķidrajiem kūtsmēsliem. Šādos gadījumos izmaksas par vienību samazinās, palielinoties kūtsmēslu daudzumam. Lielāks izmaksu slogs mazām saimniecībām var būt saistīts arī ar tūlītēju kūtsmēslu iestrādi. Gan šķidro, gan cieto kūtsmēslu iestrādes gadījumā mazās saimniecības bieži vien var ietaupīt, sadalot aprīkojuma izmaksas starp vairākām saimniecībām un piesaistot ārpakalpotājus, kuriem ir piemērots aprīkojums, kas dažreiz ir ražots un konstruēts uz vietas. Šī paša iemesla dēļ izmaksu diapazona augšējo daļu var arī samazināt, galvenokārt pievēršoties emisijas samazināšanai vidējās un lielajās saimniecībās.</w:t>
      </w:r>
    </w:p>
    <w:p w14:paraId="14E25DB9" w14:textId="77777777" w:rsidR="008E3F72" w:rsidRPr="00F35F4D" w:rsidRDefault="008E3F72" w:rsidP="008E3F72">
      <w:pPr>
        <w:pStyle w:val="BodyText"/>
        <w:widowControl/>
        <w:kinsoku w:val="0"/>
        <w:overflowPunct w:val="0"/>
        <w:spacing w:before="0"/>
        <w:ind w:left="0"/>
        <w:jc w:val="both"/>
        <w:rPr>
          <w:noProof/>
          <w:sz w:val="24"/>
          <w:szCs w:val="24"/>
        </w:rPr>
      </w:pPr>
    </w:p>
    <w:p w14:paraId="03596B12" w14:textId="77777777" w:rsidR="00C37AD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Kad vien iespējams, šajā dokumentā uzskaitītie paņēmieni ir skaidri definēti un izvērtēti salīdzinājumā ar „atsauces” situāciju, kurā emisija netiek samazināta. Salīdzinājumam izmantotā atsauces situācija, ko izmanto, lai aprēķinātu procentos izteikto emisijas samazinājumu, ir definēta katras nodaļas sākumā. Lielākoties salīdzinājumam izmanto to praksi vai darbības modeli, kas visbiežāk sastopams komercsaimniecībās EEK reģionā un ko izmanto bāzes emisijas uzskaitei.</w:t>
      </w:r>
    </w:p>
    <w:p w14:paraId="32D81DCF" w14:textId="77777777" w:rsidR="00C37ADD" w:rsidRDefault="00C37ADD" w:rsidP="00C37ADD">
      <w:pPr>
        <w:pStyle w:val="ListParagraph"/>
        <w:rPr>
          <w:noProof/>
        </w:rPr>
      </w:pPr>
    </w:p>
    <w:p w14:paraId="61C65AC9" w14:textId="52493F51" w:rsidR="008E3F72" w:rsidRPr="00C37AD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C37ADD">
        <w:rPr>
          <w:noProof/>
          <w:sz w:val="24"/>
        </w:rPr>
        <w:t>Ieviešot jaunus paņēmienus, bieži vien rodas izmaksas, kas saistītas ar izglītību, veicināšanu un pasākumu uzsākšanu un šeit nav aplūkotas. Pasākumi lielākoties rada arī ievērojamus papildu guvumus, kas izmaksu aprēķinā nav ņemti vērā, bet kopumā uzlabo lauksaimnieku un sabiedrības labklājību. Kā piemēru var minēt nepatīkamās smakas samazināšanu, samazinot emisiju, kas nāk par labu gan sabiedrībai (un pat var uzlabot tūrisma iespējas), gan lauksaimniekiem un viņu ģimenēm. Aprēķinā nav iekļauti arī pastarpinātie ietaupījumi, piemēram, mazāks piesārņojums un enerģijas ietaupījums, samazinot mēslošanas līdzekļu ražošanu, ko iespējams panākt, saglabājot lielāku NH3 daudzumu saimniecībās. Daži pasākumi (piemēram, kūts</w:t>
      </w:r>
      <w:r w:rsidR="00E42D67">
        <w:rPr>
          <w:noProof/>
          <w:sz w:val="24"/>
        </w:rPr>
        <w:t>mēslu inžekcija, pakaišu</w:t>
      </w:r>
      <w:r w:rsidRPr="00C37ADD">
        <w:rPr>
          <w:noProof/>
          <w:sz w:val="24"/>
        </w:rPr>
        <w:t xml:space="preserve"> kūtsmēslu (SK) nosegšana, paskābināšana, izplūdes gaisa attīrīšana) samazina ūdensceļu piesār</w:t>
      </w:r>
      <w:r w:rsidR="00E42D67">
        <w:rPr>
          <w:noProof/>
          <w:sz w:val="24"/>
        </w:rPr>
        <w:t>ņošanas risku ar slāpekli, citiem barības elementiem</w:t>
      </w:r>
      <w:r w:rsidRPr="00C37ADD">
        <w:rPr>
          <w:noProof/>
          <w:sz w:val="24"/>
        </w:rPr>
        <w:t>, patogēnajiem organismiem un citiem piesārņotājiem.</w:t>
      </w:r>
    </w:p>
    <w:p w14:paraId="0F34CB31" w14:textId="77777777" w:rsidR="008E3F72" w:rsidRPr="00F35F4D" w:rsidRDefault="008E3F72" w:rsidP="008E3F72">
      <w:pPr>
        <w:pStyle w:val="BodyText"/>
        <w:widowControl/>
        <w:kinsoku w:val="0"/>
        <w:overflowPunct w:val="0"/>
        <w:spacing w:before="0"/>
        <w:ind w:left="0"/>
        <w:jc w:val="both"/>
        <w:rPr>
          <w:noProof/>
          <w:sz w:val="24"/>
          <w:szCs w:val="24"/>
        </w:rPr>
      </w:pPr>
    </w:p>
    <w:p w14:paraId="7763C661"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1. a tabula</w:t>
      </w:r>
    </w:p>
    <w:p w14:paraId="49BE5E31" w14:textId="15FAF525" w:rsidR="008E3F72" w:rsidRPr="00F35F4D" w:rsidRDefault="008E3F72" w:rsidP="008E3F72">
      <w:pPr>
        <w:pStyle w:val="Heading9"/>
        <w:widowControl/>
        <w:kinsoku w:val="0"/>
        <w:overflowPunct w:val="0"/>
        <w:spacing w:before="0"/>
        <w:ind w:left="0"/>
        <w:jc w:val="both"/>
        <w:rPr>
          <w:b w:val="0"/>
          <w:bCs w:val="0"/>
          <w:noProof/>
          <w:sz w:val="24"/>
          <w:szCs w:val="24"/>
        </w:rPr>
      </w:pPr>
      <w:r w:rsidRPr="00F35F4D">
        <w:rPr>
          <w:noProof/>
          <w:sz w:val="24"/>
        </w:rPr>
        <w:t>Kapitālizmaksas (kapitālieguldījumu izmaksas (</w:t>
      </w:r>
      <w:r w:rsidRPr="00F35F4D">
        <w:rPr>
          <w:i/>
          <w:noProof/>
          <w:sz w:val="24"/>
        </w:rPr>
        <w:t>CAPEX</w:t>
      </w:r>
      <w:r w:rsidRPr="00F35F4D">
        <w:rPr>
          <w:noProof/>
          <w:sz w:val="24"/>
        </w:rPr>
        <w:t>))</w:t>
      </w:r>
      <w:r w:rsidR="004571FA">
        <w:rPr>
          <w:rStyle w:val="FootnoteReference"/>
          <w:noProof/>
          <w:sz w:val="24"/>
        </w:rPr>
        <w:footnoteReference w:id="9"/>
      </w:r>
    </w:p>
    <w:p w14:paraId="27304775" w14:textId="77777777" w:rsidR="008E3F72" w:rsidRPr="00F35F4D" w:rsidRDefault="008E3F72" w:rsidP="008E3F72">
      <w:pPr>
        <w:pStyle w:val="BodyText"/>
        <w:widowControl/>
        <w:kinsoku w:val="0"/>
        <w:overflowPunct w:val="0"/>
        <w:spacing w:before="0"/>
        <w:ind w:left="0"/>
        <w:jc w:val="both"/>
        <w:rPr>
          <w:noProof/>
          <w:sz w:val="24"/>
          <w:szCs w:val="24"/>
        </w:rPr>
      </w:pPr>
    </w:p>
    <w:tbl>
      <w:tblPr>
        <w:tblW w:w="5000" w:type="pct"/>
        <w:tblCellMar>
          <w:left w:w="0" w:type="dxa"/>
          <w:right w:w="0" w:type="dxa"/>
        </w:tblCellMar>
        <w:tblLook w:val="0000" w:firstRow="0" w:lastRow="0" w:firstColumn="0" w:lastColumn="0" w:noHBand="0" w:noVBand="0"/>
      </w:tblPr>
      <w:tblGrid>
        <w:gridCol w:w="2652"/>
        <w:gridCol w:w="5574"/>
      </w:tblGrid>
      <w:tr w:rsidR="008E3F72" w:rsidRPr="004571FA" w14:paraId="025F6603" w14:textId="77777777" w:rsidTr="0010018A">
        <w:tc>
          <w:tcPr>
            <w:tcW w:w="1612" w:type="pct"/>
            <w:tcBorders>
              <w:top w:val="single" w:sz="4" w:space="0" w:color="000000"/>
              <w:left w:val="nil"/>
              <w:bottom w:val="single" w:sz="12" w:space="0" w:color="000000"/>
              <w:right w:val="nil"/>
            </w:tcBorders>
          </w:tcPr>
          <w:p w14:paraId="02321C30" w14:textId="77777777" w:rsidR="008E3F72" w:rsidRPr="004571FA" w:rsidRDefault="008E3F72" w:rsidP="0010018A">
            <w:pPr>
              <w:pStyle w:val="TableParagraph"/>
              <w:widowControl/>
              <w:kinsoku w:val="0"/>
              <w:overflowPunct w:val="0"/>
              <w:jc w:val="both"/>
              <w:rPr>
                <w:i/>
                <w:iCs/>
                <w:noProof/>
                <w:sz w:val="20"/>
              </w:rPr>
            </w:pPr>
            <w:r w:rsidRPr="004571FA">
              <w:rPr>
                <w:i/>
                <w:noProof/>
                <w:sz w:val="20"/>
              </w:rPr>
              <w:t>Apsvērumi</w:t>
            </w:r>
          </w:p>
        </w:tc>
        <w:tc>
          <w:tcPr>
            <w:tcW w:w="3388" w:type="pct"/>
            <w:tcBorders>
              <w:top w:val="single" w:sz="4" w:space="0" w:color="000000"/>
              <w:left w:val="nil"/>
              <w:bottom w:val="single" w:sz="12" w:space="0" w:color="000000"/>
              <w:right w:val="nil"/>
            </w:tcBorders>
          </w:tcPr>
          <w:p w14:paraId="57701841" w14:textId="77777777" w:rsidR="008E3F72" w:rsidRPr="004571FA" w:rsidRDefault="008E3F72" w:rsidP="0010018A">
            <w:pPr>
              <w:pStyle w:val="TableParagraph"/>
              <w:widowControl/>
              <w:kinsoku w:val="0"/>
              <w:overflowPunct w:val="0"/>
              <w:jc w:val="both"/>
              <w:rPr>
                <w:i/>
                <w:iCs/>
                <w:noProof/>
                <w:sz w:val="20"/>
              </w:rPr>
            </w:pPr>
            <w:r w:rsidRPr="004571FA">
              <w:rPr>
                <w:i/>
                <w:noProof/>
                <w:sz w:val="20"/>
              </w:rPr>
              <w:t>Piezīmes</w:t>
            </w:r>
          </w:p>
        </w:tc>
      </w:tr>
      <w:tr w:rsidR="008E3F72" w:rsidRPr="004571FA" w14:paraId="63E3C955" w14:textId="77777777" w:rsidTr="0010018A">
        <w:tc>
          <w:tcPr>
            <w:tcW w:w="1612" w:type="pct"/>
            <w:tcBorders>
              <w:top w:val="single" w:sz="12" w:space="0" w:color="000000"/>
              <w:left w:val="nil"/>
              <w:bottom w:val="nil"/>
              <w:right w:val="nil"/>
            </w:tcBorders>
          </w:tcPr>
          <w:p w14:paraId="20D936E4" w14:textId="77777777" w:rsidR="008E3F72" w:rsidRPr="004571FA" w:rsidRDefault="008E3F72" w:rsidP="0010018A">
            <w:pPr>
              <w:pStyle w:val="TableParagraph"/>
              <w:widowControl/>
              <w:kinsoku w:val="0"/>
              <w:overflowPunct w:val="0"/>
              <w:jc w:val="both"/>
              <w:rPr>
                <w:noProof/>
                <w:sz w:val="20"/>
              </w:rPr>
            </w:pPr>
            <w:r w:rsidRPr="004571FA">
              <w:rPr>
                <w:sz w:val="20"/>
              </w:rPr>
              <w:t>Kapitālieguldījumu izmaksas par būvēm un tehniku</w:t>
            </w:r>
          </w:p>
        </w:tc>
        <w:tc>
          <w:tcPr>
            <w:tcW w:w="3388" w:type="pct"/>
            <w:tcBorders>
              <w:top w:val="single" w:sz="12" w:space="0" w:color="000000"/>
              <w:left w:val="nil"/>
              <w:bottom w:val="nil"/>
              <w:right w:val="nil"/>
            </w:tcBorders>
          </w:tcPr>
          <w:p w14:paraId="481B8C57" w14:textId="77777777" w:rsidR="008E3F72" w:rsidRPr="004571FA" w:rsidRDefault="008E3F72" w:rsidP="0010018A">
            <w:pPr>
              <w:pStyle w:val="TableParagraph"/>
              <w:widowControl/>
              <w:kinsoku w:val="0"/>
              <w:overflowPunct w:val="0"/>
              <w:jc w:val="both"/>
              <w:rPr>
                <w:noProof/>
                <w:sz w:val="20"/>
              </w:rPr>
            </w:pPr>
            <w:r w:rsidRPr="004571FA">
              <w:rPr>
                <w:sz w:val="20"/>
              </w:rPr>
              <w:t>Būves iekļauj ēkas, aprīkojumu, pārbūvētas ēkas, barības krātuves vai kūtsmēslu krātuvju pārsegus Tehnika iekļauj gliemežtransportierus lopbarības sadalīšanai, lauka tehniku zemes mēslošanai un aprīkojumu kūtsmēslu apstrādei utt.</w:t>
            </w:r>
          </w:p>
        </w:tc>
      </w:tr>
      <w:tr w:rsidR="008E3F72" w:rsidRPr="004571FA" w14:paraId="0D806398" w14:textId="77777777" w:rsidTr="0010018A">
        <w:tc>
          <w:tcPr>
            <w:tcW w:w="1612" w:type="pct"/>
            <w:tcBorders>
              <w:top w:val="nil"/>
              <w:left w:val="nil"/>
              <w:bottom w:val="nil"/>
              <w:right w:val="nil"/>
            </w:tcBorders>
          </w:tcPr>
          <w:p w14:paraId="34AFB904" w14:textId="77777777" w:rsidR="008E3F72" w:rsidRPr="004571FA" w:rsidRDefault="008E3F72" w:rsidP="0010018A">
            <w:pPr>
              <w:pStyle w:val="TableParagraph"/>
              <w:widowControl/>
              <w:kinsoku w:val="0"/>
              <w:overflowPunct w:val="0"/>
              <w:jc w:val="both"/>
              <w:rPr>
                <w:noProof/>
                <w:sz w:val="20"/>
              </w:rPr>
            </w:pPr>
            <w:r w:rsidRPr="004571FA">
              <w:rPr>
                <w:sz w:val="20"/>
              </w:rPr>
              <w:t>Darbaspēka izdevumi par aprīkojuma uzstādīšanu</w:t>
            </w:r>
          </w:p>
        </w:tc>
        <w:tc>
          <w:tcPr>
            <w:tcW w:w="3388" w:type="pct"/>
            <w:tcBorders>
              <w:top w:val="nil"/>
              <w:left w:val="nil"/>
              <w:bottom w:val="nil"/>
              <w:right w:val="nil"/>
            </w:tcBorders>
          </w:tcPr>
          <w:p w14:paraId="5459A0F3" w14:textId="77777777" w:rsidR="008E3F72" w:rsidRPr="004571FA" w:rsidRDefault="008E3F72" w:rsidP="0010018A">
            <w:pPr>
              <w:pStyle w:val="TableParagraph"/>
              <w:widowControl/>
              <w:kinsoku w:val="0"/>
              <w:overflowPunct w:val="0"/>
              <w:jc w:val="both"/>
              <w:rPr>
                <w:noProof/>
                <w:sz w:val="20"/>
              </w:rPr>
            </w:pPr>
            <w:r w:rsidRPr="004571FA">
              <w:rPr>
                <w:sz w:val="20"/>
              </w:rPr>
              <w:t>Norāda līgumā norādīto maksu, ja tā atspoguļo reālās izmaksas. Ja pārbūvi parasti veic ar saimniecībā strādājošo spēkiem, norāda darbinieku izmaksas pēc parastā stundas tarifa. Lauksaimnieka ieguldījums vērtējams kā alternatīvās izmaksas.</w:t>
            </w:r>
          </w:p>
        </w:tc>
      </w:tr>
      <w:tr w:rsidR="008E3F72" w:rsidRPr="004571FA" w14:paraId="3D8A6EC4" w14:textId="77777777" w:rsidTr="0010018A">
        <w:tc>
          <w:tcPr>
            <w:tcW w:w="1612" w:type="pct"/>
            <w:tcBorders>
              <w:top w:val="nil"/>
              <w:left w:val="nil"/>
              <w:bottom w:val="single" w:sz="12" w:space="0" w:color="000000"/>
              <w:right w:val="nil"/>
            </w:tcBorders>
          </w:tcPr>
          <w:p w14:paraId="1179857B" w14:textId="77777777" w:rsidR="008E3F72" w:rsidRPr="004571FA" w:rsidRDefault="008E3F72" w:rsidP="0010018A">
            <w:pPr>
              <w:pStyle w:val="TableParagraph"/>
              <w:widowControl/>
              <w:kinsoku w:val="0"/>
              <w:overflowPunct w:val="0"/>
              <w:jc w:val="both"/>
              <w:rPr>
                <w:noProof/>
                <w:sz w:val="20"/>
              </w:rPr>
            </w:pPr>
            <w:r w:rsidRPr="004571FA">
              <w:rPr>
                <w:sz w:val="20"/>
              </w:rPr>
              <w:t>Subsīdijas</w:t>
            </w:r>
          </w:p>
        </w:tc>
        <w:tc>
          <w:tcPr>
            <w:tcW w:w="3388" w:type="pct"/>
            <w:tcBorders>
              <w:top w:val="nil"/>
              <w:left w:val="nil"/>
              <w:bottom w:val="single" w:sz="12" w:space="0" w:color="000000"/>
              <w:right w:val="nil"/>
            </w:tcBorders>
          </w:tcPr>
          <w:p w14:paraId="7E026931" w14:textId="77777777" w:rsidR="008E3F72" w:rsidRPr="004571FA" w:rsidRDefault="008E3F72" w:rsidP="0010018A">
            <w:pPr>
              <w:pStyle w:val="TableParagraph"/>
              <w:widowControl/>
              <w:kinsoku w:val="0"/>
              <w:overflowPunct w:val="0"/>
              <w:jc w:val="both"/>
              <w:rPr>
                <w:noProof/>
                <w:sz w:val="20"/>
              </w:rPr>
            </w:pPr>
            <w:r w:rsidRPr="004571FA">
              <w:rPr>
                <w:sz w:val="20"/>
              </w:rPr>
              <w:t>Izdevumus samazina par subsīdijām, kas pieejamas lauksaimniekiem kapitālieguldījumu izmaksu segšanai.</w:t>
            </w:r>
          </w:p>
        </w:tc>
      </w:tr>
    </w:tbl>
    <w:p w14:paraId="103A1260" w14:textId="77777777" w:rsidR="008E3F72" w:rsidRPr="00F35F4D" w:rsidRDefault="008E3F72" w:rsidP="008E3F72">
      <w:pPr>
        <w:pStyle w:val="BodyText"/>
        <w:widowControl/>
        <w:kinsoku w:val="0"/>
        <w:overflowPunct w:val="0"/>
        <w:spacing w:before="0"/>
        <w:ind w:left="0"/>
        <w:jc w:val="both"/>
        <w:rPr>
          <w:noProof/>
          <w:sz w:val="24"/>
          <w:szCs w:val="24"/>
        </w:rPr>
      </w:pPr>
    </w:p>
    <w:p w14:paraId="1EDFAF57" w14:textId="77777777" w:rsidR="008E3F72" w:rsidRPr="00F35F4D" w:rsidRDefault="008E3F72" w:rsidP="009322D1">
      <w:pPr>
        <w:pStyle w:val="BodyText"/>
        <w:keepNext/>
        <w:widowControl/>
        <w:kinsoku w:val="0"/>
        <w:overflowPunct w:val="0"/>
        <w:spacing w:before="0"/>
        <w:ind w:left="0"/>
        <w:jc w:val="both"/>
        <w:rPr>
          <w:noProof/>
          <w:sz w:val="24"/>
          <w:szCs w:val="24"/>
        </w:rPr>
      </w:pPr>
      <w:r w:rsidRPr="00F35F4D">
        <w:rPr>
          <w:noProof/>
          <w:sz w:val="24"/>
        </w:rPr>
        <w:lastRenderedPageBreak/>
        <w:t>1. b tabula</w:t>
      </w:r>
    </w:p>
    <w:p w14:paraId="06565481" w14:textId="77777777" w:rsidR="008E3F72" w:rsidRPr="00F35F4D" w:rsidRDefault="008E3F72" w:rsidP="009322D1">
      <w:pPr>
        <w:pStyle w:val="Heading9"/>
        <w:keepNext/>
        <w:widowControl/>
        <w:kinsoku w:val="0"/>
        <w:overflowPunct w:val="0"/>
        <w:spacing w:before="0"/>
        <w:ind w:left="0"/>
        <w:jc w:val="both"/>
        <w:rPr>
          <w:noProof/>
          <w:sz w:val="24"/>
          <w:szCs w:val="24"/>
        </w:rPr>
      </w:pPr>
      <w:r w:rsidRPr="00F35F4D">
        <w:rPr>
          <w:noProof/>
          <w:sz w:val="24"/>
        </w:rPr>
        <w:t>Izmaksas gadā (darbības izdevumi (</w:t>
      </w:r>
      <w:r w:rsidRPr="00F35F4D">
        <w:rPr>
          <w:i/>
          <w:noProof/>
          <w:sz w:val="24"/>
        </w:rPr>
        <w:t>OPEX</w:t>
      </w:r>
      <w:r w:rsidRPr="00F35F4D">
        <w:rPr>
          <w:noProof/>
          <w:sz w:val="24"/>
        </w:rPr>
        <w:t>)) – izmaksas gadā saistībā ar paņēmiena ieviešanu</w:t>
      </w:r>
    </w:p>
    <w:p w14:paraId="38F49FAC"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2590"/>
        <w:gridCol w:w="5636"/>
      </w:tblGrid>
      <w:tr w:rsidR="008E3F72" w:rsidRPr="004571FA" w14:paraId="1335C59E" w14:textId="77777777" w:rsidTr="0010018A">
        <w:tc>
          <w:tcPr>
            <w:tcW w:w="1574" w:type="pct"/>
            <w:tcBorders>
              <w:top w:val="single" w:sz="4" w:space="0" w:color="000000"/>
              <w:left w:val="nil"/>
              <w:bottom w:val="single" w:sz="12" w:space="0" w:color="000000"/>
              <w:right w:val="nil"/>
            </w:tcBorders>
          </w:tcPr>
          <w:p w14:paraId="1B9E55EA" w14:textId="77777777" w:rsidR="008E3F72" w:rsidRPr="004571FA" w:rsidRDefault="008E3F72" w:rsidP="0010018A">
            <w:pPr>
              <w:pStyle w:val="TableParagraph"/>
              <w:widowControl/>
              <w:kinsoku w:val="0"/>
              <w:overflowPunct w:val="0"/>
              <w:jc w:val="both"/>
              <w:rPr>
                <w:i/>
                <w:iCs/>
                <w:noProof/>
                <w:sz w:val="20"/>
              </w:rPr>
            </w:pPr>
            <w:r w:rsidRPr="004571FA">
              <w:rPr>
                <w:i/>
                <w:noProof/>
                <w:sz w:val="20"/>
              </w:rPr>
              <w:t>Apsvērumi</w:t>
            </w:r>
          </w:p>
        </w:tc>
        <w:tc>
          <w:tcPr>
            <w:tcW w:w="3426" w:type="pct"/>
            <w:tcBorders>
              <w:top w:val="single" w:sz="4" w:space="0" w:color="000000"/>
              <w:left w:val="nil"/>
              <w:bottom w:val="single" w:sz="12" w:space="0" w:color="000000"/>
              <w:right w:val="nil"/>
            </w:tcBorders>
          </w:tcPr>
          <w:p w14:paraId="2452AFFA" w14:textId="77777777" w:rsidR="008E3F72" w:rsidRPr="004571FA" w:rsidRDefault="008E3F72" w:rsidP="0010018A">
            <w:pPr>
              <w:pStyle w:val="TableParagraph"/>
              <w:widowControl/>
              <w:kinsoku w:val="0"/>
              <w:overflowPunct w:val="0"/>
              <w:jc w:val="both"/>
              <w:rPr>
                <w:i/>
                <w:iCs/>
                <w:noProof/>
                <w:sz w:val="20"/>
              </w:rPr>
            </w:pPr>
            <w:r w:rsidRPr="004571FA">
              <w:rPr>
                <w:i/>
                <w:noProof/>
                <w:sz w:val="20"/>
              </w:rPr>
              <w:t>Piezīmes</w:t>
            </w:r>
          </w:p>
        </w:tc>
      </w:tr>
      <w:tr w:rsidR="008E3F72" w:rsidRPr="004571FA" w14:paraId="35D81498" w14:textId="77777777" w:rsidTr="0010018A">
        <w:tc>
          <w:tcPr>
            <w:tcW w:w="1574" w:type="pct"/>
            <w:tcBorders>
              <w:top w:val="single" w:sz="12" w:space="0" w:color="000000"/>
              <w:left w:val="nil"/>
              <w:bottom w:val="nil"/>
              <w:right w:val="nil"/>
            </w:tcBorders>
          </w:tcPr>
          <w:p w14:paraId="10EAEFEE" w14:textId="77777777" w:rsidR="008E3F72" w:rsidRPr="004571FA" w:rsidRDefault="008E3F72" w:rsidP="0010018A">
            <w:pPr>
              <w:pStyle w:val="TableParagraph"/>
              <w:widowControl/>
              <w:kinsoku w:val="0"/>
              <w:overflowPunct w:val="0"/>
              <w:jc w:val="both"/>
              <w:rPr>
                <w:noProof/>
                <w:sz w:val="20"/>
              </w:rPr>
            </w:pPr>
            <w:r w:rsidRPr="004571FA">
              <w:rPr>
                <w:sz w:val="20"/>
              </w:rPr>
              <w:t>Kapitālieguldījumu izmaksas gadā aprēķina par pilnu ieguldījumu ciklu.</w:t>
            </w:r>
          </w:p>
        </w:tc>
        <w:tc>
          <w:tcPr>
            <w:tcW w:w="3426" w:type="pct"/>
            <w:tcBorders>
              <w:top w:val="single" w:sz="12" w:space="0" w:color="000000"/>
              <w:left w:val="nil"/>
              <w:bottom w:val="nil"/>
              <w:right w:val="nil"/>
            </w:tcBorders>
          </w:tcPr>
          <w:p w14:paraId="20033369" w14:textId="77777777" w:rsidR="008E3F72" w:rsidRPr="004571FA" w:rsidRDefault="008E3F72" w:rsidP="0010018A">
            <w:pPr>
              <w:pStyle w:val="TableParagraph"/>
              <w:widowControl/>
              <w:kinsoku w:val="0"/>
              <w:overflowPunct w:val="0"/>
              <w:jc w:val="both"/>
              <w:rPr>
                <w:noProof/>
                <w:sz w:val="20"/>
              </w:rPr>
            </w:pPr>
            <w:r w:rsidRPr="004571FA">
              <w:rPr>
                <w:sz w:val="20"/>
              </w:rPr>
              <w:t>Izmanto standarta formulu. Laiku nosaka atkarībā no ekspluatācijas laika. Pārbūves gadījumā ņem vērā sākotnējā objekta atlikušo kalpošanas ilgumu.</w:t>
            </w:r>
          </w:p>
        </w:tc>
      </w:tr>
      <w:tr w:rsidR="008E3F72" w:rsidRPr="004571FA" w14:paraId="7C5B95CF" w14:textId="77777777" w:rsidTr="0010018A">
        <w:tc>
          <w:tcPr>
            <w:tcW w:w="1574" w:type="pct"/>
            <w:tcBorders>
              <w:top w:val="nil"/>
              <w:left w:val="nil"/>
              <w:bottom w:val="nil"/>
              <w:right w:val="nil"/>
            </w:tcBorders>
          </w:tcPr>
          <w:p w14:paraId="3D9ACFB4" w14:textId="77777777" w:rsidR="008E3F72" w:rsidRPr="004571FA" w:rsidRDefault="008E3F72" w:rsidP="0010018A">
            <w:pPr>
              <w:pStyle w:val="TableParagraph"/>
              <w:widowControl/>
              <w:kinsoku w:val="0"/>
              <w:overflowPunct w:val="0"/>
              <w:jc w:val="both"/>
              <w:rPr>
                <w:noProof/>
                <w:sz w:val="20"/>
              </w:rPr>
            </w:pPr>
            <w:r w:rsidRPr="004571FA">
              <w:rPr>
                <w:sz w:val="20"/>
              </w:rPr>
              <w:t>Aprēķina remontdarbu izmaksas, kam vajadzīgi kapitālieguldījumi</w:t>
            </w:r>
          </w:p>
        </w:tc>
        <w:tc>
          <w:tcPr>
            <w:tcW w:w="3426" w:type="pct"/>
            <w:tcBorders>
              <w:top w:val="nil"/>
              <w:left w:val="nil"/>
              <w:bottom w:val="nil"/>
              <w:right w:val="nil"/>
            </w:tcBorders>
          </w:tcPr>
          <w:p w14:paraId="771F06FA" w14:textId="77777777" w:rsidR="008E3F72" w:rsidRPr="004571FA" w:rsidRDefault="008E3F72" w:rsidP="0010018A">
            <w:pPr>
              <w:pStyle w:val="TableParagraph"/>
              <w:widowControl/>
              <w:kinsoku w:val="0"/>
              <w:overflowPunct w:val="0"/>
              <w:jc w:val="both"/>
              <w:rPr>
                <w:noProof/>
                <w:sz w:val="20"/>
              </w:rPr>
            </w:pPr>
            <w:r w:rsidRPr="004571FA">
              <w:rPr>
                <w:sz w:val="20"/>
              </w:rPr>
              <w:t>Noteikts procents no kapitālieguldījumu izmaksām.</w:t>
            </w:r>
          </w:p>
        </w:tc>
      </w:tr>
      <w:tr w:rsidR="008E3F72" w:rsidRPr="004571FA" w14:paraId="0B556B6E" w14:textId="77777777" w:rsidTr="0010018A">
        <w:tc>
          <w:tcPr>
            <w:tcW w:w="1574" w:type="pct"/>
            <w:tcBorders>
              <w:top w:val="nil"/>
              <w:left w:val="nil"/>
              <w:bottom w:val="nil"/>
              <w:right w:val="nil"/>
            </w:tcBorders>
          </w:tcPr>
          <w:p w14:paraId="608F231A" w14:textId="77777777" w:rsidR="008E3F72" w:rsidRPr="004571FA" w:rsidRDefault="008E3F72" w:rsidP="0010018A">
            <w:pPr>
              <w:pStyle w:val="TableParagraph"/>
              <w:widowControl/>
              <w:kinsoku w:val="0"/>
              <w:overflowPunct w:val="0"/>
              <w:jc w:val="both"/>
              <w:rPr>
                <w:noProof/>
                <w:sz w:val="20"/>
              </w:rPr>
            </w:pPr>
            <w:r w:rsidRPr="004571FA">
              <w:rPr>
                <w:sz w:val="20"/>
              </w:rPr>
              <w:t>Izmaiņas darbaspēka izmaksās</w:t>
            </w:r>
          </w:p>
        </w:tc>
        <w:tc>
          <w:tcPr>
            <w:tcW w:w="3426" w:type="pct"/>
            <w:tcBorders>
              <w:top w:val="nil"/>
              <w:left w:val="nil"/>
              <w:bottom w:val="nil"/>
              <w:right w:val="nil"/>
            </w:tcBorders>
          </w:tcPr>
          <w:p w14:paraId="6E4294DA" w14:textId="77777777" w:rsidR="008E3F72" w:rsidRPr="004571FA" w:rsidRDefault="008E3F72" w:rsidP="0010018A">
            <w:pPr>
              <w:pStyle w:val="TableParagraph"/>
              <w:widowControl/>
              <w:kinsoku w:val="0"/>
              <w:overflowPunct w:val="0"/>
              <w:jc w:val="both"/>
              <w:rPr>
                <w:noProof/>
                <w:sz w:val="20"/>
              </w:rPr>
            </w:pPr>
            <w:r w:rsidRPr="004571FA">
              <w:rPr>
                <w:sz w:val="20"/>
              </w:rPr>
              <w:t>Papildu stundas par stundas maksu x.</w:t>
            </w:r>
          </w:p>
        </w:tc>
      </w:tr>
      <w:tr w:rsidR="008E3F72" w:rsidRPr="004571FA" w14:paraId="14B251A1" w14:textId="77777777" w:rsidTr="0010018A">
        <w:tc>
          <w:tcPr>
            <w:tcW w:w="1574" w:type="pct"/>
            <w:tcBorders>
              <w:top w:val="nil"/>
              <w:left w:val="nil"/>
              <w:bottom w:val="nil"/>
              <w:right w:val="nil"/>
            </w:tcBorders>
          </w:tcPr>
          <w:p w14:paraId="670714BB" w14:textId="77777777" w:rsidR="008E3F72" w:rsidRPr="004571FA" w:rsidRDefault="008E3F72" w:rsidP="0010018A">
            <w:pPr>
              <w:pStyle w:val="TableParagraph"/>
              <w:widowControl/>
              <w:kinsoku w:val="0"/>
              <w:overflowPunct w:val="0"/>
              <w:jc w:val="both"/>
              <w:rPr>
                <w:noProof/>
                <w:sz w:val="20"/>
              </w:rPr>
            </w:pPr>
            <w:r w:rsidRPr="004571FA">
              <w:rPr>
                <w:sz w:val="20"/>
              </w:rPr>
              <w:t>Degvielas un energoresursu izmaksas</w:t>
            </w:r>
          </w:p>
        </w:tc>
        <w:tc>
          <w:tcPr>
            <w:tcW w:w="3426" w:type="pct"/>
            <w:tcBorders>
              <w:top w:val="nil"/>
              <w:left w:val="nil"/>
              <w:bottom w:val="nil"/>
              <w:right w:val="nil"/>
            </w:tcBorders>
          </w:tcPr>
          <w:p w14:paraId="15B32580" w14:textId="77777777" w:rsidR="008E3F72" w:rsidRPr="004571FA" w:rsidRDefault="008E3F72" w:rsidP="0010018A">
            <w:pPr>
              <w:pStyle w:val="TableParagraph"/>
              <w:widowControl/>
              <w:kinsoku w:val="0"/>
              <w:overflowPunct w:val="0"/>
              <w:jc w:val="both"/>
              <w:rPr>
                <w:noProof/>
                <w:sz w:val="20"/>
              </w:rPr>
            </w:pPr>
            <w:r w:rsidRPr="004571FA">
              <w:rPr>
                <w:sz w:val="20"/>
              </w:rPr>
              <w:t>Var nākties ņemt vērā papildu vajadzības pēc energoresursiem.</w:t>
            </w:r>
          </w:p>
        </w:tc>
      </w:tr>
      <w:tr w:rsidR="008E3F72" w:rsidRPr="004571FA" w14:paraId="6F2C86D5" w14:textId="77777777" w:rsidTr="0010018A">
        <w:tc>
          <w:tcPr>
            <w:tcW w:w="1574" w:type="pct"/>
            <w:tcBorders>
              <w:top w:val="nil"/>
              <w:left w:val="nil"/>
              <w:bottom w:val="nil"/>
              <w:right w:val="nil"/>
            </w:tcBorders>
          </w:tcPr>
          <w:p w14:paraId="17F254D3" w14:textId="77777777" w:rsidR="008E3F72" w:rsidRPr="004571FA" w:rsidRDefault="008E3F72" w:rsidP="0010018A">
            <w:pPr>
              <w:pStyle w:val="TableParagraph"/>
              <w:widowControl/>
              <w:kinsoku w:val="0"/>
              <w:overflowPunct w:val="0"/>
              <w:jc w:val="both"/>
              <w:rPr>
                <w:noProof/>
                <w:sz w:val="20"/>
              </w:rPr>
            </w:pPr>
            <w:r w:rsidRPr="004571FA">
              <w:rPr>
                <w:sz w:val="20"/>
              </w:rPr>
              <w:t>Izmaiņas lauksaimniecības dzīvnieku produktivitātē</w:t>
            </w:r>
          </w:p>
        </w:tc>
        <w:tc>
          <w:tcPr>
            <w:tcW w:w="3426" w:type="pct"/>
            <w:tcBorders>
              <w:top w:val="nil"/>
              <w:left w:val="nil"/>
              <w:bottom w:val="nil"/>
              <w:right w:val="nil"/>
            </w:tcBorders>
          </w:tcPr>
          <w:p w14:paraId="46ACD322" w14:textId="77777777" w:rsidR="008E3F72" w:rsidRPr="004571FA" w:rsidRDefault="008E3F72" w:rsidP="0010018A">
            <w:pPr>
              <w:pStyle w:val="TableParagraph"/>
              <w:widowControl/>
              <w:kinsoku w:val="0"/>
              <w:overflowPunct w:val="0"/>
              <w:jc w:val="both"/>
              <w:rPr>
                <w:noProof/>
                <w:sz w:val="20"/>
              </w:rPr>
            </w:pPr>
            <w:r w:rsidRPr="004571FA">
              <w:rPr>
                <w:sz w:val="20"/>
              </w:rPr>
              <w:t>Izmaiņas dzīvnieku barībā un novietnēs var ietekmēt produktivitāti un atspoguļoties izmaksās.</w:t>
            </w:r>
          </w:p>
        </w:tc>
      </w:tr>
      <w:tr w:rsidR="008E3F72" w:rsidRPr="004571FA" w14:paraId="42586330" w14:textId="77777777" w:rsidTr="0010018A">
        <w:tc>
          <w:tcPr>
            <w:tcW w:w="1574" w:type="pct"/>
            <w:tcBorders>
              <w:top w:val="nil"/>
              <w:left w:val="nil"/>
              <w:bottom w:val="single" w:sz="12" w:space="0" w:color="000000"/>
              <w:right w:val="nil"/>
            </w:tcBorders>
          </w:tcPr>
          <w:p w14:paraId="1A3D7E29" w14:textId="77777777" w:rsidR="008E3F72" w:rsidRPr="004571FA" w:rsidRDefault="008E3F72" w:rsidP="0010018A">
            <w:pPr>
              <w:pStyle w:val="TableParagraph"/>
              <w:widowControl/>
              <w:kinsoku w:val="0"/>
              <w:overflowPunct w:val="0"/>
              <w:jc w:val="both"/>
              <w:rPr>
                <w:noProof/>
                <w:sz w:val="20"/>
              </w:rPr>
            </w:pPr>
            <w:r w:rsidRPr="004571FA">
              <w:rPr>
                <w:sz w:val="20"/>
              </w:rPr>
              <w:t>Izmaksu ietaupījums un guvumi ražošanai</w:t>
            </w:r>
          </w:p>
        </w:tc>
        <w:tc>
          <w:tcPr>
            <w:tcW w:w="3426" w:type="pct"/>
            <w:tcBorders>
              <w:top w:val="nil"/>
              <w:left w:val="nil"/>
              <w:bottom w:val="single" w:sz="12" w:space="0" w:color="000000"/>
              <w:right w:val="nil"/>
            </w:tcBorders>
          </w:tcPr>
          <w:p w14:paraId="441DAA36" w14:textId="77777777" w:rsidR="008E3F72" w:rsidRPr="004571FA" w:rsidRDefault="008E3F72" w:rsidP="0010018A">
            <w:pPr>
              <w:pStyle w:val="TableParagraph"/>
              <w:widowControl/>
              <w:kinsoku w:val="0"/>
              <w:overflowPunct w:val="0"/>
              <w:jc w:val="both"/>
              <w:rPr>
                <w:noProof/>
                <w:sz w:val="20"/>
              </w:rPr>
            </w:pPr>
            <w:r w:rsidRPr="004571FA">
              <w:rPr>
                <w:sz w:val="20"/>
              </w:rPr>
              <w:t>Paņēmienu ieviešana bieži vien ļauj lauksaimniekam samazināt izmaksas. Izmaksu samazinājumu, cik vien iespējams, novērtē kvantitatīvi.</w:t>
            </w:r>
          </w:p>
          <w:p w14:paraId="41179FC0" w14:textId="77777777" w:rsidR="008E3F72" w:rsidRPr="004571FA" w:rsidRDefault="008E3F72" w:rsidP="0010018A">
            <w:pPr>
              <w:pStyle w:val="TableParagraph"/>
              <w:widowControl/>
              <w:kinsoku w:val="0"/>
              <w:overflowPunct w:val="0"/>
              <w:jc w:val="both"/>
              <w:rPr>
                <w:noProof/>
                <w:sz w:val="20"/>
              </w:rPr>
            </w:pPr>
            <w:r w:rsidRPr="004571FA">
              <w:rPr>
                <w:sz w:val="20"/>
              </w:rPr>
              <w:t>Nosakot izmaksu ietaupījumu, īpašu uzmanību pievērš sodiem par piesārņošanu, kas citkārt būtu jāmaksā.</w:t>
            </w:r>
          </w:p>
        </w:tc>
      </w:tr>
    </w:tbl>
    <w:p w14:paraId="53E20B7E" w14:textId="77777777" w:rsidR="008E3F72" w:rsidRPr="00F35F4D" w:rsidRDefault="008E3F72" w:rsidP="008E3F72">
      <w:pPr>
        <w:pStyle w:val="BodyText"/>
        <w:widowControl/>
        <w:kinsoku w:val="0"/>
        <w:overflowPunct w:val="0"/>
        <w:spacing w:before="0"/>
        <w:ind w:left="0"/>
        <w:jc w:val="both"/>
        <w:rPr>
          <w:b/>
          <w:bCs/>
          <w:noProof/>
          <w:sz w:val="24"/>
          <w:szCs w:val="24"/>
        </w:rPr>
      </w:pPr>
    </w:p>
    <w:p w14:paraId="21DFBF8F" w14:textId="6A2AB0BD" w:rsidR="00C43847" w:rsidRDefault="00C43847">
      <w:pPr>
        <w:widowControl/>
        <w:autoSpaceDE/>
        <w:autoSpaceDN/>
        <w:adjustRightInd/>
        <w:spacing w:after="160" w:line="259" w:lineRule="auto"/>
        <w:rPr>
          <w:noProof/>
        </w:rPr>
      </w:pPr>
      <w:r>
        <w:rPr>
          <w:noProof/>
        </w:rPr>
        <w:br w:type="page"/>
      </w:r>
    </w:p>
    <w:p w14:paraId="02CB4497" w14:textId="77777777" w:rsidR="008E3F72" w:rsidRDefault="008E3F72" w:rsidP="008E3F72">
      <w:pPr>
        <w:pStyle w:val="BodyText"/>
        <w:widowControl/>
        <w:kinsoku w:val="0"/>
        <w:overflowPunct w:val="0"/>
        <w:spacing w:before="0"/>
        <w:ind w:left="0"/>
        <w:jc w:val="both"/>
        <w:rPr>
          <w:noProof/>
          <w:sz w:val="24"/>
          <w:szCs w:val="24"/>
        </w:rPr>
      </w:pPr>
    </w:p>
    <w:p w14:paraId="4B1306FB" w14:textId="077A26F6" w:rsidR="00C43847" w:rsidRPr="00C43847" w:rsidRDefault="00C43847" w:rsidP="00C43847">
      <w:pPr>
        <w:pStyle w:val="BodyText"/>
        <w:widowControl/>
        <w:kinsoku w:val="0"/>
        <w:overflowPunct w:val="0"/>
        <w:spacing w:before="0"/>
        <w:ind w:left="0"/>
        <w:jc w:val="right"/>
        <w:rPr>
          <w:b/>
          <w:noProof/>
          <w:sz w:val="40"/>
          <w:szCs w:val="24"/>
        </w:rPr>
      </w:pPr>
      <w:r w:rsidRPr="00C43847">
        <w:rPr>
          <w:b/>
          <w:noProof/>
          <w:sz w:val="40"/>
          <w:szCs w:val="24"/>
        </w:rPr>
        <w:t>2. nodaļa</w:t>
      </w:r>
    </w:p>
    <w:p w14:paraId="33FFB8E2" w14:textId="77777777" w:rsidR="00C43847" w:rsidRPr="00F35F4D" w:rsidRDefault="00C43847" w:rsidP="008E3F72">
      <w:pPr>
        <w:pStyle w:val="BodyText"/>
        <w:widowControl/>
        <w:kinsoku w:val="0"/>
        <w:overflowPunct w:val="0"/>
        <w:spacing w:before="0"/>
        <w:ind w:left="0"/>
        <w:jc w:val="both"/>
        <w:rPr>
          <w:noProof/>
          <w:sz w:val="24"/>
          <w:szCs w:val="24"/>
        </w:rPr>
      </w:pPr>
    </w:p>
    <w:p w14:paraId="1FC4A22C" w14:textId="77777777" w:rsidR="008E3F72" w:rsidRDefault="008E3F72" w:rsidP="00C43847">
      <w:pPr>
        <w:pStyle w:val="Heading1"/>
      </w:pPr>
      <w:bookmarkStart w:id="4" w:name="_Toc426033256"/>
      <w:r w:rsidRPr="00F35F4D">
        <w:t>Lopkopība un tās tendences</w:t>
      </w:r>
      <w:bookmarkEnd w:id="4"/>
    </w:p>
    <w:p w14:paraId="7435717F" w14:textId="77777777" w:rsidR="00C43847" w:rsidRPr="00C43847" w:rsidRDefault="00C43847" w:rsidP="00C43847"/>
    <w:p w14:paraId="558E47ED"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O. Oenema, S. Bittman, M. Dedina, M.A. Sutton</w:t>
      </w:r>
    </w:p>
    <w:p w14:paraId="4E6A360C" w14:textId="77777777" w:rsidR="008E3F72" w:rsidRPr="00F35F4D" w:rsidRDefault="008E3F72" w:rsidP="008E3F72">
      <w:pPr>
        <w:pStyle w:val="BodyText"/>
        <w:widowControl/>
        <w:kinsoku w:val="0"/>
        <w:overflowPunct w:val="0"/>
        <w:spacing w:before="0"/>
        <w:ind w:left="0"/>
        <w:jc w:val="both"/>
        <w:rPr>
          <w:i/>
          <w:iCs/>
          <w:noProof/>
          <w:sz w:val="24"/>
          <w:szCs w:val="24"/>
        </w:rPr>
      </w:pPr>
    </w:p>
    <w:p w14:paraId="5BA85A3A" w14:textId="392FE0CD" w:rsidR="008E3F72" w:rsidRPr="00BE5F6F"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Lauksa</w:t>
      </w:r>
      <w:r w:rsidR="007B5A4A">
        <w:rPr>
          <w:noProof/>
          <w:sz w:val="24"/>
        </w:rPr>
        <w:t>imniecības dzīvnieku kūtsmēsli</w:t>
      </w:r>
      <w:r w:rsidRPr="00F35F4D">
        <w:rPr>
          <w:noProof/>
          <w:sz w:val="24"/>
        </w:rPr>
        <w:t xml:space="preserve"> dzīvnieku novietnēs, to uzkrāšanas, pārstrāde</w:t>
      </w:r>
      <w:r w:rsidR="007B5A4A">
        <w:rPr>
          <w:noProof/>
          <w:sz w:val="24"/>
        </w:rPr>
        <w:t>s, bagātināšanas un iestrādāšanas augsnē laikā, kā arī ganībās esošo</w:t>
      </w:r>
      <w:r w:rsidRPr="00F35F4D">
        <w:rPr>
          <w:noProof/>
          <w:sz w:val="24"/>
        </w:rPr>
        <w:t xml:space="preserve"> dzīvnieku ekskrementi lielākajā daļā EEK valstu ir galvenais NH3 emisijas avots. Tāpēc ir ļoti svarīgi sniegt īsu ieskatu lopkopības nozarē.</w:t>
      </w:r>
    </w:p>
    <w:p w14:paraId="62F5F7EC" w14:textId="77777777" w:rsidR="00BE5F6F" w:rsidRPr="00F35F4D" w:rsidRDefault="00BE5F6F" w:rsidP="00BE5F6F">
      <w:pPr>
        <w:pStyle w:val="BodyText"/>
        <w:widowControl/>
        <w:tabs>
          <w:tab w:val="left" w:pos="861"/>
        </w:tabs>
        <w:kinsoku w:val="0"/>
        <w:overflowPunct w:val="0"/>
        <w:spacing w:before="0"/>
        <w:ind w:left="0"/>
        <w:jc w:val="both"/>
        <w:rPr>
          <w:noProof/>
          <w:sz w:val="24"/>
          <w:szCs w:val="24"/>
        </w:rPr>
      </w:pPr>
    </w:p>
    <w:p w14:paraId="649A442D" w14:textId="50649AAC" w:rsidR="008E3F72" w:rsidRPr="004571FA"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Lopkopība dod svarīgu ieguldījumu ar pārtiku un lauksaimniecību saistītajā globālās ekonomikas daļā un cilvēku uzturā un kultūrā, radot 40 % no tā, kas lauksaimniecībā saražots pasaules mērogā, un nodrošinot 10 –15 % no kopējā kaloriju daudzuma pārtikā un vienu ceturto daļu no uzturā izmantotajām olbaltumvielām. Vairumā reģionu, kur atrodas jaunattīstības valstis, tā ir visstraujāk augošā lauksaimniecības apakšnozare. Paredzams, ka lopkopība nodrošinās pietiekamu daudzumu drošas pārtikas augošajam iedzīvotāju skaitam pilsētās un iztikas līdzekļus gandrīz 1 miljardam trūcīgo ražotāju un vienlaicīgi ļaus izmantot aršanai nederīgo zemi; nodrošinās ar pārtiku pašnodrošinājuma saimniecībās strādājošos lauksaimniekus neražas gados; ļaus lietderīgi izmantot pārtikas atkritumus un ražas pārpalikumu zudumus uz lauka un pat nodrošinās degvielu un veicinās</w:t>
      </w:r>
      <w:r w:rsidR="007B5A4A">
        <w:rPr>
          <w:noProof/>
          <w:sz w:val="24"/>
        </w:rPr>
        <w:t xml:space="preserve"> saimniecībā esošo barības elementu</w:t>
      </w:r>
      <w:r w:rsidRPr="00F35F4D">
        <w:rPr>
          <w:noProof/>
          <w:sz w:val="24"/>
        </w:rPr>
        <w:t xml:space="preserve"> koncentrāciju un otrreizējo pārstrādi, kā arī radīs sabiedrisko labumu pasaules mērogā, veicinot pietiekamu pārtikas daudzumu, vides ilgtspējību un sabiedrības veselību (</w:t>
      </w:r>
      <w:r w:rsidRPr="00F35F4D">
        <w:rPr>
          <w:i/>
          <w:noProof/>
          <w:sz w:val="24"/>
        </w:rPr>
        <w:t>Geers, Madec</w:t>
      </w:r>
      <w:r w:rsidRPr="00F35F4D">
        <w:rPr>
          <w:noProof/>
          <w:sz w:val="24"/>
        </w:rPr>
        <w:t xml:space="preserve">, 2006; </w:t>
      </w:r>
      <w:r w:rsidRPr="00F35F4D">
        <w:rPr>
          <w:i/>
          <w:noProof/>
          <w:sz w:val="24"/>
        </w:rPr>
        <w:t>FAO</w:t>
      </w:r>
      <w:r w:rsidRPr="00F35F4D">
        <w:rPr>
          <w:noProof/>
          <w:sz w:val="24"/>
        </w:rPr>
        <w:t xml:space="preserve">, 2009; </w:t>
      </w:r>
      <w:r w:rsidRPr="00F35F4D">
        <w:rPr>
          <w:i/>
          <w:noProof/>
          <w:sz w:val="24"/>
        </w:rPr>
        <w:t>Steinfeld</w:t>
      </w:r>
      <w:r w:rsidRPr="00F35F4D">
        <w:rPr>
          <w:noProof/>
          <w:sz w:val="24"/>
        </w:rPr>
        <w:t xml:space="preserve"> </w:t>
      </w:r>
      <w:r w:rsidRPr="00F35F4D">
        <w:rPr>
          <w:i/>
          <w:noProof/>
          <w:sz w:val="24"/>
        </w:rPr>
        <w:t>et al.</w:t>
      </w:r>
      <w:r w:rsidRPr="00F35F4D">
        <w:rPr>
          <w:noProof/>
          <w:sz w:val="24"/>
        </w:rPr>
        <w:t>, 2010).</w:t>
      </w:r>
    </w:p>
    <w:p w14:paraId="67A3D7CC" w14:textId="77777777" w:rsidR="004571FA" w:rsidRPr="00F35F4D" w:rsidRDefault="004571FA" w:rsidP="004571FA">
      <w:pPr>
        <w:pStyle w:val="BodyText"/>
        <w:widowControl/>
        <w:tabs>
          <w:tab w:val="left" w:pos="861"/>
        </w:tabs>
        <w:kinsoku w:val="0"/>
        <w:overflowPunct w:val="0"/>
        <w:spacing w:before="0"/>
        <w:ind w:left="0"/>
        <w:jc w:val="both"/>
        <w:rPr>
          <w:noProof/>
          <w:sz w:val="24"/>
          <w:szCs w:val="24"/>
        </w:rPr>
      </w:pPr>
    </w:p>
    <w:p w14:paraId="0D365BC6" w14:textId="7211C6C8" w:rsidR="008E3F72" w:rsidRPr="004571FA"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Kaut arī lopkopībai sabiedrībā ir vairākas lietderīgas funkcijas un pasaules mērogā turpmākajās desmitgadēs pieprasījums pēc piena, gaļas un olu produktiem turpinās augt, (intensīvās) lopkopības nozares aizvien vairāk izjūt prasību rūpēties par apkārtējo vidi. Lopkopības nozare ir pasaulē lielākais zemes lietotājs, un to vaino mežu iznīcināšanā un bioloģiskās daudzveidības izzušanā (</w:t>
      </w:r>
      <w:r w:rsidRPr="00F35F4D">
        <w:rPr>
          <w:i/>
          <w:noProof/>
          <w:sz w:val="24"/>
        </w:rPr>
        <w:t>Steinfeld et al.</w:t>
      </w:r>
      <w:r w:rsidRPr="00F35F4D">
        <w:rPr>
          <w:noProof/>
          <w:sz w:val="24"/>
        </w:rPr>
        <w:t xml:space="preserve">, 2006; </w:t>
      </w:r>
      <w:r w:rsidRPr="00F35F4D">
        <w:rPr>
          <w:i/>
          <w:noProof/>
          <w:sz w:val="24"/>
        </w:rPr>
        <w:t>FAO</w:t>
      </w:r>
      <w:r w:rsidRPr="00F35F4D">
        <w:rPr>
          <w:noProof/>
          <w:sz w:val="24"/>
        </w:rPr>
        <w:t xml:space="preserve">, 2009; </w:t>
      </w:r>
      <w:r w:rsidRPr="00F35F4D">
        <w:rPr>
          <w:i/>
          <w:noProof/>
          <w:sz w:val="24"/>
        </w:rPr>
        <w:t>Steinfeld et al.</w:t>
      </w:r>
      <w:r w:rsidRPr="00F35F4D">
        <w:rPr>
          <w:noProof/>
          <w:sz w:val="24"/>
        </w:rPr>
        <w:t>, 2010). Tā arī ir nozīmīgs saldūdens lietotājs galvenokārt dzīvnieku barības ražošanai laikā, kad dažviet izjūt saldūdens resursu trūkumu. Lopkopība ir galvenais atmosfērā esošā NH3 un siltumnīcefekta gāžu – metāna (CH4) un slāpekļa oksīda (N2O) – avots. NH3 emisiju galvenokārt rada dzīvnieku kūtsmēslos esošais slāpeklis. NH3 emisija lopkopībā ir atkarīga no dzīvnieku veida, skaita un ģenētiskā</w:t>
      </w:r>
      <w:r w:rsidR="007B5A4A">
        <w:rPr>
          <w:noProof/>
          <w:sz w:val="24"/>
        </w:rPr>
        <w:t xml:space="preserve"> potenciāla, dzīvnieku ēdināšanas</w:t>
      </w:r>
      <w:r w:rsidRPr="00F35F4D">
        <w:rPr>
          <w:noProof/>
          <w:sz w:val="24"/>
        </w:rPr>
        <w:t xml:space="preserve"> un apsaimnieko</w:t>
      </w:r>
      <w:r w:rsidR="007B5A4A">
        <w:rPr>
          <w:noProof/>
          <w:sz w:val="24"/>
        </w:rPr>
        <w:t>šanas un dzīvnieku turēšanas un kūtsmēslu apsaimniekošanas</w:t>
      </w:r>
      <w:r w:rsidRPr="00F35F4D">
        <w:rPr>
          <w:noProof/>
          <w:sz w:val="24"/>
        </w:rPr>
        <w:t xml:space="preserve"> tehnoloģijas (</w:t>
      </w:r>
      <w:r w:rsidRPr="00F35F4D">
        <w:rPr>
          <w:i/>
          <w:noProof/>
          <w:sz w:val="24"/>
        </w:rPr>
        <w:t>Bouwman et al</w:t>
      </w:r>
      <w:r w:rsidRPr="00F35F4D">
        <w:rPr>
          <w:noProof/>
          <w:sz w:val="24"/>
        </w:rPr>
        <w:t xml:space="preserve">., 1997; </w:t>
      </w:r>
      <w:r w:rsidRPr="00F35F4D">
        <w:rPr>
          <w:i/>
          <w:noProof/>
          <w:sz w:val="24"/>
        </w:rPr>
        <w:t>Steinfeld et al.</w:t>
      </w:r>
      <w:r w:rsidRPr="00F35F4D">
        <w:rPr>
          <w:noProof/>
          <w:sz w:val="24"/>
        </w:rPr>
        <w:t xml:space="preserve">, 2006; </w:t>
      </w:r>
      <w:r w:rsidRPr="00F35F4D">
        <w:rPr>
          <w:i/>
          <w:noProof/>
          <w:sz w:val="24"/>
        </w:rPr>
        <w:t>O. Oenema et al.</w:t>
      </w:r>
      <w:r w:rsidRPr="00F35F4D">
        <w:rPr>
          <w:noProof/>
          <w:sz w:val="24"/>
        </w:rPr>
        <w:t>, 2008). Eiropā vislielāko pieprasījumu pēc ķīmiski aktīvā N rada lopkopība. Piemēram, „Eiropas slāpekļa izvērtējumā” ir aplēsts, ka 85 % no novāktajā ražā esošā N izmanto lauk</w:t>
      </w:r>
      <w:r w:rsidR="007B5A4A">
        <w:rPr>
          <w:noProof/>
          <w:sz w:val="24"/>
        </w:rPr>
        <w:t>saimniecības dzīvnieku ēdināšanai</w:t>
      </w:r>
      <w:r w:rsidRPr="00F35F4D">
        <w:rPr>
          <w:noProof/>
          <w:sz w:val="24"/>
        </w:rPr>
        <w:t>, turpretim tikai 15 % tieši nonāk cilvēku uzturā (</w:t>
      </w:r>
      <w:r w:rsidRPr="00F35F4D">
        <w:rPr>
          <w:i/>
          <w:noProof/>
          <w:sz w:val="24"/>
        </w:rPr>
        <w:t>Sutton et al.</w:t>
      </w:r>
      <w:r w:rsidRPr="00F35F4D">
        <w:rPr>
          <w:noProof/>
          <w:sz w:val="24"/>
        </w:rPr>
        <w:t>, 2011).</w:t>
      </w:r>
    </w:p>
    <w:p w14:paraId="139A9111" w14:textId="77777777" w:rsidR="004571FA" w:rsidRPr="00F35F4D" w:rsidRDefault="004571FA" w:rsidP="004571FA">
      <w:pPr>
        <w:pStyle w:val="BodyText"/>
        <w:widowControl/>
        <w:tabs>
          <w:tab w:val="left" w:pos="861"/>
        </w:tabs>
        <w:kinsoku w:val="0"/>
        <w:overflowPunct w:val="0"/>
        <w:spacing w:before="0"/>
        <w:ind w:left="0"/>
        <w:jc w:val="both"/>
        <w:rPr>
          <w:noProof/>
          <w:sz w:val="24"/>
          <w:szCs w:val="24"/>
        </w:rPr>
      </w:pPr>
    </w:p>
    <w:p w14:paraId="796B8435" w14:textId="5CAC0178" w:rsidR="008E3F72" w:rsidRPr="004571FA"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Lopkopības sistēmas var orientējoši klasificēt a) ganību sistēmās, b) jauktajās sistēmās un c) pilnībā noslēgtās bezzemes jeb rūpnieciskajās sistēmās (piemēram, </w:t>
      </w:r>
      <w:r w:rsidRPr="00F35F4D">
        <w:rPr>
          <w:i/>
          <w:noProof/>
          <w:sz w:val="24"/>
        </w:rPr>
        <w:t>Seré, Steinfeld, Groenewold</w:t>
      </w:r>
      <w:r w:rsidRPr="00F35F4D">
        <w:rPr>
          <w:noProof/>
          <w:sz w:val="24"/>
        </w:rPr>
        <w:t xml:space="preserve">, 1996). Ganību sistēmas pilnībā pamatojas uz zemes izmantošanu, un dzīvnieku koncentrācija tajās ir mazāka par vienu vai divām lauksaimniecības dzīvnieku vienībām uz hektāru (ha) atkarībā no zāles platību ražīguma. Jauktajās sistēmās lielu ražošanas daļu vērtības izteiksmē nodrošina </w:t>
      </w:r>
      <w:r w:rsidRPr="00F35F4D">
        <w:rPr>
          <w:noProof/>
          <w:sz w:val="24"/>
        </w:rPr>
        <w:lastRenderedPageBreak/>
        <w:t>darbības, kas nav dzīvnieku audzēšana, turklāt daļu no dzīvnieku barības bieži vien importē. Rūpnieciskajās sistēmās dzīvnieku koncentrācija pārsniedz 10 lauksaimniecības dzīvnieku vienības uz hektāru, un tajās galvenokārt izmanto barību, energoresursus un citus resursus, ko saimniecībai nodrošina piegādātāji. Rūpnieciskajās sistēmās saimniecībā ražo no 0 %</w:t>
      </w:r>
      <w:r w:rsidR="007B5A4A">
        <w:rPr>
          <w:noProof/>
          <w:sz w:val="24"/>
        </w:rPr>
        <w:t xml:space="preserve"> līdz 10 % dzīvniekiem izēdinātās</w:t>
      </w:r>
      <w:r w:rsidRPr="00F35F4D">
        <w:rPr>
          <w:noProof/>
          <w:sz w:val="24"/>
        </w:rPr>
        <w:t xml:space="preserve"> sausnas. Būtiski rūpniecisko lopkopības sistēmu rādītāji ir dzīvnieku blīvums, ko izsaka dzīvnieku vienībās (DzV) uz hektāru (DzV/ha) un kilogramos piena vai gaļas uz hektāru gadā (kg/ha gadā). Vispārpieņemts un labi izmantojams rādītājs, kas raksturo spiedienu uz vidi, ir kopējais N vai P daudzums, ko lauksaimniecības dzīvnieki izdala uz hektāru gadā (piemēram, </w:t>
      </w:r>
      <w:r w:rsidRPr="00F35F4D">
        <w:rPr>
          <w:i/>
          <w:noProof/>
          <w:sz w:val="24"/>
        </w:rPr>
        <w:t>Menzi et al.</w:t>
      </w:r>
      <w:r w:rsidRPr="00F35F4D">
        <w:rPr>
          <w:noProof/>
          <w:sz w:val="24"/>
        </w:rPr>
        <w:t>, 2010).</w:t>
      </w:r>
    </w:p>
    <w:p w14:paraId="2BBBF87E" w14:textId="77777777" w:rsidR="004571FA" w:rsidRPr="00F35F4D" w:rsidRDefault="004571FA" w:rsidP="004571FA">
      <w:pPr>
        <w:pStyle w:val="BodyText"/>
        <w:widowControl/>
        <w:tabs>
          <w:tab w:val="left" w:pos="861"/>
        </w:tabs>
        <w:kinsoku w:val="0"/>
        <w:overflowPunct w:val="0"/>
        <w:spacing w:before="0"/>
        <w:ind w:left="0"/>
        <w:jc w:val="both"/>
        <w:rPr>
          <w:noProof/>
          <w:sz w:val="24"/>
          <w:szCs w:val="24"/>
        </w:rPr>
      </w:pPr>
    </w:p>
    <w:p w14:paraId="2CBBD7D2" w14:textId="24C8ADEA" w:rsidR="008E3F72" w:rsidRPr="004571FA"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 Katrā lauksaimniecības dzīvniek</w:t>
      </w:r>
      <w:r w:rsidR="007B5A4A">
        <w:rPr>
          <w:noProof/>
          <w:sz w:val="24"/>
        </w:rPr>
        <w:t>u kategorijā var nodalīt konvencionālo</w:t>
      </w:r>
      <w:r w:rsidRPr="00F35F4D">
        <w:rPr>
          <w:noProof/>
          <w:sz w:val="24"/>
        </w:rPr>
        <w:t xml:space="preserve"> un bioloģisko lauksaimniecību. Turklāt bieži nošķir intensīvās un ekstensīvās sistēmas. Intensīvās lopkopības sistēmas raksturo lieli gaļas, piena un olu ražošanas apjomi uz lauksaimniecības zemes vienību un ganāmpulka vienību (t. i., dzīvnieku vienību), un tas parasti sakrīt ar lielu dzīvnieku koncentrāciju lauksaimniecības zemes vienībā. Intensīvu saimniekošanu parasti panāk, ļoti efektīvi pārveidojot dzīvnieku barību dzīvnieku izcelsmes produktos. Spēja ātri reaģēt uz augošo pieprasījumu pēc lētiem dzīvnieku izcelsmes produktiem ir ļāvusi intensīvās lopkopības sistēmā saražot lielāko daļu pasaulē ražotās cūkgaļas, mājputnu gaļas un olu (attiecīgi 56 %, 72 % un 61 %) un ievērojamu daļu piena produktu (</w:t>
      </w:r>
      <w:r w:rsidRPr="00F35F4D">
        <w:rPr>
          <w:i/>
          <w:noProof/>
          <w:sz w:val="24"/>
        </w:rPr>
        <w:t>Steinfeld et al.</w:t>
      </w:r>
      <w:r w:rsidRPr="00F35F4D">
        <w:rPr>
          <w:noProof/>
          <w:sz w:val="24"/>
        </w:rPr>
        <w:t xml:space="preserve">, 2006; </w:t>
      </w:r>
      <w:r w:rsidRPr="00F35F4D">
        <w:rPr>
          <w:i/>
          <w:noProof/>
          <w:sz w:val="24"/>
        </w:rPr>
        <w:t>FAO</w:t>
      </w:r>
      <w:r w:rsidRPr="00F35F4D">
        <w:rPr>
          <w:noProof/>
          <w:sz w:val="24"/>
        </w:rPr>
        <w:t>, 2009).</w:t>
      </w:r>
    </w:p>
    <w:p w14:paraId="4D2701B8" w14:textId="77777777" w:rsidR="004571FA" w:rsidRDefault="004571FA" w:rsidP="004571FA">
      <w:pPr>
        <w:pStyle w:val="ListParagraph"/>
        <w:rPr>
          <w:noProof/>
        </w:rPr>
      </w:pPr>
    </w:p>
    <w:p w14:paraId="3D5362CA" w14:textId="53C3FA90" w:rsidR="008E3F72" w:rsidRPr="004571FA"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Tradicionālajā sistēmā lielāko daļu patērēto dzīvnieku izcelsmes produktu kādreiz ražoja, izmantojot uz vietas ražotu dzīvnieku barību. Aizvien biežāk daudzus dzīvnieku izcelsmes produktus, ko patērē pilsētās, ražo, izmantojot no citām vietām importētu dzīvnieku barību. Tas jo īpaši attiecas uz cūku un mājputnu produktiem. Šādā veidā dzīvnieku barības ražošana un cūku un mājputnu audzēšana aizvien vairāk zaudē saikni ar dzīvnieku izcelsmes produktu patēriņa vietām. Šī attālināšanās ir spējusi notikt, veidojoties labai transporta infrastruktūrai un pateicoties relatīvi zemajām fosilo energoresursu cenām; koncentrētas barības transportēšana ir lēta, salīdzinot ar citām ražošanas izmaksām. Gaļas un olu produktu pārvadāšana arī ir kļuvusi lētāka. Tomēr dzīvnieku barības ražošanas nodalīšana no dzīvnieku audzēšanas rada ievērojamas sekas dzīvnieku mēslu pare</w:t>
      </w:r>
      <w:r w:rsidR="007B5A4A">
        <w:rPr>
          <w:noProof/>
          <w:sz w:val="24"/>
        </w:rPr>
        <w:t>izai izmantošanai un apsaimniekošanai</w:t>
      </w:r>
      <w:r w:rsidRPr="00F35F4D">
        <w:rPr>
          <w:noProof/>
          <w:sz w:val="24"/>
        </w:rPr>
        <w:t xml:space="preserve"> (</w:t>
      </w:r>
      <w:r w:rsidRPr="00F35F4D">
        <w:rPr>
          <w:i/>
          <w:noProof/>
          <w:sz w:val="24"/>
        </w:rPr>
        <w:t>FAO</w:t>
      </w:r>
      <w:r w:rsidRPr="00F35F4D">
        <w:rPr>
          <w:noProof/>
          <w:sz w:val="24"/>
        </w:rPr>
        <w:t xml:space="preserve">, 2009; </w:t>
      </w:r>
      <w:r w:rsidRPr="00F35F4D">
        <w:rPr>
          <w:i/>
          <w:noProof/>
          <w:sz w:val="24"/>
        </w:rPr>
        <w:t>Steinfeld et al.</w:t>
      </w:r>
      <w:r w:rsidRPr="00F35F4D">
        <w:rPr>
          <w:noProof/>
          <w:sz w:val="24"/>
        </w:rPr>
        <w:t>, 2010 un tajā esošās atsauces).</w:t>
      </w:r>
    </w:p>
    <w:p w14:paraId="6C79D2E6" w14:textId="77777777" w:rsidR="004571FA" w:rsidRPr="00F35F4D" w:rsidRDefault="004571FA" w:rsidP="004571FA">
      <w:pPr>
        <w:pStyle w:val="BodyText"/>
        <w:widowControl/>
        <w:tabs>
          <w:tab w:val="left" w:pos="861"/>
        </w:tabs>
        <w:kinsoku w:val="0"/>
        <w:overflowPunct w:val="0"/>
        <w:spacing w:before="0"/>
        <w:ind w:left="0"/>
        <w:jc w:val="both"/>
        <w:rPr>
          <w:noProof/>
          <w:sz w:val="24"/>
          <w:szCs w:val="24"/>
        </w:rPr>
      </w:pPr>
    </w:p>
    <w:p w14:paraId="4301AE82" w14:textId="77777777" w:rsidR="008E3F72" w:rsidRPr="004571FA"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Ražošanas ķēdes aizvien biežāk tiek organizētas un grupētas pēc reģionālā principa, lai samazinātu ražošanas, apstrādes un piegādes izmaksas. Dzīvnieku barība ir ievērojams lopkopības resurss, kam seko darbaspēks, energoresursi, ūdensapgāde un pakalpojumi. Šī resursa izmaksas ievērojami atšķiras dažādās valsts vietās, kā arī starp valstīm un kontinentiem. Piekļuve tehnoloģijai, darbaspēkam un zinātībai arī nav vienmērīgi sadalīta; tas pats attiecas uz spēju reaģēt uz pārmaiņām vidē un tirgū. Ražošanas izmaksas, piekļuvi tehnoloģijai un darījumu izmaksas ietekmē arī institucionālie un kultūras modeļi. Visu šo faktoru ietekmē lopkopības sistēmas kļūst lielākas, vairāk specializētas un intensīvākas (</w:t>
      </w:r>
      <w:r w:rsidRPr="00F35F4D">
        <w:rPr>
          <w:i/>
          <w:noProof/>
          <w:sz w:val="24"/>
        </w:rPr>
        <w:t>FAO</w:t>
      </w:r>
      <w:r w:rsidRPr="00F35F4D">
        <w:rPr>
          <w:noProof/>
          <w:sz w:val="24"/>
        </w:rPr>
        <w:t xml:space="preserve">, 2009; </w:t>
      </w:r>
      <w:r w:rsidRPr="00F35F4D">
        <w:rPr>
          <w:i/>
          <w:noProof/>
          <w:sz w:val="24"/>
        </w:rPr>
        <w:t>Steinfeld et al.</w:t>
      </w:r>
      <w:r w:rsidRPr="00F35F4D">
        <w:rPr>
          <w:noProof/>
          <w:sz w:val="24"/>
        </w:rPr>
        <w:t>, 2010).</w:t>
      </w:r>
    </w:p>
    <w:p w14:paraId="4BBFFAE7" w14:textId="77777777" w:rsidR="004571FA" w:rsidRPr="00F35F4D" w:rsidRDefault="004571FA" w:rsidP="004571FA">
      <w:pPr>
        <w:pStyle w:val="BodyText"/>
        <w:widowControl/>
        <w:tabs>
          <w:tab w:val="left" w:pos="861"/>
        </w:tabs>
        <w:kinsoku w:val="0"/>
        <w:overflowPunct w:val="0"/>
        <w:spacing w:before="0"/>
        <w:ind w:left="0"/>
        <w:jc w:val="both"/>
        <w:rPr>
          <w:noProof/>
          <w:sz w:val="24"/>
          <w:szCs w:val="24"/>
        </w:rPr>
      </w:pPr>
    </w:p>
    <w:p w14:paraId="329083E0" w14:textId="77777777" w:rsidR="008E3F72" w:rsidRPr="004571FA"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Lopkopības sistēmas ir dinamiskas sistēmas tāpēc, ka tehnoloģija, tirgi, transports un loģistika pastāvīgi attīstās un pārveidojas. Lopkopības produkti aizvien vairāk kļūst par „globālām precēm”, un lopkopības sistēmas darbojas „atvērtā” globālā tirgū ar augstu konkurenci. Šo pārmaiņu veicinošs faktors ir aizvien lielāks pieprasījums pēc lētiem dzīvnieku izcelsmes produktiem, ko rada augošais iedzīvotāju skaits pilsētās un lielāks dzīvnieku izcelsmes produktu patēriņš uz vienu iedzīvotāju, </w:t>
      </w:r>
      <w:r w:rsidRPr="00F35F4D">
        <w:rPr>
          <w:noProof/>
          <w:sz w:val="24"/>
        </w:rPr>
        <w:lastRenderedPageBreak/>
        <w:t>kaut arī šajā jomā ir lielas ekonomiskas, reģionālas un starpkontinentālas atšķirības. Papildu pieprasījums pēc lopkopības produktiem galvenokārt nāk no pilsētām (</w:t>
      </w:r>
      <w:r w:rsidRPr="00F35F4D">
        <w:rPr>
          <w:i/>
          <w:noProof/>
          <w:sz w:val="24"/>
        </w:rPr>
        <w:t>FAO</w:t>
      </w:r>
      <w:r w:rsidRPr="00F35F4D">
        <w:rPr>
          <w:noProof/>
          <w:sz w:val="24"/>
        </w:rPr>
        <w:t xml:space="preserve">, 2009; </w:t>
      </w:r>
      <w:r w:rsidRPr="00F35F4D">
        <w:rPr>
          <w:i/>
          <w:noProof/>
          <w:sz w:val="24"/>
        </w:rPr>
        <w:t>Steinfeld et al.</w:t>
      </w:r>
      <w:r w:rsidRPr="00F35F4D">
        <w:rPr>
          <w:noProof/>
          <w:sz w:val="24"/>
        </w:rPr>
        <w:t>, 2010).</w:t>
      </w:r>
    </w:p>
    <w:p w14:paraId="42D543D9" w14:textId="77777777" w:rsidR="004571FA" w:rsidRPr="00F35F4D" w:rsidRDefault="004571FA" w:rsidP="004571FA">
      <w:pPr>
        <w:pStyle w:val="BodyText"/>
        <w:widowControl/>
        <w:tabs>
          <w:tab w:val="left" w:pos="861"/>
        </w:tabs>
        <w:kinsoku w:val="0"/>
        <w:overflowPunct w:val="0"/>
        <w:spacing w:before="0"/>
        <w:ind w:left="0"/>
        <w:jc w:val="both"/>
        <w:rPr>
          <w:noProof/>
          <w:sz w:val="24"/>
          <w:szCs w:val="24"/>
        </w:rPr>
      </w:pPr>
    </w:p>
    <w:p w14:paraId="6D1FE943" w14:textId="6AAEC218"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Straujās pārmaiņas lopkopības sistēmās ļoti ietekmē šo sistēmu radīto NH3, N2O un CH4 emisiju atmosfēr</w:t>
      </w:r>
      <w:r w:rsidR="007B5A4A">
        <w:rPr>
          <w:noProof/>
          <w:sz w:val="24"/>
        </w:rPr>
        <w:t>ā un N izskalošanos un noteci</w:t>
      </w:r>
      <w:r w:rsidRPr="00F35F4D">
        <w:rPr>
          <w:noProof/>
          <w:sz w:val="24"/>
        </w:rPr>
        <w:t xml:space="preserve"> ūdeņos. Šāda veida tendences jāņem vērā emisiju </w:t>
      </w:r>
      <w:r w:rsidR="007B5A4A">
        <w:rPr>
          <w:noProof/>
          <w:sz w:val="24"/>
        </w:rPr>
        <w:t>sa</w:t>
      </w:r>
      <w:r w:rsidRPr="00F35F4D">
        <w:rPr>
          <w:noProof/>
          <w:sz w:val="24"/>
        </w:rPr>
        <w:t>mazinošajās stratēģijās, un jāprognozē jaunas tendences, lai stratēģijas turpmāk būtu efektīvas gan rezultātu, gan izmaksu ziņā.</w:t>
      </w:r>
    </w:p>
    <w:p w14:paraId="7C4494B7" w14:textId="5FC5A286" w:rsidR="004571FA" w:rsidRDefault="004571FA">
      <w:pPr>
        <w:widowControl/>
        <w:autoSpaceDE/>
        <w:autoSpaceDN/>
        <w:adjustRightInd/>
        <w:spacing w:after="160" w:line="259" w:lineRule="auto"/>
        <w:rPr>
          <w:noProof/>
        </w:rPr>
      </w:pPr>
      <w:r>
        <w:rPr>
          <w:noProof/>
        </w:rPr>
        <w:br w:type="page"/>
      </w:r>
    </w:p>
    <w:p w14:paraId="3C5E089F" w14:textId="34FC9CCF" w:rsidR="00BE5F6F" w:rsidRPr="00C43847" w:rsidRDefault="00BE5F6F" w:rsidP="00BE5F6F">
      <w:pPr>
        <w:pStyle w:val="BodyText"/>
        <w:widowControl/>
        <w:kinsoku w:val="0"/>
        <w:overflowPunct w:val="0"/>
        <w:spacing w:before="0"/>
        <w:ind w:left="0"/>
        <w:jc w:val="right"/>
        <w:rPr>
          <w:b/>
          <w:noProof/>
          <w:sz w:val="40"/>
          <w:szCs w:val="24"/>
        </w:rPr>
      </w:pPr>
      <w:r>
        <w:rPr>
          <w:b/>
          <w:noProof/>
          <w:sz w:val="40"/>
          <w:szCs w:val="24"/>
        </w:rPr>
        <w:lastRenderedPageBreak/>
        <w:t>3</w:t>
      </w:r>
      <w:r w:rsidRPr="00C43847">
        <w:rPr>
          <w:b/>
          <w:noProof/>
          <w:sz w:val="40"/>
          <w:szCs w:val="24"/>
        </w:rPr>
        <w:t>. nodaļa</w:t>
      </w:r>
    </w:p>
    <w:p w14:paraId="3BF8CA2B" w14:textId="77777777" w:rsidR="008E3F72" w:rsidRPr="00F35F4D" w:rsidRDefault="008E3F72" w:rsidP="008E3F72">
      <w:pPr>
        <w:pStyle w:val="BodyText"/>
        <w:widowControl/>
        <w:kinsoku w:val="0"/>
        <w:overflowPunct w:val="0"/>
        <w:spacing w:before="0"/>
        <w:ind w:left="0"/>
        <w:jc w:val="both"/>
        <w:rPr>
          <w:noProof/>
          <w:sz w:val="24"/>
          <w:szCs w:val="24"/>
        </w:rPr>
      </w:pPr>
    </w:p>
    <w:p w14:paraId="169BCB1A" w14:textId="0C991237" w:rsidR="008E3F72" w:rsidRDefault="008E3F72" w:rsidP="00BE5F6F">
      <w:pPr>
        <w:pStyle w:val="Heading1"/>
      </w:pPr>
      <w:bookmarkStart w:id="5" w:name="_Toc426033257"/>
      <w:r w:rsidRPr="00F35F4D">
        <w:t>Slāpekļa apsaimniekošana, ņemot vērā</w:t>
      </w:r>
      <w:r w:rsidR="004571FA">
        <w:t xml:space="preserve"> </w:t>
      </w:r>
      <w:r w:rsidRPr="00F35F4D">
        <w:t>visu slāpekļa aprites ciklu</w:t>
      </w:r>
      <w:bookmarkEnd w:id="5"/>
    </w:p>
    <w:p w14:paraId="675C6CC5" w14:textId="77777777" w:rsidR="004571FA" w:rsidRPr="004571FA" w:rsidRDefault="004571FA" w:rsidP="004571FA"/>
    <w:p w14:paraId="71CB628F"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O. Oenema, S. Bittman, M. Dedina, C.M. Howard, M.A. Sutton, N.J. Hutchings,</w:t>
      </w:r>
    </w:p>
    <w:p w14:paraId="2290F80B" w14:textId="77777777" w:rsidR="008E3F72" w:rsidRPr="00F35F4D" w:rsidRDefault="008E3F72" w:rsidP="008E3F72">
      <w:pPr>
        <w:pStyle w:val="BodyText"/>
        <w:widowControl/>
        <w:kinsoku w:val="0"/>
        <w:overflowPunct w:val="0"/>
        <w:spacing w:before="0"/>
        <w:ind w:left="0"/>
        <w:jc w:val="both"/>
        <w:rPr>
          <w:i/>
          <w:iCs/>
          <w:noProof/>
          <w:sz w:val="24"/>
          <w:szCs w:val="24"/>
        </w:rPr>
      </w:pPr>
      <w:r w:rsidRPr="00F35F4D">
        <w:rPr>
          <w:i/>
          <w:noProof/>
          <w:sz w:val="24"/>
        </w:rPr>
        <w:t>W. Winiwarter</w:t>
      </w:r>
    </w:p>
    <w:p w14:paraId="2E888DA5" w14:textId="77777777" w:rsidR="008E3F72" w:rsidRPr="00F35F4D" w:rsidRDefault="008E3F72" w:rsidP="008E3F72">
      <w:pPr>
        <w:pStyle w:val="BodyText"/>
        <w:widowControl/>
        <w:kinsoku w:val="0"/>
        <w:overflowPunct w:val="0"/>
        <w:spacing w:before="0"/>
        <w:ind w:left="0"/>
        <w:jc w:val="both"/>
        <w:rPr>
          <w:i/>
          <w:iCs/>
          <w:noProof/>
          <w:sz w:val="24"/>
          <w:szCs w:val="24"/>
        </w:rPr>
      </w:pPr>
    </w:p>
    <w:p w14:paraId="47AED001" w14:textId="486FE461" w:rsidR="008E3F72" w:rsidRPr="00F35F4D" w:rsidRDefault="007B5A4A" w:rsidP="008E3F72">
      <w:pPr>
        <w:pStyle w:val="BodyText"/>
        <w:widowControl/>
        <w:numPr>
          <w:ilvl w:val="0"/>
          <w:numId w:val="16"/>
        </w:numPr>
        <w:tabs>
          <w:tab w:val="left" w:pos="861"/>
        </w:tabs>
        <w:kinsoku w:val="0"/>
        <w:overflowPunct w:val="0"/>
        <w:spacing w:before="0"/>
        <w:ind w:left="0" w:firstLine="0"/>
        <w:jc w:val="both"/>
        <w:rPr>
          <w:noProof/>
          <w:sz w:val="24"/>
          <w:szCs w:val="24"/>
        </w:rPr>
      </w:pPr>
      <w:r>
        <w:rPr>
          <w:noProof/>
          <w:sz w:val="24"/>
        </w:rPr>
        <w:t>Apsaimniekošanu</w:t>
      </w:r>
      <w:r w:rsidR="008E3F72" w:rsidRPr="00F35F4D">
        <w:rPr>
          <w:noProof/>
          <w:sz w:val="24"/>
        </w:rPr>
        <w:t xml:space="preserve"> bieži dēvē par „ceturto ražošanas faktoru” papildus zemei, darbaspēkam un kapitālam (metodēm). Tai ir milzīga nozīme lauksaimniecībā gan no ekonom</w:t>
      </w:r>
      <w:r>
        <w:rPr>
          <w:noProof/>
          <w:sz w:val="24"/>
        </w:rPr>
        <w:t>iskā, gan vides viedokļa. Apsaimniekošanu</w:t>
      </w:r>
      <w:r w:rsidR="008E3F72" w:rsidRPr="00F35F4D">
        <w:rPr>
          <w:noProof/>
          <w:sz w:val="24"/>
        </w:rPr>
        <w:t xml:space="preserve"> parasti definē kā „saskaņotu darbību kopumu mērķu</w:t>
      </w:r>
      <w:r>
        <w:rPr>
          <w:noProof/>
          <w:sz w:val="24"/>
        </w:rPr>
        <w:t xml:space="preserve"> sasniegšanai”. Slāpekļa apsaimniekošanu</w:t>
      </w:r>
      <w:r w:rsidR="008E3F72" w:rsidRPr="00F35F4D">
        <w:rPr>
          <w:noProof/>
          <w:sz w:val="24"/>
        </w:rPr>
        <w:t xml:space="preserve"> var definēt kā „saskaņotu darbību kopumu rīcībai ar slāpekli un tā sadalei saimniecībās, lai īstenotu agronomiskos un vides/ekoloģiskos mērķus” (piemēram, </w:t>
      </w:r>
      <w:r w:rsidR="008E3F72" w:rsidRPr="00F35F4D">
        <w:rPr>
          <w:i/>
          <w:noProof/>
          <w:sz w:val="24"/>
        </w:rPr>
        <w:t>O. Oenema, Pietrzak</w:t>
      </w:r>
      <w:r w:rsidR="008E3F72" w:rsidRPr="00F35F4D">
        <w:rPr>
          <w:noProof/>
          <w:sz w:val="24"/>
        </w:rPr>
        <w:t>, 2002). Agronomiskie mērķi ir saistīti ar kultūraugu ražu un kvali</w:t>
      </w:r>
      <w:r w:rsidR="0085568E">
        <w:rPr>
          <w:noProof/>
          <w:sz w:val="24"/>
        </w:rPr>
        <w:t>tāti un dzīvnieku veselības un ražības rādītājiem</w:t>
      </w:r>
      <w:r w:rsidR="008E3F72" w:rsidRPr="00F35F4D">
        <w:rPr>
          <w:noProof/>
          <w:sz w:val="24"/>
        </w:rPr>
        <w:t xml:space="preserve"> dzīvnieku labturības kontekstā. Vides/ekoloģiskie mērķi attiecas uz lauksaimniecības izraisīto N zudumu samazināšanu. Norādot, ka „jāņem vērā viss N aprites cikls”, tiek uzsvērta vajadzība apsvērt visus N aprites aspektus, tostarp tos, kas rodas NH3 emisijas samazināšanas gaitā, lai izvairītos no viena piesārņojuma aizstāšanas ar otru. Kaut arī šis jautājums šai dokumentā nav aplūkots, jāizvairās arī no citiem piesārņotājiem un to i</w:t>
      </w:r>
      <w:r>
        <w:rPr>
          <w:noProof/>
          <w:sz w:val="24"/>
        </w:rPr>
        <w:t>etekmes. Slāpekļa apsaimniekošanu</w:t>
      </w:r>
      <w:r w:rsidR="008E3F72" w:rsidRPr="00F35F4D">
        <w:rPr>
          <w:noProof/>
          <w:sz w:val="24"/>
        </w:rPr>
        <w:t xml:space="preserve"> var uzskatīt par „programmnodrošinājuma” un „organizatorisko” komponenti, turpretim paņēmienus var uzskatīt par „tehnisko aprīkojumu” slāpekļa emisijas </w:t>
      </w:r>
      <w:r>
        <w:rPr>
          <w:noProof/>
          <w:sz w:val="24"/>
        </w:rPr>
        <w:t>sa</w:t>
      </w:r>
      <w:r w:rsidR="008E3F72" w:rsidRPr="00F35F4D">
        <w:rPr>
          <w:noProof/>
          <w:sz w:val="24"/>
        </w:rPr>
        <w:t>mazināšanai. No tā izriet, ka N aprites vadība jāaplūko saistībā ar izmantotajiem paņēmieniem.</w:t>
      </w:r>
    </w:p>
    <w:p w14:paraId="186E80C5" w14:textId="2C3A0D27" w:rsidR="008E3F72" w:rsidRPr="00F35F4D" w:rsidRDefault="007B5A4A" w:rsidP="008E3F72">
      <w:pPr>
        <w:pStyle w:val="BodyText"/>
        <w:widowControl/>
        <w:numPr>
          <w:ilvl w:val="0"/>
          <w:numId w:val="16"/>
        </w:numPr>
        <w:tabs>
          <w:tab w:val="left" w:pos="861"/>
        </w:tabs>
        <w:kinsoku w:val="0"/>
        <w:overflowPunct w:val="0"/>
        <w:spacing w:before="0"/>
        <w:ind w:left="0" w:firstLine="0"/>
        <w:jc w:val="both"/>
        <w:rPr>
          <w:noProof/>
          <w:sz w:val="24"/>
          <w:szCs w:val="24"/>
        </w:rPr>
      </w:pPr>
      <w:r>
        <w:rPr>
          <w:noProof/>
          <w:sz w:val="24"/>
        </w:rPr>
        <w:t>Slāpekļa apsaimniekošana</w:t>
      </w:r>
      <w:r w:rsidR="008E3F72" w:rsidRPr="00F35F4D">
        <w:rPr>
          <w:noProof/>
          <w:sz w:val="24"/>
        </w:rPr>
        <w:t xml:space="preserve"> EEK reģionā ir ļoti atšķirīga, un attiecīgi mainīgs ir arī NH3 emisijas apjoms. Kopumā N emisijai ir tendence samazināties, ja tiek ievērotas šādas prasības:</w:t>
      </w:r>
    </w:p>
    <w:p w14:paraId="624EC734"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ņem vērā visus N avotus saimniecībā kopumā, ievērojot visas saimniecības un visa N aprites cikla kontekstu;</w:t>
      </w:r>
    </w:p>
    <w:p w14:paraId="033CF43B"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visi N avoti tiek atbilstīgi glabāti un apstrādāti;</w:t>
      </w:r>
    </w:p>
    <w:p w14:paraId="547222D8"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izmanto tikai to N daudzumu, kas nepieciešams audzēto augu un dzīvnieku vajadzību apmierināšanai;</w:t>
      </w:r>
    </w:p>
    <w:p w14:paraId="39AFA724"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N avotus izmanto laikus, ar atbilstīgiem paņēmieniem pareizajos daudzumos un pareizajā vietā;</w:t>
      </w:r>
    </w:p>
    <w:p w14:paraId="22ABE56C"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ņem vērā visus iespējamos N zudumu rašanās ceļus to loģiskajā secībā.</w:t>
      </w:r>
    </w:p>
    <w:p w14:paraId="378D35CE" w14:textId="43365289"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Papildu informāc</w:t>
      </w:r>
      <w:r w:rsidR="007B5A4A">
        <w:rPr>
          <w:noProof/>
          <w:sz w:val="24"/>
        </w:rPr>
        <w:t>ija par „slāpekļa apsaimniekošanu</w:t>
      </w:r>
      <w:r w:rsidRPr="00F35F4D">
        <w:rPr>
          <w:noProof/>
          <w:sz w:val="24"/>
        </w:rPr>
        <w:t>, ņemot vērā visu slāpekļa aprites ciklu”, ir I pielikumā.</w:t>
      </w:r>
    </w:p>
    <w:p w14:paraId="3F55E3F2" w14:textId="69A024DD" w:rsidR="008E3F72" w:rsidRPr="00F35F4D" w:rsidRDefault="008E3F72" w:rsidP="00163344">
      <w:pPr>
        <w:pStyle w:val="BodyText"/>
        <w:widowControl/>
        <w:numPr>
          <w:ilvl w:val="0"/>
          <w:numId w:val="16"/>
        </w:numPr>
        <w:kinsoku w:val="0"/>
        <w:overflowPunct w:val="0"/>
        <w:spacing w:before="0"/>
        <w:ind w:left="0" w:firstLine="0"/>
        <w:jc w:val="both"/>
        <w:rPr>
          <w:noProof/>
          <w:sz w:val="24"/>
          <w:szCs w:val="24"/>
        </w:rPr>
      </w:pPr>
      <w:r w:rsidRPr="00F35F4D">
        <w:rPr>
          <w:i/>
        </w:rPr>
        <w:t>„Atsauces” situācija.</w:t>
      </w:r>
      <w:r w:rsidRPr="00F35F4D">
        <w:rPr>
          <w:noProof/>
          <w:sz w:val="24"/>
        </w:rPr>
        <w:t xml:space="preserve"> Atsauce, ko izmanto salīdzinājumam, ir situācija tādā sa</w:t>
      </w:r>
      <w:r w:rsidR="007B5A4A">
        <w:rPr>
          <w:noProof/>
          <w:sz w:val="24"/>
        </w:rPr>
        <w:t>imniecībā, kurā N apsaimniekošanu</w:t>
      </w:r>
      <w:r w:rsidRPr="00F35F4D">
        <w:rPr>
          <w:noProof/>
          <w:sz w:val="24"/>
        </w:rPr>
        <w:t xml:space="preserve"> neplāno un N bilances neizmanto. Tā kā N apritei piemīt atšķirības, jānošķir dažādas saimniekošanas sistēmas, piemēram,</w:t>
      </w:r>
    </w:p>
    <w:p w14:paraId="5D169906"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specializētas augkopības saimniecības, ko sīkāk iedala saimniecībās, kurās audzē</w:t>
      </w:r>
    </w:p>
    <w:p w14:paraId="46F95A6A"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laukaugus;</w:t>
      </w:r>
    </w:p>
    <w:p w14:paraId="670E692D"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dārzeņus;</w:t>
      </w:r>
    </w:p>
    <w:p w14:paraId="2EE5C6EE"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augļus;</w:t>
      </w:r>
    </w:p>
    <w:p w14:paraId="400D5B4C" w14:textId="7F9FBB3D"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ganību</w:t>
      </w:r>
      <w:r w:rsidR="007B5A4A">
        <w:rPr>
          <w:noProof/>
          <w:sz w:val="24"/>
        </w:rPr>
        <w:t xml:space="preserve"> saimniecības atgremotāj</w:t>
      </w:r>
      <w:r w:rsidRPr="00F35F4D">
        <w:rPr>
          <w:noProof/>
          <w:sz w:val="24"/>
        </w:rPr>
        <w:t>u audzēšanai, ko sīkāk iedala saimniecībās, kurās audzē</w:t>
      </w:r>
    </w:p>
    <w:p w14:paraId="5B744D59" w14:textId="2DDF1E14"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 xml:space="preserve">piena </w:t>
      </w:r>
      <w:r w:rsidR="007B5A4A">
        <w:rPr>
          <w:noProof/>
          <w:sz w:val="24"/>
        </w:rPr>
        <w:t>liel</w:t>
      </w:r>
      <w:r w:rsidRPr="00F35F4D">
        <w:rPr>
          <w:noProof/>
          <w:sz w:val="24"/>
        </w:rPr>
        <w:t>lopus;</w:t>
      </w:r>
    </w:p>
    <w:p w14:paraId="17C827E6" w14:textId="6391B61D"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 xml:space="preserve">gaļas </w:t>
      </w:r>
      <w:r w:rsidR="007B5A4A">
        <w:rPr>
          <w:noProof/>
          <w:sz w:val="24"/>
        </w:rPr>
        <w:t>liel</w:t>
      </w:r>
      <w:r w:rsidRPr="00F35F4D">
        <w:rPr>
          <w:noProof/>
          <w:sz w:val="24"/>
        </w:rPr>
        <w:t>lopus;</w:t>
      </w:r>
    </w:p>
    <w:p w14:paraId="74AF70DA"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lastRenderedPageBreak/>
        <w:t>aitas un/vai kazas;</w:t>
      </w:r>
    </w:p>
    <w:p w14:paraId="09895448"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citus dzīvniekus (bifeļus, bizonus, stirnas utt.);</w:t>
      </w:r>
    </w:p>
    <w:p w14:paraId="74731602"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jauktas augkopības – lopkopības sistēmas, kurās dominē kāda konkrēta dzīvnieku kategorija –</w:t>
      </w:r>
    </w:p>
    <w:p w14:paraId="7E205258" w14:textId="68044FFF"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 xml:space="preserve">piena </w:t>
      </w:r>
      <w:r w:rsidR="007B5A4A">
        <w:rPr>
          <w:noProof/>
          <w:sz w:val="24"/>
        </w:rPr>
        <w:t>liel</w:t>
      </w:r>
      <w:r w:rsidRPr="00F35F4D">
        <w:rPr>
          <w:noProof/>
          <w:sz w:val="24"/>
        </w:rPr>
        <w:t>lopi;</w:t>
      </w:r>
    </w:p>
    <w:p w14:paraId="3903F17B" w14:textId="087DE532"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 xml:space="preserve">gaļas </w:t>
      </w:r>
      <w:r w:rsidR="007B5A4A">
        <w:rPr>
          <w:noProof/>
          <w:sz w:val="24"/>
        </w:rPr>
        <w:t>liel</w:t>
      </w:r>
      <w:r w:rsidRPr="00F35F4D">
        <w:rPr>
          <w:noProof/>
          <w:sz w:val="24"/>
        </w:rPr>
        <w:t>lopi;</w:t>
      </w:r>
    </w:p>
    <w:p w14:paraId="6753CABB"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cūkas;</w:t>
      </w:r>
    </w:p>
    <w:p w14:paraId="149559FA"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mājputni;</w:t>
      </w:r>
    </w:p>
    <w:p w14:paraId="40A990D4"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citi dzīvnieki;</w:t>
      </w:r>
    </w:p>
    <w:p w14:paraId="4425FA05"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specializētas bezzemes sistēmas, kurās ir</w:t>
      </w:r>
    </w:p>
    <w:p w14:paraId="7FF565F5" w14:textId="60CE76CB"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 xml:space="preserve">piena </w:t>
      </w:r>
      <w:r w:rsidR="007B5A4A">
        <w:rPr>
          <w:noProof/>
          <w:sz w:val="24"/>
        </w:rPr>
        <w:t>liel</w:t>
      </w:r>
      <w:r w:rsidRPr="00F35F4D">
        <w:rPr>
          <w:noProof/>
          <w:sz w:val="24"/>
        </w:rPr>
        <w:t>lopi;</w:t>
      </w:r>
    </w:p>
    <w:p w14:paraId="04556789" w14:textId="6BB03C75"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 xml:space="preserve">gaļas </w:t>
      </w:r>
      <w:r w:rsidR="007B5A4A">
        <w:rPr>
          <w:noProof/>
          <w:sz w:val="24"/>
        </w:rPr>
        <w:t>liel</w:t>
      </w:r>
      <w:r w:rsidRPr="00F35F4D">
        <w:rPr>
          <w:noProof/>
          <w:sz w:val="24"/>
        </w:rPr>
        <w:t>lopi;</w:t>
      </w:r>
    </w:p>
    <w:p w14:paraId="5B71AC3D"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cūkas;</w:t>
      </w:r>
    </w:p>
    <w:p w14:paraId="32E98637"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mājputni;</w:t>
      </w:r>
    </w:p>
    <w:p w14:paraId="43CEAE98"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citi dzīvnieki.</w:t>
      </w:r>
    </w:p>
    <w:p w14:paraId="6B0CC30D" w14:textId="77777777" w:rsidR="008E3F72" w:rsidRPr="00F35F4D" w:rsidRDefault="008E3F72" w:rsidP="008E3F72">
      <w:pPr>
        <w:pStyle w:val="BodyText"/>
        <w:widowControl/>
        <w:kinsoku w:val="0"/>
        <w:overflowPunct w:val="0"/>
        <w:spacing w:before="0"/>
        <w:ind w:left="0"/>
        <w:jc w:val="both"/>
        <w:rPr>
          <w:noProof/>
          <w:sz w:val="24"/>
          <w:szCs w:val="24"/>
        </w:rPr>
      </w:pPr>
    </w:p>
    <w:p w14:paraId="63A3AEA6" w14:textId="66F06969" w:rsidR="008E3F72" w:rsidRDefault="008E3F72" w:rsidP="00C37ADD">
      <w:pPr>
        <w:pStyle w:val="Heading5"/>
        <w:widowControl/>
        <w:numPr>
          <w:ilvl w:val="0"/>
          <w:numId w:val="17"/>
        </w:numPr>
        <w:kinsoku w:val="0"/>
        <w:overflowPunct w:val="0"/>
        <w:jc w:val="both"/>
        <w:rPr>
          <w:rFonts w:ascii="Times New Roman" w:hAnsi="Times New Roman" w:cs="Times New Roman"/>
          <w:noProof/>
          <w:color w:val="0D0D0D"/>
          <w:sz w:val="24"/>
        </w:rPr>
      </w:pPr>
      <w:r w:rsidRPr="00F35F4D">
        <w:rPr>
          <w:rFonts w:ascii="Times New Roman" w:hAnsi="Times New Roman" w:cs="Times New Roman"/>
          <w:noProof/>
          <w:color w:val="0D0D0D"/>
          <w:sz w:val="24"/>
        </w:rPr>
        <w:t>kategorijas stratēģijas</w:t>
      </w:r>
    </w:p>
    <w:p w14:paraId="26996CD2" w14:textId="77777777" w:rsidR="00C37ADD" w:rsidRPr="00C37ADD" w:rsidRDefault="00C37ADD" w:rsidP="00C37ADD">
      <w:pPr>
        <w:pStyle w:val="ListParagraph"/>
        <w:ind w:left="720"/>
      </w:pPr>
    </w:p>
    <w:p w14:paraId="197009EC" w14:textId="5A9617B1" w:rsidR="008E3F72" w:rsidRPr="00C37ADD" w:rsidRDefault="007B5A4A" w:rsidP="008E3F72">
      <w:pPr>
        <w:pStyle w:val="BodyText"/>
        <w:widowControl/>
        <w:numPr>
          <w:ilvl w:val="0"/>
          <w:numId w:val="16"/>
        </w:numPr>
        <w:tabs>
          <w:tab w:val="left" w:pos="861"/>
        </w:tabs>
        <w:kinsoku w:val="0"/>
        <w:overflowPunct w:val="0"/>
        <w:spacing w:before="0"/>
        <w:ind w:left="0" w:firstLine="0"/>
        <w:jc w:val="both"/>
        <w:rPr>
          <w:noProof/>
          <w:sz w:val="24"/>
          <w:szCs w:val="24"/>
        </w:rPr>
      </w:pPr>
      <w:r>
        <w:rPr>
          <w:noProof/>
          <w:sz w:val="24"/>
        </w:rPr>
        <w:t>Labas N apsaimniekošanas</w:t>
      </w:r>
      <w:r w:rsidR="008E3F72" w:rsidRPr="00F35F4D">
        <w:rPr>
          <w:noProof/>
          <w:sz w:val="24"/>
        </w:rPr>
        <w:t xml:space="preserve"> īstenošana saimniecībā ir iedarbīga stratēģija N izmantošanas efektivitātes kāpināšanai un N zudumu samazināšanai. Šīm vaj</w:t>
      </w:r>
      <w:r>
        <w:rPr>
          <w:noProof/>
          <w:sz w:val="24"/>
        </w:rPr>
        <w:t>adzībām ievieš vispārēju apsaimniekošanas</w:t>
      </w:r>
      <w:r w:rsidR="008E3F72" w:rsidRPr="00F35F4D">
        <w:rPr>
          <w:noProof/>
          <w:sz w:val="24"/>
        </w:rPr>
        <w:t xml:space="preserve"> pasākumu iteratīvu kopumu (ciklu), kuru īsteno ik gadu un kurā ietilpst</w:t>
      </w:r>
    </w:p>
    <w:p w14:paraId="6D376DFF" w14:textId="77777777" w:rsidR="00C37ADD" w:rsidRPr="00F35F4D" w:rsidRDefault="00C37ADD" w:rsidP="00C37ADD">
      <w:pPr>
        <w:pStyle w:val="BodyText"/>
        <w:widowControl/>
        <w:tabs>
          <w:tab w:val="left" w:pos="861"/>
        </w:tabs>
        <w:kinsoku w:val="0"/>
        <w:overflowPunct w:val="0"/>
        <w:spacing w:before="0"/>
        <w:ind w:left="0"/>
        <w:jc w:val="both"/>
        <w:rPr>
          <w:noProof/>
          <w:sz w:val="24"/>
          <w:szCs w:val="24"/>
        </w:rPr>
      </w:pPr>
    </w:p>
    <w:p w14:paraId="7A39609F"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analīze par</w:t>
      </w:r>
    </w:p>
    <w:p w14:paraId="063CB551"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kultūraugu un dzīvnieku vajadzībām pēc N,</w:t>
      </w:r>
    </w:p>
    <w:p w14:paraId="62049A26"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esošajiem N avotiem,</w:t>
      </w:r>
    </w:p>
    <w:p w14:paraId="659A86B5" w14:textId="4926A8E0" w:rsidR="008E3F72" w:rsidRPr="00F35F4D" w:rsidRDefault="00012926" w:rsidP="00163344">
      <w:pPr>
        <w:pStyle w:val="BodyText"/>
        <w:widowControl/>
        <w:numPr>
          <w:ilvl w:val="2"/>
          <w:numId w:val="16"/>
        </w:numPr>
        <w:kinsoku w:val="0"/>
        <w:overflowPunct w:val="0"/>
        <w:spacing w:before="0"/>
        <w:ind w:left="0" w:firstLine="0"/>
        <w:jc w:val="both"/>
        <w:rPr>
          <w:noProof/>
          <w:sz w:val="24"/>
          <w:szCs w:val="24"/>
        </w:rPr>
      </w:pPr>
      <w:r>
        <w:rPr>
          <w:noProof/>
          <w:sz w:val="24"/>
        </w:rPr>
        <w:t>uz</w:t>
      </w:r>
      <w:r w:rsidR="008E3F72" w:rsidRPr="00F35F4D">
        <w:rPr>
          <w:noProof/>
          <w:sz w:val="24"/>
        </w:rPr>
        <w:t>glabāšanas apstākļiem un iespējamo noplūdi,</w:t>
      </w:r>
    </w:p>
    <w:p w14:paraId="742EC4F6"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esošajiem paņēmieniem, metodēm un procedūrām pareizai N izmantošanai;</w:t>
      </w:r>
    </w:p>
    <w:p w14:paraId="41471132"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lēmumu pieņemšana, tostarp</w:t>
      </w:r>
    </w:p>
    <w:p w14:paraId="5E6B8081"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variantu izstrāde, pamatojoties uz iepriekš veikto analīzi,</w:t>
      </w:r>
    </w:p>
    <w:p w14:paraId="5D2DD0CB"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dažādo variantu seku izvērtēšana,</w:t>
      </w:r>
    </w:p>
    <w:p w14:paraId="41AFE638"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labākā varianta izvēle agronomisko un vides mērķu sasniegšanai;</w:t>
      </w:r>
    </w:p>
    <w:p w14:paraId="141FD075"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plānošana, tostarp</w:t>
      </w:r>
    </w:p>
    <w:p w14:paraId="238CD160"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darāmo darbu un veicamo mērījumu apzināšana – kad un kur, un kā, un kādā daudzumā,</w:t>
      </w:r>
    </w:p>
    <w:p w14:paraId="6C49248B" w14:textId="2F410863"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 xml:space="preserve">reālā plāna veidošana, kurā </w:t>
      </w:r>
      <w:r w:rsidR="00012926">
        <w:rPr>
          <w:noProof/>
          <w:sz w:val="24"/>
        </w:rPr>
        <w:t>pieejami barības elementi ir sadalīti</w:t>
      </w:r>
      <w:r w:rsidRPr="00F35F4D">
        <w:rPr>
          <w:noProof/>
          <w:sz w:val="24"/>
        </w:rPr>
        <w:t xml:space="preserve"> tā, lai ekonomiskais guvums būtu pēc iespējas lielāks, cik vien iespējams samazinot ietekmi uz vidi un nepārkāpjot maksimālās pieļaujamās vērtības videi;</w:t>
      </w:r>
    </w:p>
    <w:p w14:paraId="4D0BCC13"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izpilde, t. i.,</w:t>
      </w:r>
    </w:p>
    <w:p w14:paraId="58A0DE2D" w14:textId="4411EB13" w:rsidR="008E3F72" w:rsidRPr="00F35F4D" w:rsidRDefault="00012926" w:rsidP="00163344">
      <w:pPr>
        <w:pStyle w:val="BodyText"/>
        <w:widowControl/>
        <w:numPr>
          <w:ilvl w:val="2"/>
          <w:numId w:val="16"/>
        </w:numPr>
        <w:kinsoku w:val="0"/>
        <w:overflowPunct w:val="0"/>
        <w:spacing w:before="0"/>
        <w:ind w:left="0" w:firstLine="0"/>
        <w:jc w:val="both"/>
        <w:rPr>
          <w:noProof/>
          <w:sz w:val="24"/>
          <w:szCs w:val="24"/>
        </w:rPr>
      </w:pPr>
      <w:r>
        <w:rPr>
          <w:noProof/>
          <w:sz w:val="24"/>
        </w:rPr>
        <w:t>N apsaimniekošanas</w:t>
      </w:r>
      <w:r w:rsidR="008E3F72" w:rsidRPr="00F35F4D">
        <w:rPr>
          <w:noProof/>
          <w:sz w:val="24"/>
        </w:rPr>
        <w:t xml:space="preserve"> plāna īstenošana praksē,</w:t>
      </w:r>
    </w:p>
    <w:p w14:paraId="2E78460E"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faktisko vides apstākļu ievērošana,</w:t>
      </w:r>
    </w:p>
    <w:p w14:paraId="57245B87" w14:textId="21A2D04C"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labāko metodisko norādījumu un ieteikum</w:t>
      </w:r>
      <w:r w:rsidR="00012926">
        <w:rPr>
          <w:noProof/>
          <w:sz w:val="24"/>
        </w:rPr>
        <w:t>u ievērošana attiecībā uz apsaimniekošanu</w:t>
      </w:r>
      <w:r w:rsidRPr="00F35F4D">
        <w:rPr>
          <w:noProof/>
          <w:sz w:val="24"/>
        </w:rPr>
        <w:t>;</w:t>
      </w:r>
    </w:p>
    <w:p w14:paraId="28D83F15" w14:textId="7E1DB458"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pārraudzība un kontrole, t. i.,</w:t>
      </w:r>
    </w:p>
    <w:p w14:paraId="0AF8D7D5"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datu vākšana par ražu un N saturu,</w:t>
      </w:r>
    </w:p>
    <w:p w14:paraId="077CB9A2"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ienākošā un izejošā N daudzuma bilanču sastādīšana;</w:t>
      </w:r>
    </w:p>
    <w:p w14:paraId="56EA389E" w14:textId="77777777" w:rsidR="008E3F72" w:rsidRPr="00F35F4D" w:rsidRDefault="008E3F72" w:rsidP="00163344">
      <w:pPr>
        <w:pStyle w:val="BodyText"/>
        <w:widowControl/>
        <w:numPr>
          <w:ilvl w:val="1"/>
          <w:numId w:val="16"/>
        </w:numPr>
        <w:kinsoku w:val="0"/>
        <w:overflowPunct w:val="0"/>
        <w:spacing w:before="0"/>
        <w:ind w:left="0" w:firstLine="0"/>
        <w:jc w:val="both"/>
        <w:rPr>
          <w:noProof/>
          <w:sz w:val="24"/>
          <w:szCs w:val="24"/>
        </w:rPr>
      </w:pPr>
      <w:r w:rsidRPr="00F35F4D">
        <w:rPr>
          <w:noProof/>
          <w:sz w:val="24"/>
        </w:rPr>
        <w:t>vērtēšana (sasniegto rezultātu apstiprināšana un kontrole salīdzinājumā ar nospraustajiem mērķiem), tostarp par</w:t>
      </w:r>
    </w:p>
    <w:p w14:paraId="728AEB26" w14:textId="77777777" w:rsidR="008E3F72" w:rsidRPr="00F35F4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t>slāpekļa pārpalikumu ienākošā un izejošā N daudzuma bilancē (Npārpalikumu),</w:t>
      </w:r>
    </w:p>
    <w:p w14:paraId="566C0445" w14:textId="77777777" w:rsidR="008E3F72" w:rsidRPr="00C37ADD" w:rsidRDefault="008E3F72" w:rsidP="00163344">
      <w:pPr>
        <w:pStyle w:val="BodyText"/>
        <w:widowControl/>
        <w:numPr>
          <w:ilvl w:val="2"/>
          <w:numId w:val="16"/>
        </w:numPr>
        <w:kinsoku w:val="0"/>
        <w:overflowPunct w:val="0"/>
        <w:spacing w:before="0"/>
        <w:ind w:left="0" w:firstLine="0"/>
        <w:jc w:val="both"/>
        <w:rPr>
          <w:noProof/>
          <w:sz w:val="24"/>
          <w:szCs w:val="24"/>
        </w:rPr>
      </w:pPr>
      <w:r w:rsidRPr="00F35F4D">
        <w:rPr>
          <w:noProof/>
          <w:sz w:val="24"/>
        </w:rPr>
        <w:lastRenderedPageBreak/>
        <w:t>N izmantošanas efektivitāti (NIE).</w:t>
      </w:r>
    </w:p>
    <w:p w14:paraId="0283B40B" w14:textId="77777777" w:rsidR="00C37ADD" w:rsidRPr="00F35F4D" w:rsidRDefault="00C37ADD" w:rsidP="00C37ADD">
      <w:pPr>
        <w:pStyle w:val="BodyText"/>
        <w:widowControl/>
        <w:kinsoku w:val="0"/>
        <w:overflowPunct w:val="0"/>
        <w:spacing w:before="0"/>
        <w:ind w:left="0"/>
        <w:jc w:val="both"/>
        <w:rPr>
          <w:noProof/>
          <w:sz w:val="24"/>
          <w:szCs w:val="24"/>
        </w:rPr>
      </w:pPr>
    </w:p>
    <w:p w14:paraId="08ECA176" w14:textId="26BA67A7" w:rsidR="008E3F72" w:rsidRPr="00163344" w:rsidRDefault="008E3F72" w:rsidP="00163344">
      <w:pPr>
        <w:pStyle w:val="BodyText"/>
        <w:widowControl/>
        <w:numPr>
          <w:ilvl w:val="0"/>
          <w:numId w:val="16"/>
        </w:numPr>
        <w:kinsoku w:val="0"/>
        <w:overflowPunct w:val="0"/>
        <w:spacing w:before="0"/>
        <w:ind w:left="0" w:firstLine="0"/>
        <w:jc w:val="both"/>
        <w:rPr>
          <w:noProof/>
          <w:sz w:val="24"/>
          <w:szCs w:val="24"/>
        </w:rPr>
      </w:pPr>
      <w:r w:rsidRPr="00F35F4D">
        <w:rPr>
          <w:noProof/>
          <w:sz w:val="24"/>
        </w:rPr>
        <w:t>Ienākošā un izejošā N daudzuma bilanci (ko dēvē arī par bilanci pie saimniecības vārtiem) var uzskatīt par monitoringa instr</w:t>
      </w:r>
      <w:r w:rsidR="00012926">
        <w:rPr>
          <w:noProof/>
          <w:sz w:val="24"/>
        </w:rPr>
        <w:t>umentu labākas N apsaimniekošanas</w:t>
      </w:r>
      <w:r w:rsidRPr="00F35F4D">
        <w:rPr>
          <w:noProof/>
          <w:sz w:val="24"/>
        </w:rPr>
        <w:t xml:space="preserve"> panākšanai (piemēram, </w:t>
      </w:r>
      <w:r w:rsidRPr="00F35F4D">
        <w:rPr>
          <w:i/>
          <w:noProof/>
          <w:sz w:val="24"/>
        </w:rPr>
        <w:t>Jarvis et al.</w:t>
      </w:r>
      <w:r w:rsidRPr="00F35F4D">
        <w:rPr>
          <w:noProof/>
          <w:sz w:val="24"/>
        </w:rPr>
        <w:t>, 2011). Saimniecības līmenī tajā tiek uzskaitīts viss ienākošais N daudzums un viss izejošais N daudzums lietošanai derīgu produktu veidā. Starpība starp visu ienākošo N daudzumu un visu izejošo N daudzumu ir slāpekļa pārpalikums (Npārpalikums), turpretim attiecība starp kopējo izejošo N daudzumu lietošanai derīgu produktu veidā un ienākošo N daudzumu ir mērījums, kas raksturo NIE. Npārpalikums ir rādītājs, kas raksturo spiedienu uz vidi, un to izsaka kā slāpekļa daudzumu uz ha gadā. NIE ir rādītājs, kas raksturo resursu izmantošanas efektivitāti (cik N-olbaltumvielu pārtikā tiek saražots uz vienu ienākošā N daudzuma vienību), un to izsaka kilogramos uz kilogramu (</w:t>
      </w:r>
      <w:r w:rsidRPr="00F35F4D">
        <w:rPr>
          <w:i/>
          <w:noProof/>
          <w:sz w:val="24"/>
        </w:rPr>
        <w:t>Doberman</w:t>
      </w:r>
      <w:r w:rsidRPr="00F35F4D">
        <w:rPr>
          <w:noProof/>
          <w:sz w:val="24"/>
        </w:rPr>
        <w:t xml:space="preserve">, 2007). Gan Npārpalikums, gan </w:t>
      </w:r>
      <w:r w:rsidRPr="00F35F4D">
        <w:rPr>
          <w:i/>
          <w:noProof/>
          <w:sz w:val="24"/>
        </w:rPr>
        <w:t>NIE</w:t>
      </w:r>
      <w:r w:rsidRPr="00F35F4D">
        <w:rPr>
          <w:noProof/>
          <w:sz w:val="24"/>
        </w:rPr>
        <w:t xml:space="preserve"> ir radītāji, kas ļoti atkarīgi no saimniekošanas sistēmas un vadības</w:t>
      </w:r>
      <w:r w:rsidR="00012926">
        <w:rPr>
          <w:noProof/>
          <w:sz w:val="24"/>
        </w:rPr>
        <w:t xml:space="preserve"> apsaimniekošanas</w:t>
      </w:r>
      <w:r w:rsidRPr="00F35F4D">
        <w:rPr>
          <w:noProof/>
          <w:sz w:val="24"/>
        </w:rPr>
        <w:t xml:space="preserve"> līmeņa. Orientējošās mērķvērtības var noteikt kā attiecībā uz Npārpalikumu, tā NIE atkarībā no saimniekošanas </w:t>
      </w:r>
      <w:r w:rsidR="00012926">
        <w:rPr>
          <w:noProof/>
          <w:sz w:val="24"/>
        </w:rPr>
        <w:t>sistēmas un apsaimniekošanas</w:t>
      </w:r>
      <w:r w:rsidRPr="00F35F4D">
        <w:rPr>
          <w:noProof/>
          <w:sz w:val="24"/>
        </w:rPr>
        <w:t xml:space="preserve"> līmeņa. Dažās valstīs informāciju par saimniecības N bilanci, Npārpalikumu un NIE</w:t>
      </w:r>
      <w:r w:rsidRPr="00F35F4D">
        <w:rPr>
          <w:i/>
          <w:noProof/>
          <w:sz w:val="24"/>
        </w:rPr>
        <w:t xml:space="preserve"> </w:t>
      </w:r>
      <w:r w:rsidRPr="00F35F4D">
        <w:rPr>
          <w:noProof/>
          <w:sz w:val="24"/>
        </w:rPr>
        <w:t>uzskata par konfidenciālu.</w:t>
      </w:r>
    </w:p>
    <w:p w14:paraId="4B23AE99" w14:textId="77777777" w:rsidR="00163344" w:rsidRPr="00F35F4D" w:rsidRDefault="00163344" w:rsidP="00163344">
      <w:pPr>
        <w:pStyle w:val="BodyText"/>
        <w:widowControl/>
        <w:kinsoku w:val="0"/>
        <w:overflowPunct w:val="0"/>
        <w:spacing w:before="0"/>
        <w:ind w:left="0"/>
        <w:jc w:val="both"/>
        <w:rPr>
          <w:noProof/>
          <w:sz w:val="24"/>
          <w:szCs w:val="24"/>
        </w:rPr>
      </w:pPr>
    </w:p>
    <w:p w14:paraId="78FAEFE6" w14:textId="77777777" w:rsidR="008E3F72" w:rsidRPr="00163344"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Ienākošā un izejošā N daudzuma bilanci jau vairāk nekā 100 gadus izmanto pētījumos; dažās valstīs to vairāk nekā 10 gadus izmanto saimniecībās un arī kā instrumentu regulēšanai. Tomēr par ienākošā un izejošā N daudzuma bilances izmantošanu tieši NH3 emisijas mazināšanai ir uzkrāta mazāka pieredze. Ienākošā un izejošā N daudzuma bilance vislabāk palīdz samazināt NH3 emisiju tajās saimniecībās, kurās ir liels lauksaimniecības dzīvnieku blīvumu. Lai sastādītu saimniecības ienākošā un izejošā N daudzuma bilanci, ir vajadzīgas zināšanas par grāmatvedību kopumā un par ienākošo un izejošo N daudzumu. Līdzšinējā pieredze liecina, ka lauksaimniekiem šīs bilances ir viegli saprotamas, un tāpēc tās ērti izmantojamas informācijas apmaiņai un dažādu saimniecību un to rezultātu salīdzināšanai. Iemesls jo īpaši ir tas, ka N bilances uzlabošanās ir pamats lauksaimniekiem samazināt izmaksas par minerālmēslojuma iegādi. Arī bioloģiskajās saimniecībās, kur minerālmēslojumu neizmanto, N bilance ļauj labāk izmantot slāpekli, kura saimniecībā jau tā nav daudz.</w:t>
      </w:r>
    </w:p>
    <w:p w14:paraId="32EE0C08" w14:textId="77777777" w:rsidR="00163344" w:rsidRPr="00F35F4D" w:rsidRDefault="00163344" w:rsidP="00163344">
      <w:pPr>
        <w:pStyle w:val="BodyText"/>
        <w:widowControl/>
        <w:tabs>
          <w:tab w:val="left" w:pos="861"/>
        </w:tabs>
        <w:kinsoku w:val="0"/>
        <w:overflowPunct w:val="0"/>
        <w:spacing w:before="0"/>
        <w:ind w:left="0"/>
        <w:jc w:val="both"/>
        <w:rPr>
          <w:noProof/>
          <w:sz w:val="24"/>
          <w:szCs w:val="24"/>
        </w:rPr>
      </w:pPr>
    </w:p>
    <w:p w14:paraId="4DD2480F" w14:textId="77777777" w:rsidR="008E3F72" w:rsidRPr="00163344"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Npārpalikuma un NIE rādītāji ir atkarīgi no saimniekošanas sistēmas un agronomiskajiem un vides uzdevumiem. Tāpēc Npārpalikuma un NIE mērķvērtības ir atkarīgas no saimniecības veida, un tās jāaplūko un jāvērtē, ņemot vērā reģionālo kontekstu.</w:t>
      </w:r>
    </w:p>
    <w:p w14:paraId="35FFEB5A" w14:textId="77777777" w:rsidR="00163344" w:rsidRPr="00F35F4D" w:rsidRDefault="00163344" w:rsidP="00163344">
      <w:pPr>
        <w:pStyle w:val="BodyText"/>
        <w:widowControl/>
        <w:tabs>
          <w:tab w:val="left" w:pos="861"/>
        </w:tabs>
        <w:kinsoku w:val="0"/>
        <w:overflowPunct w:val="0"/>
        <w:spacing w:before="0"/>
        <w:ind w:left="0"/>
        <w:jc w:val="both"/>
        <w:rPr>
          <w:noProof/>
          <w:sz w:val="24"/>
          <w:szCs w:val="24"/>
        </w:rPr>
      </w:pPr>
    </w:p>
    <w:p w14:paraId="17234AE2" w14:textId="0C660D40" w:rsidR="008E3F72" w:rsidRPr="00163344"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Sasniegto N apsaimniekošanā var vērtēt, pamatojoties uz to, kā mainījušies Npārpalikuma un NIE</w:t>
      </w:r>
      <w:r w:rsidRPr="00F35F4D">
        <w:rPr>
          <w:i/>
          <w:noProof/>
          <w:sz w:val="24"/>
        </w:rPr>
        <w:t xml:space="preserve"> </w:t>
      </w:r>
      <w:r w:rsidRPr="00F35F4D">
        <w:rPr>
          <w:noProof/>
          <w:sz w:val="24"/>
        </w:rPr>
        <w:t>rādītāji laika gaitā konkrētā saimniecībā vai saimniecību grupā. Lai ņemtu vērā mainīgos laika apstākļus pa gadiem un neparedzētos zudumus, par intervālu jāizvēlas piecu gadu ilgs periods. Par uzlabojumiem N apsaimniekošanā liecina Npārpalikuma samazināšanās un NIE palielināšanās. N apsaimniekošanu var turpināt uzlabot, līd</w:t>
      </w:r>
      <w:r w:rsidR="00012926">
        <w:rPr>
          <w:noProof/>
          <w:sz w:val="24"/>
        </w:rPr>
        <w:t>z sasniegts „labākās apsaimniekošanas</w:t>
      </w:r>
      <w:r w:rsidRPr="00F35F4D">
        <w:rPr>
          <w:noProof/>
          <w:sz w:val="24"/>
        </w:rPr>
        <w:t xml:space="preserve"> prakses” </w:t>
      </w:r>
      <w:r w:rsidR="00012926">
        <w:rPr>
          <w:noProof/>
          <w:sz w:val="24"/>
        </w:rPr>
        <w:t>līmenis. Šo „labākās apsaimniekošanas</w:t>
      </w:r>
      <w:r w:rsidRPr="00F35F4D">
        <w:rPr>
          <w:noProof/>
          <w:sz w:val="24"/>
        </w:rPr>
        <w:t xml:space="preserve"> līmeni” parasti diktē eksperimentālās saimniecības vai pieci procenti pašu labāko praktizējošo saimniecību. Tāpēc N apsaimniekošanu var turpināt uzlabot līdz tam, kad saimniecības ir sasniegušas līmeni, kurā darbojas 5 % pašu labāko praktizējošo saimniecību. Dānijas un Nīderlandes saimniecības ir spējušas samazināt Npārpalikuma un palielināt NIE rādītājus par aptuveni 30 % piecu gadu posmā un 50 % – 10 gadu posmā (piemēram, </w:t>
      </w:r>
      <w:r w:rsidRPr="00F35F4D">
        <w:rPr>
          <w:i/>
          <w:noProof/>
          <w:sz w:val="24"/>
        </w:rPr>
        <w:t xml:space="preserve">Mikkelsen et al., </w:t>
      </w:r>
      <w:r w:rsidRPr="00F35F4D">
        <w:rPr>
          <w:noProof/>
          <w:sz w:val="24"/>
        </w:rPr>
        <w:t xml:space="preserve">2010; </w:t>
      </w:r>
      <w:r w:rsidRPr="00F35F4D">
        <w:rPr>
          <w:i/>
          <w:noProof/>
          <w:sz w:val="24"/>
        </w:rPr>
        <w:t xml:space="preserve">J. Oenema et al., </w:t>
      </w:r>
      <w:r w:rsidRPr="00F35F4D">
        <w:rPr>
          <w:noProof/>
          <w:sz w:val="24"/>
        </w:rPr>
        <w:lastRenderedPageBreak/>
        <w:t>2011). Pēc tam, kad pan</w:t>
      </w:r>
      <w:r w:rsidR="00012926">
        <w:rPr>
          <w:noProof/>
          <w:sz w:val="24"/>
        </w:rPr>
        <w:t>ākts labākās apsaimniekošanas prakses</w:t>
      </w:r>
      <w:r w:rsidRPr="00F35F4D">
        <w:rPr>
          <w:noProof/>
          <w:sz w:val="24"/>
        </w:rPr>
        <w:t xml:space="preserve"> līmenis, turpmākas Npārpalikuma samazināšanās un NIE palielināšanās tempi kļūst daudz lēnāki.</w:t>
      </w:r>
    </w:p>
    <w:p w14:paraId="059AB4D4" w14:textId="77777777" w:rsidR="00163344" w:rsidRPr="00F35F4D" w:rsidRDefault="00163344" w:rsidP="00163344">
      <w:pPr>
        <w:pStyle w:val="BodyText"/>
        <w:widowControl/>
        <w:tabs>
          <w:tab w:val="left" w:pos="861"/>
        </w:tabs>
        <w:kinsoku w:val="0"/>
        <w:overflowPunct w:val="0"/>
        <w:spacing w:before="0"/>
        <w:ind w:left="0"/>
        <w:jc w:val="both"/>
        <w:rPr>
          <w:noProof/>
          <w:sz w:val="24"/>
          <w:szCs w:val="24"/>
        </w:rPr>
      </w:pPr>
    </w:p>
    <w:p w14:paraId="3FFC7500" w14:textId="77777777"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Orientējošās Npārpalikuma un NIE mērķvērtības ir parādītas 2. tabulā. Jāievēro, ka NIE vērtības ir apgriezti proporcionāli un nelineāri saistītas ar Npārpalikuma vērtībām.</w:t>
      </w:r>
    </w:p>
    <w:p w14:paraId="532163FB" w14:textId="77777777" w:rsidR="008E3F72" w:rsidRPr="00163344"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Ienākošā un izejošā N daudzuma bilances sastādīšana orientējoši izmaksā 200–500 € gadā vienā saimniecībā atkarībā no saimniekošanas sistēmas un tā, vai tiek piesaistīti grāmatvedības un/vai konsultatīvo pakalpojumu sniedzēji. Jāievēro, ka šajā summā nav iekļautas izmaksas, kas saistītas ar izglītību, veicināšanu un pasākumu uzsākšanu. Dažās valstīs strādājošām saimniecībām šķērslis var būt pieejamu datu trūkums, bet tas neattiecas uz „paraugsaimniecībām” un „eksperimentālajām” saimniecībām. Laika gaitā izmaksām ir tendence samazināties (mācīšanās rezultātā).</w:t>
      </w:r>
    </w:p>
    <w:p w14:paraId="1B17D8BF" w14:textId="77777777" w:rsidR="00163344" w:rsidRPr="00F35F4D" w:rsidRDefault="00163344" w:rsidP="00163344">
      <w:pPr>
        <w:pStyle w:val="BodyText"/>
        <w:widowControl/>
        <w:tabs>
          <w:tab w:val="left" w:pos="861"/>
        </w:tabs>
        <w:kinsoku w:val="0"/>
        <w:overflowPunct w:val="0"/>
        <w:spacing w:before="0"/>
        <w:ind w:left="0"/>
        <w:jc w:val="both"/>
        <w:rPr>
          <w:noProof/>
          <w:sz w:val="24"/>
          <w:szCs w:val="24"/>
        </w:rPr>
      </w:pPr>
    </w:p>
    <w:p w14:paraId="43056C00" w14:textId="0243DC41" w:rsidR="008E3F72" w:rsidRPr="00163344"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Tīrā</w:t>
      </w:r>
      <w:r w:rsidR="00012926">
        <w:rPr>
          <w:noProof/>
          <w:sz w:val="24"/>
        </w:rPr>
        <w:t>s izmaksas par N apsaimniekošanas</w:t>
      </w:r>
      <w:r w:rsidRPr="00F35F4D">
        <w:rPr>
          <w:noProof/>
          <w:sz w:val="24"/>
        </w:rPr>
        <w:t xml:space="preserve"> uzlabošanu, kuras rezultātā NIE vērtība palielinās un Npārpalikuma vērtība samazinās, ir no -1 līdz 1 € par kg N (</w:t>
      </w:r>
      <w:r w:rsidRPr="00F35F4D">
        <w:rPr>
          <w:i/>
          <w:noProof/>
          <w:sz w:val="24"/>
        </w:rPr>
        <w:t>Reis</w:t>
      </w:r>
      <w:r w:rsidRPr="00F35F4D">
        <w:rPr>
          <w:noProof/>
          <w:sz w:val="24"/>
        </w:rPr>
        <w:t>, drīzumā). Tīrās izmaksas rodas, summējot guvumus no ietaupījuma par mēslošanas līdzekļa iegādi un labākiem ražošanas rezultātiem un bruto izmaksas par paraugu ņemšanu un analīzi un mācību un konsultāciju izmaksas.</w:t>
      </w:r>
    </w:p>
    <w:p w14:paraId="7CE2E5E8" w14:textId="77777777" w:rsidR="00163344" w:rsidRPr="00F35F4D" w:rsidRDefault="00163344" w:rsidP="00163344">
      <w:pPr>
        <w:pStyle w:val="BodyText"/>
        <w:widowControl/>
        <w:tabs>
          <w:tab w:val="left" w:pos="861"/>
        </w:tabs>
        <w:kinsoku w:val="0"/>
        <w:overflowPunct w:val="0"/>
        <w:spacing w:before="0"/>
        <w:ind w:left="0"/>
        <w:jc w:val="both"/>
        <w:rPr>
          <w:noProof/>
          <w:sz w:val="24"/>
          <w:szCs w:val="24"/>
        </w:rPr>
      </w:pPr>
    </w:p>
    <w:p w14:paraId="420D1158" w14:textId="7AE59EA8" w:rsidR="008E3F72" w:rsidRPr="00F35F4D" w:rsidRDefault="00012926" w:rsidP="008E3F72">
      <w:pPr>
        <w:pStyle w:val="BodyText"/>
        <w:widowControl/>
        <w:numPr>
          <w:ilvl w:val="0"/>
          <w:numId w:val="16"/>
        </w:numPr>
        <w:tabs>
          <w:tab w:val="left" w:pos="861"/>
        </w:tabs>
        <w:kinsoku w:val="0"/>
        <w:overflowPunct w:val="0"/>
        <w:spacing w:before="0"/>
        <w:ind w:left="0" w:firstLine="0"/>
        <w:jc w:val="both"/>
        <w:rPr>
          <w:noProof/>
          <w:sz w:val="24"/>
          <w:szCs w:val="24"/>
        </w:rPr>
      </w:pPr>
      <w:r>
        <w:rPr>
          <w:noProof/>
          <w:sz w:val="24"/>
        </w:rPr>
        <w:t>Valsts</w:t>
      </w:r>
      <w:r w:rsidR="008E3F72" w:rsidRPr="00F35F4D">
        <w:rPr>
          <w:noProof/>
          <w:sz w:val="24"/>
        </w:rPr>
        <w:t xml:space="preserve"> slāpekļa budžeti lauksaimniecībā ļauj apzināt a) pārtikas ražošanas izmaksas N izteiksmē; b) ar pārtikas ražošanu saistītos N zudumus valsts līmenī un c) potenciālās iespējas NIE uzlab</w:t>
      </w:r>
      <w:r>
        <w:rPr>
          <w:noProof/>
          <w:sz w:val="24"/>
        </w:rPr>
        <w:t>ošanai valsts līmenī. Valsts</w:t>
      </w:r>
      <w:r w:rsidR="008E3F72" w:rsidRPr="00F35F4D">
        <w:rPr>
          <w:noProof/>
          <w:sz w:val="24"/>
        </w:rPr>
        <w:t xml:space="preserve"> slāpekļa budžeti, kas izteikti kilogramos uz ha gadā, ļauj arī salīdzināt lauksaimniecības nozares dažādās EEK valstīs un izvērtēt to, kas ir sasniegts zudumu samazināšanā valstu N</w:t>
      </w:r>
      <w:r>
        <w:rPr>
          <w:noProof/>
          <w:sz w:val="24"/>
        </w:rPr>
        <w:t xml:space="preserve"> aprites ciklos. Šādu valsts</w:t>
      </w:r>
      <w:r w:rsidR="008E3F72" w:rsidRPr="00F35F4D">
        <w:rPr>
          <w:noProof/>
          <w:sz w:val="24"/>
        </w:rPr>
        <w:t xml:space="preserve"> slāpekļa budžetu izveidošanai ir izstrādāti vienveidīgi formāti un procedūras (tiešsaistē). Izmaksas par slāpekļa budžeta izveidošanu valsts līmenī ir aptuveni 10 000–100 000 € gadā atkarībā no statistisko datu pieejamības. Jāievēro, ka šajā summā nav iekļautas izmaksas, kas saistītas ar izglītību, veicināšanu un pasākumu uzsākšanu. Dažās valstīs ierobežojumus var radīt datu trūkums. Ķīmiski aktīvā slāpekļa darba grupa ir pieņēmusi atsevišķus metodiskos norādīju</w:t>
      </w:r>
      <w:r>
        <w:rPr>
          <w:noProof/>
          <w:sz w:val="24"/>
        </w:rPr>
        <w:t>mus, kuros izklāstītas valsts</w:t>
      </w:r>
      <w:r w:rsidR="008E3F72" w:rsidRPr="00F35F4D">
        <w:rPr>
          <w:noProof/>
          <w:sz w:val="24"/>
        </w:rPr>
        <w:t xml:space="preserve"> slāpekļa budžeta aprēķināšanas metodes, un Izpildinstitūcija šo dokumentu ir pieņēmusi (</w:t>
      </w:r>
      <w:r w:rsidR="008E3F72" w:rsidRPr="00F35F4D">
        <w:rPr>
          <w:i/>
          <w:noProof/>
          <w:sz w:val="24"/>
        </w:rPr>
        <w:t>EEK/EB.AIR/119</w:t>
      </w:r>
      <w:r w:rsidR="008E3F72" w:rsidRPr="00F35F4D">
        <w:rPr>
          <w:noProof/>
          <w:sz w:val="24"/>
        </w:rPr>
        <w:t>).</w:t>
      </w:r>
      <w:r w:rsidR="00163344">
        <w:rPr>
          <w:rStyle w:val="FootnoteReference"/>
          <w:noProof/>
          <w:sz w:val="24"/>
        </w:rPr>
        <w:footnoteReference w:id="10"/>
      </w:r>
    </w:p>
    <w:p w14:paraId="0A5F328A" w14:textId="77777777" w:rsidR="008E3F72" w:rsidRPr="00F35F4D" w:rsidRDefault="008E3F72" w:rsidP="008E3F72">
      <w:pPr>
        <w:pStyle w:val="BodyText"/>
        <w:widowControl/>
        <w:tabs>
          <w:tab w:val="left" w:pos="861"/>
        </w:tabs>
        <w:kinsoku w:val="0"/>
        <w:overflowPunct w:val="0"/>
        <w:spacing w:before="0"/>
        <w:ind w:left="0"/>
        <w:jc w:val="both"/>
        <w:rPr>
          <w:noProof/>
          <w:sz w:val="24"/>
          <w:szCs w:val="24"/>
        </w:rPr>
      </w:pPr>
    </w:p>
    <w:p w14:paraId="16AD6E2A"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2. tabula</w:t>
      </w:r>
    </w:p>
    <w:p w14:paraId="16680D20"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Slāpekļa pārpalikuma (Npārpalikuma) un slāpekļa izmantošanas efektivitātes (NIE) mērķvērtību orientējošie diapazoni atkarībā no saimniekošanas sistēmas, lauksaimniecības augu sugām un dzīvnieku kategorijām</w:t>
      </w:r>
    </w:p>
    <w:p w14:paraId="30CC47E0"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1289"/>
        <w:gridCol w:w="1492"/>
        <w:gridCol w:w="1086"/>
        <w:gridCol w:w="1134"/>
        <w:gridCol w:w="3225"/>
      </w:tblGrid>
      <w:tr w:rsidR="008E3F72" w:rsidRPr="00163344" w14:paraId="5456F628" w14:textId="77777777" w:rsidTr="0010018A">
        <w:tc>
          <w:tcPr>
            <w:tcW w:w="734" w:type="pct"/>
            <w:tcBorders>
              <w:top w:val="single" w:sz="4" w:space="0" w:color="000000"/>
              <w:left w:val="nil"/>
              <w:bottom w:val="single" w:sz="12" w:space="0" w:color="000000"/>
              <w:right w:val="nil"/>
            </w:tcBorders>
          </w:tcPr>
          <w:p w14:paraId="27EE23E5" w14:textId="77777777" w:rsidR="008E3F72" w:rsidRPr="00163344" w:rsidRDefault="008E3F72" w:rsidP="0010018A">
            <w:pPr>
              <w:pStyle w:val="TableParagraph"/>
              <w:widowControl/>
              <w:kinsoku w:val="0"/>
              <w:overflowPunct w:val="0"/>
              <w:jc w:val="both"/>
              <w:rPr>
                <w:i/>
                <w:iCs/>
                <w:noProof/>
                <w:sz w:val="20"/>
                <w:szCs w:val="20"/>
              </w:rPr>
            </w:pPr>
            <w:r w:rsidRPr="00163344">
              <w:rPr>
                <w:i/>
                <w:noProof/>
                <w:sz w:val="20"/>
                <w:szCs w:val="20"/>
              </w:rPr>
              <w:t>Saimniekošanas sistēmas</w:t>
            </w:r>
          </w:p>
        </w:tc>
        <w:tc>
          <w:tcPr>
            <w:tcW w:w="945" w:type="pct"/>
            <w:tcBorders>
              <w:top w:val="single" w:sz="4" w:space="0" w:color="000000"/>
              <w:left w:val="nil"/>
              <w:bottom w:val="single" w:sz="12" w:space="0" w:color="000000"/>
              <w:right w:val="nil"/>
            </w:tcBorders>
          </w:tcPr>
          <w:p w14:paraId="75E3DD45" w14:textId="77777777" w:rsidR="008E3F72" w:rsidRPr="00163344" w:rsidRDefault="008E3F72" w:rsidP="0010018A">
            <w:pPr>
              <w:pStyle w:val="TableParagraph"/>
              <w:widowControl/>
              <w:kinsoku w:val="0"/>
              <w:overflowPunct w:val="0"/>
              <w:jc w:val="both"/>
              <w:rPr>
                <w:i/>
                <w:iCs/>
                <w:noProof/>
                <w:sz w:val="20"/>
                <w:szCs w:val="20"/>
              </w:rPr>
            </w:pPr>
            <w:r w:rsidRPr="00163344">
              <w:rPr>
                <w:i/>
                <w:noProof/>
                <w:sz w:val="20"/>
                <w:szCs w:val="20"/>
              </w:rPr>
              <w:t>Sugas/kategorijas</w:t>
            </w:r>
          </w:p>
        </w:tc>
        <w:tc>
          <w:tcPr>
            <w:tcW w:w="698" w:type="pct"/>
            <w:tcBorders>
              <w:top w:val="single" w:sz="4" w:space="0" w:color="000000"/>
              <w:left w:val="nil"/>
              <w:bottom w:val="single" w:sz="12" w:space="0" w:color="000000"/>
              <w:right w:val="nil"/>
            </w:tcBorders>
          </w:tcPr>
          <w:p w14:paraId="41AC96CA" w14:textId="77777777" w:rsidR="008E3F72" w:rsidRPr="00163344" w:rsidRDefault="008E3F72" w:rsidP="0010018A">
            <w:pPr>
              <w:pStyle w:val="TableParagraph"/>
              <w:widowControl/>
              <w:kinsoku w:val="0"/>
              <w:overflowPunct w:val="0"/>
              <w:jc w:val="both"/>
              <w:rPr>
                <w:i/>
                <w:iCs/>
                <w:noProof/>
                <w:sz w:val="20"/>
                <w:szCs w:val="20"/>
              </w:rPr>
            </w:pPr>
            <w:r w:rsidRPr="00163344">
              <w:rPr>
                <w:i/>
                <w:noProof/>
                <w:sz w:val="20"/>
                <w:szCs w:val="20"/>
              </w:rPr>
              <w:t>NIE</w:t>
            </w:r>
          </w:p>
          <w:p w14:paraId="1521A937" w14:textId="77777777" w:rsidR="008E3F72" w:rsidRPr="00163344" w:rsidRDefault="008E3F72" w:rsidP="0010018A">
            <w:pPr>
              <w:pStyle w:val="TableParagraph"/>
              <w:widowControl/>
              <w:kinsoku w:val="0"/>
              <w:overflowPunct w:val="0"/>
              <w:jc w:val="both"/>
              <w:rPr>
                <w:i/>
                <w:iCs/>
                <w:noProof/>
                <w:sz w:val="20"/>
                <w:szCs w:val="20"/>
              </w:rPr>
            </w:pPr>
            <w:r w:rsidRPr="00163344">
              <w:rPr>
                <w:i/>
                <w:noProof/>
                <w:sz w:val="20"/>
                <w:szCs w:val="20"/>
              </w:rPr>
              <w:t>(kg N/kg N)</w:t>
            </w:r>
          </w:p>
        </w:tc>
        <w:tc>
          <w:tcPr>
            <w:tcW w:w="625" w:type="pct"/>
            <w:tcBorders>
              <w:top w:val="single" w:sz="4" w:space="0" w:color="000000"/>
              <w:left w:val="nil"/>
              <w:bottom w:val="single" w:sz="12" w:space="0" w:color="000000"/>
              <w:right w:val="nil"/>
            </w:tcBorders>
          </w:tcPr>
          <w:p w14:paraId="476550B0" w14:textId="77777777" w:rsidR="008E3F72" w:rsidRPr="00163344" w:rsidRDefault="008E3F72" w:rsidP="0010018A">
            <w:pPr>
              <w:pStyle w:val="TableParagraph"/>
              <w:widowControl/>
              <w:kinsoku w:val="0"/>
              <w:overflowPunct w:val="0"/>
              <w:jc w:val="both"/>
              <w:rPr>
                <w:i/>
                <w:iCs/>
                <w:noProof/>
                <w:sz w:val="20"/>
                <w:szCs w:val="20"/>
              </w:rPr>
            </w:pPr>
            <w:r w:rsidRPr="00163344">
              <w:rPr>
                <w:i/>
                <w:noProof/>
                <w:sz w:val="20"/>
                <w:szCs w:val="20"/>
              </w:rPr>
              <w:t>Npārpalikums (kg/ha gadā)</w:t>
            </w:r>
          </w:p>
        </w:tc>
        <w:tc>
          <w:tcPr>
            <w:tcW w:w="1999" w:type="pct"/>
            <w:tcBorders>
              <w:top w:val="single" w:sz="4" w:space="0" w:color="000000"/>
              <w:left w:val="nil"/>
              <w:bottom w:val="single" w:sz="12" w:space="0" w:color="000000"/>
              <w:right w:val="nil"/>
            </w:tcBorders>
          </w:tcPr>
          <w:p w14:paraId="14D54223" w14:textId="77777777" w:rsidR="008E3F72" w:rsidRPr="00163344" w:rsidRDefault="008E3F72" w:rsidP="0010018A">
            <w:pPr>
              <w:pStyle w:val="TableParagraph"/>
              <w:widowControl/>
              <w:kinsoku w:val="0"/>
              <w:overflowPunct w:val="0"/>
              <w:jc w:val="both"/>
              <w:rPr>
                <w:i/>
                <w:iCs/>
                <w:noProof/>
                <w:sz w:val="20"/>
                <w:szCs w:val="20"/>
              </w:rPr>
            </w:pPr>
            <w:r w:rsidRPr="00163344">
              <w:rPr>
                <w:i/>
                <w:noProof/>
                <w:sz w:val="20"/>
                <w:szCs w:val="20"/>
              </w:rPr>
              <w:t>Piezīmes</w:t>
            </w:r>
          </w:p>
        </w:tc>
      </w:tr>
      <w:tr w:rsidR="008E3F72" w:rsidRPr="00163344" w14:paraId="3B74BD93" w14:textId="77777777" w:rsidTr="0010018A">
        <w:tc>
          <w:tcPr>
            <w:tcW w:w="734" w:type="pct"/>
            <w:tcBorders>
              <w:top w:val="single" w:sz="12" w:space="0" w:color="000000"/>
              <w:left w:val="nil"/>
              <w:bottom w:val="nil"/>
              <w:right w:val="nil"/>
            </w:tcBorders>
          </w:tcPr>
          <w:p w14:paraId="272E3446"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Specializētas augkopības sistēmas</w:t>
            </w:r>
          </w:p>
        </w:tc>
        <w:tc>
          <w:tcPr>
            <w:tcW w:w="945" w:type="pct"/>
            <w:tcBorders>
              <w:top w:val="single" w:sz="12" w:space="0" w:color="000000"/>
              <w:left w:val="nil"/>
              <w:bottom w:val="nil"/>
              <w:right w:val="nil"/>
            </w:tcBorders>
          </w:tcPr>
          <w:p w14:paraId="32982FCE"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Laukaugi</w:t>
            </w:r>
          </w:p>
        </w:tc>
        <w:tc>
          <w:tcPr>
            <w:tcW w:w="698" w:type="pct"/>
            <w:tcBorders>
              <w:top w:val="single" w:sz="12" w:space="0" w:color="000000"/>
              <w:left w:val="nil"/>
              <w:bottom w:val="nil"/>
              <w:right w:val="nil"/>
            </w:tcBorders>
          </w:tcPr>
          <w:p w14:paraId="136ECB87"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0,6–0,9</w:t>
            </w:r>
          </w:p>
        </w:tc>
        <w:tc>
          <w:tcPr>
            <w:tcW w:w="625" w:type="pct"/>
            <w:tcBorders>
              <w:top w:val="single" w:sz="12" w:space="0" w:color="000000"/>
              <w:left w:val="nil"/>
              <w:bottom w:val="nil"/>
              <w:right w:val="nil"/>
            </w:tcBorders>
          </w:tcPr>
          <w:p w14:paraId="1C82BDC8"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0–50</w:t>
            </w:r>
          </w:p>
        </w:tc>
        <w:tc>
          <w:tcPr>
            <w:tcW w:w="1999" w:type="pct"/>
            <w:tcBorders>
              <w:top w:val="single" w:sz="12" w:space="0" w:color="000000"/>
              <w:left w:val="nil"/>
              <w:bottom w:val="nil"/>
              <w:right w:val="nil"/>
            </w:tcBorders>
          </w:tcPr>
          <w:p w14:paraId="5EB75CEC"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Graudaugiem ir raksturīga augsta NIE. Sakņaugiem ir raksturīga zema NIE.</w:t>
            </w:r>
          </w:p>
        </w:tc>
      </w:tr>
      <w:tr w:rsidR="008E3F72" w:rsidRPr="00163344" w14:paraId="339DE733" w14:textId="77777777" w:rsidTr="0010018A">
        <w:tc>
          <w:tcPr>
            <w:tcW w:w="734" w:type="pct"/>
            <w:tcBorders>
              <w:top w:val="nil"/>
              <w:left w:val="nil"/>
              <w:bottom w:val="nil"/>
              <w:right w:val="nil"/>
            </w:tcBorders>
          </w:tcPr>
          <w:p w14:paraId="08998334" w14:textId="77777777" w:rsidR="008E3F72" w:rsidRPr="00163344" w:rsidRDefault="008E3F72" w:rsidP="0010018A">
            <w:pPr>
              <w:widowControl/>
              <w:jc w:val="both"/>
              <w:rPr>
                <w:noProof/>
                <w:sz w:val="20"/>
                <w:szCs w:val="20"/>
              </w:rPr>
            </w:pPr>
          </w:p>
        </w:tc>
        <w:tc>
          <w:tcPr>
            <w:tcW w:w="945" w:type="pct"/>
            <w:tcBorders>
              <w:top w:val="nil"/>
              <w:left w:val="nil"/>
              <w:bottom w:val="nil"/>
              <w:right w:val="nil"/>
            </w:tcBorders>
          </w:tcPr>
          <w:p w14:paraId="044B0A5B"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Dārzeņi</w:t>
            </w:r>
          </w:p>
        </w:tc>
        <w:tc>
          <w:tcPr>
            <w:tcW w:w="698" w:type="pct"/>
            <w:tcBorders>
              <w:top w:val="nil"/>
              <w:left w:val="nil"/>
              <w:bottom w:val="nil"/>
              <w:right w:val="nil"/>
            </w:tcBorders>
          </w:tcPr>
          <w:p w14:paraId="4DD8FBD5"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0,4–0,8</w:t>
            </w:r>
          </w:p>
        </w:tc>
        <w:tc>
          <w:tcPr>
            <w:tcW w:w="625" w:type="pct"/>
            <w:tcBorders>
              <w:top w:val="nil"/>
              <w:left w:val="nil"/>
              <w:bottom w:val="nil"/>
              <w:right w:val="nil"/>
            </w:tcBorders>
          </w:tcPr>
          <w:p w14:paraId="1841EBC1"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50–100</w:t>
            </w:r>
          </w:p>
        </w:tc>
        <w:tc>
          <w:tcPr>
            <w:tcW w:w="1999" w:type="pct"/>
            <w:tcBorders>
              <w:top w:val="nil"/>
              <w:left w:val="nil"/>
              <w:bottom w:val="nil"/>
              <w:right w:val="nil"/>
            </w:tcBorders>
          </w:tcPr>
          <w:p w14:paraId="33FE08A1"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Lapu dārzeņiem ir raksturīga zema NIE.</w:t>
            </w:r>
          </w:p>
        </w:tc>
      </w:tr>
      <w:tr w:rsidR="008E3F72" w:rsidRPr="00163344" w14:paraId="3251AD62" w14:textId="77777777" w:rsidTr="0010018A">
        <w:tc>
          <w:tcPr>
            <w:tcW w:w="734" w:type="pct"/>
            <w:tcBorders>
              <w:top w:val="nil"/>
              <w:left w:val="nil"/>
              <w:bottom w:val="nil"/>
              <w:right w:val="nil"/>
            </w:tcBorders>
          </w:tcPr>
          <w:p w14:paraId="4BBB59C8" w14:textId="77777777" w:rsidR="008E3F72" w:rsidRPr="00163344" w:rsidRDefault="008E3F72" w:rsidP="0010018A">
            <w:pPr>
              <w:widowControl/>
              <w:jc w:val="both"/>
              <w:rPr>
                <w:noProof/>
                <w:sz w:val="20"/>
                <w:szCs w:val="20"/>
              </w:rPr>
            </w:pPr>
          </w:p>
        </w:tc>
        <w:tc>
          <w:tcPr>
            <w:tcW w:w="945" w:type="pct"/>
            <w:tcBorders>
              <w:top w:val="nil"/>
              <w:left w:val="nil"/>
              <w:bottom w:val="nil"/>
              <w:right w:val="nil"/>
            </w:tcBorders>
          </w:tcPr>
          <w:p w14:paraId="6D7027B8"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Augļi</w:t>
            </w:r>
          </w:p>
        </w:tc>
        <w:tc>
          <w:tcPr>
            <w:tcW w:w="698" w:type="pct"/>
            <w:tcBorders>
              <w:top w:val="nil"/>
              <w:left w:val="nil"/>
              <w:bottom w:val="nil"/>
              <w:right w:val="nil"/>
            </w:tcBorders>
          </w:tcPr>
          <w:p w14:paraId="02B0A46D"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0,6–0,9</w:t>
            </w:r>
          </w:p>
        </w:tc>
        <w:tc>
          <w:tcPr>
            <w:tcW w:w="625" w:type="pct"/>
            <w:tcBorders>
              <w:top w:val="nil"/>
              <w:left w:val="nil"/>
              <w:bottom w:val="nil"/>
              <w:right w:val="nil"/>
            </w:tcBorders>
          </w:tcPr>
          <w:p w14:paraId="4DA09056"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0–50</w:t>
            </w:r>
          </w:p>
        </w:tc>
        <w:tc>
          <w:tcPr>
            <w:tcW w:w="1999" w:type="pct"/>
            <w:tcBorders>
              <w:top w:val="nil"/>
              <w:left w:val="nil"/>
              <w:bottom w:val="nil"/>
              <w:right w:val="nil"/>
            </w:tcBorders>
          </w:tcPr>
          <w:p w14:paraId="23CE0990" w14:textId="77777777" w:rsidR="008E3F72" w:rsidRPr="00163344" w:rsidRDefault="008E3F72" w:rsidP="0010018A">
            <w:pPr>
              <w:widowControl/>
              <w:jc w:val="both"/>
              <w:rPr>
                <w:noProof/>
                <w:sz w:val="20"/>
                <w:szCs w:val="20"/>
              </w:rPr>
            </w:pPr>
          </w:p>
        </w:tc>
      </w:tr>
      <w:tr w:rsidR="008E3F72" w:rsidRPr="00163344" w14:paraId="643A13C6" w14:textId="77777777" w:rsidTr="0010018A">
        <w:tc>
          <w:tcPr>
            <w:tcW w:w="734" w:type="pct"/>
            <w:tcBorders>
              <w:top w:val="nil"/>
              <w:left w:val="nil"/>
              <w:bottom w:val="nil"/>
              <w:right w:val="nil"/>
            </w:tcBorders>
          </w:tcPr>
          <w:p w14:paraId="02755ACD" w14:textId="6CA37920" w:rsidR="008E3F72" w:rsidRPr="00163344" w:rsidRDefault="00012926" w:rsidP="0010018A">
            <w:pPr>
              <w:pStyle w:val="TableParagraph"/>
              <w:widowControl/>
              <w:kinsoku w:val="0"/>
              <w:overflowPunct w:val="0"/>
              <w:jc w:val="both"/>
              <w:rPr>
                <w:noProof/>
                <w:sz w:val="20"/>
                <w:szCs w:val="20"/>
              </w:rPr>
            </w:pPr>
            <w:r>
              <w:rPr>
                <w:sz w:val="20"/>
                <w:szCs w:val="20"/>
              </w:rPr>
              <w:t>Ganībās esošie</w:t>
            </w:r>
            <w:r w:rsidR="008E3F72" w:rsidRPr="00163344">
              <w:rPr>
                <w:sz w:val="20"/>
                <w:szCs w:val="20"/>
              </w:rPr>
              <w:t xml:space="preserve"> dzīvnieki</w:t>
            </w:r>
          </w:p>
        </w:tc>
        <w:tc>
          <w:tcPr>
            <w:tcW w:w="945" w:type="pct"/>
            <w:tcBorders>
              <w:top w:val="nil"/>
              <w:left w:val="nil"/>
              <w:bottom w:val="nil"/>
              <w:right w:val="nil"/>
            </w:tcBorders>
          </w:tcPr>
          <w:p w14:paraId="6B2927E9" w14:textId="566ABA4F" w:rsidR="008E3F72" w:rsidRPr="00163344" w:rsidRDefault="008E3F72" w:rsidP="0010018A">
            <w:pPr>
              <w:pStyle w:val="TableParagraph"/>
              <w:widowControl/>
              <w:kinsoku w:val="0"/>
              <w:overflowPunct w:val="0"/>
              <w:jc w:val="both"/>
              <w:rPr>
                <w:noProof/>
                <w:sz w:val="20"/>
                <w:szCs w:val="20"/>
              </w:rPr>
            </w:pPr>
            <w:r w:rsidRPr="00163344">
              <w:rPr>
                <w:sz w:val="20"/>
                <w:szCs w:val="20"/>
              </w:rPr>
              <w:t xml:space="preserve">Piena </w:t>
            </w:r>
            <w:r w:rsidR="00012926">
              <w:rPr>
                <w:sz w:val="20"/>
                <w:szCs w:val="20"/>
              </w:rPr>
              <w:t>liel</w:t>
            </w:r>
            <w:r w:rsidRPr="00163344">
              <w:rPr>
                <w:sz w:val="20"/>
                <w:szCs w:val="20"/>
              </w:rPr>
              <w:t>lopi</w:t>
            </w:r>
          </w:p>
        </w:tc>
        <w:tc>
          <w:tcPr>
            <w:tcW w:w="698" w:type="pct"/>
            <w:tcBorders>
              <w:top w:val="nil"/>
              <w:left w:val="nil"/>
              <w:bottom w:val="nil"/>
              <w:right w:val="nil"/>
            </w:tcBorders>
          </w:tcPr>
          <w:p w14:paraId="24ED13C1"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0,3–0,5</w:t>
            </w:r>
          </w:p>
        </w:tc>
        <w:tc>
          <w:tcPr>
            <w:tcW w:w="625" w:type="pct"/>
            <w:tcBorders>
              <w:top w:val="nil"/>
              <w:left w:val="nil"/>
              <w:bottom w:val="nil"/>
              <w:right w:val="nil"/>
            </w:tcBorders>
          </w:tcPr>
          <w:p w14:paraId="361B9221"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100–150</w:t>
            </w:r>
          </w:p>
        </w:tc>
        <w:tc>
          <w:tcPr>
            <w:tcW w:w="1999" w:type="pct"/>
            <w:tcBorders>
              <w:top w:val="nil"/>
              <w:left w:val="nil"/>
              <w:bottom w:val="nil"/>
              <w:right w:val="nil"/>
            </w:tcBorders>
          </w:tcPr>
          <w:p w14:paraId="5AC1CC9C"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Augsti izslaukumi, augsta NIE.</w:t>
            </w:r>
          </w:p>
          <w:p w14:paraId="57D36798"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Zema dzīvnieku koncentrācija, zems Npārpalikums. Pākšaugi uzlabo NIE.</w:t>
            </w:r>
          </w:p>
        </w:tc>
      </w:tr>
      <w:tr w:rsidR="008E3F72" w:rsidRPr="00163344" w14:paraId="1E3A5EB8" w14:textId="77777777" w:rsidTr="0010018A">
        <w:tc>
          <w:tcPr>
            <w:tcW w:w="734" w:type="pct"/>
            <w:tcBorders>
              <w:top w:val="nil"/>
              <w:left w:val="nil"/>
              <w:bottom w:val="nil"/>
              <w:right w:val="nil"/>
            </w:tcBorders>
          </w:tcPr>
          <w:p w14:paraId="23157FCD" w14:textId="08407AD8" w:rsidR="008E3F72" w:rsidRPr="00163344" w:rsidRDefault="008E3F72" w:rsidP="0010018A">
            <w:pPr>
              <w:pStyle w:val="TableParagraph"/>
              <w:widowControl/>
              <w:kinsoku w:val="0"/>
              <w:overflowPunct w:val="0"/>
              <w:jc w:val="both"/>
              <w:rPr>
                <w:noProof/>
                <w:sz w:val="20"/>
                <w:szCs w:val="20"/>
              </w:rPr>
            </w:pPr>
            <w:r w:rsidRPr="00163344">
              <w:rPr>
                <w:sz w:val="20"/>
                <w:szCs w:val="20"/>
              </w:rPr>
              <w:lastRenderedPageBreak/>
              <w:t>Atgremot</w:t>
            </w:r>
            <w:r w:rsidR="00012926">
              <w:rPr>
                <w:sz w:val="20"/>
                <w:szCs w:val="20"/>
              </w:rPr>
              <w:t>āj</w:t>
            </w:r>
            <w:r w:rsidRPr="00163344">
              <w:rPr>
                <w:sz w:val="20"/>
                <w:szCs w:val="20"/>
              </w:rPr>
              <w:t>u sistēmas</w:t>
            </w:r>
          </w:p>
        </w:tc>
        <w:tc>
          <w:tcPr>
            <w:tcW w:w="945" w:type="pct"/>
            <w:tcBorders>
              <w:top w:val="nil"/>
              <w:left w:val="nil"/>
              <w:bottom w:val="nil"/>
              <w:right w:val="nil"/>
            </w:tcBorders>
          </w:tcPr>
          <w:p w14:paraId="0AD4B265" w14:textId="2CB55E1A" w:rsidR="008E3F72" w:rsidRPr="00163344" w:rsidRDefault="008E3F72" w:rsidP="0010018A">
            <w:pPr>
              <w:pStyle w:val="TableParagraph"/>
              <w:widowControl/>
              <w:kinsoku w:val="0"/>
              <w:overflowPunct w:val="0"/>
              <w:jc w:val="both"/>
              <w:rPr>
                <w:noProof/>
                <w:sz w:val="20"/>
                <w:szCs w:val="20"/>
              </w:rPr>
            </w:pPr>
            <w:r w:rsidRPr="00163344">
              <w:rPr>
                <w:sz w:val="20"/>
                <w:szCs w:val="20"/>
              </w:rPr>
              <w:t xml:space="preserve">Gaļas </w:t>
            </w:r>
            <w:r w:rsidR="00012926">
              <w:rPr>
                <w:sz w:val="20"/>
                <w:szCs w:val="20"/>
              </w:rPr>
              <w:t>liel</w:t>
            </w:r>
            <w:r w:rsidRPr="00163344">
              <w:rPr>
                <w:sz w:val="20"/>
                <w:szCs w:val="20"/>
              </w:rPr>
              <w:t>lopi</w:t>
            </w:r>
          </w:p>
        </w:tc>
        <w:tc>
          <w:tcPr>
            <w:tcW w:w="698" w:type="pct"/>
            <w:tcBorders>
              <w:top w:val="nil"/>
              <w:left w:val="nil"/>
              <w:bottom w:val="nil"/>
              <w:right w:val="nil"/>
            </w:tcBorders>
          </w:tcPr>
          <w:p w14:paraId="1CCC74C8"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0,2–0,4</w:t>
            </w:r>
          </w:p>
        </w:tc>
        <w:tc>
          <w:tcPr>
            <w:tcW w:w="625" w:type="pct"/>
            <w:tcBorders>
              <w:top w:val="nil"/>
              <w:left w:val="nil"/>
              <w:bottom w:val="nil"/>
              <w:right w:val="nil"/>
            </w:tcBorders>
          </w:tcPr>
          <w:p w14:paraId="6AA8D6F3"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50–150</w:t>
            </w:r>
          </w:p>
        </w:tc>
        <w:tc>
          <w:tcPr>
            <w:tcW w:w="1999" w:type="pct"/>
            <w:tcBorders>
              <w:top w:val="nil"/>
              <w:left w:val="nil"/>
              <w:bottom w:val="nil"/>
              <w:right w:val="nil"/>
            </w:tcBorders>
          </w:tcPr>
          <w:p w14:paraId="6A4B0E41"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Teļu audzēšana, augsta NIE.</w:t>
            </w:r>
          </w:p>
          <w:p w14:paraId="5C6EB59E" w14:textId="44E7D6AC" w:rsidR="008E3F72" w:rsidRPr="00163344" w:rsidRDefault="008E3F72" w:rsidP="0010018A">
            <w:pPr>
              <w:pStyle w:val="TableParagraph"/>
              <w:widowControl/>
              <w:kinsoku w:val="0"/>
              <w:overflowPunct w:val="0"/>
              <w:jc w:val="both"/>
              <w:rPr>
                <w:noProof/>
                <w:sz w:val="20"/>
                <w:szCs w:val="20"/>
              </w:rPr>
            </w:pPr>
            <w:r w:rsidRPr="00163344">
              <w:rPr>
                <w:sz w:val="20"/>
                <w:szCs w:val="20"/>
              </w:rPr>
              <w:t xml:space="preserve">Divgadīgi gaļas </w:t>
            </w:r>
            <w:r w:rsidR="00012926">
              <w:rPr>
                <w:sz w:val="20"/>
                <w:szCs w:val="20"/>
              </w:rPr>
              <w:t>liel</w:t>
            </w:r>
            <w:r w:rsidRPr="00163344">
              <w:rPr>
                <w:sz w:val="20"/>
                <w:szCs w:val="20"/>
              </w:rPr>
              <w:t>lopi, zema NIE.</w:t>
            </w:r>
          </w:p>
        </w:tc>
      </w:tr>
      <w:tr w:rsidR="008E3F72" w:rsidRPr="00163344" w14:paraId="5A37D48A" w14:textId="77777777" w:rsidTr="0010018A">
        <w:tc>
          <w:tcPr>
            <w:tcW w:w="734" w:type="pct"/>
            <w:tcBorders>
              <w:top w:val="nil"/>
              <w:left w:val="nil"/>
              <w:bottom w:val="nil"/>
              <w:right w:val="nil"/>
            </w:tcBorders>
          </w:tcPr>
          <w:p w14:paraId="40507709" w14:textId="77777777" w:rsidR="008E3F72" w:rsidRPr="00163344" w:rsidRDefault="008E3F72" w:rsidP="0010018A">
            <w:pPr>
              <w:widowControl/>
              <w:jc w:val="both"/>
              <w:rPr>
                <w:noProof/>
                <w:sz w:val="20"/>
                <w:szCs w:val="20"/>
              </w:rPr>
            </w:pPr>
          </w:p>
        </w:tc>
        <w:tc>
          <w:tcPr>
            <w:tcW w:w="945" w:type="pct"/>
            <w:tcBorders>
              <w:top w:val="nil"/>
              <w:left w:val="nil"/>
              <w:bottom w:val="nil"/>
              <w:right w:val="nil"/>
            </w:tcBorders>
          </w:tcPr>
          <w:p w14:paraId="69F364F7"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Aitas un kazas</w:t>
            </w:r>
          </w:p>
        </w:tc>
        <w:tc>
          <w:tcPr>
            <w:tcW w:w="698" w:type="pct"/>
            <w:tcBorders>
              <w:top w:val="nil"/>
              <w:left w:val="nil"/>
              <w:bottom w:val="nil"/>
              <w:right w:val="nil"/>
            </w:tcBorders>
          </w:tcPr>
          <w:p w14:paraId="3975499F"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0,2–0,3</w:t>
            </w:r>
          </w:p>
        </w:tc>
        <w:tc>
          <w:tcPr>
            <w:tcW w:w="625" w:type="pct"/>
            <w:tcBorders>
              <w:top w:val="nil"/>
              <w:left w:val="nil"/>
              <w:bottom w:val="nil"/>
              <w:right w:val="nil"/>
            </w:tcBorders>
          </w:tcPr>
          <w:p w14:paraId="63963632"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50–150</w:t>
            </w:r>
          </w:p>
        </w:tc>
        <w:tc>
          <w:tcPr>
            <w:tcW w:w="1999" w:type="pct"/>
            <w:tcBorders>
              <w:top w:val="nil"/>
              <w:left w:val="nil"/>
              <w:bottom w:val="nil"/>
              <w:right w:val="nil"/>
            </w:tcBorders>
          </w:tcPr>
          <w:p w14:paraId="14AA096A" w14:textId="77777777" w:rsidR="008E3F72" w:rsidRPr="00163344" w:rsidRDefault="008E3F72" w:rsidP="0010018A">
            <w:pPr>
              <w:widowControl/>
              <w:jc w:val="both"/>
              <w:rPr>
                <w:noProof/>
                <w:sz w:val="20"/>
                <w:szCs w:val="20"/>
              </w:rPr>
            </w:pPr>
          </w:p>
        </w:tc>
      </w:tr>
      <w:tr w:rsidR="008E3F72" w:rsidRPr="00163344" w14:paraId="192A7D72" w14:textId="77777777" w:rsidTr="0010018A">
        <w:tc>
          <w:tcPr>
            <w:tcW w:w="734" w:type="pct"/>
            <w:tcBorders>
              <w:top w:val="nil"/>
              <w:left w:val="nil"/>
              <w:bottom w:val="nil"/>
              <w:right w:val="nil"/>
            </w:tcBorders>
          </w:tcPr>
          <w:p w14:paraId="2AE19258"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Jauktas augkopības – lopkopības sistēmas</w:t>
            </w:r>
          </w:p>
        </w:tc>
        <w:tc>
          <w:tcPr>
            <w:tcW w:w="945" w:type="pct"/>
            <w:tcBorders>
              <w:top w:val="nil"/>
              <w:left w:val="nil"/>
              <w:bottom w:val="nil"/>
              <w:right w:val="nil"/>
            </w:tcBorders>
          </w:tcPr>
          <w:p w14:paraId="2AB7F623" w14:textId="0D236C6A" w:rsidR="008E3F72" w:rsidRPr="00163344" w:rsidRDefault="008E3F72" w:rsidP="0010018A">
            <w:pPr>
              <w:pStyle w:val="TableParagraph"/>
              <w:widowControl/>
              <w:kinsoku w:val="0"/>
              <w:overflowPunct w:val="0"/>
              <w:jc w:val="both"/>
              <w:rPr>
                <w:noProof/>
                <w:sz w:val="20"/>
                <w:szCs w:val="20"/>
              </w:rPr>
            </w:pPr>
            <w:r w:rsidRPr="00163344">
              <w:rPr>
                <w:sz w:val="20"/>
                <w:szCs w:val="20"/>
              </w:rPr>
              <w:t xml:space="preserve">Piena </w:t>
            </w:r>
            <w:r w:rsidR="00012926">
              <w:rPr>
                <w:sz w:val="20"/>
                <w:szCs w:val="20"/>
              </w:rPr>
              <w:t>liel</w:t>
            </w:r>
            <w:r w:rsidRPr="00163344">
              <w:rPr>
                <w:sz w:val="20"/>
                <w:szCs w:val="20"/>
              </w:rPr>
              <w:t>lopi</w:t>
            </w:r>
          </w:p>
        </w:tc>
        <w:tc>
          <w:tcPr>
            <w:tcW w:w="698" w:type="pct"/>
            <w:tcBorders>
              <w:top w:val="nil"/>
              <w:left w:val="nil"/>
              <w:bottom w:val="nil"/>
              <w:right w:val="nil"/>
            </w:tcBorders>
          </w:tcPr>
          <w:p w14:paraId="6E6A7115"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0,4–0,6</w:t>
            </w:r>
          </w:p>
        </w:tc>
        <w:tc>
          <w:tcPr>
            <w:tcW w:w="625" w:type="pct"/>
            <w:tcBorders>
              <w:top w:val="nil"/>
              <w:left w:val="nil"/>
              <w:bottom w:val="nil"/>
              <w:right w:val="nil"/>
            </w:tcBorders>
          </w:tcPr>
          <w:p w14:paraId="048120B4"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50–150</w:t>
            </w:r>
          </w:p>
        </w:tc>
        <w:tc>
          <w:tcPr>
            <w:tcW w:w="1999" w:type="pct"/>
            <w:tcBorders>
              <w:top w:val="nil"/>
              <w:left w:val="nil"/>
              <w:bottom w:val="nil"/>
              <w:right w:val="nil"/>
            </w:tcBorders>
          </w:tcPr>
          <w:p w14:paraId="68D0466C" w14:textId="3946CB64" w:rsidR="008E3F72" w:rsidRPr="00163344" w:rsidRDefault="008E3F72" w:rsidP="0010018A">
            <w:pPr>
              <w:pStyle w:val="TableParagraph"/>
              <w:widowControl/>
              <w:kinsoku w:val="0"/>
              <w:overflowPunct w:val="0"/>
              <w:jc w:val="both"/>
              <w:rPr>
                <w:noProof/>
                <w:sz w:val="20"/>
                <w:szCs w:val="20"/>
              </w:rPr>
            </w:pPr>
            <w:r w:rsidRPr="00163344">
              <w:rPr>
                <w:sz w:val="20"/>
                <w:szCs w:val="20"/>
              </w:rPr>
              <w:t>Augsti izslaukum</w:t>
            </w:r>
            <w:r w:rsidR="00012926">
              <w:rPr>
                <w:sz w:val="20"/>
                <w:szCs w:val="20"/>
              </w:rPr>
              <w:t>i, augsta NIE. Koncentrāta izēdināšana</w:t>
            </w:r>
            <w:r w:rsidRPr="00163344">
              <w:rPr>
                <w:sz w:val="20"/>
                <w:szCs w:val="20"/>
              </w:rPr>
              <w:t>, augsta NIE.</w:t>
            </w:r>
          </w:p>
        </w:tc>
      </w:tr>
      <w:tr w:rsidR="008E3F72" w:rsidRPr="00163344" w14:paraId="007AE63C" w14:textId="77777777" w:rsidTr="0010018A">
        <w:tc>
          <w:tcPr>
            <w:tcW w:w="734" w:type="pct"/>
            <w:tcBorders>
              <w:top w:val="nil"/>
              <w:left w:val="nil"/>
              <w:bottom w:val="nil"/>
              <w:right w:val="nil"/>
            </w:tcBorders>
          </w:tcPr>
          <w:p w14:paraId="0E1B3A96" w14:textId="77777777" w:rsidR="008E3F72" w:rsidRPr="00163344" w:rsidRDefault="008E3F72" w:rsidP="0010018A">
            <w:pPr>
              <w:widowControl/>
              <w:jc w:val="both"/>
              <w:rPr>
                <w:noProof/>
                <w:sz w:val="20"/>
                <w:szCs w:val="20"/>
              </w:rPr>
            </w:pPr>
          </w:p>
        </w:tc>
        <w:tc>
          <w:tcPr>
            <w:tcW w:w="945" w:type="pct"/>
            <w:tcBorders>
              <w:top w:val="nil"/>
              <w:left w:val="nil"/>
              <w:bottom w:val="nil"/>
              <w:right w:val="nil"/>
            </w:tcBorders>
          </w:tcPr>
          <w:p w14:paraId="45A33A80" w14:textId="6BF584C1" w:rsidR="008E3F72" w:rsidRPr="00163344" w:rsidRDefault="008E3F72" w:rsidP="0010018A">
            <w:pPr>
              <w:pStyle w:val="TableParagraph"/>
              <w:widowControl/>
              <w:kinsoku w:val="0"/>
              <w:overflowPunct w:val="0"/>
              <w:jc w:val="both"/>
              <w:rPr>
                <w:noProof/>
                <w:sz w:val="20"/>
                <w:szCs w:val="20"/>
              </w:rPr>
            </w:pPr>
            <w:r w:rsidRPr="00163344">
              <w:rPr>
                <w:sz w:val="20"/>
                <w:szCs w:val="20"/>
              </w:rPr>
              <w:t xml:space="preserve">Gaļas </w:t>
            </w:r>
            <w:r w:rsidR="00012926">
              <w:rPr>
                <w:sz w:val="20"/>
                <w:szCs w:val="20"/>
              </w:rPr>
              <w:t>liel</w:t>
            </w:r>
            <w:r w:rsidRPr="00163344">
              <w:rPr>
                <w:sz w:val="20"/>
                <w:szCs w:val="20"/>
              </w:rPr>
              <w:t>lopi</w:t>
            </w:r>
          </w:p>
        </w:tc>
        <w:tc>
          <w:tcPr>
            <w:tcW w:w="698" w:type="pct"/>
            <w:tcBorders>
              <w:top w:val="nil"/>
              <w:left w:val="nil"/>
              <w:bottom w:val="nil"/>
              <w:right w:val="nil"/>
            </w:tcBorders>
          </w:tcPr>
          <w:p w14:paraId="22080835"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0,3–0,5</w:t>
            </w:r>
          </w:p>
        </w:tc>
        <w:tc>
          <w:tcPr>
            <w:tcW w:w="625" w:type="pct"/>
            <w:tcBorders>
              <w:top w:val="nil"/>
              <w:left w:val="nil"/>
              <w:bottom w:val="nil"/>
              <w:right w:val="nil"/>
            </w:tcBorders>
          </w:tcPr>
          <w:p w14:paraId="292FAC93"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50–150</w:t>
            </w:r>
          </w:p>
        </w:tc>
        <w:tc>
          <w:tcPr>
            <w:tcW w:w="1999" w:type="pct"/>
            <w:tcBorders>
              <w:top w:val="nil"/>
              <w:left w:val="nil"/>
              <w:bottom w:val="nil"/>
              <w:right w:val="nil"/>
            </w:tcBorders>
          </w:tcPr>
          <w:p w14:paraId="24FC5CA5" w14:textId="77777777" w:rsidR="008E3F72" w:rsidRPr="00163344" w:rsidRDefault="008E3F72" w:rsidP="0010018A">
            <w:pPr>
              <w:widowControl/>
              <w:jc w:val="both"/>
              <w:rPr>
                <w:noProof/>
                <w:sz w:val="20"/>
                <w:szCs w:val="20"/>
              </w:rPr>
            </w:pPr>
          </w:p>
        </w:tc>
      </w:tr>
      <w:tr w:rsidR="008E3F72" w:rsidRPr="00163344" w14:paraId="6C6FE14F" w14:textId="77777777" w:rsidTr="0010018A">
        <w:tc>
          <w:tcPr>
            <w:tcW w:w="734" w:type="pct"/>
            <w:tcBorders>
              <w:top w:val="nil"/>
              <w:left w:val="nil"/>
              <w:bottom w:val="nil"/>
              <w:right w:val="nil"/>
            </w:tcBorders>
          </w:tcPr>
          <w:p w14:paraId="05DF396F" w14:textId="77777777" w:rsidR="008E3F72" w:rsidRPr="00163344" w:rsidRDefault="008E3F72" w:rsidP="0010018A">
            <w:pPr>
              <w:widowControl/>
              <w:jc w:val="both"/>
              <w:rPr>
                <w:noProof/>
                <w:sz w:val="20"/>
                <w:szCs w:val="20"/>
              </w:rPr>
            </w:pPr>
          </w:p>
        </w:tc>
        <w:tc>
          <w:tcPr>
            <w:tcW w:w="945" w:type="pct"/>
            <w:tcBorders>
              <w:top w:val="nil"/>
              <w:left w:val="nil"/>
              <w:bottom w:val="nil"/>
              <w:right w:val="nil"/>
            </w:tcBorders>
          </w:tcPr>
          <w:p w14:paraId="5FAAFC30"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Cūkas</w:t>
            </w:r>
          </w:p>
        </w:tc>
        <w:tc>
          <w:tcPr>
            <w:tcW w:w="698" w:type="pct"/>
            <w:tcBorders>
              <w:top w:val="nil"/>
              <w:left w:val="nil"/>
              <w:bottom w:val="nil"/>
              <w:right w:val="nil"/>
            </w:tcBorders>
          </w:tcPr>
          <w:p w14:paraId="3D99B0DC"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0,3–0,6</w:t>
            </w:r>
          </w:p>
        </w:tc>
        <w:tc>
          <w:tcPr>
            <w:tcW w:w="625" w:type="pct"/>
            <w:tcBorders>
              <w:top w:val="nil"/>
              <w:left w:val="nil"/>
              <w:bottom w:val="nil"/>
              <w:right w:val="nil"/>
            </w:tcBorders>
          </w:tcPr>
          <w:p w14:paraId="4C22C655"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50–150</w:t>
            </w:r>
          </w:p>
        </w:tc>
        <w:tc>
          <w:tcPr>
            <w:tcW w:w="1999" w:type="pct"/>
            <w:tcBorders>
              <w:top w:val="nil"/>
              <w:left w:val="nil"/>
              <w:bottom w:val="nil"/>
              <w:right w:val="nil"/>
            </w:tcBorders>
          </w:tcPr>
          <w:p w14:paraId="6D1F7F9F" w14:textId="77777777" w:rsidR="008E3F72" w:rsidRPr="00163344" w:rsidRDefault="008E3F72" w:rsidP="0010018A">
            <w:pPr>
              <w:widowControl/>
              <w:jc w:val="both"/>
              <w:rPr>
                <w:noProof/>
                <w:sz w:val="20"/>
                <w:szCs w:val="20"/>
              </w:rPr>
            </w:pPr>
          </w:p>
        </w:tc>
      </w:tr>
      <w:tr w:rsidR="008E3F72" w:rsidRPr="00163344" w14:paraId="02BE46EA" w14:textId="77777777" w:rsidTr="0010018A">
        <w:tc>
          <w:tcPr>
            <w:tcW w:w="734" w:type="pct"/>
            <w:tcBorders>
              <w:top w:val="nil"/>
              <w:left w:val="nil"/>
              <w:bottom w:val="nil"/>
              <w:right w:val="nil"/>
            </w:tcBorders>
          </w:tcPr>
          <w:p w14:paraId="1B2378EE" w14:textId="77777777" w:rsidR="008E3F72" w:rsidRPr="00163344" w:rsidRDefault="008E3F72" w:rsidP="0010018A">
            <w:pPr>
              <w:widowControl/>
              <w:jc w:val="both"/>
              <w:rPr>
                <w:noProof/>
                <w:sz w:val="20"/>
                <w:szCs w:val="20"/>
              </w:rPr>
            </w:pPr>
          </w:p>
        </w:tc>
        <w:tc>
          <w:tcPr>
            <w:tcW w:w="945" w:type="pct"/>
            <w:tcBorders>
              <w:top w:val="nil"/>
              <w:left w:val="nil"/>
              <w:bottom w:val="nil"/>
              <w:right w:val="nil"/>
            </w:tcBorders>
          </w:tcPr>
          <w:p w14:paraId="3AE30539"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Mājputni</w:t>
            </w:r>
          </w:p>
        </w:tc>
        <w:tc>
          <w:tcPr>
            <w:tcW w:w="698" w:type="pct"/>
            <w:tcBorders>
              <w:top w:val="nil"/>
              <w:left w:val="nil"/>
              <w:bottom w:val="nil"/>
              <w:right w:val="nil"/>
            </w:tcBorders>
          </w:tcPr>
          <w:p w14:paraId="324C2F7A"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0,3–0,6</w:t>
            </w:r>
          </w:p>
        </w:tc>
        <w:tc>
          <w:tcPr>
            <w:tcW w:w="625" w:type="pct"/>
            <w:tcBorders>
              <w:top w:val="nil"/>
              <w:left w:val="nil"/>
              <w:bottom w:val="nil"/>
              <w:right w:val="nil"/>
            </w:tcBorders>
          </w:tcPr>
          <w:p w14:paraId="2FC63802"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50–150</w:t>
            </w:r>
          </w:p>
        </w:tc>
        <w:tc>
          <w:tcPr>
            <w:tcW w:w="1999" w:type="pct"/>
            <w:tcBorders>
              <w:top w:val="nil"/>
              <w:left w:val="nil"/>
              <w:bottom w:val="nil"/>
              <w:right w:val="nil"/>
            </w:tcBorders>
          </w:tcPr>
          <w:p w14:paraId="625F72A6" w14:textId="77777777" w:rsidR="008E3F72" w:rsidRPr="00163344" w:rsidRDefault="008E3F72" w:rsidP="0010018A">
            <w:pPr>
              <w:widowControl/>
              <w:jc w:val="both"/>
              <w:rPr>
                <w:noProof/>
                <w:sz w:val="20"/>
                <w:szCs w:val="20"/>
              </w:rPr>
            </w:pPr>
          </w:p>
        </w:tc>
      </w:tr>
      <w:tr w:rsidR="008E3F72" w:rsidRPr="00163344" w14:paraId="29655F9D" w14:textId="77777777" w:rsidTr="0010018A">
        <w:tc>
          <w:tcPr>
            <w:tcW w:w="734" w:type="pct"/>
            <w:tcBorders>
              <w:top w:val="nil"/>
              <w:left w:val="nil"/>
              <w:bottom w:val="nil"/>
              <w:right w:val="nil"/>
            </w:tcBorders>
          </w:tcPr>
          <w:p w14:paraId="58B3351B" w14:textId="77777777" w:rsidR="008E3F72" w:rsidRPr="00163344" w:rsidRDefault="008E3F72" w:rsidP="0010018A">
            <w:pPr>
              <w:widowControl/>
              <w:jc w:val="both"/>
              <w:rPr>
                <w:noProof/>
                <w:sz w:val="20"/>
                <w:szCs w:val="20"/>
              </w:rPr>
            </w:pPr>
          </w:p>
        </w:tc>
        <w:tc>
          <w:tcPr>
            <w:tcW w:w="945" w:type="pct"/>
            <w:tcBorders>
              <w:top w:val="nil"/>
              <w:left w:val="nil"/>
              <w:bottom w:val="nil"/>
              <w:right w:val="nil"/>
            </w:tcBorders>
          </w:tcPr>
          <w:p w14:paraId="6E092C31"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Citi dzīvnieki</w:t>
            </w:r>
          </w:p>
        </w:tc>
        <w:tc>
          <w:tcPr>
            <w:tcW w:w="698" w:type="pct"/>
            <w:tcBorders>
              <w:top w:val="nil"/>
              <w:left w:val="nil"/>
              <w:bottom w:val="nil"/>
              <w:right w:val="nil"/>
            </w:tcBorders>
          </w:tcPr>
          <w:p w14:paraId="70F14D68"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0,3–0,6</w:t>
            </w:r>
          </w:p>
        </w:tc>
        <w:tc>
          <w:tcPr>
            <w:tcW w:w="625" w:type="pct"/>
            <w:tcBorders>
              <w:top w:val="nil"/>
              <w:left w:val="nil"/>
              <w:bottom w:val="nil"/>
              <w:right w:val="nil"/>
            </w:tcBorders>
          </w:tcPr>
          <w:p w14:paraId="7433877D"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50–150</w:t>
            </w:r>
          </w:p>
        </w:tc>
        <w:tc>
          <w:tcPr>
            <w:tcW w:w="1999" w:type="pct"/>
            <w:tcBorders>
              <w:top w:val="nil"/>
              <w:left w:val="nil"/>
              <w:bottom w:val="nil"/>
              <w:right w:val="nil"/>
            </w:tcBorders>
          </w:tcPr>
          <w:p w14:paraId="77E1B839" w14:textId="77777777" w:rsidR="008E3F72" w:rsidRPr="00163344" w:rsidRDefault="008E3F72" w:rsidP="0010018A">
            <w:pPr>
              <w:widowControl/>
              <w:jc w:val="both"/>
              <w:rPr>
                <w:noProof/>
                <w:sz w:val="20"/>
                <w:szCs w:val="20"/>
              </w:rPr>
            </w:pPr>
          </w:p>
        </w:tc>
      </w:tr>
      <w:tr w:rsidR="008E3F72" w:rsidRPr="00163344" w14:paraId="375BBEC7" w14:textId="77777777" w:rsidTr="0010018A">
        <w:tc>
          <w:tcPr>
            <w:tcW w:w="734" w:type="pct"/>
            <w:tcBorders>
              <w:top w:val="nil"/>
              <w:left w:val="nil"/>
              <w:bottom w:val="nil"/>
              <w:right w:val="nil"/>
            </w:tcBorders>
          </w:tcPr>
          <w:p w14:paraId="3111DC15"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Bezzemes sistēmas</w:t>
            </w:r>
          </w:p>
        </w:tc>
        <w:tc>
          <w:tcPr>
            <w:tcW w:w="945" w:type="pct"/>
            <w:tcBorders>
              <w:top w:val="nil"/>
              <w:left w:val="nil"/>
              <w:bottom w:val="nil"/>
              <w:right w:val="nil"/>
            </w:tcBorders>
          </w:tcPr>
          <w:p w14:paraId="1534E780" w14:textId="44F2E09E" w:rsidR="008E3F72" w:rsidRPr="00163344" w:rsidRDefault="008E3F72" w:rsidP="0010018A">
            <w:pPr>
              <w:pStyle w:val="TableParagraph"/>
              <w:widowControl/>
              <w:kinsoku w:val="0"/>
              <w:overflowPunct w:val="0"/>
              <w:jc w:val="both"/>
              <w:rPr>
                <w:noProof/>
                <w:sz w:val="20"/>
                <w:szCs w:val="20"/>
              </w:rPr>
            </w:pPr>
            <w:r w:rsidRPr="00163344">
              <w:rPr>
                <w:sz w:val="20"/>
                <w:szCs w:val="20"/>
              </w:rPr>
              <w:t xml:space="preserve">Piena </w:t>
            </w:r>
            <w:r w:rsidR="00012926">
              <w:rPr>
                <w:sz w:val="20"/>
                <w:szCs w:val="20"/>
              </w:rPr>
              <w:t>liel</w:t>
            </w:r>
            <w:r w:rsidRPr="00163344">
              <w:rPr>
                <w:sz w:val="20"/>
                <w:szCs w:val="20"/>
              </w:rPr>
              <w:t>lopi</w:t>
            </w:r>
          </w:p>
        </w:tc>
        <w:tc>
          <w:tcPr>
            <w:tcW w:w="698" w:type="pct"/>
            <w:tcBorders>
              <w:top w:val="nil"/>
              <w:left w:val="nil"/>
              <w:bottom w:val="nil"/>
              <w:right w:val="nil"/>
            </w:tcBorders>
          </w:tcPr>
          <w:p w14:paraId="29A1D31F"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0,8–0,9</w:t>
            </w:r>
          </w:p>
        </w:tc>
        <w:tc>
          <w:tcPr>
            <w:tcW w:w="625" w:type="pct"/>
            <w:tcBorders>
              <w:top w:val="nil"/>
              <w:left w:val="nil"/>
              <w:bottom w:val="nil"/>
              <w:right w:val="nil"/>
            </w:tcBorders>
          </w:tcPr>
          <w:p w14:paraId="402D19E3"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 xml:space="preserve">neattiecina </w:t>
            </w:r>
            <w:r w:rsidRPr="00163344">
              <w:rPr>
                <w:i/>
                <w:noProof/>
                <w:sz w:val="20"/>
                <w:szCs w:val="20"/>
              </w:rPr>
              <w:t>a</w:t>
            </w:r>
          </w:p>
        </w:tc>
        <w:tc>
          <w:tcPr>
            <w:tcW w:w="1999" w:type="pct"/>
            <w:tcBorders>
              <w:top w:val="nil"/>
              <w:left w:val="nil"/>
              <w:bottom w:val="nil"/>
              <w:right w:val="nil"/>
            </w:tcBorders>
          </w:tcPr>
          <w:p w14:paraId="1D46FA33"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Izejošais N daudzums, ko izved ar pienu, dzīvniekiem un kūtsmēsliem,</w:t>
            </w:r>
          </w:p>
          <w:p w14:paraId="46F93D1C"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~vienāds ar ienākošo N daudzumu.</w:t>
            </w:r>
          </w:p>
          <w:p w14:paraId="62AA390E"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Npārpalikumu veido gāzveida N zudumi no dzīvnieku novietnēm un krātuvēm.</w:t>
            </w:r>
          </w:p>
        </w:tc>
      </w:tr>
      <w:tr w:rsidR="008E3F72" w:rsidRPr="00163344" w14:paraId="4A10ED80" w14:textId="77777777" w:rsidTr="0010018A">
        <w:tc>
          <w:tcPr>
            <w:tcW w:w="734" w:type="pct"/>
            <w:tcBorders>
              <w:top w:val="nil"/>
              <w:left w:val="nil"/>
              <w:bottom w:val="nil"/>
              <w:right w:val="nil"/>
            </w:tcBorders>
          </w:tcPr>
          <w:p w14:paraId="55B2B953" w14:textId="77777777" w:rsidR="008E3F72" w:rsidRPr="00163344" w:rsidRDefault="008E3F72" w:rsidP="0010018A">
            <w:pPr>
              <w:widowControl/>
              <w:jc w:val="both"/>
              <w:rPr>
                <w:noProof/>
                <w:sz w:val="20"/>
                <w:szCs w:val="20"/>
              </w:rPr>
            </w:pPr>
          </w:p>
        </w:tc>
        <w:tc>
          <w:tcPr>
            <w:tcW w:w="945" w:type="pct"/>
            <w:tcBorders>
              <w:top w:val="nil"/>
              <w:left w:val="nil"/>
              <w:bottom w:val="nil"/>
              <w:right w:val="nil"/>
            </w:tcBorders>
          </w:tcPr>
          <w:p w14:paraId="447C879C" w14:textId="18658FE3" w:rsidR="008E3F72" w:rsidRPr="00163344" w:rsidRDefault="008E3F72" w:rsidP="00012926">
            <w:pPr>
              <w:pStyle w:val="TableParagraph"/>
              <w:widowControl/>
              <w:kinsoku w:val="0"/>
              <w:overflowPunct w:val="0"/>
              <w:jc w:val="both"/>
              <w:rPr>
                <w:noProof/>
                <w:sz w:val="20"/>
                <w:szCs w:val="20"/>
              </w:rPr>
            </w:pPr>
            <w:r w:rsidRPr="00163344">
              <w:rPr>
                <w:sz w:val="20"/>
                <w:szCs w:val="20"/>
              </w:rPr>
              <w:t xml:space="preserve">Gaļas </w:t>
            </w:r>
            <w:r w:rsidR="00012926">
              <w:rPr>
                <w:sz w:val="20"/>
                <w:szCs w:val="20"/>
              </w:rPr>
              <w:t>liell</w:t>
            </w:r>
            <w:r w:rsidRPr="00163344">
              <w:rPr>
                <w:sz w:val="20"/>
                <w:szCs w:val="20"/>
              </w:rPr>
              <w:t>opi</w:t>
            </w:r>
          </w:p>
        </w:tc>
        <w:tc>
          <w:tcPr>
            <w:tcW w:w="698" w:type="pct"/>
            <w:tcBorders>
              <w:top w:val="nil"/>
              <w:left w:val="nil"/>
              <w:bottom w:val="nil"/>
              <w:right w:val="nil"/>
            </w:tcBorders>
          </w:tcPr>
          <w:p w14:paraId="786B3912"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0,8–0,9</w:t>
            </w:r>
          </w:p>
        </w:tc>
        <w:tc>
          <w:tcPr>
            <w:tcW w:w="625" w:type="pct"/>
            <w:tcBorders>
              <w:top w:val="nil"/>
              <w:left w:val="nil"/>
              <w:bottom w:val="nil"/>
              <w:right w:val="nil"/>
            </w:tcBorders>
          </w:tcPr>
          <w:p w14:paraId="447959BB"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 xml:space="preserve">neattiecina </w:t>
            </w:r>
            <w:r w:rsidRPr="00163344">
              <w:rPr>
                <w:i/>
                <w:noProof/>
                <w:sz w:val="20"/>
                <w:szCs w:val="20"/>
              </w:rPr>
              <w:t>a</w:t>
            </w:r>
          </w:p>
        </w:tc>
        <w:tc>
          <w:tcPr>
            <w:tcW w:w="1999" w:type="pct"/>
            <w:tcBorders>
              <w:top w:val="nil"/>
              <w:left w:val="nil"/>
              <w:bottom w:val="nil"/>
              <w:right w:val="nil"/>
            </w:tcBorders>
          </w:tcPr>
          <w:p w14:paraId="7E742DE0" w14:textId="77777777" w:rsidR="008E3F72" w:rsidRPr="00163344" w:rsidRDefault="008E3F72" w:rsidP="0010018A">
            <w:pPr>
              <w:widowControl/>
              <w:jc w:val="both"/>
              <w:rPr>
                <w:noProof/>
                <w:sz w:val="20"/>
                <w:szCs w:val="20"/>
              </w:rPr>
            </w:pPr>
          </w:p>
        </w:tc>
      </w:tr>
      <w:tr w:rsidR="008E3F72" w:rsidRPr="00163344" w14:paraId="45EBFC9C" w14:textId="77777777" w:rsidTr="0010018A">
        <w:tc>
          <w:tcPr>
            <w:tcW w:w="734" w:type="pct"/>
            <w:tcBorders>
              <w:top w:val="nil"/>
              <w:left w:val="nil"/>
              <w:bottom w:val="nil"/>
              <w:right w:val="nil"/>
            </w:tcBorders>
          </w:tcPr>
          <w:p w14:paraId="06741C8C" w14:textId="77777777" w:rsidR="008E3F72" w:rsidRPr="00163344" w:rsidRDefault="008E3F72" w:rsidP="0010018A">
            <w:pPr>
              <w:widowControl/>
              <w:jc w:val="both"/>
              <w:rPr>
                <w:noProof/>
                <w:sz w:val="20"/>
                <w:szCs w:val="20"/>
              </w:rPr>
            </w:pPr>
          </w:p>
        </w:tc>
        <w:tc>
          <w:tcPr>
            <w:tcW w:w="945" w:type="pct"/>
            <w:tcBorders>
              <w:top w:val="nil"/>
              <w:left w:val="nil"/>
              <w:bottom w:val="nil"/>
              <w:right w:val="nil"/>
            </w:tcBorders>
          </w:tcPr>
          <w:p w14:paraId="2F77E08E"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Cūkas</w:t>
            </w:r>
          </w:p>
        </w:tc>
        <w:tc>
          <w:tcPr>
            <w:tcW w:w="698" w:type="pct"/>
            <w:tcBorders>
              <w:top w:val="nil"/>
              <w:left w:val="nil"/>
              <w:bottom w:val="nil"/>
              <w:right w:val="nil"/>
            </w:tcBorders>
          </w:tcPr>
          <w:p w14:paraId="24EE7C2F"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0,7–0,9</w:t>
            </w:r>
          </w:p>
        </w:tc>
        <w:tc>
          <w:tcPr>
            <w:tcW w:w="625" w:type="pct"/>
            <w:tcBorders>
              <w:top w:val="nil"/>
              <w:left w:val="nil"/>
              <w:bottom w:val="nil"/>
              <w:right w:val="nil"/>
            </w:tcBorders>
          </w:tcPr>
          <w:p w14:paraId="6C1ECD52"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 xml:space="preserve">neattiecina </w:t>
            </w:r>
            <w:r w:rsidRPr="00163344">
              <w:rPr>
                <w:i/>
                <w:noProof/>
                <w:sz w:val="20"/>
                <w:szCs w:val="20"/>
              </w:rPr>
              <w:t>a</w:t>
            </w:r>
          </w:p>
        </w:tc>
        <w:tc>
          <w:tcPr>
            <w:tcW w:w="1999" w:type="pct"/>
            <w:tcBorders>
              <w:top w:val="nil"/>
              <w:left w:val="nil"/>
              <w:bottom w:val="nil"/>
              <w:right w:val="nil"/>
            </w:tcBorders>
          </w:tcPr>
          <w:p w14:paraId="74B7B01B" w14:textId="77777777" w:rsidR="008E3F72" w:rsidRPr="00163344" w:rsidRDefault="008E3F72" w:rsidP="0010018A">
            <w:pPr>
              <w:widowControl/>
              <w:jc w:val="both"/>
              <w:rPr>
                <w:noProof/>
                <w:sz w:val="20"/>
                <w:szCs w:val="20"/>
              </w:rPr>
            </w:pPr>
          </w:p>
        </w:tc>
      </w:tr>
      <w:tr w:rsidR="008E3F72" w:rsidRPr="00163344" w14:paraId="1D85A272" w14:textId="77777777" w:rsidTr="0010018A">
        <w:tc>
          <w:tcPr>
            <w:tcW w:w="734" w:type="pct"/>
            <w:tcBorders>
              <w:top w:val="nil"/>
              <w:left w:val="nil"/>
              <w:bottom w:val="nil"/>
              <w:right w:val="nil"/>
            </w:tcBorders>
          </w:tcPr>
          <w:p w14:paraId="0946CFCE" w14:textId="77777777" w:rsidR="008E3F72" w:rsidRPr="00163344" w:rsidRDefault="008E3F72" w:rsidP="0010018A">
            <w:pPr>
              <w:widowControl/>
              <w:jc w:val="both"/>
              <w:rPr>
                <w:noProof/>
                <w:sz w:val="20"/>
                <w:szCs w:val="20"/>
              </w:rPr>
            </w:pPr>
          </w:p>
        </w:tc>
        <w:tc>
          <w:tcPr>
            <w:tcW w:w="945" w:type="pct"/>
            <w:tcBorders>
              <w:top w:val="nil"/>
              <w:left w:val="nil"/>
              <w:bottom w:val="nil"/>
              <w:right w:val="nil"/>
            </w:tcBorders>
          </w:tcPr>
          <w:p w14:paraId="7C9ED139"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Mājputni</w:t>
            </w:r>
          </w:p>
        </w:tc>
        <w:tc>
          <w:tcPr>
            <w:tcW w:w="698" w:type="pct"/>
            <w:tcBorders>
              <w:top w:val="nil"/>
              <w:left w:val="nil"/>
              <w:bottom w:val="nil"/>
              <w:right w:val="nil"/>
            </w:tcBorders>
          </w:tcPr>
          <w:p w14:paraId="73CD6B2B"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0,6–0,9</w:t>
            </w:r>
          </w:p>
        </w:tc>
        <w:tc>
          <w:tcPr>
            <w:tcW w:w="625" w:type="pct"/>
            <w:tcBorders>
              <w:top w:val="nil"/>
              <w:left w:val="nil"/>
              <w:bottom w:val="nil"/>
              <w:right w:val="nil"/>
            </w:tcBorders>
          </w:tcPr>
          <w:p w14:paraId="2A954D61"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 xml:space="preserve">neattiecina </w:t>
            </w:r>
            <w:r w:rsidRPr="00163344">
              <w:rPr>
                <w:i/>
                <w:noProof/>
                <w:sz w:val="20"/>
                <w:szCs w:val="20"/>
              </w:rPr>
              <w:t>a</w:t>
            </w:r>
          </w:p>
        </w:tc>
        <w:tc>
          <w:tcPr>
            <w:tcW w:w="1999" w:type="pct"/>
            <w:tcBorders>
              <w:top w:val="nil"/>
              <w:left w:val="nil"/>
              <w:bottom w:val="nil"/>
              <w:right w:val="nil"/>
            </w:tcBorders>
          </w:tcPr>
          <w:p w14:paraId="3CC64659" w14:textId="77777777" w:rsidR="008E3F72" w:rsidRPr="00163344" w:rsidRDefault="008E3F72" w:rsidP="0010018A">
            <w:pPr>
              <w:widowControl/>
              <w:jc w:val="both"/>
              <w:rPr>
                <w:noProof/>
                <w:sz w:val="20"/>
                <w:szCs w:val="20"/>
              </w:rPr>
            </w:pPr>
          </w:p>
        </w:tc>
      </w:tr>
      <w:tr w:rsidR="008E3F72" w:rsidRPr="00163344" w14:paraId="42DE036C" w14:textId="77777777" w:rsidTr="0010018A">
        <w:tc>
          <w:tcPr>
            <w:tcW w:w="734" w:type="pct"/>
            <w:tcBorders>
              <w:top w:val="nil"/>
              <w:left w:val="nil"/>
              <w:bottom w:val="single" w:sz="12" w:space="0" w:color="000000"/>
              <w:right w:val="nil"/>
            </w:tcBorders>
          </w:tcPr>
          <w:p w14:paraId="2AB5A849" w14:textId="77777777" w:rsidR="008E3F72" w:rsidRPr="00163344" w:rsidRDefault="008E3F72" w:rsidP="0010018A">
            <w:pPr>
              <w:widowControl/>
              <w:jc w:val="both"/>
              <w:rPr>
                <w:noProof/>
                <w:sz w:val="20"/>
                <w:szCs w:val="20"/>
              </w:rPr>
            </w:pPr>
          </w:p>
        </w:tc>
        <w:tc>
          <w:tcPr>
            <w:tcW w:w="945" w:type="pct"/>
            <w:tcBorders>
              <w:top w:val="nil"/>
              <w:left w:val="nil"/>
              <w:bottom w:val="single" w:sz="12" w:space="0" w:color="000000"/>
              <w:right w:val="nil"/>
            </w:tcBorders>
          </w:tcPr>
          <w:p w14:paraId="1605CD31"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Citi dzīvnieki</w:t>
            </w:r>
          </w:p>
        </w:tc>
        <w:tc>
          <w:tcPr>
            <w:tcW w:w="698" w:type="pct"/>
            <w:tcBorders>
              <w:top w:val="nil"/>
              <w:left w:val="nil"/>
              <w:bottom w:val="single" w:sz="12" w:space="0" w:color="000000"/>
              <w:right w:val="nil"/>
            </w:tcBorders>
          </w:tcPr>
          <w:p w14:paraId="779D8E04"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0,7–0,9</w:t>
            </w:r>
          </w:p>
        </w:tc>
        <w:tc>
          <w:tcPr>
            <w:tcW w:w="625" w:type="pct"/>
            <w:tcBorders>
              <w:top w:val="nil"/>
              <w:left w:val="nil"/>
              <w:bottom w:val="single" w:sz="12" w:space="0" w:color="000000"/>
              <w:right w:val="nil"/>
            </w:tcBorders>
          </w:tcPr>
          <w:p w14:paraId="725E18A6" w14:textId="77777777" w:rsidR="008E3F72" w:rsidRPr="00163344" w:rsidRDefault="008E3F72" w:rsidP="0010018A">
            <w:pPr>
              <w:pStyle w:val="TableParagraph"/>
              <w:widowControl/>
              <w:kinsoku w:val="0"/>
              <w:overflowPunct w:val="0"/>
              <w:jc w:val="both"/>
              <w:rPr>
                <w:noProof/>
                <w:sz w:val="20"/>
                <w:szCs w:val="20"/>
              </w:rPr>
            </w:pPr>
            <w:r w:rsidRPr="00163344">
              <w:rPr>
                <w:sz w:val="20"/>
                <w:szCs w:val="20"/>
              </w:rPr>
              <w:t xml:space="preserve">neattiecina </w:t>
            </w:r>
            <w:r w:rsidRPr="00163344">
              <w:rPr>
                <w:i/>
                <w:noProof/>
                <w:sz w:val="20"/>
                <w:szCs w:val="20"/>
              </w:rPr>
              <w:t>a</w:t>
            </w:r>
          </w:p>
        </w:tc>
        <w:tc>
          <w:tcPr>
            <w:tcW w:w="1999" w:type="pct"/>
            <w:tcBorders>
              <w:top w:val="nil"/>
              <w:left w:val="nil"/>
              <w:bottom w:val="single" w:sz="12" w:space="0" w:color="000000"/>
              <w:right w:val="nil"/>
            </w:tcBorders>
          </w:tcPr>
          <w:p w14:paraId="1EE49969" w14:textId="77777777" w:rsidR="008E3F72" w:rsidRPr="00163344" w:rsidRDefault="008E3F72" w:rsidP="0010018A">
            <w:pPr>
              <w:widowControl/>
              <w:jc w:val="both"/>
              <w:rPr>
                <w:noProof/>
                <w:sz w:val="20"/>
                <w:szCs w:val="20"/>
              </w:rPr>
            </w:pPr>
          </w:p>
        </w:tc>
      </w:tr>
    </w:tbl>
    <w:p w14:paraId="5A361B80"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rPr>
        <w:t>a</w:t>
      </w:r>
      <w:r w:rsidRPr="00F35F4D">
        <w:t xml:space="preserve"> Neattiecina, jo šajās saimniecībās būtībā nav zemes platību.</w:t>
      </w:r>
      <w:r w:rsidRPr="00F35F4D">
        <w:rPr>
          <w:noProof/>
          <w:sz w:val="24"/>
        </w:rPr>
        <w:t xml:space="preserve"> Tomēr Npārpalikumu var izteikt kilogramos uz vienu saimniecību gadā. Ja visi dzīvnieku izcelsmes produkti, tostarp kūtsmēsli un visi atlieku produkti un atkritumi, tiek izvesti, Npārpalikuma mērķvērtība var būt no 0 līdz 1000 kg uz vienu saimniecību gadā atkarībā no saimniecības lieluma un gāzveida N zudumiem.</w:t>
      </w:r>
    </w:p>
    <w:p w14:paraId="0003B80B" w14:textId="77777777" w:rsidR="00163344" w:rsidRDefault="00163344">
      <w:pPr>
        <w:widowControl/>
        <w:autoSpaceDE/>
        <w:autoSpaceDN/>
        <w:adjustRightInd/>
        <w:spacing w:after="160" w:line="259" w:lineRule="auto"/>
        <w:rPr>
          <w:noProof/>
        </w:rPr>
      </w:pPr>
      <w:r>
        <w:rPr>
          <w:b/>
          <w:bCs/>
          <w:noProof/>
        </w:rPr>
        <w:br w:type="page"/>
      </w:r>
    </w:p>
    <w:p w14:paraId="29B82077" w14:textId="2A640195" w:rsidR="00163344" w:rsidRPr="00163344" w:rsidRDefault="00163344" w:rsidP="00163344">
      <w:pPr>
        <w:pStyle w:val="Heading2"/>
        <w:widowControl/>
        <w:kinsoku w:val="0"/>
        <w:overflowPunct w:val="0"/>
        <w:ind w:left="0"/>
        <w:jc w:val="right"/>
        <w:rPr>
          <w:rFonts w:ascii="Times New Roman" w:hAnsi="Times New Roman" w:cs="Times New Roman"/>
          <w:noProof/>
          <w:color w:val="0D0D0D"/>
          <w:sz w:val="40"/>
        </w:rPr>
      </w:pPr>
      <w:bookmarkStart w:id="6" w:name="_Toc426033258"/>
      <w:r w:rsidRPr="00163344">
        <w:rPr>
          <w:rFonts w:ascii="Times New Roman" w:hAnsi="Times New Roman" w:cs="Times New Roman"/>
          <w:noProof/>
          <w:color w:val="0D0D0D"/>
          <w:sz w:val="40"/>
        </w:rPr>
        <w:lastRenderedPageBreak/>
        <w:t>4. nodaļa</w:t>
      </w:r>
      <w:bookmarkEnd w:id="6"/>
    </w:p>
    <w:p w14:paraId="17C23DFD" w14:textId="77777777" w:rsidR="00163344" w:rsidRDefault="00163344" w:rsidP="008E3F72">
      <w:pPr>
        <w:pStyle w:val="Heading2"/>
        <w:widowControl/>
        <w:kinsoku w:val="0"/>
        <w:overflowPunct w:val="0"/>
        <w:ind w:left="0"/>
        <w:jc w:val="both"/>
        <w:rPr>
          <w:rFonts w:ascii="Times New Roman" w:hAnsi="Times New Roman" w:cs="Times New Roman"/>
          <w:noProof/>
          <w:color w:val="0D0D0D"/>
          <w:sz w:val="24"/>
        </w:rPr>
      </w:pPr>
    </w:p>
    <w:p w14:paraId="26678777" w14:textId="365B4B00" w:rsidR="008E3F72" w:rsidRDefault="008E3F72" w:rsidP="00163344">
      <w:pPr>
        <w:pStyle w:val="Heading1"/>
      </w:pPr>
      <w:bookmarkStart w:id="7" w:name="_Toc426033259"/>
      <w:r w:rsidRPr="00F35F4D">
        <w:t>Lauk</w:t>
      </w:r>
      <w:r w:rsidR="00012926">
        <w:t>saimniecības dzīvnieku ēdināšanas</w:t>
      </w:r>
      <w:r w:rsidRPr="00F35F4D">
        <w:t xml:space="preserve"> stratēģijas</w:t>
      </w:r>
      <w:bookmarkEnd w:id="7"/>
    </w:p>
    <w:p w14:paraId="11D0E286" w14:textId="77777777" w:rsidR="00163344" w:rsidRPr="00163344" w:rsidRDefault="00163344" w:rsidP="00163344"/>
    <w:p w14:paraId="6CC4979A"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O. Oenema, S. Tamminga, H. Menzi, A.J.A. Aarnink, C. Piñeiro Noguera,</w:t>
      </w:r>
    </w:p>
    <w:p w14:paraId="4CF8D1B3" w14:textId="77777777" w:rsidR="008E3F72" w:rsidRPr="00F35F4D" w:rsidRDefault="008E3F72" w:rsidP="008E3F72">
      <w:pPr>
        <w:pStyle w:val="BodyText"/>
        <w:widowControl/>
        <w:kinsoku w:val="0"/>
        <w:overflowPunct w:val="0"/>
        <w:spacing w:before="0"/>
        <w:ind w:left="0"/>
        <w:jc w:val="both"/>
        <w:rPr>
          <w:i/>
          <w:iCs/>
          <w:noProof/>
          <w:sz w:val="24"/>
          <w:szCs w:val="24"/>
        </w:rPr>
      </w:pPr>
      <w:r w:rsidRPr="00F35F4D">
        <w:rPr>
          <w:i/>
          <w:noProof/>
          <w:sz w:val="24"/>
        </w:rPr>
        <w:t>G. Montalvo Bermejo</w:t>
      </w:r>
    </w:p>
    <w:p w14:paraId="0091A975" w14:textId="77777777" w:rsidR="008E3F72" w:rsidRPr="00F35F4D" w:rsidRDefault="008E3F72" w:rsidP="008E3F72">
      <w:pPr>
        <w:pStyle w:val="BodyText"/>
        <w:widowControl/>
        <w:kinsoku w:val="0"/>
        <w:overflowPunct w:val="0"/>
        <w:spacing w:before="0"/>
        <w:ind w:left="0"/>
        <w:jc w:val="both"/>
        <w:rPr>
          <w:i/>
          <w:iCs/>
          <w:noProof/>
          <w:sz w:val="24"/>
          <w:szCs w:val="24"/>
        </w:rPr>
      </w:pPr>
    </w:p>
    <w:p w14:paraId="6F1E906B" w14:textId="22F95FE6" w:rsidR="008E3F72" w:rsidRPr="00D265B8"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Gāzveida N zudumus no lopkopības rada lauksaimniecības dzīvni</w:t>
      </w:r>
      <w:r w:rsidR="00012926">
        <w:rPr>
          <w:noProof/>
          <w:sz w:val="24"/>
        </w:rPr>
        <w:t>eku izdalītās fekālijas (kūtsmēsli</w:t>
      </w:r>
      <w:r w:rsidRPr="00F35F4D">
        <w:rPr>
          <w:noProof/>
          <w:sz w:val="24"/>
        </w:rPr>
        <w:t xml:space="preserve">) un urīns. Dzīvnieku barības saturs un rīcība ar barību ļoti </w:t>
      </w:r>
      <w:r w:rsidR="0085568E">
        <w:rPr>
          <w:noProof/>
          <w:sz w:val="24"/>
        </w:rPr>
        <w:t>ietekmē dzīvnieku veselības un ražības rādītājus</w:t>
      </w:r>
      <w:r w:rsidRPr="00F35F4D">
        <w:rPr>
          <w:noProof/>
          <w:sz w:val="24"/>
        </w:rPr>
        <w:t>, kā arī mēslu un urīna saturu, šādi atstājot iespaidu arī uz NH3 emisiju. Š</w:t>
      </w:r>
      <w:r w:rsidR="00012926">
        <w:rPr>
          <w:noProof/>
          <w:sz w:val="24"/>
        </w:rPr>
        <w:t>ajā sadaļā ir aplūkota ēdināšanas</w:t>
      </w:r>
      <w:r w:rsidRPr="00F35F4D">
        <w:rPr>
          <w:noProof/>
          <w:sz w:val="24"/>
        </w:rPr>
        <w:t xml:space="preserve"> stratēģija NH3 emisijas samazināšanai. Pa</w:t>
      </w:r>
      <w:r w:rsidR="00012926">
        <w:rPr>
          <w:noProof/>
          <w:sz w:val="24"/>
        </w:rPr>
        <w:t>pildu informācija par „ēdināšanas</w:t>
      </w:r>
      <w:r w:rsidRPr="00F35F4D">
        <w:rPr>
          <w:noProof/>
          <w:sz w:val="24"/>
        </w:rPr>
        <w:t xml:space="preserve"> stratēģijām” ir sniegta II pielikumā.</w:t>
      </w:r>
    </w:p>
    <w:p w14:paraId="10DC2059" w14:textId="77777777" w:rsidR="00D265B8" w:rsidRPr="00F35F4D" w:rsidRDefault="00D265B8" w:rsidP="00D265B8">
      <w:pPr>
        <w:pStyle w:val="BodyText"/>
        <w:widowControl/>
        <w:tabs>
          <w:tab w:val="left" w:pos="861"/>
        </w:tabs>
        <w:kinsoku w:val="0"/>
        <w:overflowPunct w:val="0"/>
        <w:spacing w:before="0"/>
        <w:ind w:left="0"/>
        <w:jc w:val="both"/>
        <w:rPr>
          <w:noProof/>
          <w:sz w:val="24"/>
          <w:szCs w:val="24"/>
        </w:rPr>
      </w:pPr>
    </w:p>
    <w:p w14:paraId="02974B71" w14:textId="77777777" w:rsidR="008E3F72" w:rsidRPr="00D265B8"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i/>
        </w:rPr>
        <w:t>Atsauces paņēmieni.</w:t>
      </w:r>
      <w:r w:rsidRPr="00F35F4D">
        <w:rPr>
          <w:noProof/>
          <w:sz w:val="24"/>
        </w:rPr>
        <w:t xml:space="preserve"> Šajā nodaļā aprakstītās emisijas samazināšanas stratēģijas nav definētas un vērtētas salīdzinājumā ar kādu vienotu atsauces stratēģiju (bāzes jeb tādu stratēģiju, kurā nav emisijas samazināšanas paņēmienu) dzīvnieku barošanai, jo šādas atsauces stratēģijas dažādās EEK valstīs atšķiras. Jānošķir arī dažādas dzīvnieku kategorijas, jo prasības dzīvnieku barībai un attiecīgajai N ekskrēcijai dažādām dzīvnieku kategorijām ir ļoti atšķirīgas.</w:t>
      </w:r>
    </w:p>
    <w:p w14:paraId="67D1B053" w14:textId="77777777" w:rsidR="00D265B8" w:rsidRPr="00F35F4D" w:rsidRDefault="00D265B8" w:rsidP="00D265B8">
      <w:pPr>
        <w:pStyle w:val="BodyText"/>
        <w:widowControl/>
        <w:tabs>
          <w:tab w:val="left" w:pos="861"/>
        </w:tabs>
        <w:kinsoku w:val="0"/>
        <w:overflowPunct w:val="0"/>
        <w:spacing w:before="0"/>
        <w:ind w:left="0"/>
        <w:jc w:val="both"/>
        <w:rPr>
          <w:noProof/>
          <w:sz w:val="24"/>
          <w:szCs w:val="24"/>
        </w:rPr>
      </w:pPr>
    </w:p>
    <w:p w14:paraId="0135E2BB" w14:textId="0B4246A1" w:rsidR="008E3F72" w:rsidRPr="00D265B8"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Viens no rentablākajiem un stratēģiski pamatotākajiem NH3 emisijas samazināšan</w:t>
      </w:r>
      <w:r w:rsidR="00012926">
        <w:rPr>
          <w:noProof/>
          <w:sz w:val="24"/>
        </w:rPr>
        <w:t>as veidiem ir dzīvnieku ēdināšana</w:t>
      </w:r>
      <w:r w:rsidRPr="00F35F4D">
        <w:rPr>
          <w:noProof/>
          <w:sz w:val="24"/>
        </w:rPr>
        <w:t xml:space="preserve"> ar barību, kurā ir zems olbaltumvielu saturs. Katrs procents (absolūtā izteiksmē), par kuru samazina olbaltumvielu saturu dzīvnieku barībā, samazina NH3 emisiju no dzīvnieku novietnēm, kūtsmēslu krātuvēm un to izmantošanas zemes mēslošanai par 5 – 15 %, arī atkarībā no urīna un mēslu pH līmeņa. Dzīvnieku barība ar zemu olbaltumvielu saturu samazina arī N2O emisiju un paaugstina N izmantošanas efektivitāti lopkopībā. Turklāt tā neietekmē dzīvnieku veselību un labturību, ja vien tiek nodrošinātas vajadzības pēc visām aminoskābēm.</w:t>
      </w:r>
    </w:p>
    <w:p w14:paraId="5A2FAFE3" w14:textId="77777777" w:rsidR="00D265B8" w:rsidRPr="00F35F4D" w:rsidRDefault="00D265B8" w:rsidP="00D265B8">
      <w:pPr>
        <w:pStyle w:val="BodyText"/>
        <w:widowControl/>
        <w:tabs>
          <w:tab w:val="left" w:pos="861"/>
        </w:tabs>
        <w:kinsoku w:val="0"/>
        <w:overflowPunct w:val="0"/>
        <w:spacing w:before="0"/>
        <w:ind w:left="0"/>
        <w:jc w:val="both"/>
        <w:rPr>
          <w:noProof/>
          <w:sz w:val="24"/>
          <w:szCs w:val="24"/>
        </w:rPr>
      </w:pPr>
    </w:p>
    <w:p w14:paraId="0B47C7A7" w14:textId="4260C036" w:rsidR="008E3F72" w:rsidRPr="00A86B70"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Zema līmeņa olbaltumvielu satura barība visvairāk ir attiecināma uz novietnēs turētiem dzīvniekiem un mazāk – uz ganību sistēmām, jo zāle ir agrīnā fizioloģiskās augšanas stadijā, un tāpēc tajā ir daudz olbaltumvielu, kas spēj noārdīties, un zāles platībās, kurās ir daudz pākšaugu sugu (piemēram, āboliņš un lucerna), ir relatīvi daudz olbaltumvielu. Kaut arī ir tādas stratēģijas, ar kurām var samazināt olbaltumvielu saturu zālē (līdzsvarota mēslošana ar slāpekli, zāles noganīšana/nopļaušana fizioloģiskās augšanas vēlākās stadijās utt.) un visā barībā, ko nodrošina </w:t>
      </w:r>
      <w:r w:rsidR="00012926">
        <w:rPr>
          <w:noProof/>
          <w:sz w:val="24"/>
        </w:rPr>
        <w:t>ganību sistēmā (papildu ēdināšana</w:t>
      </w:r>
      <w:r w:rsidRPr="00F35F4D">
        <w:rPr>
          <w:noProof/>
          <w:sz w:val="24"/>
        </w:rPr>
        <w:t xml:space="preserve"> ar barību, kurā ir zems olbaltumvielu saturs), šīs stratēģijas ne vienmēr var pilnībā piemērot.</w:t>
      </w:r>
    </w:p>
    <w:p w14:paraId="7EDD9F4F" w14:textId="77777777" w:rsidR="00A86B70" w:rsidRPr="00F35F4D" w:rsidRDefault="00A86B70" w:rsidP="00A86B70">
      <w:pPr>
        <w:pStyle w:val="BodyText"/>
        <w:widowControl/>
        <w:tabs>
          <w:tab w:val="left" w:pos="861"/>
        </w:tabs>
        <w:kinsoku w:val="0"/>
        <w:overflowPunct w:val="0"/>
        <w:spacing w:before="0"/>
        <w:ind w:left="0"/>
        <w:jc w:val="both"/>
        <w:rPr>
          <w:noProof/>
          <w:sz w:val="24"/>
          <w:szCs w:val="24"/>
        </w:rPr>
      </w:pPr>
    </w:p>
    <w:p w14:paraId="5BC3001E" w14:textId="7AC5224D" w:rsidR="008E3F72" w:rsidRPr="00F35F4D" w:rsidRDefault="00012926" w:rsidP="008E3F72">
      <w:pPr>
        <w:pStyle w:val="BodyText"/>
        <w:widowControl/>
        <w:numPr>
          <w:ilvl w:val="0"/>
          <w:numId w:val="16"/>
        </w:numPr>
        <w:tabs>
          <w:tab w:val="left" w:pos="861"/>
        </w:tabs>
        <w:kinsoku w:val="0"/>
        <w:overflowPunct w:val="0"/>
        <w:spacing w:before="0"/>
        <w:ind w:left="0" w:firstLine="0"/>
        <w:jc w:val="both"/>
        <w:rPr>
          <w:noProof/>
          <w:sz w:val="24"/>
          <w:szCs w:val="24"/>
        </w:rPr>
      </w:pPr>
      <w:r>
        <w:rPr>
          <w:noProof/>
          <w:sz w:val="24"/>
        </w:rPr>
        <w:t>Dzīvnieku ēdināšanas</w:t>
      </w:r>
      <w:r w:rsidR="008E3F72" w:rsidRPr="00F35F4D">
        <w:rPr>
          <w:noProof/>
          <w:sz w:val="24"/>
        </w:rPr>
        <w:t xml:space="preserve"> stratēģiju ekonomiskās izmaksas NH3 emisijas intensitātes samazināšanai no dzīvnieku ekskrementiem, pielāgojot olbaltumvielu kopējo daudzumu (KP), ir atkarīgas no barības sākotnējām sastāvdaļām un barības sastāvdaļu cenām tirgū. Kopumā ekonomiskās izmaksas ir no -2 līdz +2 € par ietaupītā NH3-N kilogramu, t. i., iespējams gan tīrais ieguvums, gan tīrās izmaksas. Parasti ekonomiskās izmaksas palielinās, paaugstinot NH3 emisijas samazinājuma potenciāla mērķvērtību. Robežizmaksu palielināšanās daļēji saistās ar izmaksām par sintētisko aminoskābju piedevām salīdzinājumā ar izmaksām, kas rodas, izmantojot sojas pupas. Aminoskābju piedevu izmaksām ir tendence samazināties. Izmaksas par aminoskābju </w:t>
      </w:r>
      <w:r w:rsidR="008E3F72" w:rsidRPr="00F35F4D">
        <w:rPr>
          <w:noProof/>
          <w:sz w:val="24"/>
        </w:rPr>
        <w:lastRenderedPageBreak/>
        <w:t>piedevām palielinās tad, kad olbaltumvielu mērķlīmeni dzīvnieku barībā pazemina (skatīt arī I un II pielikumu).</w:t>
      </w:r>
    </w:p>
    <w:p w14:paraId="62E85D4A" w14:textId="77777777" w:rsidR="008E3F72" w:rsidRPr="00F35F4D" w:rsidRDefault="008E3F72" w:rsidP="008E3F72">
      <w:pPr>
        <w:pStyle w:val="BodyText"/>
        <w:widowControl/>
        <w:kinsoku w:val="0"/>
        <w:overflowPunct w:val="0"/>
        <w:spacing w:before="0"/>
        <w:ind w:left="0"/>
        <w:jc w:val="both"/>
        <w:rPr>
          <w:noProof/>
          <w:sz w:val="24"/>
          <w:szCs w:val="24"/>
        </w:rPr>
      </w:pPr>
    </w:p>
    <w:p w14:paraId="7B3928DF" w14:textId="2ACBE55D" w:rsidR="00A86B70" w:rsidRDefault="008E3F72" w:rsidP="00A86B70">
      <w:pPr>
        <w:pStyle w:val="Heading5"/>
        <w:widowControl/>
        <w:kinsoku w:val="0"/>
        <w:overflowPunct w:val="0"/>
        <w:ind w:left="0"/>
        <w:jc w:val="both"/>
        <w:rPr>
          <w:rFonts w:ascii="Times New Roman" w:hAnsi="Times New Roman" w:cs="Times New Roman"/>
          <w:noProof/>
          <w:color w:val="0D0D0D"/>
          <w:sz w:val="24"/>
        </w:rPr>
      </w:pPr>
      <w:r w:rsidRPr="00F35F4D">
        <w:rPr>
          <w:rFonts w:ascii="Times New Roman" w:hAnsi="Times New Roman" w:cs="Times New Roman"/>
          <w:noProof/>
          <w:color w:val="0D0D0D"/>
          <w:sz w:val="24"/>
        </w:rPr>
        <w:t>Piena un gaļas</w:t>
      </w:r>
      <w:r w:rsidR="00012926">
        <w:rPr>
          <w:rFonts w:ascii="Times New Roman" w:hAnsi="Times New Roman" w:cs="Times New Roman"/>
          <w:noProof/>
          <w:color w:val="0D0D0D"/>
          <w:sz w:val="24"/>
        </w:rPr>
        <w:t xml:space="preserve"> lopu ēdināšanas</w:t>
      </w:r>
      <w:r w:rsidRPr="00F35F4D">
        <w:rPr>
          <w:rFonts w:ascii="Times New Roman" w:hAnsi="Times New Roman" w:cs="Times New Roman"/>
          <w:noProof/>
          <w:color w:val="0D0D0D"/>
          <w:sz w:val="24"/>
        </w:rPr>
        <w:t xml:space="preserve"> stratēģijas, kas atbilst 1. kategorijai</w:t>
      </w:r>
    </w:p>
    <w:p w14:paraId="2AA96661" w14:textId="77777777" w:rsidR="00A86B70" w:rsidRPr="00A86B70" w:rsidRDefault="00A86B70" w:rsidP="00A86B70"/>
    <w:p w14:paraId="18FF1B19" w14:textId="77777777" w:rsidR="008E3F72" w:rsidRPr="00A86B70"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KP samazināšana atgremotājdzīvnieku barībā ir efektīva stratēģija NH3 zudumu samazināšanai un atbilst 1. kategorijai. Jāņem vērā šādi norādījumi (3. tabula).</w:t>
      </w:r>
    </w:p>
    <w:p w14:paraId="3FC965EA" w14:textId="77777777" w:rsidR="00A86B70" w:rsidRPr="00F35F4D" w:rsidRDefault="00A86B70" w:rsidP="00A86B70">
      <w:pPr>
        <w:pStyle w:val="BodyText"/>
        <w:widowControl/>
        <w:tabs>
          <w:tab w:val="left" w:pos="861"/>
        </w:tabs>
        <w:kinsoku w:val="0"/>
        <w:overflowPunct w:val="0"/>
        <w:spacing w:before="0"/>
        <w:ind w:left="0"/>
        <w:jc w:val="both"/>
        <w:rPr>
          <w:noProof/>
          <w:sz w:val="24"/>
          <w:szCs w:val="24"/>
        </w:rPr>
      </w:pPr>
    </w:p>
    <w:p w14:paraId="0DBF4216" w14:textId="5F577C3D" w:rsidR="008E3F72" w:rsidRPr="00F35F4D" w:rsidRDefault="008E3F72" w:rsidP="00A86B70">
      <w:pPr>
        <w:pStyle w:val="BodyText"/>
        <w:widowControl/>
        <w:numPr>
          <w:ilvl w:val="1"/>
          <w:numId w:val="16"/>
        </w:numPr>
        <w:kinsoku w:val="0"/>
        <w:overflowPunct w:val="0"/>
        <w:spacing w:before="0"/>
        <w:ind w:left="0" w:firstLine="0"/>
        <w:jc w:val="both"/>
        <w:rPr>
          <w:noProof/>
          <w:sz w:val="24"/>
          <w:szCs w:val="24"/>
        </w:rPr>
      </w:pPr>
      <w:r w:rsidRPr="00F35F4D">
        <w:rPr>
          <w:noProof/>
          <w:sz w:val="24"/>
        </w:rPr>
        <w:t xml:space="preserve"> Piena </w:t>
      </w:r>
      <w:r w:rsidR="00012926">
        <w:rPr>
          <w:noProof/>
          <w:sz w:val="24"/>
        </w:rPr>
        <w:t>liel</w:t>
      </w:r>
      <w:r w:rsidRPr="00F35F4D">
        <w:rPr>
          <w:noProof/>
          <w:sz w:val="24"/>
        </w:rPr>
        <w:t xml:space="preserve">lopu uzturā vidējais KP daudzums </w:t>
      </w:r>
      <w:r w:rsidR="00012926">
        <w:rPr>
          <w:noProof/>
          <w:sz w:val="24"/>
        </w:rPr>
        <w:t>sausnā (</w:t>
      </w:r>
      <w:r w:rsidR="00012926" w:rsidRPr="00012926">
        <w:rPr>
          <w:i/>
          <w:noProof/>
          <w:sz w:val="24"/>
        </w:rPr>
        <w:t>DM</w:t>
      </w:r>
      <w:r w:rsidRPr="00F35F4D">
        <w:rPr>
          <w:noProof/>
          <w:sz w:val="24"/>
        </w:rPr>
        <w:t>) nedrīkst pārsniegt 15–16 % (</w:t>
      </w:r>
      <w:r w:rsidRPr="00F35F4D">
        <w:rPr>
          <w:i/>
          <w:noProof/>
          <w:sz w:val="24"/>
        </w:rPr>
        <w:t>Broderick</w:t>
      </w:r>
      <w:r w:rsidRPr="00F35F4D">
        <w:rPr>
          <w:noProof/>
          <w:sz w:val="24"/>
        </w:rPr>
        <w:t xml:space="preserve">, 2003; </w:t>
      </w:r>
      <w:r w:rsidRPr="00F35F4D">
        <w:rPr>
          <w:i/>
          <w:noProof/>
          <w:sz w:val="24"/>
        </w:rPr>
        <w:t>Swensson</w:t>
      </w:r>
      <w:r w:rsidRPr="00F35F4D">
        <w:rPr>
          <w:noProof/>
          <w:sz w:val="24"/>
        </w:rPr>
        <w:t xml:space="preserve">, 2003). Gaļas </w:t>
      </w:r>
      <w:r w:rsidR="00FC0E68">
        <w:rPr>
          <w:noProof/>
          <w:sz w:val="24"/>
        </w:rPr>
        <w:t>liel</w:t>
      </w:r>
      <w:r w:rsidRPr="00F35F4D">
        <w:rPr>
          <w:noProof/>
          <w:sz w:val="24"/>
        </w:rPr>
        <w:t>lopiem, kas vecāki par 6 mēnešiem, šo procentos izteikto daudzumu var samazināt līdz pat 12 %.</w:t>
      </w:r>
    </w:p>
    <w:p w14:paraId="7D56FBB6" w14:textId="3FEB41EF" w:rsidR="008E3F72" w:rsidRPr="00F35F4D" w:rsidRDefault="00FC0E68" w:rsidP="00A86B70">
      <w:pPr>
        <w:pStyle w:val="BodyText"/>
        <w:widowControl/>
        <w:numPr>
          <w:ilvl w:val="1"/>
          <w:numId w:val="16"/>
        </w:numPr>
        <w:kinsoku w:val="0"/>
        <w:overflowPunct w:val="0"/>
        <w:spacing w:before="0"/>
        <w:ind w:left="0" w:firstLine="0"/>
        <w:jc w:val="both"/>
        <w:rPr>
          <w:noProof/>
          <w:sz w:val="24"/>
          <w:szCs w:val="24"/>
        </w:rPr>
      </w:pPr>
      <w:r>
        <w:rPr>
          <w:noProof/>
          <w:sz w:val="24"/>
        </w:rPr>
        <w:t>Dzīvnieku ēdināšanu</w:t>
      </w:r>
      <w:r w:rsidR="008E3F72" w:rsidRPr="00F35F4D">
        <w:rPr>
          <w:noProof/>
          <w:sz w:val="24"/>
        </w:rPr>
        <w:t xml:space="preserve"> var pielāgot to attīstības stadijām, KP saturu piena </w:t>
      </w:r>
      <w:r>
        <w:rPr>
          <w:noProof/>
          <w:sz w:val="24"/>
        </w:rPr>
        <w:t>liel</w:t>
      </w:r>
      <w:r w:rsidR="008E3F72" w:rsidRPr="00F35F4D">
        <w:rPr>
          <w:noProof/>
          <w:sz w:val="24"/>
        </w:rPr>
        <w:t>lopu uzturā pakāpeniski samazinot no 16 % sausnā tieši pirms atnešanā</w:t>
      </w:r>
      <w:r>
        <w:rPr>
          <w:noProof/>
          <w:sz w:val="24"/>
        </w:rPr>
        <w:t>s un laktācijas agrīnajā periodā</w:t>
      </w:r>
      <w:r w:rsidR="008E3F72" w:rsidRPr="00F35F4D">
        <w:rPr>
          <w:noProof/>
          <w:sz w:val="24"/>
        </w:rPr>
        <w:t xml:space="preserve"> līdz daudzumam, kas mazāks par 1</w:t>
      </w:r>
      <w:r>
        <w:rPr>
          <w:noProof/>
          <w:sz w:val="24"/>
        </w:rPr>
        <w:t>4 %, vēlīnajā laktācijas periodā</w:t>
      </w:r>
      <w:r w:rsidR="008E3F72" w:rsidRPr="00F35F4D">
        <w:rPr>
          <w:noProof/>
          <w:sz w:val="24"/>
        </w:rPr>
        <w:t xml:space="preserve"> un cietstāves periodā.</w:t>
      </w:r>
    </w:p>
    <w:p w14:paraId="0D037E64" w14:textId="729DED94" w:rsidR="008E3F72" w:rsidRPr="00F35F4D" w:rsidRDefault="008E3F72" w:rsidP="00A86B70">
      <w:pPr>
        <w:pStyle w:val="BodyText"/>
        <w:widowControl/>
        <w:numPr>
          <w:ilvl w:val="1"/>
          <w:numId w:val="16"/>
        </w:numPr>
        <w:kinsoku w:val="0"/>
        <w:overflowPunct w:val="0"/>
        <w:spacing w:before="0"/>
        <w:ind w:left="0" w:firstLine="0"/>
        <w:jc w:val="both"/>
        <w:rPr>
          <w:noProof/>
          <w:sz w:val="24"/>
          <w:szCs w:val="24"/>
        </w:rPr>
      </w:pPr>
      <w:r w:rsidRPr="00F35F4D">
        <w:rPr>
          <w:noProof/>
          <w:sz w:val="24"/>
        </w:rPr>
        <w:t xml:space="preserve">Arī gaļas </w:t>
      </w:r>
      <w:r w:rsidR="00FC0E68">
        <w:rPr>
          <w:noProof/>
          <w:sz w:val="24"/>
        </w:rPr>
        <w:t>liel</w:t>
      </w:r>
      <w:r w:rsidRPr="00F35F4D">
        <w:rPr>
          <w:noProof/>
          <w:sz w:val="24"/>
        </w:rPr>
        <w:t xml:space="preserve">lopus var </w:t>
      </w:r>
      <w:r w:rsidR="00FC0E68">
        <w:rPr>
          <w:noProof/>
          <w:sz w:val="24"/>
        </w:rPr>
        <w:t>ēdināt</w:t>
      </w:r>
      <w:r w:rsidRPr="00F35F4D">
        <w:rPr>
          <w:noProof/>
          <w:sz w:val="24"/>
        </w:rPr>
        <w:t xml:space="preserve"> atkarībā no</w:t>
      </w:r>
      <w:r w:rsidR="00FC0E68">
        <w:rPr>
          <w:noProof/>
          <w:sz w:val="24"/>
        </w:rPr>
        <w:t xml:space="preserve"> attīstības</w:t>
      </w:r>
      <w:r w:rsidRPr="00F35F4D">
        <w:rPr>
          <w:noProof/>
          <w:sz w:val="24"/>
        </w:rPr>
        <w:t xml:space="preserve"> stadijas tā, lai KP saturs barības devā laika gaitā pakāpeniski samazinātos no 16 līdz 12 %.</w:t>
      </w:r>
    </w:p>
    <w:p w14:paraId="5A146CD0" w14:textId="77777777" w:rsidR="008E3F72" w:rsidRPr="00F35F4D" w:rsidRDefault="008E3F72" w:rsidP="008E3F72">
      <w:pPr>
        <w:pStyle w:val="BodyText"/>
        <w:widowControl/>
        <w:kinsoku w:val="0"/>
        <w:overflowPunct w:val="0"/>
        <w:spacing w:before="0"/>
        <w:ind w:left="0"/>
        <w:jc w:val="both"/>
        <w:rPr>
          <w:noProof/>
          <w:sz w:val="24"/>
          <w:szCs w:val="24"/>
        </w:rPr>
      </w:pPr>
    </w:p>
    <w:p w14:paraId="5C9F4107"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3. tabula</w:t>
      </w:r>
    </w:p>
    <w:p w14:paraId="648E7EBC"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Orientējošās KP mērķvērtības (procentos no barības devā esošās sausnas) un attiecīgā NIE uz liellopu produkta vienību, kas izteikta masas daļās (kg/kg)</w:t>
      </w:r>
    </w:p>
    <w:p w14:paraId="49A0E04B"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4045"/>
        <w:gridCol w:w="1596"/>
        <w:gridCol w:w="2585"/>
      </w:tblGrid>
      <w:tr w:rsidR="008E3F72" w:rsidRPr="00A86B70" w14:paraId="439F5A88" w14:textId="77777777" w:rsidTr="0010018A">
        <w:tc>
          <w:tcPr>
            <w:tcW w:w="2459" w:type="pct"/>
            <w:tcBorders>
              <w:top w:val="single" w:sz="4" w:space="0" w:color="000000"/>
              <w:left w:val="nil"/>
              <w:bottom w:val="single" w:sz="12" w:space="0" w:color="000000"/>
              <w:right w:val="nil"/>
            </w:tcBorders>
          </w:tcPr>
          <w:p w14:paraId="3BC96999" w14:textId="77777777" w:rsidR="008E3F72" w:rsidRPr="00A86B70" w:rsidRDefault="008E3F72" w:rsidP="0010018A">
            <w:pPr>
              <w:pStyle w:val="TableParagraph"/>
              <w:widowControl/>
              <w:kinsoku w:val="0"/>
              <w:overflowPunct w:val="0"/>
              <w:jc w:val="both"/>
              <w:rPr>
                <w:i/>
                <w:iCs/>
                <w:noProof/>
                <w:sz w:val="20"/>
              </w:rPr>
            </w:pPr>
            <w:r w:rsidRPr="00A86B70">
              <w:rPr>
                <w:i/>
                <w:noProof/>
                <w:sz w:val="20"/>
              </w:rPr>
              <w:t>Liellopu suga</w:t>
            </w:r>
          </w:p>
        </w:tc>
        <w:tc>
          <w:tcPr>
            <w:tcW w:w="970" w:type="pct"/>
            <w:tcBorders>
              <w:top w:val="single" w:sz="4" w:space="0" w:color="000000"/>
              <w:left w:val="nil"/>
              <w:bottom w:val="single" w:sz="12" w:space="0" w:color="000000"/>
              <w:right w:val="nil"/>
            </w:tcBorders>
          </w:tcPr>
          <w:p w14:paraId="38E4EFF2" w14:textId="77777777" w:rsidR="008E3F72" w:rsidRPr="00A86B70" w:rsidRDefault="008E3F72" w:rsidP="0010018A">
            <w:pPr>
              <w:pStyle w:val="TableParagraph"/>
              <w:widowControl/>
              <w:kinsoku w:val="0"/>
              <w:overflowPunct w:val="0"/>
              <w:jc w:val="both"/>
              <w:rPr>
                <w:noProof/>
                <w:sz w:val="20"/>
              </w:rPr>
            </w:pPr>
            <w:r w:rsidRPr="00A86B70">
              <w:rPr>
                <w:i/>
                <w:sz w:val="20"/>
              </w:rPr>
              <w:t>KP (%)</w:t>
            </w:r>
            <w:r w:rsidRPr="00A86B70">
              <w:rPr>
                <w:sz w:val="20"/>
              </w:rPr>
              <w:t xml:space="preserve"> a</w:t>
            </w:r>
          </w:p>
        </w:tc>
        <w:tc>
          <w:tcPr>
            <w:tcW w:w="1571" w:type="pct"/>
            <w:tcBorders>
              <w:top w:val="single" w:sz="4" w:space="0" w:color="000000"/>
              <w:left w:val="nil"/>
              <w:bottom w:val="single" w:sz="12" w:space="0" w:color="000000"/>
              <w:right w:val="nil"/>
            </w:tcBorders>
          </w:tcPr>
          <w:p w14:paraId="41D5D6D4" w14:textId="77777777" w:rsidR="008E3F72" w:rsidRPr="00A86B70" w:rsidRDefault="008E3F72" w:rsidP="0010018A">
            <w:pPr>
              <w:pStyle w:val="TableParagraph"/>
              <w:widowControl/>
              <w:kinsoku w:val="0"/>
              <w:overflowPunct w:val="0"/>
              <w:jc w:val="both"/>
              <w:rPr>
                <w:i/>
                <w:iCs/>
                <w:noProof/>
                <w:sz w:val="20"/>
              </w:rPr>
            </w:pPr>
            <w:r w:rsidRPr="00A86B70">
              <w:rPr>
                <w:i/>
                <w:noProof/>
                <w:sz w:val="20"/>
              </w:rPr>
              <w:t>NIE liellopu produkcijā (kg/kg)</w:t>
            </w:r>
          </w:p>
        </w:tc>
      </w:tr>
      <w:tr w:rsidR="008E3F72" w:rsidRPr="00A86B70" w14:paraId="3731260E" w14:textId="77777777" w:rsidTr="0010018A">
        <w:tc>
          <w:tcPr>
            <w:tcW w:w="2459" w:type="pct"/>
            <w:tcBorders>
              <w:top w:val="single" w:sz="12" w:space="0" w:color="000000"/>
              <w:left w:val="nil"/>
              <w:bottom w:val="nil"/>
              <w:right w:val="nil"/>
            </w:tcBorders>
          </w:tcPr>
          <w:p w14:paraId="5360F33D" w14:textId="77777777" w:rsidR="008E3F72" w:rsidRPr="00A86B70" w:rsidRDefault="008E3F72" w:rsidP="0010018A">
            <w:pPr>
              <w:pStyle w:val="TableParagraph"/>
              <w:widowControl/>
              <w:kinsoku w:val="0"/>
              <w:overflowPunct w:val="0"/>
              <w:jc w:val="both"/>
              <w:rPr>
                <w:noProof/>
                <w:sz w:val="20"/>
              </w:rPr>
            </w:pPr>
            <w:r w:rsidRPr="00A86B70">
              <w:rPr>
                <w:sz w:val="20"/>
              </w:rPr>
              <w:t>Piens + fizioloģisko funkciju uzturēšana, agrīnais laktācijas periods</w:t>
            </w:r>
          </w:p>
        </w:tc>
        <w:tc>
          <w:tcPr>
            <w:tcW w:w="970" w:type="pct"/>
            <w:tcBorders>
              <w:top w:val="single" w:sz="12" w:space="0" w:color="000000"/>
              <w:left w:val="nil"/>
              <w:bottom w:val="nil"/>
              <w:right w:val="nil"/>
            </w:tcBorders>
          </w:tcPr>
          <w:p w14:paraId="49605136" w14:textId="77777777" w:rsidR="008E3F72" w:rsidRPr="00A86B70" w:rsidRDefault="008E3F72" w:rsidP="0010018A">
            <w:pPr>
              <w:pStyle w:val="TableParagraph"/>
              <w:widowControl/>
              <w:kinsoku w:val="0"/>
              <w:overflowPunct w:val="0"/>
              <w:jc w:val="both"/>
              <w:rPr>
                <w:noProof/>
                <w:sz w:val="20"/>
              </w:rPr>
            </w:pPr>
            <w:r w:rsidRPr="00A86B70">
              <w:rPr>
                <w:sz w:val="20"/>
              </w:rPr>
              <w:t>15–16</w:t>
            </w:r>
          </w:p>
        </w:tc>
        <w:tc>
          <w:tcPr>
            <w:tcW w:w="1571" w:type="pct"/>
            <w:tcBorders>
              <w:top w:val="single" w:sz="12" w:space="0" w:color="000000"/>
              <w:left w:val="nil"/>
              <w:bottom w:val="nil"/>
              <w:right w:val="nil"/>
            </w:tcBorders>
          </w:tcPr>
          <w:p w14:paraId="0F186D98" w14:textId="77777777" w:rsidR="008E3F72" w:rsidRPr="00A86B70" w:rsidRDefault="008E3F72" w:rsidP="0010018A">
            <w:pPr>
              <w:pStyle w:val="TableParagraph"/>
              <w:widowControl/>
              <w:kinsoku w:val="0"/>
              <w:overflowPunct w:val="0"/>
              <w:jc w:val="both"/>
              <w:rPr>
                <w:noProof/>
                <w:sz w:val="20"/>
              </w:rPr>
            </w:pPr>
            <w:r w:rsidRPr="00A86B70">
              <w:rPr>
                <w:sz w:val="20"/>
              </w:rPr>
              <w:t>0,30</w:t>
            </w:r>
          </w:p>
        </w:tc>
      </w:tr>
      <w:tr w:rsidR="008E3F72" w:rsidRPr="00A86B70" w14:paraId="4585DE2A" w14:textId="77777777" w:rsidTr="0010018A">
        <w:tc>
          <w:tcPr>
            <w:tcW w:w="2459" w:type="pct"/>
            <w:tcBorders>
              <w:top w:val="nil"/>
              <w:left w:val="nil"/>
              <w:bottom w:val="nil"/>
              <w:right w:val="nil"/>
            </w:tcBorders>
          </w:tcPr>
          <w:p w14:paraId="738DA5A6" w14:textId="77777777" w:rsidR="008E3F72" w:rsidRPr="00A86B70" w:rsidRDefault="008E3F72" w:rsidP="0010018A">
            <w:pPr>
              <w:pStyle w:val="TableParagraph"/>
              <w:widowControl/>
              <w:kinsoku w:val="0"/>
              <w:overflowPunct w:val="0"/>
              <w:jc w:val="both"/>
              <w:rPr>
                <w:noProof/>
                <w:sz w:val="20"/>
              </w:rPr>
            </w:pPr>
            <w:r w:rsidRPr="00A86B70">
              <w:rPr>
                <w:sz w:val="20"/>
              </w:rPr>
              <w:t>Piens + fizioloģisko funkciju uzturēšana, vēlīnais laktācijas periods</w:t>
            </w:r>
          </w:p>
        </w:tc>
        <w:tc>
          <w:tcPr>
            <w:tcW w:w="970" w:type="pct"/>
            <w:tcBorders>
              <w:top w:val="nil"/>
              <w:left w:val="nil"/>
              <w:bottom w:val="nil"/>
              <w:right w:val="nil"/>
            </w:tcBorders>
          </w:tcPr>
          <w:p w14:paraId="1C18C4D9" w14:textId="77777777" w:rsidR="008E3F72" w:rsidRPr="00A86B70" w:rsidRDefault="008E3F72" w:rsidP="0010018A">
            <w:pPr>
              <w:pStyle w:val="TableParagraph"/>
              <w:widowControl/>
              <w:kinsoku w:val="0"/>
              <w:overflowPunct w:val="0"/>
              <w:jc w:val="both"/>
              <w:rPr>
                <w:noProof/>
                <w:sz w:val="20"/>
              </w:rPr>
            </w:pPr>
            <w:r w:rsidRPr="00A86B70">
              <w:rPr>
                <w:sz w:val="20"/>
              </w:rPr>
              <w:t>12–14</w:t>
            </w:r>
          </w:p>
        </w:tc>
        <w:tc>
          <w:tcPr>
            <w:tcW w:w="1571" w:type="pct"/>
            <w:tcBorders>
              <w:top w:val="nil"/>
              <w:left w:val="nil"/>
              <w:bottom w:val="nil"/>
              <w:right w:val="nil"/>
            </w:tcBorders>
          </w:tcPr>
          <w:p w14:paraId="7D446FE7" w14:textId="77777777" w:rsidR="008E3F72" w:rsidRPr="00A86B70" w:rsidRDefault="008E3F72" w:rsidP="0010018A">
            <w:pPr>
              <w:pStyle w:val="TableParagraph"/>
              <w:widowControl/>
              <w:kinsoku w:val="0"/>
              <w:overflowPunct w:val="0"/>
              <w:jc w:val="both"/>
              <w:rPr>
                <w:noProof/>
                <w:sz w:val="20"/>
              </w:rPr>
            </w:pPr>
            <w:r w:rsidRPr="00A86B70">
              <w:rPr>
                <w:sz w:val="20"/>
              </w:rPr>
              <w:t>0,25</w:t>
            </w:r>
          </w:p>
        </w:tc>
      </w:tr>
      <w:tr w:rsidR="008E3F72" w:rsidRPr="00A86B70" w14:paraId="5BB56A0E" w14:textId="77777777" w:rsidTr="0010018A">
        <w:tc>
          <w:tcPr>
            <w:tcW w:w="2459" w:type="pct"/>
            <w:tcBorders>
              <w:top w:val="nil"/>
              <w:left w:val="nil"/>
              <w:bottom w:val="nil"/>
              <w:right w:val="nil"/>
            </w:tcBorders>
          </w:tcPr>
          <w:p w14:paraId="3BA8C4CE" w14:textId="77777777" w:rsidR="008E3F72" w:rsidRPr="00A86B70" w:rsidRDefault="008E3F72" w:rsidP="0010018A">
            <w:pPr>
              <w:pStyle w:val="TableParagraph"/>
              <w:widowControl/>
              <w:kinsoku w:val="0"/>
              <w:overflowPunct w:val="0"/>
              <w:jc w:val="both"/>
              <w:rPr>
                <w:noProof/>
                <w:sz w:val="20"/>
              </w:rPr>
            </w:pPr>
            <w:r w:rsidRPr="00A86B70">
              <w:rPr>
                <w:sz w:val="20"/>
              </w:rPr>
              <w:t>Piena govis cietstāves laikā</w:t>
            </w:r>
          </w:p>
        </w:tc>
        <w:tc>
          <w:tcPr>
            <w:tcW w:w="970" w:type="pct"/>
            <w:tcBorders>
              <w:top w:val="nil"/>
              <w:left w:val="nil"/>
              <w:bottom w:val="nil"/>
              <w:right w:val="nil"/>
            </w:tcBorders>
          </w:tcPr>
          <w:p w14:paraId="5492DA9E" w14:textId="77777777" w:rsidR="008E3F72" w:rsidRPr="00A86B70" w:rsidRDefault="008E3F72" w:rsidP="0010018A">
            <w:pPr>
              <w:pStyle w:val="TableParagraph"/>
              <w:widowControl/>
              <w:kinsoku w:val="0"/>
              <w:overflowPunct w:val="0"/>
              <w:jc w:val="both"/>
              <w:rPr>
                <w:noProof/>
                <w:sz w:val="20"/>
              </w:rPr>
            </w:pPr>
            <w:r w:rsidRPr="00A86B70">
              <w:rPr>
                <w:sz w:val="20"/>
              </w:rPr>
              <w:t>13–15</w:t>
            </w:r>
          </w:p>
        </w:tc>
        <w:tc>
          <w:tcPr>
            <w:tcW w:w="1571" w:type="pct"/>
            <w:tcBorders>
              <w:top w:val="nil"/>
              <w:left w:val="nil"/>
              <w:bottom w:val="nil"/>
              <w:right w:val="nil"/>
            </w:tcBorders>
          </w:tcPr>
          <w:p w14:paraId="20D9B9B0" w14:textId="77777777" w:rsidR="008E3F72" w:rsidRPr="00A86B70" w:rsidRDefault="008E3F72" w:rsidP="0010018A">
            <w:pPr>
              <w:pStyle w:val="TableParagraph"/>
              <w:widowControl/>
              <w:kinsoku w:val="0"/>
              <w:overflowPunct w:val="0"/>
              <w:jc w:val="both"/>
              <w:rPr>
                <w:noProof/>
                <w:sz w:val="20"/>
              </w:rPr>
            </w:pPr>
            <w:r w:rsidRPr="00A86B70">
              <w:rPr>
                <w:sz w:val="20"/>
              </w:rPr>
              <w:t>0,10</w:t>
            </w:r>
          </w:p>
        </w:tc>
      </w:tr>
      <w:tr w:rsidR="008E3F72" w:rsidRPr="00A86B70" w14:paraId="41D0CFEB" w14:textId="77777777" w:rsidTr="0010018A">
        <w:tc>
          <w:tcPr>
            <w:tcW w:w="2459" w:type="pct"/>
            <w:tcBorders>
              <w:top w:val="nil"/>
              <w:left w:val="nil"/>
              <w:bottom w:val="nil"/>
              <w:right w:val="nil"/>
            </w:tcBorders>
          </w:tcPr>
          <w:p w14:paraId="59B2821C" w14:textId="77777777" w:rsidR="008E3F72" w:rsidRPr="00A86B70" w:rsidRDefault="008E3F72" w:rsidP="0010018A">
            <w:pPr>
              <w:pStyle w:val="TableParagraph"/>
              <w:widowControl/>
              <w:kinsoku w:val="0"/>
              <w:overflowPunct w:val="0"/>
              <w:jc w:val="both"/>
              <w:rPr>
                <w:noProof/>
                <w:sz w:val="20"/>
              </w:rPr>
            </w:pPr>
            <w:r w:rsidRPr="00A86B70">
              <w:rPr>
                <w:sz w:val="20"/>
              </w:rPr>
              <w:t>Teļi</w:t>
            </w:r>
          </w:p>
        </w:tc>
        <w:tc>
          <w:tcPr>
            <w:tcW w:w="970" w:type="pct"/>
            <w:tcBorders>
              <w:top w:val="nil"/>
              <w:left w:val="nil"/>
              <w:bottom w:val="nil"/>
              <w:right w:val="nil"/>
            </w:tcBorders>
          </w:tcPr>
          <w:p w14:paraId="30366302" w14:textId="77777777" w:rsidR="008E3F72" w:rsidRPr="00A86B70" w:rsidRDefault="008E3F72" w:rsidP="0010018A">
            <w:pPr>
              <w:pStyle w:val="TableParagraph"/>
              <w:widowControl/>
              <w:kinsoku w:val="0"/>
              <w:overflowPunct w:val="0"/>
              <w:jc w:val="both"/>
              <w:rPr>
                <w:noProof/>
                <w:sz w:val="20"/>
              </w:rPr>
            </w:pPr>
            <w:r w:rsidRPr="00A86B70">
              <w:rPr>
                <w:sz w:val="20"/>
              </w:rPr>
              <w:t>17–19</w:t>
            </w:r>
          </w:p>
        </w:tc>
        <w:tc>
          <w:tcPr>
            <w:tcW w:w="1571" w:type="pct"/>
            <w:tcBorders>
              <w:top w:val="nil"/>
              <w:left w:val="nil"/>
              <w:bottom w:val="nil"/>
              <w:right w:val="nil"/>
            </w:tcBorders>
          </w:tcPr>
          <w:p w14:paraId="318120B7" w14:textId="77777777" w:rsidR="008E3F72" w:rsidRPr="00A86B70" w:rsidRDefault="008E3F72" w:rsidP="0010018A">
            <w:pPr>
              <w:pStyle w:val="TableParagraph"/>
              <w:widowControl/>
              <w:kinsoku w:val="0"/>
              <w:overflowPunct w:val="0"/>
              <w:jc w:val="both"/>
              <w:rPr>
                <w:noProof/>
                <w:sz w:val="20"/>
              </w:rPr>
            </w:pPr>
            <w:r w:rsidRPr="00A86B70">
              <w:rPr>
                <w:sz w:val="20"/>
              </w:rPr>
              <w:t>0,45</w:t>
            </w:r>
          </w:p>
        </w:tc>
      </w:tr>
      <w:tr w:rsidR="008E3F72" w:rsidRPr="00A86B70" w14:paraId="4DEFE151" w14:textId="77777777" w:rsidTr="0010018A">
        <w:tc>
          <w:tcPr>
            <w:tcW w:w="2459" w:type="pct"/>
            <w:tcBorders>
              <w:top w:val="nil"/>
              <w:left w:val="nil"/>
              <w:bottom w:val="nil"/>
              <w:right w:val="nil"/>
            </w:tcBorders>
          </w:tcPr>
          <w:p w14:paraId="02C53022" w14:textId="77777777" w:rsidR="008E3F72" w:rsidRPr="00A86B70" w:rsidRDefault="008E3F72" w:rsidP="0010018A">
            <w:pPr>
              <w:pStyle w:val="TableParagraph"/>
              <w:widowControl/>
              <w:kinsoku w:val="0"/>
              <w:overflowPunct w:val="0"/>
              <w:jc w:val="both"/>
              <w:rPr>
                <w:noProof/>
                <w:sz w:val="20"/>
              </w:rPr>
            </w:pPr>
            <w:r w:rsidRPr="00A86B70">
              <w:rPr>
                <w:sz w:val="20"/>
              </w:rPr>
              <w:t>Liellopi, &lt; 3 mēneši</w:t>
            </w:r>
          </w:p>
        </w:tc>
        <w:tc>
          <w:tcPr>
            <w:tcW w:w="970" w:type="pct"/>
            <w:tcBorders>
              <w:top w:val="nil"/>
              <w:left w:val="nil"/>
              <w:bottom w:val="nil"/>
              <w:right w:val="nil"/>
            </w:tcBorders>
          </w:tcPr>
          <w:p w14:paraId="61D43FF2" w14:textId="77777777" w:rsidR="008E3F72" w:rsidRPr="00A86B70" w:rsidRDefault="008E3F72" w:rsidP="0010018A">
            <w:pPr>
              <w:pStyle w:val="TableParagraph"/>
              <w:widowControl/>
              <w:kinsoku w:val="0"/>
              <w:overflowPunct w:val="0"/>
              <w:jc w:val="both"/>
              <w:rPr>
                <w:noProof/>
                <w:sz w:val="20"/>
              </w:rPr>
            </w:pPr>
            <w:r w:rsidRPr="00A86B70">
              <w:rPr>
                <w:sz w:val="20"/>
              </w:rPr>
              <w:t>15–16</w:t>
            </w:r>
          </w:p>
        </w:tc>
        <w:tc>
          <w:tcPr>
            <w:tcW w:w="1571" w:type="pct"/>
            <w:tcBorders>
              <w:top w:val="nil"/>
              <w:left w:val="nil"/>
              <w:bottom w:val="nil"/>
              <w:right w:val="nil"/>
            </w:tcBorders>
          </w:tcPr>
          <w:p w14:paraId="26A61E94" w14:textId="77777777" w:rsidR="008E3F72" w:rsidRPr="00A86B70" w:rsidRDefault="008E3F72" w:rsidP="0010018A">
            <w:pPr>
              <w:pStyle w:val="TableParagraph"/>
              <w:widowControl/>
              <w:kinsoku w:val="0"/>
              <w:overflowPunct w:val="0"/>
              <w:jc w:val="both"/>
              <w:rPr>
                <w:noProof/>
                <w:sz w:val="20"/>
              </w:rPr>
            </w:pPr>
            <w:r w:rsidRPr="00A86B70">
              <w:rPr>
                <w:sz w:val="20"/>
              </w:rPr>
              <w:t>0,30</w:t>
            </w:r>
          </w:p>
        </w:tc>
      </w:tr>
      <w:tr w:rsidR="008E3F72" w:rsidRPr="00A86B70" w14:paraId="13A4AEBB" w14:textId="77777777" w:rsidTr="0010018A">
        <w:tc>
          <w:tcPr>
            <w:tcW w:w="2459" w:type="pct"/>
            <w:tcBorders>
              <w:top w:val="nil"/>
              <w:left w:val="nil"/>
              <w:bottom w:val="nil"/>
              <w:right w:val="nil"/>
            </w:tcBorders>
          </w:tcPr>
          <w:p w14:paraId="06A3BA32" w14:textId="77777777" w:rsidR="008E3F72" w:rsidRPr="00A86B70" w:rsidRDefault="008E3F72" w:rsidP="0010018A">
            <w:pPr>
              <w:pStyle w:val="TableParagraph"/>
              <w:widowControl/>
              <w:kinsoku w:val="0"/>
              <w:overflowPunct w:val="0"/>
              <w:jc w:val="both"/>
              <w:rPr>
                <w:noProof/>
                <w:sz w:val="20"/>
              </w:rPr>
            </w:pPr>
            <w:r w:rsidRPr="00A86B70">
              <w:rPr>
                <w:sz w:val="20"/>
              </w:rPr>
              <w:t>Liellopi, 3–18 mēneši</w:t>
            </w:r>
          </w:p>
        </w:tc>
        <w:tc>
          <w:tcPr>
            <w:tcW w:w="970" w:type="pct"/>
            <w:tcBorders>
              <w:top w:val="nil"/>
              <w:left w:val="nil"/>
              <w:bottom w:val="nil"/>
              <w:right w:val="nil"/>
            </w:tcBorders>
          </w:tcPr>
          <w:p w14:paraId="522AB481" w14:textId="77777777" w:rsidR="008E3F72" w:rsidRPr="00A86B70" w:rsidRDefault="008E3F72" w:rsidP="0010018A">
            <w:pPr>
              <w:pStyle w:val="TableParagraph"/>
              <w:widowControl/>
              <w:kinsoku w:val="0"/>
              <w:overflowPunct w:val="0"/>
              <w:jc w:val="both"/>
              <w:rPr>
                <w:noProof/>
                <w:sz w:val="20"/>
              </w:rPr>
            </w:pPr>
            <w:r w:rsidRPr="00A86B70">
              <w:rPr>
                <w:sz w:val="20"/>
              </w:rPr>
              <w:t>13–15</w:t>
            </w:r>
          </w:p>
        </w:tc>
        <w:tc>
          <w:tcPr>
            <w:tcW w:w="1571" w:type="pct"/>
            <w:tcBorders>
              <w:top w:val="nil"/>
              <w:left w:val="nil"/>
              <w:bottom w:val="nil"/>
              <w:right w:val="nil"/>
            </w:tcBorders>
          </w:tcPr>
          <w:p w14:paraId="4B5B9660" w14:textId="77777777" w:rsidR="008E3F72" w:rsidRPr="00A86B70" w:rsidRDefault="008E3F72" w:rsidP="0010018A">
            <w:pPr>
              <w:pStyle w:val="TableParagraph"/>
              <w:widowControl/>
              <w:kinsoku w:val="0"/>
              <w:overflowPunct w:val="0"/>
              <w:jc w:val="both"/>
              <w:rPr>
                <w:noProof/>
                <w:sz w:val="20"/>
              </w:rPr>
            </w:pPr>
            <w:r w:rsidRPr="00A86B70">
              <w:rPr>
                <w:sz w:val="20"/>
              </w:rPr>
              <w:t>0,15</w:t>
            </w:r>
          </w:p>
        </w:tc>
      </w:tr>
      <w:tr w:rsidR="008E3F72" w:rsidRPr="00A86B70" w14:paraId="26C9C410" w14:textId="77777777" w:rsidTr="0010018A">
        <w:tc>
          <w:tcPr>
            <w:tcW w:w="2459" w:type="pct"/>
            <w:tcBorders>
              <w:top w:val="nil"/>
              <w:left w:val="nil"/>
              <w:bottom w:val="single" w:sz="12" w:space="0" w:color="000000"/>
              <w:right w:val="nil"/>
            </w:tcBorders>
          </w:tcPr>
          <w:p w14:paraId="2FCFE4D9" w14:textId="77777777" w:rsidR="008E3F72" w:rsidRPr="00A86B70" w:rsidRDefault="008E3F72" w:rsidP="0010018A">
            <w:pPr>
              <w:pStyle w:val="TableParagraph"/>
              <w:widowControl/>
              <w:kinsoku w:val="0"/>
              <w:overflowPunct w:val="0"/>
              <w:jc w:val="both"/>
              <w:rPr>
                <w:noProof/>
                <w:sz w:val="20"/>
              </w:rPr>
            </w:pPr>
            <w:r w:rsidRPr="00A86B70">
              <w:rPr>
                <w:sz w:val="20"/>
              </w:rPr>
              <w:t>Liellopi, &gt;18 mēneši</w:t>
            </w:r>
          </w:p>
        </w:tc>
        <w:tc>
          <w:tcPr>
            <w:tcW w:w="970" w:type="pct"/>
            <w:tcBorders>
              <w:top w:val="nil"/>
              <w:left w:val="nil"/>
              <w:bottom w:val="single" w:sz="12" w:space="0" w:color="000000"/>
              <w:right w:val="nil"/>
            </w:tcBorders>
          </w:tcPr>
          <w:p w14:paraId="558B130D" w14:textId="77777777" w:rsidR="008E3F72" w:rsidRPr="00A86B70" w:rsidRDefault="008E3F72" w:rsidP="0010018A">
            <w:pPr>
              <w:pStyle w:val="TableParagraph"/>
              <w:widowControl/>
              <w:kinsoku w:val="0"/>
              <w:overflowPunct w:val="0"/>
              <w:jc w:val="both"/>
              <w:rPr>
                <w:noProof/>
                <w:sz w:val="20"/>
              </w:rPr>
            </w:pPr>
            <w:r w:rsidRPr="00A86B70">
              <w:rPr>
                <w:sz w:val="20"/>
              </w:rPr>
              <w:t>12</w:t>
            </w:r>
          </w:p>
        </w:tc>
        <w:tc>
          <w:tcPr>
            <w:tcW w:w="1571" w:type="pct"/>
            <w:tcBorders>
              <w:top w:val="nil"/>
              <w:left w:val="nil"/>
              <w:bottom w:val="single" w:sz="12" w:space="0" w:color="000000"/>
              <w:right w:val="nil"/>
            </w:tcBorders>
          </w:tcPr>
          <w:p w14:paraId="5366B8BB" w14:textId="77777777" w:rsidR="008E3F72" w:rsidRPr="00A86B70" w:rsidRDefault="008E3F72" w:rsidP="0010018A">
            <w:pPr>
              <w:pStyle w:val="TableParagraph"/>
              <w:widowControl/>
              <w:kinsoku w:val="0"/>
              <w:overflowPunct w:val="0"/>
              <w:jc w:val="both"/>
              <w:rPr>
                <w:noProof/>
                <w:sz w:val="20"/>
              </w:rPr>
            </w:pPr>
            <w:r w:rsidRPr="00A86B70">
              <w:rPr>
                <w:sz w:val="20"/>
              </w:rPr>
              <w:t>0,05</w:t>
            </w:r>
          </w:p>
        </w:tc>
      </w:tr>
    </w:tbl>
    <w:p w14:paraId="25736365"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a </w:t>
      </w:r>
      <w:r w:rsidRPr="00F35F4D">
        <w:rPr>
          <w:noProof/>
          <w:sz w:val="24"/>
        </w:rPr>
        <w:t>Šeit norādītos skaitļus var uzskatīt par „augstu vēlamo līmeni”.</w:t>
      </w:r>
    </w:p>
    <w:p w14:paraId="56B8DB67" w14:textId="77777777" w:rsidR="008E3F72" w:rsidRPr="00F35F4D" w:rsidRDefault="008E3F72" w:rsidP="008E3F72">
      <w:pPr>
        <w:pStyle w:val="BodyText"/>
        <w:widowControl/>
        <w:kinsoku w:val="0"/>
        <w:overflowPunct w:val="0"/>
        <w:spacing w:before="0"/>
        <w:ind w:left="0"/>
        <w:jc w:val="both"/>
        <w:rPr>
          <w:noProof/>
          <w:sz w:val="24"/>
          <w:szCs w:val="24"/>
        </w:rPr>
      </w:pPr>
    </w:p>
    <w:p w14:paraId="0CC5E3B9" w14:textId="6735FA3E" w:rsidR="008E3F72" w:rsidRPr="00A86B70"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Daudzās pasaules valstīs liellopus audzē ganību vai daļējā ganību sistēmā. Šādās sistēmās ar olbaltumvielām bagātā zāle un zāles produkti veido lielu daļu no uzņemtās barības un 3. tabulā atzīmētās KP mērķvērtības ne vienmēr ir viegli sasniedzamas, ņemot vērā to, ka apsaimniekotajās zāles platībās ir daudz KP. Ganīšanās l</w:t>
      </w:r>
      <w:r w:rsidR="00FC0E68">
        <w:rPr>
          <w:noProof/>
          <w:sz w:val="24"/>
        </w:rPr>
        <w:t xml:space="preserve">aikā svaiga zāle (2000–2500 kg </w:t>
      </w:r>
      <w:r w:rsidR="00FC0E68" w:rsidRPr="00FC0E68">
        <w:rPr>
          <w:i/>
          <w:noProof/>
          <w:sz w:val="24"/>
        </w:rPr>
        <w:t>DM</w:t>
      </w:r>
      <w:r w:rsidRPr="00F35F4D">
        <w:rPr>
          <w:noProof/>
          <w:sz w:val="24"/>
        </w:rPr>
        <w:t xml:space="preserve">/ha) satur 18–20 % KP (vai pat vairāk, ja tajā ir pākšaugi); zāles skābbarībā bieži ir no 16 līdz 18 % KP un sienā – no 12 līdz 15 % KP (piemēram, </w:t>
      </w:r>
      <w:r w:rsidRPr="00F35F4D">
        <w:rPr>
          <w:i/>
          <w:noProof/>
          <w:sz w:val="24"/>
        </w:rPr>
        <w:t>Whitehead</w:t>
      </w:r>
      <w:r w:rsidRPr="00F35F4D">
        <w:rPr>
          <w:noProof/>
          <w:sz w:val="24"/>
        </w:rPr>
        <w:t xml:space="preserve">, 2000). Pretēji tam kukurūzas skābbarībā ir </w:t>
      </w:r>
      <w:r w:rsidR="00FC0E68">
        <w:rPr>
          <w:noProof/>
          <w:sz w:val="24"/>
        </w:rPr>
        <w:t>tikai 7–8 % KP. Tāpēc, izēdinot</w:t>
      </w:r>
      <w:r w:rsidRPr="00F35F4D">
        <w:rPr>
          <w:noProof/>
          <w:sz w:val="24"/>
        </w:rPr>
        <w:t xml:space="preserve"> galvenokārt zāli un zāles produktus, olbaltumvielu nereti ir pārāk daudz, un tā rezultātā radītais ievērojamās N ekskrēcijas apjoms ir ļoti atkarīgs no zāles, zāles skābbarības un siena proporcijas barībā un olbaltumvielu satura attiecīgajos barības veidos. Vislielāko olbaltumvielu pārpalikumu un attiecīgo N ekskrēciju un NH3 zudumus izraisa zāle (vai zāle un pākšaugi), ko izmanto kā vienīgo vasaras barību, ja ganībās aug jauna, intensīvi mēslota zāle vai zāle un pākšaugi jauktā veidā. Tomēr ganībās esošo dzīvnieku urīns parasti iesūcas augsnē, pirms var notikt ievērojama NH3 emisija, un tāpēc ko</w:t>
      </w:r>
      <w:r w:rsidR="00FC0E68">
        <w:rPr>
          <w:noProof/>
          <w:sz w:val="24"/>
        </w:rPr>
        <w:t>pējā NH3 emisija no viena ganībās esoša</w:t>
      </w:r>
      <w:r w:rsidRPr="00F35F4D">
        <w:rPr>
          <w:noProof/>
          <w:sz w:val="24"/>
        </w:rPr>
        <w:t xml:space="preserve"> lauksaimniecības dzīvnieka ir mazāka nekā no dzīvniekiem, k</w:t>
      </w:r>
      <w:r w:rsidR="00FC0E68">
        <w:rPr>
          <w:noProof/>
          <w:sz w:val="24"/>
        </w:rPr>
        <w:t>o tur novietnē, kur kūtsmēslus</w:t>
      </w:r>
      <w:r w:rsidRPr="00F35F4D">
        <w:rPr>
          <w:noProof/>
          <w:sz w:val="24"/>
        </w:rPr>
        <w:t xml:space="preserve"> vāc, uzkrāj un pēc tam izmanto zemes mēslošanai.</w:t>
      </w:r>
    </w:p>
    <w:p w14:paraId="2C579135" w14:textId="77777777" w:rsidR="00A86B70" w:rsidRPr="00F35F4D" w:rsidRDefault="00A86B70" w:rsidP="00A86B70">
      <w:pPr>
        <w:pStyle w:val="BodyText"/>
        <w:widowControl/>
        <w:tabs>
          <w:tab w:val="left" w:pos="861"/>
        </w:tabs>
        <w:kinsoku w:val="0"/>
        <w:overflowPunct w:val="0"/>
        <w:spacing w:before="0"/>
        <w:ind w:left="0"/>
        <w:jc w:val="both"/>
        <w:rPr>
          <w:noProof/>
          <w:sz w:val="24"/>
          <w:szCs w:val="24"/>
        </w:rPr>
      </w:pPr>
    </w:p>
    <w:p w14:paraId="1EBDF9DD" w14:textId="3DED9237" w:rsidR="008E3F72" w:rsidRPr="00A86B70"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NH3 emisijas samazinājums, ko sasniedz, pagarinot ganībās pavadīto laiku, ir atkarīgs no bāzes, kuru izmanto salīdzināšanai (emisija no dzīvniekiem, kas nav laisti ganības), laika, ko dzīvnieki pavada ganoties, un N mēslojuma pļavās. Ganīšanas īpatsvara palielināšanas iespējas bieži ierobežo augsnes veids, vides reljefs, saimniecības lielums un struktūra (attālumi), klimatiskie apstākļi utt. Jāievēro, ka ganīšana var palielināt citus N emisijas veidus (piemēram, nitrātu – N izskalošanos un N2O emisiju). Tomēr, ņemot vērā neapšaubāmo un labi aprēķināto ietekmi uz NH3 emisiju, tā laika palielināšanu, kurā dzīvnieki </w:t>
      </w:r>
      <w:r w:rsidRPr="00F35F4D">
        <w:rPr>
          <w:b/>
          <w:noProof/>
          <w:sz w:val="24"/>
        </w:rPr>
        <w:t>visu dienu pavada ganībās, var uzskatīt par 1. kategorijai atbilstošu emisijas samazināšanas stratēģiju</w:t>
      </w:r>
      <w:r w:rsidRPr="00F35F4D">
        <w:rPr>
          <w:noProof/>
          <w:sz w:val="24"/>
        </w:rPr>
        <w:t>, kas tomēr ir atkarīga no ganīšanās laika (skatīt arī 52., 184. un 185. punktu). Faktiskais emisijas samazināšanas potenciāls ir atkarīgs no bāzes situācijas attiecīgajā lopkopības nozarē un attiecīgajā valstī. Par ietekmi, ko var radīt, mainot laiku, ko dzīvnieki pavada novietnēs (piemēram, ja viņi ir ganībās tikai dienas stundās), skaidrības ir mazāk, un to vērtē kā 2. kategorijas stratēģiju. Aizstājot pastāvīgu turēšanu kūtī ar daļēju atrašanos ganībās kādu dienas daļu, NH3 emisijas samazinājums ir mazāks, nekā pārejot uz pastāvīgu (24 stundu) ganīšanu, jo ēkas un krātuves kā iepriekš tiek piemēslotas un no tām turpina izdalīties NH</w:t>
      </w:r>
      <w:r w:rsidR="00FC0E68">
        <w:rPr>
          <w:noProof/>
          <w:sz w:val="24"/>
        </w:rPr>
        <w:t>3. Uzskata, ka ganību apsaimniekošana</w:t>
      </w:r>
      <w:r w:rsidRPr="00F35F4D">
        <w:rPr>
          <w:noProof/>
          <w:sz w:val="24"/>
        </w:rPr>
        <w:t xml:space="preserve"> (ganīšana aplokā, ganīšana pēc rotācijas principa, pastāvīga ganīšana) pati par sevi maz ietekmē NH3 zudumus, un tā varētu būt 3. kategorijas stratēģija.</w:t>
      </w:r>
    </w:p>
    <w:p w14:paraId="366A77DE" w14:textId="77777777" w:rsidR="00A86B70" w:rsidRPr="00F35F4D" w:rsidRDefault="00A86B70" w:rsidP="00A86B70">
      <w:pPr>
        <w:pStyle w:val="BodyText"/>
        <w:widowControl/>
        <w:tabs>
          <w:tab w:val="left" w:pos="861"/>
        </w:tabs>
        <w:kinsoku w:val="0"/>
        <w:overflowPunct w:val="0"/>
        <w:spacing w:before="0"/>
        <w:ind w:left="0"/>
        <w:jc w:val="both"/>
        <w:rPr>
          <w:noProof/>
          <w:sz w:val="24"/>
          <w:szCs w:val="24"/>
        </w:rPr>
      </w:pPr>
    </w:p>
    <w:p w14:paraId="75FFF3E9" w14:textId="7D6289F4" w:rsidR="008E3F72" w:rsidRPr="00A86B70" w:rsidRDefault="008E3F72" w:rsidP="00CD1311">
      <w:pPr>
        <w:pStyle w:val="BodyText"/>
        <w:widowControl/>
        <w:numPr>
          <w:ilvl w:val="0"/>
          <w:numId w:val="16"/>
        </w:numPr>
        <w:tabs>
          <w:tab w:val="left" w:pos="861"/>
        </w:tabs>
        <w:kinsoku w:val="0"/>
        <w:overflowPunct w:val="0"/>
        <w:spacing w:before="0"/>
        <w:ind w:left="0" w:firstLine="0"/>
        <w:jc w:val="both"/>
        <w:rPr>
          <w:noProof/>
          <w:sz w:val="24"/>
          <w:szCs w:val="24"/>
        </w:rPr>
      </w:pPr>
      <w:r w:rsidRPr="00A86B70">
        <w:rPr>
          <w:noProof/>
          <w:sz w:val="24"/>
        </w:rPr>
        <w:t>Enerģētiskās vērtības/olbaltumvielu attiecības uzl</w:t>
      </w:r>
      <w:r w:rsidR="00FC0E68">
        <w:rPr>
          <w:noProof/>
          <w:sz w:val="24"/>
        </w:rPr>
        <w:t>abošanu barībā, izēdinot dzīvniekiem</w:t>
      </w:r>
      <w:r w:rsidRPr="00A86B70">
        <w:rPr>
          <w:noProof/>
          <w:sz w:val="24"/>
        </w:rPr>
        <w:t xml:space="preserve"> vecāku zāli (ar lielāku zālāja virsmas augstumu) vai vālos saveltas lopbarības graudaugu kultūras</w:t>
      </w:r>
      <w:r w:rsidR="00FC0E68">
        <w:rPr>
          <w:noProof/>
          <w:sz w:val="24"/>
        </w:rPr>
        <w:t xml:space="preserve"> un/vai papildus zālei izēdinot</w:t>
      </w:r>
      <w:r w:rsidRPr="00A86B70">
        <w:rPr>
          <w:noProof/>
          <w:sz w:val="24"/>
        </w:rPr>
        <w:t xml:space="preserve"> barību ar augstu enerģētisko vērtību (piemēram, kukurūzas skābbarību), uzskata par 1. kategorijas stratēģiju</w:t>
      </w:r>
      <w:r w:rsidR="00FC0E68">
        <w:rPr>
          <w:noProof/>
          <w:sz w:val="24"/>
        </w:rPr>
        <w:t>. Tomēr tādās atgremotāj</w:t>
      </w:r>
      <w:r w:rsidRPr="00A86B70">
        <w:rPr>
          <w:noProof/>
          <w:sz w:val="24"/>
        </w:rPr>
        <w:t>u lopkopības sistēmās, kurās pamatā izmanto zālāju platības, šādas iespējas var būt ierobežotas, jo vec</w:t>
      </w:r>
      <w:r w:rsidR="00FC0E68">
        <w:rPr>
          <w:noProof/>
          <w:sz w:val="24"/>
        </w:rPr>
        <w:t>āka zāle var samazināt ēdināšanas</w:t>
      </w:r>
      <w:r w:rsidRPr="00A86B70">
        <w:rPr>
          <w:noProof/>
          <w:sz w:val="24"/>
        </w:rPr>
        <w:t xml:space="preserve"> kvalitāti, īpaši ja ir slikti nosacījumi ar kalorijām bagātas lopbarības audzēšanai (piemēram, silts klimats) un tā jāiepērk. Tāpēc vairs nevar garantēt, ka visa izaudzētā zāle tiks pilnībā izmantota (ierobežotas ražošanas apstākļos, piemēram, saistībā ar piena kvotām vai dzīvnieku blīvuma ierobežojumiem). Tāpēc saimniecībām, kur galvenokārt izmanto zālāju platības un nav iespējas audzēt lopbarību ar augstu enerģētisko vērtību, enerģētiskās vērtības/olbaltumvielu attiecības uzlabošanu uzskata par 2. kategorijas stratēģiju.</w:t>
      </w:r>
    </w:p>
    <w:p w14:paraId="773D221C" w14:textId="77777777" w:rsidR="008E3F72" w:rsidRPr="00F35F4D" w:rsidRDefault="008E3F72" w:rsidP="008E3F72">
      <w:pPr>
        <w:pStyle w:val="BodyText"/>
        <w:widowControl/>
        <w:kinsoku w:val="0"/>
        <w:overflowPunct w:val="0"/>
        <w:spacing w:before="0"/>
        <w:ind w:left="0"/>
        <w:jc w:val="both"/>
        <w:rPr>
          <w:noProof/>
          <w:sz w:val="24"/>
          <w:szCs w:val="24"/>
        </w:rPr>
      </w:pPr>
    </w:p>
    <w:p w14:paraId="68061032" w14:textId="5B099BC0" w:rsidR="00A86B70" w:rsidRDefault="008E3F72" w:rsidP="00A86B70">
      <w:pPr>
        <w:pStyle w:val="Heading5"/>
        <w:widowControl/>
        <w:kinsoku w:val="0"/>
        <w:overflowPunct w:val="0"/>
        <w:ind w:left="0"/>
        <w:jc w:val="both"/>
        <w:rPr>
          <w:rFonts w:ascii="Times New Roman" w:hAnsi="Times New Roman" w:cs="Times New Roman"/>
          <w:noProof/>
          <w:color w:val="0D0D0D"/>
          <w:sz w:val="24"/>
        </w:rPr>
      </w:pPr>
      <w:r w:rsidRPr="00F35F4D">
        <w:rPr>
          <w:rFonts w:ascii="Times New Roman" w:hAnsi="Times New Roman" w:cs="Times New Roman"/>
          <w:noProof/>
          <w:color w:val="0D0D0D"/>
          <w:sz w:val="24"/>
        </w:rPr>
        <w:t>Cūku</w:t>
      </w:r>
      <w:r w:rsidR="00FC0E68">
        <w:rPr>
          <w:rFonts w:ascii="Times New Roman" w:hAnsi="Times New Roman" w:cs="Times New Roman"/>
          <w:noProof/>
          <w:color w:val="0D0D0D"/>
          <w:sz w:val="24"/>
        </w:rPr>
        <w:t xml:space="preserve"> ēdināšanas</w:t>
      </w:r>
      <w:r w:rsidRPr="00F35F4D">
        <w:rPr>
          <w:rFonts w:ascii="Times New Roman" w:hAnsi="Times New Roman" w:cs="Times New Roman"/>
          <w:noProof/>
          <w:color w:val="0D0D0D"/>
          <w:sz w:val="24"/>
        </w:rPr>
        <w:t xml:space="preserve"> stratēģijas, kas atbilst 1. kategorijai</w:t>
      </w:r>
    </w:p>
    <w:p w14:paraId="0E77F001" w14:textId="77777777" w:rsidR="00A86B70" w:rsidRPr="00A86B70" w:rsidRDefault="00A86B70" w:rsidP="00A86B70"/>
    <w:p w14:paraId="1AD4E829" w14:textId="60EB28E3" w:rsidR="008E3F72" w:rsidRPr="00A86B70" w:rsidRDefault="00FC0E68" w:rsidP="008E3F72">
      <w:pPr>
        <w:pStyle w:val="BodyText"/>
        <w:widowControl/>
        <w:numPr>
          <w:ilvl w:val="0"/>
          <w:numId w:val="16"/>
        </w:numPr>
        <w:tabs>
          <w:tab w:val="left" w:pos="861"/>
        </w:tabs>
        <w:kinsoku w:val="0"/>
        <w:overflowPunct w:val="0"/>
        <w:spacing w:before="0"/>
        <w:ind w:left="0" w:firstLine="0"/>
        <w:jc w:val="both"/>
        <w:rPr>
          <w:noProof/>
          <w:sz w:val="24"/>
          <w:szCs w:val="24"/>
        </w:rPr>
      </w:pPr>
      <w:r>
        <w:rPr>
          <w:noProof/>
          <w:sz w:val="24"/>
        </w:rPr>
        <w:t>Ēdināšanas</w:t>
      </w:r>
      <w:r w:rsidR="008E3F72" w:rsidRPr="00F35F4D">
        <w:rPr>
          <w:noProof/>
          <w:sz w:val="24"/>
        </w:rPr>
        <w:t xml:space="preserve"> pasā</w:t>
      </w:r>
      <w:r>
        <w:rPr>
          <w:noProof/>
          <w:sz w:val="24"/>
        </w:rPr>
        <w:t>kumi cūkkopībā iekļauj ēdināšanas</w:t>
      </w:r>
      <w:r w:rsidR="008E3F72" w:rsidRPr="00F35F4D">
        <w:rPr>
          <w:noProof/>
          <w:sz w:val="24"/>
        </w:rPr>
        <w:t xml:space="preserve"> pielāgoša</w:t>
      </w:r>
      <w:r>
        <w:rPr>
          <w:noProof/>
          <w:sz w:val="24"/>
        </w:rPr>
        <w:t>nu attīstības stadijai; ēdināšanu ar viegli sagremojamiem/pieejamiem barības elementiem</w:t>
      </w:r>
      <w:r w:rsidR="008E3F72" w:rsidRPr="00F35F4D">
        <w:rPr>
          <w:noProof/>
          <w:sz w:val="24"/>
        </w:rPr>
        <w:t>; ar aminoskābēm bagātinātu barību, kurā ir maz olbaltumvielu, un barības piedevu/papildvielu izmantošanu. Visus tos uzskata par 1. kategorijas paņēmieniem. Citi paņēmieni (piemēram, atšķirīga barība vīriešu (kuiļiem un kastrētiem tēviņiem) un sieviešu kārtas dzīvniekiem) pašlaik tiek pētīti, un tie varētu kļūt pieejami nākotnē.</w:t>
      </w:r>
    </w:p>
    <w:p w14:paraId="2A3EFD1A" w14:textId="77777777" w:rsidR="00A86B70" w:rsidRPr="00F35F4D" w:rsidRDefault="00A86B70" w:rsidP="00A86B70">
      <w:pPr>
        <w:pStyle w:val="BodyText"/>
        <w:widowControl/>
        <w:tabs>
          <w:tab w:val="left" w:pos="861"/>
        </w:tabs>
        <w:kinsoku w:val="0"/>
        <w:overflowPunct w:val="0"/>
        <w:spacing w:before="0"/>
        <w:ind w:left="0"/>
        <w:jc w:val="both"/>
        <w:rPr>
          <w:noProof/>
          <w:sz w:val="24"/>
          <w:szCs w:val="24"/>
        </w:rPr>
      </w:pPr>
    </w:p>
    <w:p w14:paraId="74DB3C17" w14:textId="77777777" w:rsidR="008E3F72" w:rsidRPr="00A86B70"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KP daudzumu cūku barībā var samazināt, ja optimizē aminoskābju daudzumu, pievienojot sintētiskās aminoskābes (piemēram, lizīnu, metionīnu, tereonīnu, triptofānu) vai īpašas barības sastāvdaļas, pamatojoties uz jaunāko informāciju par ideālo „olbaltumvielu saturu”, kam pievienotas barības piedevas.</w:t>
      </w:r>
    </w:p>
    <w:p w14:paraId="4D80A4C3" w14:textId="77777777" w:rsidR="00A86B70" w:rsidRPr="00F35F4D" w:rsidRDefault="00A86B70" w:rsidP="00A86B70">
      <w:pPr>
        <w:pStyle w:val="BodyText"/>
        <w:widowControl/>
        <w:tabs>
          <w:tab w:val="left" w:pos="861"/>
        </w:tabs>
        <w:kinsoku w:val="0"/>
        <w:overflowPunct w:val="0"/>
        <w:spacing w:before="0"/>
        <w:ind w:left="0"/>
        <w:jc w:val="both"/>
        <w:rPr>
          <w:noProof/>
          <w:sz w:val="24"/>
          <w:szCs w:val="24"/>
        </w:rPr>
      </w:pPr>
    </w:p>
    <w:p w14:paraId="199D3E56" w14:textId="77777777"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Atkarībā no cūku kategorijas ražošanā un attiecīgā sākuma punkta var panākt 2 līdz 3 % lielu KP samazinājumu barībā. Panāktais KP saturs barībā ir norādīts </w:t>
      </w:r>
      <w:r w:rsidRPr="00F35F4D">
        <w:rPr>
          <w:noProof/>
          <w:sz w:val="24"/>
        </w:rPr>
        <w:lastRenderedPageBreak/>
        <w:t>4. tabulā. Tabulā norādītās vērtības ir orientējošas mērķvērtības, un tās var nākties pielāgot vietējiem apstākļiem. Ir pierādīts, ka, samazinot KP daudzumu barībā nobarošanas vēlīnajā stadijā par 1 %, tiek panākts, ka kopējais amonjaka slāpeklis (N-NH3</w:t>
      </w:r>
      <w:r w:rsidRPr="00F35F4D">
        <w:rPr>
          <w:noProof/>
          <w:sz w:val="24"/>
          <w:vertAlign w:val="subscript"/>
        </w:rPr>
        <w:t>kop.</w:t>
      </w:r>
      <w:r w:rsidRPr="00F35F4D">
        <w:rPr>
          <w:noProof/>
          <w:sz w:val="24"/>
        </w:rPr>
        <w:t>) cūku šķidrajos kūtsmēslos samazinās par 10 %, samazinot NH3 emisiju par 10 % (</w:t>
      </w:r>
      <w:r w:rsidRPr="00F35F4D">
        <w:rPr>
          <w:i/>
          <w:noProof/>
          <w:sz w:val="24"/>
        </w:rPr>
        <w:t>Canh et al</w:t>
      </w:r>
      <w:r w:rsidRPr="00F35F4D">
        <w:rPr>
          <w:noProof/>
          <w:sz w:val="24"/>
        </w:rPr>
        <w:t>., 1998b).</w:t>
      </w:r>
    </w:p>
    <w:p w14:paraId="406D2602" w14:textId="77777777" w:rsidR="008E3F72" w:rsidRPr="00F35F4D" w:rsidRDefault="008E3F72" w:rsidP="008E3F72">
      <w:pPr>
        <w:pStyle w:val="BodyText"/>
        <w:widowControl/>
        <w:kinsoku w:val="0"/>
        <w:overflowPunct w:val="0"/>
        <w:spacing w:before="0"/>
        <w:ind w:left="0"/>
        <w:jc w:val="both"/>
        <w:rPr>
          <w:noProof/>
          <w:sz w:val="24"/>
          <w:szCs w:val="24"/>
        </w:rPr>
      </w:pPr>
    </w:p>
    <w:p w14:paraId="3658007B"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4. tabula</w:t>
      </w:r>
    </w:p>
    <w:p w14:paraId="69173BC8"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Orientējošās KP mērķvērtības cūku barības devā</w:t>
      </w:r>
    </w:p>
    <w:p w14:paraId="3B5D6456"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2806"/>
        <w:gridCol w:w="3276"/>
        <w:gridCol w:w="2144"/>
      </w:tblGrid>
      <w:tr w:rsidR="008E3F72" w:rsidRPr="00A86B70" w14:paraId="7E581309" w14:textId="77777777" w:rsidTr="0010018A">
        <w:tc>
          <w:tcPr>
            <w:tcW w:w="1706" w:type="pct"/>
            <w:tcBorders>
              <w:top w:val="single" w:sz="4" w:space="0" w:color="000000"/>
              <w:left w:val="nil"/>
              <w:bottom w:val="single" w:sz="12" w:space="0" w:color="000000"/>
              <w:right w:val="nil"/>
            </w:tcBorders>
          </w:tcPr>
          <w:p w14:paraId="08DF1AAD" w14:textId="77777777" w:rsidR="008E3F72" w:rsidRPr="00A86B70" w:rsidRDefault="008E3F72" w:rsidP="0010018A">
            <w:pPr>
              <w:pStyle w:val="TableParagraph"/>
              <w:widowControl/>
              <w:kinsoku w:val="0"/>
              <w:overflowPunct w:val="0"/>
              <w:jc w:val="both"/>
              <w:rPr>
                <w:i/>
                <w:iCs/>
                <w:noProof/>
                <w:sz w:val="20"/>
              </w:rPr>
            </w:pPr>
            <w:r w:rsidRPr="00A86B70">
              <w:rPr>
                <w:i/>
                <w:noProof/>
                <w:sz w:val="20"/>
              </w:rPr>
              <w:t>Suga</w:t>
            </w:r>
          </w:p>
        </w:tc>
        <w:tc>
          <w:tcPr>
            <w:tcW w:w="1991" w:type="pct"/>
            <w:tcBorders>
              <w:top w:val="single" w:sz="4" w:space="0" w:color="000000"/>
              <w:left w:val="nil"/>
              <w:bottom w:val="single" w:sz="12" w:space="0" w:color="000000"/>
              <w:right w:val="nil"/>
            </w:tcBorders>
          </w:tcPr>
          <w:p w14:paraId="720F13BF" w14:textId="77777777" w:rsidR="008E3F72" w:rsidRPr="00A86B70" w:rsidRDefault="008E3F72" w:rsidP="0010018A">
            <w:pPr>
              <w:pStyle w:val="TableParagraph"/>
              <w:widowControl/>
              <w:kinsoku w:val="0"/>
              <w:overflowPunct w:val="0"/>
              <w:jc w:val="both"/>
              <w:rPr>
                <w:i/>
                <w:iCs/>
                <w:noProof/>
                <w:sz w:val="20"/>
              </w:rPr>
            </w:pPr>
            <w:r w:rsidRPr="00A86B70">
              <w:rPr>
                <w:i/>
                <w:noProof/>
                <w:sz w:val="20"/>
              </w:rPr>
              <w:t>Stadija</w:t>
            </w:r>
          </w:p>
        </w:tc>
        <w:tc>
          <w:tcPr>
            <w:tcW w:w="1303" w:type="pct"/>
            <w:tcBorders>
              <w:top w:val="single" w:sz="4" w:space="0" w:color="000000"/>
              <w:left w:val="nil"/>
              <w:bottom w:val="single" w:sz="12" w:space="0" w:color="000000"/>
              <w:right w:val="nil"/>
            </w:tcBorders>
          </w:tcPr>
          <w:p w14:paraId="4775695E" w14:textId="77777777" w:rsidR="008E3F72" w:rsidRPr="00A86B70" w:rsidRDefault="008E3F72" w:rsidP="0010018A">
            <w:pPr>
              <w:pStyle w:val="TableParagraph"/>
              <w:widowControl/>
              <w:kinsoku w:val="0"/>
              <w:overflowPunct w:val="0"/>
              <w:jc w:val="both"/>
              <w:rPr>
                <w:noProof/>
                <w:sz w:val="20"/>
              </w:rPr>
            </w:pPr>
            <w:r w:rsidRPr="00A86B70">
              <w:rPr>
                <w:i/>
                <w:noProof/>
                <w:sz w:val="20"/>
              </w:rPr>
              <w:t>KP saturs (%)</w:t>
            </w:r>
            <w:r w:rsidRPr="00A86B70">
              <w:rPr>
                <w:sz w:val="20"/>
              </w:rPr>
              <w:t>a</w:t>
            </w:r>
          </w:p>
        </w:tc>
      </w:tr>
      <w:tr w:rsidR="008E3F72" w:rsidRPr="00A86B70" w14:paraId="60795CCE" w14:textId="77777777" w:rsidTr="0010018A">
        <w:tc>
          <w:tcPr>
            <w:tcW w:w="1706" w:type="pct"/>
            <w:tcBorders>
              <w:top w:val="single" w:sz="12" w:space="0" w:color="000000"/>
              <w:left w:val="nil"/>
              <w:bottom w:val="nil"/>
              <w:right w:val="nil"/>
            </w:tcBorders>
          </w:tcPr>
          <w:p w14:paraId="13DF42F3" w14:textId="77777777" w:rsidR="008E3F72" w:rsidRPr="00A86B70" w:rsidRDefault="008E3F72" w:rsidP="0010018A">
            <w:pPr>
              <w:pStyle w:val="TableParagraph"/>
              <w:widowControl/>
              <w:kinsoku w:val="0"/>
              <w:overflowPunct w:val="0"/>
              <w:jc w:val="both"/>
              <w:rPr>
                <w:noProof/>
                <w:sz w:val="20"/>
              </w:rPr>
            </w:pPr>
            <w:r w:rsidRPr="00A86B70">
              <w:rPr>
                <w:sz w:val="20"/>
              </w:rPr>
              <w:t>Atšķirti sivēni</w:t>
            </w:r>
          </w:p>
        </w:tc>
        <w:tc>
          <w:tcPr>
            <w:tcW w:w="1991" w:type="pct"/>
            <w:tcBorders>
              <w:top w:val="single" w:sz="12" w:space="0" w:color="000000"/>
              <w:left w:val="nil"/>
              <w:bottom w:val="nil"/>
              <w:right w:val="nil"/>
            </w:tcBorders>
          </w:tcPr>
          <w:p w14:paraId="77180F5C" w14:textId="77777777" w:rsidR="008E3F72" w:rsidRPr="00A86B70" w:rsidRDefault="008E3F72" w:rsidP="0010018A">
            <w:pPr>
              <w:pStyle w:val="TableParagraph"/>
              <w:widowControl/>
              <w:kinsoku w:val="0"/>
              <w:overflowPunct w:val="0"/>
              <w:jc w:val="both"/>
              <w:rPr>
                <w:noProof/>
                <w:sz w:val="20"/>
              </w:rPr>
            </w:pPr>
            <w:r w:rsidRPr="00A86B70">
              <w:rPr>
                <w:sz w:val="20"/>
              </w:rPr>
              <w:t>&lt; 10 kg</w:t>
            </w:r>
          </w:p>
        </w:tc>
        <w:tc>
          <w:tcPr>
            <w:tcW w:w="1303" w:type="pct"/>
            <w:tcBorders>
              <w:top w:val="single" w:sz="12" w:space="0" w:color="000000"/>
              <w:left w:val="nil"/>
              <w:bottom w:val="nil"/>
              <w:right w:val="nil"/>
            </w:tcBorders>
          </w:tcPr>
          <w:p w14:paraId="71122744" w14:textId="77777777" w:rsidR="008E3F72" w:rsidRPr="00A86B70" w:rsidRDefault="008E3F72" w:rsidP="0010018A">
            <w:pPr>
              <w:pStyle w:val="TableParagraph"/>
              <w:widowControl/>
              <w:kinsoku w:val="0"/>
              <w:overflowPunct w:val="0"/>
              <w:jc w:val="both"/>
              <w:rPr>
                <w:noProof/>
                <w:sz w:val="20"/>
              </w:rPr>
            </w:pPr>
            <w:r w:rsidRPr="00A86B70">
              <w:rPr>
                <w:sz w:val="20"/>
              </w:rPr>
              <w:t>19–21</w:t>
            </w:r>
          </w:p>
        </w:tc>
      </w:tr>
      <w:tr w:rsidR="008E3F72" w:rsidRPr="00A86B70" w14:paraId="3B3917CF" w14:textId="77777777" w:rsidTr="0010018A">
        <w:tc>
          <w:tcPr>
            <w:tcW w:w="1706" w:type="pct"/>
            <w:tcBorders>
              <w:top w:val="nil"/>
              <w:left w:val="nil"/>
              <w:bottom w:val="nil"/>
              <w:right w:val="nil"/>
            </w:tcBorders>
          </w:tcPr>
          <w:p w14:paraId="2AEA237A" w14:textId="77777777" w:rsidR="008E3F72" w:rsidRPr="00A86B70" w:rsidRDefault="008E3F72" w:rsidP="0010018A">
            <w:pPr>
              <w:pStyle w:val="TableParagraph"/>
              <w:widowControl/>
              <w:kinsoku w:val="0"/>
              <w:overflowPunct w:val="0"/>
              <w:jc w:val="both"/>
              <w:rPr>
                <w:noProof/>
                <w:sz w:val="20"/>
              </w:rPr>
            </w:pPr>
            <w:r w:rsidRPr="00A86B70">
              <w:rPr>
                <w:sz w:val="20"/>
              </w:rPr>
              <w:t>Sivēni</w:t>
            </w:r>
          </w:p>
        </w:tc>
        <w:tc>
          <w:tcPr>
            <w:tcW w:w="1991" w:type="pct"/>
            <w:tcBorders>
              <w:top w:val="nil"/>
              <w:left w:val="nil"/>
              <w:bottom w:val="nil"/>
              <w:right w:val="nil"/>
            </w:tcBorders>
          </w:tcPr>
          <w:p w14:paraId="735FD496" w14:textId="77777777" w:rsidR="008E3F72" w:rsidRPr="00A86B70" w:rsidRDefault="008E3F72" w:rsidP="0010018A">
            <w:pPr>
              <w:pStyle w:val="TableParagraph"/>
              <w:widowControl/>
              <w:kinsoku w:val="0"/>
              <w:overflowPunct w:val="0"/>
              <w:jc w:val="both"/>
              <w:rPr>
                <w:noProof/>
                <w:sz w:val="20"/>
              </w:rPr>
            </w:pPr>
            <w:r w:rsidRPr="00A86B70">
              <w:rPr>
                <w:sz w:val="20"/>
              </w:rPr>
              <w:t>&lt; 25 kg</w:t>
            </w:r>
          </w:p>
        </w:tc>
        <w:tc>
          <w:tcPr>
            <w:tcW w:w="1303" w:type="pct"/>
            <w:tcBorders>
              <w:top w:val="nil"/>
              <w:left w:val="nil"/>
              <w:bottom w:val="nil"/>
              <w:right w:val="nil"/>
            </w:tcBorders>
          </w:tcPr>
          <w:p w14:paraId="3E6B7375" w14:textId="77777777" w:rsidR="008E3F72" w:rsidRPr="00A86B70" w:rsidRDefault="008E3F72" w:rsidP="0010018A">
            <w:pPr>
              <w:pStyle w:val="TableParagraph"/>
              <w:widowControl/>
              <w:kinsoku w:val="0"/>
              <w:overflowPunct w:val="0"/>
              <w:jc w:val="both"/>
              <w:rPr>
                <w:noProof/>
                <w:sz w:val="20"/>
              </w:rPr>
            </w:pPr>
            <w:r w:rsidRPr="00A86B70">
              <w:rPr>
                <w:sz w:val="20"/>
              </w:rPr>
              <w:t>17–19</w:t>
            </w:r>
          </w:p>
        </w:tc>
      </w:tr>
      <w:tr w:rsidR="008E3F72" w:rsidRPr="00A86B70" w14:paraId="019C9B33" w14:textId="77777777" w:rsidTr="0010018A">
        <w:tc>
          <w:tcPr>
            <w:tcW w:w="1706" w:type="pct"/>
            <w:tcBorders>
              <w:top w:val="nil"/>
              <w:left w:val="nil"/>
              <w:bottom w:val="nil"/>
              <w:right w:val="nil"/>
            </w:tcBorders>
          </w:tcPr>
          <w:p w14:paraId="185344E8" w14:textId="77777777" w:rsidR="008E3F72" w:rsidRPr="00A86B70" w:rsidRDefault="008E3F72" w:rsidP="0010018A">
            <w:pPr>
              <w:pStyle w:val="TableParagraph"/>
              <w:widowControl/>
              <w:kinsoku w:val="0"/>
              <w:overflowPunct w:val="0"/>
              <w:jc w:val="both"/>
              <w:rPr>
                <w:noProof/>
                <w:sz w:val="20"/>
              </w:rPr>
            </w:pPr>
            <w:r w:rsidRPr="00A86B70">
              <w:rPr>
                <w:sz w:val="20"/>
              </w:rPr>
              <w:t>Nobarojamas cūkas</w:t>
            </w:r>
          </w:p>
        </w:tc>
        <w:tc>
          <w:tcPr>
            <w:tcW w:w="1991" w:type="pct"/>
            <w:tcBorders>
              <w:top w:val="nil"/>
              <w:left w:val="nil"/>
              <w:bottom w:val="nil"/>
              <w:right w:val="nil"/>
            </w:tcBorders>
          </w:tcPr>
          <w:p w14:paraId="4D87308D" w14:textId="77777777" w:rsidR="008E3F72" w:rsidRPr="00A86B70" w:rsidRDefault="008E3F72" w:rsidP="0010018A">
            <w:pPr>
              <w:pStyle w:val="TableParagraph"/>
              <w:widowControl/>
              <w:kinsoku w:val="0"/>
              <w:overflowPunct w:val="0"/>
              <w:jc w:val="both"/>
              <w:rPr>
                <w:noProof/>
                <w:sz w:val="20"/>
              </w:rPr>
            </w:pPr>
            <w:r w:rsidRPr="00A86B70">
              <w:rPr>
                <w:sz w:val="20"/>
              </w:rPr>
              <w:t>25–50 kg</w:t>
            </w:r>
          </w:p>
        </w:tc>
        <w:tc>
          <w:tcPr>
            <w:tcW w:w="1303" w:type="pct"/>
            <w:tcBorders>
              <w:top w:val="nil"/>
              <w:left w:val="nil"/>
              <w:bottom w:val="nil"/>
              <w:right w:val="nil"/>
            </w:tcBorders>
          </w:tcPr>
          <w:p w14:paraId="565E7ADF" w14:textId="77777777" w:rsidR="008E3F72" w:rsidRPr="00A86B70" w:rsidRDefault="008E3F72" w:rsidP="0010018A">
            <w:pPr>
              <w:pStyle w:val="TableParagraph"/>
              <w:widowControl/>
              <w:kinsoku w:val="0"/>
              <w:overflowPunct w:val="0"/>
              <w:jc w:val="both"/>
              <w:rPr>
                <w:noProof/>
                <w:sz w:val="20"/>
              </w:rPr>
            </w:pPr>
            <w:r w:rsidRPr="00A86B70">
              <w:rPr>
                <w:sz w:val="20"/>
              </w:rPr>
              <w:t>15–17</w:t>
            </w:r>
          </w:p>
        </w:tc>
      </w:tr>
      <w:tr w:rsidR="008E3F72" w:rsidRPr="00A86B70" w14:paraId="2C4B841B" w14:textId="77777777" w:rsidTr="0010018A">
        <w:tc>
          <w:tcPr>
            <w:tcW w:w="1706" w:type="pct"/>
            <w:tcBorders>
              <w:top w:val="nil"/>
              <w:left w:val="nil"/>
              <w:bottom w:val="nil"/>
              <w:right w:val="nil"/>
            </w:tcBorders>
          </w:tcPr>
          <w:p w14:paraId="6FFAB35D" w14:textId="77777777" w:rsidR="008E3F72" w:rsidRPr="00A86B70" w:rsidRDefault="008E3F72" w:rsidP="0010018A">
            <w:pPr>
              <w:widowControl/>
              <w:jc w:val="both"/>
              <w:rPr>
                <w:noProof/>
                <w:sz w:val="20"/>
              </w:rPr>
            </w:pPr>
          </w:p>
        </w:tc>
        <w:tc>
          <w:tcPr>
            <w:tcW w:w="1991" w:type="pct"/>
            <w:tcBorders>
              <w:top w:val="nil"/>
              <w:left w:val="nil"/>
              <w:bottom w:val="nil"/>
              <w:right w:val="nil"/>
            </w:tcBorders>
          </w:tcPr>
          <w:p w14:paraId="7FBFEDB2" w14:textId="77777777" w:rsidR="008E3F72" w:rsidRPr="00A86B70" w:rsidRDefault="008E3F72" w:rsidP="0010018A">
            <w:pPr>
              <w:pStyle w:val="TableParagraph"/>
              <w:widowControl/>
              <w:kinsoku w:val="0"/>
              <w:overflowPunct w:val="0"/>
              <w:jc w:val="both"/>
              <w:rPr>
                <w:noProof/>
                <w:sz w:val="20"/>
              </w:rPr>
            </w:pPr>
            <w:r w:rsidRPr="00A86B70">
              <w:rPr>
                <w:sz w:val="20"/>
              </w:rPr>
              <w:t>50–110 kg</w:t>
            </w:r>
          </w:p>
        </w:tc>
        <w:tc>
          <w:tcPr>
            <w:tcW w:w="1303" w:type="pct"/>
            <w:tcBorders>
              <w:top w:val="nil"/>
              <w:left w:val="nil"/>
              <w:bottom w:val="nil"/>
              <w:right w:val="nil"/>
            </w:tcBorders>
          </w:tcPr>
          <w:p w14:paraId="010EB53D" w14:textId="77777777" w:rsidR="008E3F72" w:rsidRPr="00A86B70" w:rsidRDefault="008E3F72" w:rsidP="0010018A">
            <w:pPr>
              <w:pStyle w:val="TableParagraph"/>
              <w:widowControl/>
              <w:kinsoku w:val="0"/>
              <w:overflowPunct w:val="0"/>
              <w:jc w:val="both"/>
              <w:rPr>
                <w:noProof/>
                <w:sz w:val="20"/>
              </w:rPr>
            </w:pPr>
            <w:r w:rsidRPr="00A86B70">
              <w:rPr>
                <w:sz w:val="20"/>
              </w:rPr>
              <w:t>14–15</w:t>
            </w:r>
          </w:p>
        </w:tc>
      </w:tr>
      <w:tr w:rsidR="008E3F72" w:rsidRPr="00A86B70" w14:paraId="6968EBF8" w14:textId="77777777" w:rsidTr="0010018A">
        <w:tc>
          <w:tcPr>
            <w:tcW w:w="1706" w:type="pct"/>
            <w:tcBorders>
              <w:top w:val="nil"/>
              <w:left w:val="nil"/>
              <w:bottom w:val="nil"/>
              <w:right w:val="nil"/>
            </w:tcBorders>
          </w:tcPr>
          <w:p w14:paraId="6817DA52" w14:textId="77777777" w:rsidR="008E3F72" w:rsidRPr="00A86B70" w:rsidRDefault="008E3F72" w:rsidP="0010018A">
            <w:pPr>
              <w:widowControl/>
              <w:jc w:val="both"/>
              <w:rPr>
                <w:noProof/>
                <w:sz w:val="20"/>
              </w:rPr>
            </w:pPr>
          </w:p>
        </w:tc>
        <w:tc>
          <w:tcPr>
            <w:tcW w:w="1991" w:type="pct"/>
            <w:tcBorders>
              <w:top w:val="nil"/>
              <w:left w:val="nil"/>
              <w:bottom w:val="nil"/>
              <w:right w:val="nil"/>
            </w:tcBorders>
          </w:tcPr>
          <w:p w14:paraId="761F7150" w14:textId="77777777" w:rsidR="008E3F72" w:rsidRPr="00A86B70" w:rsidRDefault="008E3F72" w:rsidP="0010018A">
            <w:pPr>
              <w:pStyle w:val="TableParagraph"/>
              <w:widowControl/>
              <w:kinsoku w:val="0"/>
              <w:overflowPunct w:val="0"/>
              <w:jc w:val="both"/>
              <w:rPr>
                <w:noProof/>
                <w:sz w:val="20"/>
              </w:rPr>
            </w:pPr>
            <w:r w:rsidRPr="00A86B70">
              <w:rPr>
                <w:sz w:val="20"/>
              </w:rPr>
              <w:t>&gt; 110 kg</w:t>
            </w:r>
          </w:p>
        </w:tc>
        <w:tc>
          <w:tcPr>
            <w:tcW w:w="1303" w:type="pct"/>
            <w:tcBorders>
              <w:top w:val="nil"/>
              <w:left w:val="nil"/>
              <w:bottom w:val="nil"/>
              <w:right w:val="nil"/>
            </w:tcBorders>
          </w:tcPr>
          <w:p w14:paraId="2F4AF36A" w14:textId="77777777" w:rsidR="008E3F72" w:rsidRPr="00A86B70" w:rsidRDefault="008E3F72" w:rsidP="0010018A">
            <w:pPr>
              <w:pStyle w:val="TableParagraph"/>
              <w:widowControl/>
              <w:kinsoku w:val="0"/>
              <w:overflowPunct w:val="0"/>
              <w:jc w:val="both"/>
              <w:rPr>
                <w:noProof/>
                <w:sz w:val="20"/>
              </w:rPr>
            </w:pPr>
            <w:r w:rsidRPr="00A86B70">
              <w:rPr>
                <w:sz w:val="20"/>
              </w:rPr>
              <w:t>12–13</w:t>
            </w:r>
          </w:p>
        </w:tc>
      </w:tr>
      <w:tr w:rsidR="008E3F72" w:rsidRPr="00A86B70" w14:paraId="4B053E2D" w14:textId="77777777" w:rsidTr="0010018A">
        <w:tc>
          <w:tcPr>
            <w:tcW w:w="1706" w:type="pct"/>
            <w:tcBorders>
              <w:top w:val="nil"/>
              <w:left w:val="nil"/>
              <w:bottom w:val="nil"/>
              <w:right w:val="nil"/>
            </w:tcBorders>
          </w:tcPr>
          <w:p w14:paraId="7931675A" w14:textId="77777777" w:rsidR="008E3F72" w:rsidRPr="00A86B70" w:rsidRDefault="008E3F72" w:rsidP="0010018A">
            <w:pPr>
              <w:pStyle w:val="TableParagraph"/>
              <w:widowControl/>
              <w:kinsoku w:val="0"/>
              <w:overflowPunct w:val="0"/>
              <w:jc w:val="both"/>
              <w:rPr>
                <w:noProof/>
                <w:sz w:val="20"/>
              </w:rPr>
            </w:pPr>
            <w:r w:rsidRPr="00A86B70">
              <w:rPr>
                <w:sz w:val="20"/>
              </w:rPr>
              <w:t>Sivēnmātes</w:t>
            </w:r>
          </w:p>
        </w:tc>
        <w:tc>
          <w:tcPr>
            <w:tcW w:w="1991" w:type="pct"/>
            <w:tcBorders>
              <w:top w:val="nil"/>
              <w:left w:val="nil"/>
              <w:bottom w:val="nil"/>
              <w:right w:val="nil"/>
            </w:tcBorders>
          </w:tcPr>
          <w:p w14:paraId="7756D4DD" w14:textId="7DBC0A50" w:rsidR="008E3F72" w:rsidRPr="00A86B70" w:rsidRDefault="00FC0E68" w:rsidP="0010018A">
            <w:pPr>
              <w:pStyle w:val="TableParagraph"/>
              <w:widowControl/>
              <w:kinsoku w:val="0"/>
              <w:overflowPunct w:val="0"/>
              <w:jc w:val="both"/>
              <w:rPr>
                <w:noProof/>
                <w:sz w:val="20"/>
              </w:rPr>
            </w:pPr>
            <w:r>
              <w:rPr>
                <w:sz w:val="20"/>
              </w:rPr>
              <w:t>Grūsnības periods</w:t>
            </w:r>
          </w:p>
        </w:tc>
        <w:tc>
          <w:tcPr>
            <w:tcW w:w="1303" w:type="pct"/>
            <w:tcBorders>
              <w:top w:val="nil"/>
              <w:left w:val="nil"/>
              <w:bottom w:val="nil"/>
              <w:right w:val="nil"/>
            </w:tcBorders>
          </w:tcPr>
          <w:p w14:paraId="59311526" w14:textId="77777777" w:rsidR="008E3F72" w:rsidRPr="00A86B70" w:rsidRDefault="008E3F72" w:rsidP="0010018A">
            <w:pPr>
              <w:pStyle w:val="TableParagraph"/>
              <w:widowControl/>
              <w:kinsoku w:val="0"/>
              <w:overflowPunct w:val="0"/>
              <w:jc w:val="both"/>
              <w:rPr>
                <w:noProof/>
                <w:sz w:val="20"/>
              </w:rPr>
            </w:pPr>
            <w:r w:rsidRPr="00A86B70">
              <w:rPr>
                <w:sz w:val="20"/>
              </w:rPr>
              <w:t>13–15</w:t>
            </w:r>
          </w:p>
        </w:tc>
      </w:tr>
      <w:tr w:rsidR="008E3F72" w:rsidRPr="00A86B70" w14:paraId="62A900BF" w14:textId="77777777" w:rsidTr="0010018A">
        <w:tc>
          <w:tcPr>
            <w:tcW w:w="1706" w:type="pct"/>
            <w:tcBorders>
              <w:top w:val="nil"/>
              <w:left w:val="nil"/>
              <w:bottom w:val="single" w:sz="12" w:space="0" w:color="000000"/>
              <w:right w:val="nil"/>
            </w:tcBorders>
          </w:tcPr>
          <w:p w14:paraId="232F295A" w14:textId="77777777" w:rsidR="008E3F72" w:rsidRPr="00A86B70" w:rsidRDefault="008E3F72" w:rsidP="0010018A">
            <w:pPr>
              <w:widowControl/>
              <w:jc w:val="both"/>
              <w:rPr>
                <w:noProof/>
                <w:sz w:val="20"/>
              </w:rPr>
            </w:pPr>
          </w:p>
        </w:tc>
        <w:tc>
          <w:tcPr>
            <w:tcW w:w="1991" w:type="pct"/>
            <w:tcBorders>
              <w:top w:val="nil"/>
              <w:left w:val="nil"/>
              <w:bottom w:val="single" w:sz="12" w:space="0" w:color="000000"/>
              <w:right w:val="nil"/>
            </w:tcBorders>
          </w:tcPr>
          <w:p w14:paraId="635235D7" w14:textId="3E0BBCDD" w:rsidR="008E3F72" w:rsidRPr="00A86B70" w:rsidRDefault="00FC0E68" w:rsidP="0010018A">
            <w:pPr>
              <w:pStyle w:val="TableParagraph"/>
              <w:widowControl/>
              <w:kinsoku w:val="0"/>
              <w:overflowPunct w:val="0"/>
              <w:jc w:val="both"/>
              <w:rPr>
                <w:noProof/>
                <w:sz w:val="20"/>
              </w:rPr>
            </w:pPr>
            <w:r>
              <w:rPr>
                <w:sz w:val="20"/>
              </w:rPr>
              <w:t>Zīdīšanas periods</w:t>
            </w:r>
          </w:p>
        </w:tc>
        <w:tc>
          <w:tcPr>
            <w:tcW w:w="1303" w:type="pct"/>
            <w:tcBorders>
              <w:top w:val="nil"/>
              <w:left w:val="nil"/>
              <w:bottom w:val="single" w:sz="12" w:space="0" w:color="000000"/>
              <w:right w:val="nil"/>
            </w:tcBorders>
          </w:tcPr>
          <w:p w14:paraId="63E85245" w14:textId="77777777" w:rsidR="008E3F72" w:rsidRPr="00A86B70" w:rsidRDefault="008E3F72" w:rsidP="0010018A">
            <w:pPr>
              <w:pStyle w:val="TableParagraph"/>
              <w:widowControl/>
              <w:kinsoku w:val="0"/>
              <w:overflowPunct w:val="0"/>
              <w:jc w:val="both"/>
              <w:rPr>
                <w:noProof/>
                <w:sz w:val="20"/>
              </w:rPr>
            </w:pPr>
            <w:r w:rsidRPr="00A86B70">
              <w:rPr>
                <w:sz w:val="20"/>
              </w:rPr>
              <w:t>15–17</w:t>
            </w:r>
          </w:p>
        </w:tc>
      </w:tr>
    </w:tbl>
    <w:p w14:paraId="088E9DDF"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Avots – </w:t>
      </w:r>
      <w:r w:rsidRPr="00F35F4D">
        <w:rPr>
          <w:noProof/>
          <w:sz w:val="24"/>
        </w:rPr>
        <w:t>Eiropas Komisija, 2003.</w:t>
      </w:r>
    </w:p>
    <w:p w14:paraId="624B1880"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a </w:t>
      </w:r>
      <w:r w:rsidRPr="00F35F4D">
        <w:rPr>
          <w:noProof/>
          <w:sz w:val="24"/>
        </w:rPr>
        <w:t>Ja nodrošināta pareizi līdzsvarota un optimāla aminoskābju deva. Šeit norādītos skaitļus var uzskatīt par „vidēju un augstu vēlamo līmeni” (sīkāk par procentos izteikto KP mērķvērtību skatīt II pielikumā).</w:t>
      </w:r>
    </w:p>
    <w:p w14:paraId="75F7D1F2" w14:textId="77777777" w:rsidR="008E3F72" w:rsidRPr="00F35F4D" w:rsidRDefault="008E3F72" w:rsidP="008E3F72">
      <w:pPr>
        <w:pStyle w:val="BodyText"/>
        <w:widowControl/>
        <w:kinsoku w:val="0"/>
        <w:overflowPunct w:val="0"/>
        <w:spacing w:before="0"/>
        <w:ind w:left="0"/>
        <w:jc w:val="both"/>
        <w:rPr>
          <w:noProof/>
          <w:sz w:val="24"/>
          <w:szCs w:val="24"/>
        </w:rPr>
      </w:pPr>
    </w:p>
    <w:p w14:paraId="3F3E1CE3" w14:textId="15A94641" w:rsidR="008E3F72" w:rsidRDefault="00FC0E68" w:rsidP="008E3F72">
      <w:pPr>
        <w:pStyle w:val="Heading5"/>
        <w:widowControl/>
        <w:kinsoku w:val="0"/>
        <w:overflowPunct w:val="0"/>
        <w:ind w:left="0"/>
        <w:jc w:val="both"/>
        <w:rPr>
          <w:rFonts w:ascii="Times New Roman" w:hAnsi="Times New Roman" w:cs="Times New Roman"/>
          <w:noProof/>
          <w:color w:val="0D0D0D"/>
          <w:sz w:val="24"/>
        </w:rPr>
      </w:pPr>
      <w:r>
        <w:rPr>
          <w:rFonts w:ascii="Times New Roman" w:hAnsi="Times New Roman" w:cs="Times New Roman"/>
          <w:noProof/>
          <w:color w:val="0D0D0D"/>
          <w:sz w:val="24"/>
        </w:rPr>
        <w:t>Mājputnu ēdināšanas</w:t>
      </w:r>
      <w:r w:rsidR="008E3F72" w:rsidRPr="00F35F4D">
        <w:rPr>
          <w:rFonts w:ascii="Times New Roman" w:hAnsi="Times New Roman" w:cs="Times New Roman"/>
          <w:noProof/>
          <w:color w:val="0D0D0D"/>
          <w:sz w:val="24"/>
        </w:rPr>
        <w:t xml:space="preserve"> stratēģijas, kas atbilst 1. kategorijai</w:t>
      </w:r>
    </w:p>
    <w:p w14:paraId="54E417B1" w14:textId="77777777" w:rsidR="00C37ADD" w:rsidRPr="00C37ADD" w:rsidRDefault="00C37ADD" w:rsidP="00C37ADD"/>
    <w:p w14:paraId="4CE70090" w14:textId="46CC3836"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Mājputnu gadījumā potenciālās iespējas samazināt </w:t>
      </w:r>
      <w:r w:rsidR="00FC0E68">
        <w:rPr>
          <w:noProof/>
          <w:sz w:val="24"/>
        </w:rPr>
        <w:t>N ekskrēciju, veicot ar ēdināšanu</w:t>
      </w:r>
      <w:r w:rsidRPr="00F35F4D">
        <w:rPr>
          <w:noProof/>
          <w:sz w:val="24"/>
        </w:rPr>
        <w:t xml:space="preserve"> saistītus pasākumus, ir mazākas nekā cūkām, jo vidēji sasniegtā konversijas efektivitāte jau tagad ir d</w:t>
      </w:r>
      <w:r w:rsidR="00FC0E68">
        <w:rPr>
          <w:noProof/>
          <w:sz w:val="24"/>
        </w:rPr>
        <w:t>iezgan augsta, un mājputnu ganāmpulkam</w:t>
      </w:r>
      <w:r w:rsidRPr="00F35F4D">
        <w:rPr>
          <w:noProof/>
          <w:sz w:val="24"/>
        </w:rPr>
        <w:t xml:space="preserve"> ir raksturīga lielāka dažādība. Atkarībā no sugas un attiecīgā sākuma punkta var panākt 1–2 % lielu KP samazinājumu. Panāktais KP saturs barībā ir norādīts 5. tabulā. Tabulā norādītās vērtības ir orientējošie mērķa līmeņi, un tās var nākties pielāgot vietējiem apstākļiem. ES dalībvalstīs un Ziemeļamerikā pašlaik tiek veikti turpmāki lietišķi pētījumi dzīvnieku uztura jomā, un turpmāk tas varētu ļaut emisiju vēl vairāk samazināt. KP satura samazināšanu par 1–2 % uzskata par 1. kategorijas pasākumu jaunputniem un kaujamiem putniem.</w:t>
      </w:r>
    </w:p>
    <w:p w14:paraId="550D74D2" w14:textId="77777777" w:rsidR="008E3F72" w:rsidRPr="00F35F4D" w:rsidRDefault="008E3F72" w:rsidP="008E3F72">
      <w:pPr>
        <w:pStyle w:val="BodyText"/>
        <w:widowControl/>
        <w:kinsoku w:val="0"/>
        <w:overflowPunct w:val="0"/>
        <w:spacing w:before="0"/>
        <w:ind w:left="0"/>
        <w:jc w:val="both"/>
        <w:rPr>
          <w:noProof/>
          <w:sz w:val="24"/>
          <w:szCs w:val="24"/>
        </w:rPr>
      </w:pPr>
    </w:p>
    <w:p w14:paraId="00477456"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5. tabula</w:t>
      </w:r>
    </w:p>
    <w:p w14:paraId="5046A4C3"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Orientējošās KP mērķvērtības mājputnu barībā</w:t>
      </w:r>
    </w:p>
    <w:p w14:paraId="412BBC69"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2117"/>
        <w:gridCol w:w="3205"/>
        <w:gridCol w:w="2904"/>
      </w:tblGrid>
      <w:tr w:rsidR="008E3F72" w:rsidRPr="00C37ADD" w14:paraId="5D3784D7" w14:textId="77777777" w:rsidTr="0010018A">
        <w:tc>
          <w:tcPr>
            <w:tcW w:w="1287" w:type="pct"/>
            <w:tcBorders>
              <w:top w:val="single" w:sz="4" w:space="0" w:color="000000"/>
              <w:left w:val="nil"/>
              <w:bottom w:val="single" w:sz="12" w:space="0" w:color="000000"/>
              <w:right w:val="nil"/>
            </w:tcBorders>
          </w:tcPr>
          <w:p w14:paraId="45E7DBC4" w14:textId="77777777" w:rsidR="008E3F72" w:rsidRPr="00C37ADD" w:rsidRDefault="008E3F72" w:rsidP="0010018A">
            <w:pPr>
              <w:pStyle w:val="TableParagraph"/>
              <w:widowControl/>
              <w:kinsoku w:val="0"/>
              <w:overflowPunct w:val="0"/>
              <w:jc w:val="both"/>
              <w:rPr>
                <w:i/>
                <w:iCs/>
                <w:noProof/>
                <w:sz w:val="20"/>
              </w:rPr>
            </w:pPr>
            <w:r w:rsidRPr="00C37ADD">
              <w:rPr>
                <w:i/>
                <w:noProof/>
                <w:sz w:val="20"/>
              </w:rPr>
              <w:t>Suga</w:t>
            </w:r>
          </w:p>
        </w:tc>
        <w:tc>
          <w:tcPr>
            <w:tcW w:w="1948" w:type="pct"/>
            <w:tcBorders>
              <w:top w:val="single" w:sz="4" w:space="0" w:color="000000"/>
              <w:left w:val="nil"/>
              <w:bottom w:val="single" w:sz="12" w:space="0" w:color="000000"/>
              <w:right w:val="nil"/>
            </w:tcBorders>
          </w:tcPr>
          <w:p w14:paraId="6AE6BCF3" w14:textId="30E4C687" w:rsidR="008E3F72" w:rsidRPr="00C37ADD" w:rsidRDefault="00FC0E68" w:rsidP="0010018A">
            <w:pPr>
              <w:pStyle w:val="TableParagraph"/>
              <w:widowControl/>
              <w:kinsoku w:val="0"/>
              <w:overflowPunct w:val="0"/>
              <w:jc w:val="both"/>
              <w:rPr>
                <w:i/>
                <w:iCs/>
                <w:noProof/>
                <w:sz w:val="20"/>
              </w:rPr>
            </w:pPr>
            <w:r>
              <w:rPr>
                <w:i/>
                <w:noProof/>
                <w:sz w:val="20"/>
              </w:rPr>
              <w:t>Vecuma grupa</w:t>
            </w:r>
          </w:p>
        </w:tc>
        <w:tc>
          <w:tcPr>
            <w:tcW w:w="1765" w:type="pct"/>
            <w:tcBorders>
              <w:top w:val="single" w:sz="4" w:space="0" w:color="000000"/>
              <w:left w:val="nil"/>
              <w:bottom w:val="single" w:sz="12" w:space="0" w:color="000000"/>
              <w:right w:val="nil"/>
            </w:tcBorders>
          </w:tcPr>
          <w:p w14:paraId="30EBB2CF" w14:textId="77777777" w:rsidR="008E3F72" w:rsidRPr="00C37ADD" w:rsidRDefault="008E3F72" w:rsidP="0010018A">
            <w:pPr>
              <w:pStyle w:val="TableParagraph"/>
              <w:widowControl/>
              <w:kinsoku w:val="0"/>
              <w:overflowPunct w:val="0"/>
              <w:jc w:val="both"/>
              <w:rPr>
                <w:noProof/>
                <w:sz w:val="20"/>
              </w:rPr>
            </w:pPr>
            <w:r w:rsidRPr="00C37ADD">
              <w:rPr>
                <w:i/>
                <w:noProof/>
                <w:sz w:val="20"/>
              </w:rPr>
              <w:t>KP saturs (%)</w:t>
            </w:r>
            <w:r w:rsidRPr="00C37ADD">
              <w:rPr>
                <w:sz w:val="20"/>
              </w:rPr>
              <w:t>a</w:t>
            </w:r>
          </w:p>
        </w:tc>
      </w:tr>
      <w:tr w:rsidR="008E3F72" w:rsidRPr="00C37ADD" w14:paraId="35DF1933" w14:textId="77777777" w:rsidTr="0010018A">
        <w:tc>
          <w:tcPr>
            <w:tcW w:w="1287" w:type="pct"/>
            <w:tcBorders>
              <w:top w:val="single" w:sz="12" w:space="0" w:color="000000"/>
              <w:left w:val="nil"/>
              <w:bottom w:val="nil"/>
              <w:right w:val="nil"/>
            </w:tcBorders>
          </w:tcPr>
          <w:p w14:paraId="35F01D8C" w14:textId="6165FBE1" w:rsidR="008E3F72" w:rsidRPr="00C37ADD" w:rsidRDefault="00FC0E68" w:rsidP="0010018A">
            <w:pPr>
              <w:pStyle w:val="TableParagraph"/>
              <w:widowControl/>
              <w:kinsoku w:val="0"/>
              <w:overflowPunct w:val="0"/>
              <w:jc w:val="both"/>
              <w:rPr>
                <w:noProof/>
                <w:sz w:val="20"/>
              </w:rPr>
            </w:pPr>
            <w:r>
              <w:rPr>
                <w:sz w:val="20"/>
              </w:rPr>
              <w:t>Vistas, broileri</w:t>
            </w:r>
          </w:p>
        </w:tc>
        <w:tc>
          <w:tcPr>
            <w:tcW w:w="1948" w:type="pct"/>
            <w:tcBorders>
              <w:top w:val="single" w:sz="12" w:space="0" w:color="000000"/>
              <w:left w:val="nil"/>
              <w:bottom w:val="nil"/>
              <w:right w:val="nil"/>
            </w:tcBorders>
          </w:tcPr>
          <w:p w14:paraId="57AA5DD9" w14:textId="77777777" w:rsidR="008E3F72" w:rsidRPr="00C37ADD" w:rsidRDefault="008E3F72" w:rsidP="0010018A">
            <w:pPr>
              <w:pStyle w:val="TableParagraph"/>
              <w:widowControl/>
              <w:kinsoku w:val="0"/>
              <w:overflowPunct w:val="0"/>
              <w:jc w:val="both"/>
              <w:rPr>
                <w:noProof/>
                <w:sz w:val="20"/>
              </w:rPr>
            </w:pPr>
            <w:r w:rsidRPr="00C37ADD">
              <w:rPr>
                <w:sz w:val="20"/>
              </w:rPr>
              <w:t>Cāļi</w:t>
            </w:r>
          </w:p>
        </w:tc>
        <w:tc>
          <w:tcPr>
            <w:tcW w:w="1765" w:type="pct"/>
            <w:tcBorders>
              <w:top w:val="single" w:sz="12" w:space="0" w:color="000000"/>
              <w:left w:val="nil"/>
              <w:bottom w:val="nil"/>
              <w:right w:val="nil"/>
            </w:tcBorders>
          </w:tcPr>
          <w:p w14:paraId="3DDF2D71" w14:textId="77777777" w:rsidR="008E3F72" w:rsidRPr="00C37ADD" w:rsidRDefault="008E3F72" w:rsidP="0010018A">
            <w:pPr>
              <w:pStyle w:val="TableParagraph"/>
              <w:widowControl/>
              <w:kinsoku w:val="0"/>
              <w:overflowPunct w:val="0"/>
              <w:jc w:val="both"/>
              <w:rPr>
                <w:noProof/>
                <w:sz w:val="20"/>
              </w:rPr>
            </w:pPr>
            <w:r w:rsidRPr="00C37ADD">
              <w:rPr>
                <w:sz w:val="20"/>
              </w:rPr>
              <w:t>20–22</w:t>
            </w:r>
          </w:p>
        </w:tc>
      </w:tr>
      <w:tr w:rsidR="008E3F72" w:rsidRPr="00C37ADD" w14:paraId="6FC01F08" w14:textId="77777777" w:rsidTr="0010018A">
        <w:tc>
          <w:tcPr>
            <w:tcW w:w="1287" w:type="pct"/>
            <w:tcBorders>
              <w:top w:val="nil"/>
              <w:left w:val="nil"/>
              <w:bottom w:val="nil"/>
              <w:right w:val="nil"/>
            </w:tcBorders>
          </w:tcPr>
          <w:p w14:paraId="4AD68880" w14:textId="77777777" w:rsidR="008E3F72" w:rsidRPr="00C37ADD" w:rsidRDefault="008E3F72" w:rsidP="0010018A">
            <w:pPr>
              <w:widowControl/>
              <w:jc w:val="both"/>
              <w:rPr>
                <w:noProof/>
                <w:sz w:val="20"/>
              </w:rPr>
            </w:pPr>
          </w:p>
        </w:tc>
        <w:tc>
          <w:tcPr>
            <w:tcW w:w="1948" w:type="pct"/>
            <w:tcBorders>
              <w:top w:val="nil"/>
              <w:left w:val="nil"/>
              <w:bottom w:val="nil"/>
              <w:right w:val="nil"/>
            </w:tcBorders>
          </w:tcPr>
          <w:p w14:paraId="233F8193" w14:textId="77777777" w:rsidR="008E3F72" w:rsidRPr="00C37ADD" w:rsidRDefault="008E3F72" w:rsidP="0010018A">
            <w:pPr>
              <w:pStyle w:val="TableParagraph"/>
              <w:widowControl/>
              <w:kinsoku w:val="0"/>
              <w:overflowPunct w:val="0"/>
              <w:jc w:val="both"/>
              <w:rPr>
                <w:noProof/>
                <w:sz w:val="20"/>
              </w:rPr>
            </w:pPr>
            <w:r w:rsidRPr="00C37ADD">
              <w:rPr>
                <w:sz w:val="20"/>
              </w:rPr>
              <w:t>Jaunputni</w:t>
            </w:r>
          </w:p>
        </w:tc>
        <w:tc>
          <w:tcPr>
            <w:tcW w:w="1765" w:type="pct"/>
            <w:tcBorders>
              <w:top w:val="nil"/>
              <w:left w:val="nil"/>
              <w:bottom w:val="nil"/>
              <w:right w:val="nil"/>
            </w:tcBorders>
          </w:tcPr>
          <w:p w14:paraId="565AAD88" w14:textId="77777777" w:rsidR="008E3F72" w:rsidRPr="00C37ADD" w:rsidRDefault="008E3F72" w:rsidP="0010018A">
            <w:pPr>
              <w:pStyle w:val="TableParagraph"/>
              <w:widowControl/>
              <w:kinsoku w:val="0"/>
              <w:overflowPunct w:val="0"/>
              <w:jc w:val="both"/>
              <w:rPr>
                <w:noProof/>
                <w:sz w:val="20"/>
              </w:rPr>
            </w:pPr>
            <w:r w:rsidRPr="00C37ADD">
              <w:rPr>
                <w:sz w:val="20"/>
              </w:rPr>
              <w:t>19–21</w:t>
            </w:r>
          </w:p>
        </w:tc>
      </w:tr>
      <w:tr w:rsidR="008E3F72" w:rsidRPr="00C37ADD" w14:paraId="4AB0280C" w14:textId="77777777" w:rsidTr="0010018A">
        <w:tc>
          <w:tcPr>
            <w:tcW w:w="1287" w:type="pct"/>
            <w:tcBorders>
              <w:top w:val="nil"/>
              <w:left w:val="nil"/>
              <w:bottom w:val="nil"/>
              <w:right w:val="nil"/>
            </w:tcBorders>
          </w:tcPr>
          <w:p w14:paraId="387373F0" w14:textId="77777777" w:rsidR="008E3F72" w:rsidRPr="00C37ADD" w:rsidRDefault="008E3F72" w:rsidP="0010018A">
            <w:pPr>
              <w:widowControl/>
              <w:jc w:val="both"/>
              <w:rPr>
                <w:noProof/>
                <w:sz w:val="20"/>
              </w:rPr>
            </w:pPr>
          </w:p>
        </w:tc>
        <w:tc>
          <w:tcPr>
            <w:tcW w:w="1948" w:type="pct"/>
            <w:tcBorders>
              <w:top w:val="nil"/>
              <w:left w:val="nil"/>
              <w:bottom w:val="nil"/>
              <w:right w:val="nil"/>
            </w:tcBorders>
          </w:tcPr>
          <w:p w14:paraId="403385BF" w14:textId="77777777" w:rsidR="008E3F72" w:rsidRPr="00C37ADD" w:rsidRDefault="008E3F72" w:rsidP="0010018A">
            <w:pPr>
              <w:pStyle w:val="TableParagraph"/>
              <w:widowControl/>
              <w:kinsoku w:val="0"/>
              <w:overflowPunct w:val="0"/>
              <w:jc w:val="both"/>
              <w:rPr>
                <w:noProof/>
                <w:sz w:val="20"/>
              </w:rPr>
            </w:pPr>
            <w:r w:rsidRPr="00C37ADD">
              <w:rPr>
                <w:sz w:val="20"/>
              </w:rPr>
              <w:t>Kaujamie putni</w:t>
            </w:r>
          </w:p>
        </w:tc>
        <w:tc>
          <w:tcPr>
            <w:tcW w:w="1765" w:type="pct"/>
            <w:tcBorders>
              <w:top w:val="nil"/>
              <w:left w:val="nil"/>
              <w:bottom w:val="nil"/>
              <w:right w:val="nil"/>
            </w:tcBorders>
          </w:tcPr>
          <w:p w14:paraId="139EB5C6" w14:textId="77777777" w:rsidR="008E3F72" w:rsidRPr="00C37ADD" w:rsidRDefault="008E3F72" w:rsidP="0010018A">
            <w:pPr>
              <w:pStyle w:val="TableParagraph"/>
              <w:widowControl/>
              <w:kinsoku w:val="0"/>
              <w:overflowPunct w:val="0"/>
              <w:jc w:val="both"/>
              <w:rPr>
                <w:noProof/>
                <w:sz w:val="20"/>
              </w:rPr>
            </w:pPr>
            <w:r w:rsidRPr="00C37ADD">
              <w:rPr>
                <w:sz w:val="20"/>
              </w:rPr>
              <w:t>18–20</w:t>
            </w:r>
          </w:p>
        </w:tc>
      </w:tr>
      <w:tr w:rsidR="008E3F72" w:rsidRPr="00C37ADD" w14:paraId="1C3E6B3E" w14:textId="77777777" w:rsidTr="0010018A">
        <w:tc>
          <w:tcPr>
            <w:tcW w:w="1287" w:type="pct"/>
            <w:tcBorders>
              <w:top w:val="nil"/>
              <w:left w:val="nil"/>
              <w:bottom w:val="nil"/>
              <w:right w:val="nil"/>
            </w:tcBorders>
          </w:tcPr>
          <w:p w14:paraId="62FD3A43" w14:textId="77777777" w:rsidR="008E3F72" w:rsidRPr="00C37ADD" w:rsidRDefault="008E3F72" w:rsidP="0010018A">
            <w:pPr>
              <w:pStyle w:val="TableParagraph"/>
              <w:widowControl/>
              <w:kinsoku w:val="0"/>
              <w:overflowPunct w:val="0"/>
              <w:jc w:val="both"/>
              <w:rPr>
                <w:noProof/>
                <w:sz w:val="20"/>
              </w:rPr>
            </w:pPr>
            <w:r w:rsidRPr="00C37ADD">
              <w:rPr>
                <w:sz w:val="20"/>
              </w:rPr>
              <w:t>Dējējvistas</w:t>
            </w:r>
          </w:p>
        </w:tc>
        <w:tc>
          <w:tcPr>
            <w:tcW w:w="1948" w:type="pct"/>
            <w:tcBorders>
              <w:top w:val="nil"/>
              <w:left w:val="nil"/>
              <w:bottom w:val="nil"/>
              <w:right w:val="nil"/>
            </w:tcBorders>
          </w:tcPr>
          <w:p w14:paraId="27B0F761" w14:textId="77777777" w:rsidR="008E3F72" w:rsidRPr="00C37ADD" w:rsidRDefault="008E3F72" w:rsidP="0010018A">
            <w:pPr>
              <w:pStyle w:val="TableParagraph"/>
              <w:widowControl/>
              <w:kinsoku w:val="0"/>
              <w:overflowPunct w:val="0"/>
              <w:jc w:val="both"/>
              <w:rPr>
                <w:noProof/>
                <w:sz w:val="20"/>
              </w:rPr>
            </w:pPr>
            <w:r w:rsidRPr="00C37ADD">
              <w:rPr>
                <w:sz w:val="20"/>
              </w:rPr>
              <w:t>18–40 nedēļas</w:t>
            </w:r>
          </w:p>
        </w:tc>
        <w:tc>
          <w:tcPr>
            <w:tcW w:w="1765" w:type="pct"/>
            <w:tcBorders>
              <w:top w:val="nil"/>
              <w:left w:val="nil"/>
              <w:bottom w:val="nil"/>
              <w:right w:val="nil"/>
            </w:tcBorders>
          </w:tcPr>
          <w:p w14:paraId="4B0F1250" w14:textId="77777777" w:rsidR="008E3F72" w:rsidRPr="00C37ADD" w:rsidRDefault="008E3F72" w:rsidP="0010018A">
            <w:pPr>
              <w:pStyle w:val="TableParagraph"/>
              <w:widowControl/>
              <w:kinsoku w:val="0"/>
              <w:overflowPunct w:val="0"/>
              <w:jc w:val="both"/>
              <w:rPr>
                <w:noProof/>
                <w:sz w:val="20"/>
              </w:rPr>
            </w:pPr>
            <w:r w:rsidRPr="00C37ADD">
              <w:rPr>
                <w:sz w:val="20"/>
              </w:rPr>
              <w:t>15,5–6,5</w:t>
            </w:r>
          </w:p>
        </w:tc>
      </w:tr>
      <w:tr w:rsidR="008E3F72" w:rsidRPr="00C37ADD" w14:paraId="13527536" w14:textId="77777777" w:rsidTr="0010018A">
        <w:tc>
          <w:tcPr>
            <w:tcW w:w="1287" w:type="pct"/>
            <w:tcBorders>
              <w:top w:val="nil"/>
              <w:left w:val="nil"/>
              <w:bottom w:val="nil"/>
              <w:right w:val="nil"/>
            </w:tcBorders>
          </w:tcPr>
          <w:p w14:paraId="21A4FDBF" w14:textId="77777777" w:rsidR="008E3F72" w:rsidRPr="00C37ADD" w:rsidRDefault="008E3F72" w:rsidP="0010018A">
            <w:pPr>
              <w:widowControl/>
              <w:jc w:val="both"/>
              <w:rPr>
                <w:noProof/>
                <w:sz w:val="20"/>
              </w:rPr>
            </w:pPr>
          </w:p>
        </w:tc>
        <w:tc>
          <w:tcPr>
            <w:tcW w:w="1948" w:type="pct"/>
            <w:tcBorders>
              <w:top w:val="nil"/>
              <w:left w:val="nil"/>
              <w:bottom w:val="nil"/>
              <w:right w:val="nil"/>
            </w:tcBorders>
          </w:tcPr>
          <w:p w14:paraId="51A74228" w14:textId="77777777" w:rsidR="008E3F72" w:rsidRPr="00C37ADD" w:rsidRDefault="008E3F72" w:rsidP="0010018A">
            <w:pPr>
              <w:pStyle w:val="TableParagraph"/>
              <w:widowControl/>
              <w:kinsoku w:val="0"/>
              <w:overflowPunct w:val="0"/>
              <w:jc w:val="both"/>
              <w:rPr>
                <w:noProof/>
                <w:sz w:val="20"/>
              </w:rPr>
            </w:pPr>
            <w:r w:rsidRPr="00C37ADD">
              <w:rPr>
                <w:sz w:val="20"/>
              </w:rPr>
              <w:t>40+ nedēļas</w:t>
            </w:r>
          </w:p>
        </w:tc>
        <w:tc>
          <w:tcPr>
            <w:tcW w:w="1765" w:type="pct"/>
            <w:tcBorders>
              <w:top w:val="nil"/>
              <w:left w:val="nil"/>
              <w:bottom w:val="nil"/>
              <w:right w:val="nil"/>
            </w:tcBorders>
          </w:tcPr>
          <w:p w14:paraId="18A1D419" w14:textId="77777777" w:rsidR="008E3F72" w:rsidRPr="00C37ADD" w:rsidRDefault="008E3F72" w:rsidP="0010018A">
            <w:pPr>
              <w:pStyle w:val="TableParagraph"/>
              <w:widowControl/>
              <w:kinsoku w:val="0"/>
              <w:overflowPunct w:val="0"/>
              <w:jc w:val="both"/>
              <w:rPr>
                <w:noProof/>
                <w:sz w:val="20"/>
              </w:rPr>
            </w:pPr>
            <w:r w:rsidRPr="00C37ADD">
              <w:rPr>
                <w:sz w:val="20"/>
              </w:rPr>
              <w:t>14,5–15,5</w:t>
            </w:r>
          </w:p>
        </w:tc>
      </w:tr>
      <w:tr w:rsidR="008E3F72" w:rsidRPr="00C37ADD" w14:paraId="1E6B7DCE" w14:textId="77777777" w:rsidTr="0010018A">
        <w:tc>
          <w:tcPr>
            <w:tcW w:w="1287" w:type="pct"/>
            <w:tcBorders>
              <w:top w:val="nil"/>
              <w:left w:val="nil"/>
              <w:bottom w:val="nil"/>
              <w:right w:val="nil"/>
            </w:tcBorders>
          </w:tcPr>
          <w:p w14:paraId="5D675FF3" w14:textId="77777777" w:rsidR="008E3F72" w:rsidRPr="00C37ADD" w:rsidRDefault="008E3F72" w:rsidP="0010018A">
            <w:pPr>
              <w:pStyle w:val="TableParagraph"/>
              <w:widowControl/>
              <w:kinsoku w:val="0"/>
              <w:overflowPunct w:val="0"/>
              <w:jc w:val="both"/>
              <w:rPr>
                <w:noProof/>
                <w:sz w:val="20"/>
              </w:rPr>
            </w:pPr>
            <w:r w:rsidRPr="00C37ADD">
              <w:rPr>
                <w:sz w:val="20"/>
              </w:rPr>
              <w:t>Tītari</w:t>
            </w:r>
          </w:p>
        </w:tc>
        <w:tc>
          <w:tcPr>
            <w:tcW w:w="1948" w:type="pct"/>
            <w:tcBorders>
              <w:top w:val="nil"/>
              <w:left w:val="nil"/>
              <w:bottom w:val="nil"/>
              <w:right w:val="nil"/>
            </w:tcBorders>
          </w:tcPr>
          <w:p w14:paraId="61D8C41E" w14:textId="77777777" w:rsidR="008E3F72" w:rsidRPr="00C37ADD" w:rsidRDefault="008E3F72" w:rsidP="0010018A">
            <w:pPr>
              <w:pStyle w:val="TableParagraph"/>
              <w:widowControl/>
              <w:kinsoku w:val="0"/>
              <w:overflowPunct w:val="0"/>
              <w:jc w:val="both"/>
              <w:rPr>
                <w:noProof/>
                <w:sz w:val="20"/>
              </w:rPr>
            </w:pPr>
            <w:r w:rsidRPr="00C37ADD">
              <w:rPr>
                <w:sz w:val="20"/>
              </w:rPr>
              <w:t>&lt; 4 nedēļas</w:t>
            </w:r>
          </w:p>
        </w:tc>
        <w:tc>
          <w:tcPr>
            <w:tcW w:w="1765" w:type="pct"/>
            <w:tcBorders>
              <w:top w:val="nil"/>
              <w:left w:val="nil"/>
              <w:bottom w:val="nil"/>
              <w:right w:val="nil"/>
            </w:tcBorders>
          </w:tcPr>
          <w:p w14:paraId="53E8A0BE" w14:textId="77777777" w:rsidR="008E3F72" w:rsidRPr="00C37ADD" w:rsidRDefault="008E3F72" w:rsidP="0010018A">
            <w:pPr>
              <w:pStyle w:val="TableParagraph"/>
              <w:widowControl/>
              <w:kinsoku w:val="0"/>
              <w:overflowPunct w:val="0"/>
              <w:jc w:val="both"/>
              <w:rPr>
                <w:noProof/>
                <w:sz w:val="20"/>
              </w:rPr>
            </w:pPr>
            <w:r w:rsidRPr="00C37ADD">
              <w:rPr>
                <w:sz w:val="20"/>
              </w:rPr>
              <w:t>24–27</w:t>
            </w:r>
          </w:p>
        </w:tc>
      </w:tr>
      <w:tr w:rsidR="008E3F72" w:rsidRPr="00C37ADD" w14:paraId="7B1ED425" w14:textId="77777777" w:rsidTr="0010018A">
        <w:tc>
          <w:tcPr>
            <w:tcW w:w="1287" w:type="pct"/>
            <w:tcBorders>
              <w:top w:val="nil"/>
              <w:left w:val="nil"/>
              <w:bottom w:val="nil"/>
              <w:right w:val="nil"/>
            </w:tcBorders>
          </w:tcPr>
          <w:p w14:paraId="1CC60714" w14:textId="77777777" w:rsidR="008E3F72" w:rsidRPr="00C37ADD" w:rsidRDefault="008E3F72" w:rsidP="0010018A">
            <w:pPr>
              <w:widowControl/>
              <w:jc w:val="both"/>
              <w:rPr>
                <w:noProof/>
                <w:sz w:val="20"/>
              </w:rPr>
            </w:pPr>
          </w:p>
        </w:tc>
        <w:tc>
          <w:tcPr>
            <w:tcW w:w="1948" w:type="pct"/>
            <w:tcBorders>
              <w:top w:val="nil"/>
              <w:left w:val="nil"/>
              <w:bottom w:val="nil"/>
              <w:right w:val="nil"/>
            </w:tcBorders>
          </w:tcPr>
          <w:p w14:paraId="740A496D" w14:textId="77777777" w:rsidR="008E3F72" w:rsidRPr="00C37ADD" w:rsidRDefault="008E3F72" w:rsidP="0010018A">
            <w:pPr>
              <w:pStyle w:val="TableParagraph"/>
              <w:widowControl/>
              <w:kinsoku w:val="0"/>
              <w:overflowPunct w:val="0"/>
              <w:jc w:val="both"/>
              <w:rPr>
                <w:noProof/>
                <w:sz w:val="20"/>
              </w:rPr>
            </w:pPr>
            <w:r w:rsidRPr="00C37ADD">
              <w:rPr>
                <w:sz w:val="20"/>
              </w:rPr>
              <w:t>5–8 nedēļas</w:t>
            </w:r>
          </w:p>
        </w:tc>
        <w:tc>
          <w:tcPr>
            <w:tcW w:w="1765" w:type="pct"/>
            <w:tcBorders>
              <w:top w:val="nil"/>
              <w:left w:val="nil"/>
              <w:bottom w:val="nil"/>
              <w:right w:val="nil"/>
            </w:tcBorders>
          </w:tcPr>
          <w:p w14:paraId="49AFDF85" w14:textId="77777777" w:rsidR="008E3F72" w:rsidRPr="00C37ADD" w:rsidRDefault="008E3F72" w:rsidP="0010018A">
            <w:pPr>
              <w:pStyle w:val="TableParagraph"/>
              <w:widowControl/>
              <w:kinsoku w:val="0"/>
              <w:overflowPunct w:val="0"/>
              <w:jc w:val="both"/>
              <w:rPr>
                <w:noProof/>
                <w:sz w:val="20"/>
              </w:rPr>
            </w:pPr>
            <w:r w:rsidRPr="00C37ADD">
              <w:rPr>
                <w:sz w:val="20"/>
              </w:rPr>
              <w:t>22–24</w:t>
            </w:r>
          </w:p>
        </w:tc>
      </w:tr>
      <w:tr w:rsidR="008E3F72" w:rsidRPr="00C37ADD" w14:paraId="39270A6A" w14:textId="77777777" w:rsidTr="0010018A">
        <w:tc>
          <w:tcPr>
            <w:tcW w:w="1287" w:type="pct"/>
            <w:tcBorders>
              <w:top w:val="nil"/>
              <w:left w:val="nil"/>
              <w:bottom w:val="nil"/>
              <w:right w:val="nil"/>
            </w:tcBorders>
          </w:tcPr>
          <w:p w14:paraId="68BD7FAF" w14:textId="77777777" w:rsidR="008E3F72" w:rsidRPr="00C37ADD" w:rsidRDefault="008E3F72" w:rsidP="0010018A">
            <w:pPr>
              <w:widowControl/>
              <w:jc w:val="both"/>
              <w:rPr>
                <w:noProof/>
                <w:sz w:val="20"/>
              </w:rPr>
            </w:pPr>
          </w:p>
        </w:tc>
        <w:tc>
          <w:tcPr>
            <w:tcW w:w="1948" w:type="pct"/>
            <w:tcBorders>
              <w:top w:val="nil"/>
              <w:left w:val="nil"/>
              <w:bottom w:val="nil"/>
              <w:right w:val="nil"/>
            </w:tcBorders>
          </w:tcPr>
          <w:p w14:paraId="48D83A4F" w14:textId="77777777" w:rsidR="008E3F72" w:rsidRPr="00C37ADD" w:rsidRDefault="008E3F72" w:rsidP="0010018A">
            <w:pPr>
              <w:pStyle w:val="TableParagraph"/>
              <w:widowControl/>
              <w:kinsoku w:val="0"/>
              <w:overflowPunct w:val="0"/>
              <w:jc w:val="both"/>
              <w:rPr>
                <w:noProof/>
                <w:sz w:val="20"/>
              </w:rPr>
            </w:pPr>
            <w:r w:rsidRPr="00C37ADD">
              <w:rPr>
                <w:sz w:val="20"/>
              </w:rPr>
              <w:t>9–12 nedēļas</w:t>
            </w:r>
          </w:p>
        </w:tc>
        <w:tc>
          <w:tcPr>
            <w:tcW w:w="1765" w:type="pct"/>
            <w:tcBorders>
              <w:top w:val="nil"/>
              <w:left w:val="nil"/>
              <w:bottom w:val="nil"/>
              <w:right w:val="nil"/>
            </w:tcBorders>
          </w:tcPr>
          <w:p w14:paraId="2A41CB75" w14:textId="77777777" w:rsidR="008E3F72" w:rsidRPr="00C37ADD" w:rsidRDefault="008E3F72" w:rsidP="0010018A">
            <w:pPr>
              <w:pStyle w:val="TableParagraph"/>
              <w:widowControl/>
              <w:kinsoku w:val="0"/>
              <w:overflowPunct w:val="0"/>
              <w:jc w:val="both"/>
              <w:rPr>
                <w:noProof/>
                <w:sz w:val="20"/>
              </w:rPr>
            </w:pPr>
            <w:r w:rsidRPr="00C37ADD">
              <w:rPr>
                <w:sz w:val="20"/>
              </w:rPr>
              <w:t>19–21</w:t>
            </w:r>
          </w:p>
        </w:tc>
      </w:tr>
      <w:tr w:rsidR="008E3F72" w:rsidRPr="00C37ADD" w14:paraId="326F80A1" w14:textId="77777777" w:rsidTr="0010018A">
        <w:tc>
          <w:tcPr>
            <w:tcW w:w="1287" w:type="pct"/>
            <w:tcBorders>
              <w:top w:val="nil"/>
              <w:left w:val="nil"/>
              <w:bottom w:val="nil"/>
              <w:right w:val="nil"/>
            </w:tcBorders>
          </w:tcPr>
          <w:p w14:paraId="29C76637" w14:textId="77777777" w:rsidR="008E3F72" w:rsidRPr="00C37ADD" w:rsidRDefault="008E3F72" w:rsidP="0010018A">
            <w:pPr>
              <w:widowControl/>
              <w:jc w:val="both"/>
              <w:rPr>
                <w:noProof/>
                <w:sz w:val="20"/>
              </w:rPr>
            </w:pPr>
          </w:p>
        </w:tc>
        <w:tc>
          <w:tcPr>
            <w:tcW w:w="1948" w:type="pct"/>
            <w:tcBorders>
              <w:top w:val="nil"/>
              <w:left w:val="nil"/>
              <w:bottom w:val="nil"/>
              <w:right w:val="nil"/>
            </w:tcBorders>
          </w:tcPr>
          <w:p w14:paraId="61A9206C" w14:textId="77777777" w:rsidR="008E3F72" w:rsidRPr="00C37ADD" w:rsidRDefault="008E3F72" w:rsidP="0010018A">
            <w:pPr>
              <w:pStyle w:val="TableParagraph"/>
              <w:widowControl/>
              <w:kinsoku w:val="0"/>
              <w:overflowPunct w:val="0"/>
              <w:jc w:val="both"/>
              <w:rPr>
                <w:noProof/>
                <w:sz w:val="20"/>
              </w:rPr>
            </w:pPr>
            <w:r w:rsidRPr="00C37ADD">
              <w:rPr>
                <w:sz w:val="20"/>
              </w:rPr>
              <w:t>13+ nedēļas</w:t>
            </w:r>
          </w:p>
        </w:tc>
        <w:tc>
          <w:tcPr>
            <w:tcW w:w="1765" w:type="pct"/>
            <w:tcBorders>
              <w:top w:val="nil"/>
              <w:left w:val="nil"/>
              <w:bottom w:val="nil"/>
              <w:right w:val="nil"/>
            </w:tcBorders>
          </w:tcPr>
          <w:p w14:paraId="304DC446" w14:textId="77777777" w:rsidR="008E3F72" w:rsidRPr="00C37ADD" w:rsidRDefault="008E3F72" w:rsidP="0010018A">
            <w:pPr>
              <w:pStyle w:val="TableParagraph"/>
              <w:widowControl/>
              <w:kinsoku w:val="0"/>
              <w:overflowPunct w:val="0"/>
              <w:jc w:val="both"/>
              <w:rPr>
                <w:noProof/>
                <w:sz w:val="20"/>
              </w:rPr>
            </w:pPr>
            <w:r w:rsidRPr="00C37ADD">
              <w:rPr>
                <w:sz w:val="20"/>
              </w:rPr>
              <w:t>16–19</w:t>
            </w:r>
          </w:p>
        </w:tc>
      </w:tr>
      <w:tr w:rsidR="008E3F72" w:rsidRPr="00C37ADD" w14:paraId="04592E82" w14:textId="77777777" w:rsidTr="0010018A">
        <w:tc>
          <w:tcPr>
            <w:tcW w:w="1287" w:type="pct"/>
            <w:tcBorders>
              <w:top w:val="nil"/>
              <w:left w:val="nil"/>
              <w:bottom w:val="single" w:sz="12" w:space="0" w:color="000000"/>
              <w:right w:val="nil"/>
            </w:tcBorders>
          </w:tcPr>
          <w:p w14:paraId="7AA67A19" w14:textId="77777777" w:rsidR="008E3F72" w:rsidRPr="00C37ADD" w:rsidRDefault="008E3F72" w:rsidP="0010018A">
            <w:pPr>
              <w:widowControl/>
              <w:jc w:val="both"/>
              <w:rPr>
                <w:noProof/>
                <w:sz w:val="20"/>
              </w:rPr>
            </w:pPr>
          </w:p>
        </w:tc>
        <w:tc>
          <w:tcPr>
            <w:tcW w:w="1948" w:type="pct"/>
            <w:tcBorders>
              <w:top w:val="nil"/>
              <w:left w:val="nil"/>
              <w:bottom w:val="single" w:sz="12" w:space="0" w:color="000000"/>
              <w:right w:val="nil"/>
            </w:tcBorders>
          </w:tcPr>
          <w:p w14:paraId="5FA71A93" w14:textId="77777777" w:rsidR="008E3F72" w:rsidRPr="00C37ADD" w:rsidRDefault="008E3F72" w:rsidP="0010018A">
            <w:pPr>
              <w:pStyle w:val="TableParagraph"/>
              <w:widowControl/>
              <w:kinsoku w:val="0"/>
              <w:overflowPunct w:val="0"/>
              <w:jc w:val="both"/>
              <w:rPr>
                <w:noProof/>
                <w:sz w:val="20"/>
              </w:rPr>
            </w:pPr>
            <w:r w:rsidRPr="00C37ADD">
              <w:rPr>
                <w:sz w:val="20"/>
              </w:rPr>
              <w:t>16+ nedēļas</w:t>
            </w:r>
          </w:p>
        </w:tc>
        <w:tc>
          <w:tcPr>
            <w:tcW w:w="1765" w:type="pct"/>
            <w:tcBorders>
              <w:top w:val="nil"/>
              <w:left w:val="nil"/>
              <w:bottom w:val="single" w:sz="12" w:space="0" w:color="000000"/>
              <w:right w:val="nil"/>
            </w:tcBorders>
          </w:tcPr>
          <w:p w14:paraId="28B35F3B" w14:textId="77777777" w:rsidR="008E3F72" w:rsidRPr="00C37ADD" w:rsidRDefault="008E3F72" w:rsidP="0010018A">
            <w:pPr>
              <w:pStyle w:val="TableParagraph"/>
              <w:widowControl/>
              <w:kinsoku w:val="0"/>
              <w:overflowPunct w:val="0"/>
              <w:jc w:val="both"/>
              <w:rPr>
                <w:noProof/>
                <w:sz w:val="20"/>
              </w:rPr>
            </w:pPr>
            <w:r w:rsidRPr="00C37ADD">
              <w:rPr>
                <w:sz w:val="20"/>
              </w:rPr>
              <w:t>14–17</w:t>
            </w:r>
          </w:p>
        </w:tc>
      </w:tr>
    </w:tbl>
    <w:p w14:paraId="6C59DD0F"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Avots – </w:t>
      </w:r>
      <w:r w:rsidRPr="00F35F4D">
        <w:rPr>
          <w:noProof/>
          <w:sz w:val="24"/>
        </w:rPr>
        <w:t>Eiropas Komisija, 2003.</w:t>
      </w:r>
    </w:p>
    <w:p w14:paraId="4E826C41"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a </w:t>
      </w:r>
      <w:r w:rsidRPr="00F35F4D">
        <w:rPr>
          <w:noProof/>
          <w:sz w:val="24"/>
        </w:rPr>
        <w:t>Ja nodrošināta pareizi līdzsvarota un optimāla aminoskābju deva. Šeit norādītos skaitļus var uzskatīt par „vidēju un augstu vēlamo līmeni” (sīkāk par procentos izteikto KP mērķvērtību skatīt II pielikumā).</w:t>
      </w:r>
    </w:p>
    <w:p w14:paraId="04F36E4A" w14:textId="77777777" w:rsidR="00C37ADD" w:rsidRDefault="00C37ADD">
      <w:pPr>
        <w:widowControl/>
        <w:autoSpaceDE/>
        <w:autoSpaceDN/>
        <w:adjustRightInd/>
        <w:spacing w:after="160" w:line="259" w:lineRule="auto"/>
        <w:rPr>
          <w:b/>
          <w:bCs/>
          <w:noProof/>
          <w:color w:val="0D0D0D"/>
          <w:szCs w:val="44"/>
        </w:rPr>
      </w:pPr>
      <w:r>
        <w:rPr>
          <w:noProof/>
          <w:color w:val="0D0D0D"/>
        </w:rPr>
        <w:br w:type="page"/>
      </w:r>
    </w:p>
    <w:p w14:paraId="09DAC35C" w14:textId="11F20492" w:rsidR="00C37ADD" w:rsidRPr="00C37ADD" w:rsidRDefault="00C37ADD" w:rsidP="00C37ADD">
      <w:pPr>
        <w:pStyle w:val="Heading2"/>
        <w:widowControl/>
        <w:kinsoku w:val="0"/>
        <w:overflowPunct w:val="0"/>
        <w:ind w:left="0"/>
        <w:jc w:val="right"/>
        <w:rPr>
          <w:rFonts w:ascii="Times New Roman" w:hAnsi="Times New Roman" w:cs="Times New Roman"/>
          <w:noProof/>
          <w:color w:val="0D0D0D"/>
          <w:sz w:val="40"/>
        </w:rPr>
      </w:pPr>
      <w:bookmarkStart w:id="8" w:name="_Toc426033260"/>
      <w:r w:rsidRPr="00C37ADD">
        <w:rPr>
          <w:rFonts w:ascii="Times New Roman" w:hAnsi="Times New Roman" w:cs="Times New Roman"/>
          <w:noProof/>
          <w:color w:val="0D0D0D"/>
          <w:sz w:val="40"/>
        </w:rPr>
        <w:lastRenderedPageBreak/>
        <w:t>5. nodaļa</w:t>
      </w:r>
      <w:bookmarkEnd w:id="8"/>
    </w:p>
    <w:p w14:paraId="1E3E0CBD" w14:textId="77777777" w:rsidR="00C37ADD" w:rsidRDefault="00C37ADD" w:rsidP="008E3F72">
      <w:pPr>
        <w:pStyle w:val="Heading2"/>
        <w:widowControl/>
        <w:kinsoku w:val="0"/>
        <w:overflowPunct w:val="0"/>
        <w:ind w:left="0"/>
        <w:jc w:val="both"/>
        <w:rPr>
          <w:rFonts w:ascii="Times New Roman" w:hAnsi="Times New Roman" w:cs="Times New Roman"/>
          <w:noProof/>
          <w:color w:val="0D0D0D"/>
          <w:sz w:val="24"/>
        </w:rPr>
      </w:pPr>
    </w:p>
    <w:p w14:paraId="4E8F5E6F" w14:textId="4D6DB632" w:rsidR="008E3F72" w:rsidRDefault="008E3F72" w:rsidP="00C37ADD">
      <w:pPr>
        <w:pStyle w:val="Heading1"/>
      </w:pPr>
      <w:bookmarkStart w:id="9" w:name="_Toc426033261"/>
      <w:r w:rsidRPr="00F35F4D">
        <w:t>Lauksaimniecības dzīvnieku novietnes</w:t>
      </w:r>
      <w:bookmarkEnd w:id="9"/>
    </w:p>
    <w:p w14:paraId="0CA60E70" w14:textId="77777777" w:rsidR="00C37ADD" w:rsidRPr="00C37ADD" w:rsidRDefault="00C37ADD" w:rsidP="00C37ADD"/>
    <w:p w14:paraId="6D26A229"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C.M. Groenestein, L.Valli, C. Piñeiro Noguera, H. Menzi, G. Bonazzi, H. Döhler, K. van der Hoek, A.J.A. Aarnink, O. Oenema, N. Kozlova, T. Kuczynski, Z. Klimont,</w:t>
      </w:r>
    </w:p>
    <w:p w14:paraId="7E27F6ED" w14:textId="77777777" w:rsidR="008E3F72" w:rsidRPr="00F35F4D" w:rsidRDefault="008E3F72" w:rsidP="008E3F72">
      <w:pPr>
        <w:pStyle w:val="BodyText"/>
        <w:widowControl/>
        <w:kinsoku w:val="0"/>
        <w:overflowPunct w:val="0"/>
        <w:spacing w:before="0"/>
        <w:ind w:left="0"/>
        <w:jc w:val="both"/>
        <w:rPr>
          <w:i/>
          <w:iCs/>
          <w:noProof/>
          <w:sz w:val="24"/>
          <w:szCs w:val="24"/>
        </w:rPr>
      </w:pPr>
      <w:r w:rsidRPr="00F35F4D">
        <w:rPr>
          <w:i/>
          <w:noProof/>
          <w:sz w:val="24"/>
        </w:rPr>
        <w:t>G. Montalvo Bermejo</w:t>
      </w:r>
    </w:p>
    <w:p w14:paraId="5E38E200" w14:textId="77777777" w:rsidR="008E3F72" w:rsidRPr="00F35F4D" w:rsidRDefault="008E3F72" w:rsidP="008E3F72">
      <w:pPr>
        <w:pStyle w:val="BodyText"/>
        <w:widowControl/>
        <w:kinsoku w:val="0"/>
        <w:overflowPunct w:val="0"/>
        <w:spacing w:before="0"/>
        <w:ind w:left="0"/>
        <w:jc w:val="both"/>
        <w:rPr>
          <w:i/>
          <w:iCs/>
          <w:noProof/>
          <w:sz w:val="24"/>
          <w:szCs w:val="24"/>
        </w:rPr>
      </w:pPr>
    </w:p>
    <w:p w14:paraId="4742F63D" w14:textId="77777777" w:rsidR="008E3F72" w:rsidRPr="00C37ADD" w:rsidRDefault="008E3F72" w:rsidP="008E3F72">
      <w:pPr>
        <w:pStyle w:val="BodyText"/>
        <w:widowControl/>
        <w:numPr>
          <w:ilvl w:val="0"/>
          <w:numId w:val="15"/>
        </w:numPr>
        <w:tabs>
          <w:tab w:val="left" w:pos="861"/>
        </w:tabs>
        <w:kinsoku w:val="0"/>
        <w:overflowPunct w:val="0"/>
        <w:spacing w:before="0"/>
        <w:ind w:left="0" w:firstLine="0"/>
        <w:jc w:val="both"/>
        <w:rPr>
          <w:b/>
          <w:bCs/>
          <w:noProof/>
          <w:color w:val="0D0D0D"/>
          <w:sz w:val="24"/>
          <w:szCs w:val="24"/>
        </w:rPr>
      </w:pPr>
      <w:r w:rsidRPr="00F35F4D">
        <w:rPr>
          <w:b/>
          <w:noProof/>
          <w:color w:val="0D0D0D"/>
          <w:sz w:val="24"/>
        </w:rPr>
        <w:t>Novietņu sistēmas piena un gaļas liellopiem</w:t>
      </w:r>
    </w:p>
    <w:p w14:paraId="59849768" w14:textId="77777777" w:rsidR="00C37ADD" w:rsidRPr="00F35F4D" w:rsidRDefault="00C37ADD" w:rsidP="00C37ADD">
      <w:pPr>
        <w:pStyle w:val="BodyText"/>
        <w:widowControl/>
        <w:tabs>
          <w:tab w:val="left" w:pos="861"/>
        </w:tabs>
        <w:kinsoku w:val="0"/>
        <w:overflowPunct w:val="0"/>
        <w:spacing w:before="0"/>
        <w:ind w:left="0"/>
        <w:jc w:val="both"/>
        <w:rPr>
          <w:b/>
          <w:bCs/>
          <w:noProof/>
          <w:color w:val="0D0D0D"/>
          <w:sz w:val="24"/>
          <w:szCs w:val="24"/>
        </w:rPr>
      </w:pPr>
    </w:p>
    <w:p w14:paraId="6EED4CA3" w14:textId="77777777"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Paņēmienos, ko izmanto NH3 emisijas samazināšanai no liellopu dzīvnieku novietnēm, izmanto vienu vai vairākus no turpmāk minētajiem principiem:</w:t>
      </w:r>
    </w:p>
    <w:p w14:paraId="20A1F830" w14:textId="77777777" w:rsidR="008E3F72" w:rsidRPr="00F35F4D" w:rsidRDefault="008E3F72" w:rsidP="00C37ADD">
      <w:pPr>
        <w:pStyle w:val="BodyText"/>
        <w:widowControl/>
        <w:numPr>
          <w:ilvl w:val="1"/>
          <w:numId w:val="16"/>
        </w:numPr>
        <w:kinsoku w:val="0"/>
        <w:overflowPunct w:val="0"/>
        <w:spacing w:before="0"/>
        <w:ind w:left="0" w:firstLine="0"/>
        <w:jc w:val="both"/>
        <w:rPr>
          <w:noProof/>
          <w:sz w:val="24"/>
          <w:szCs w:val="24"/>
        </w:rPr>
      </w:pPr>
      <w:r w:rsidRPr="00F35F4D">
        <w:rPr>
          <w:noProof/>
          <w:sz w:val="24"/>
        </w:rPr>
        <w:t>ar kūtsmēsliem piesārņotās virsmas samazināšanu;</w:t>
      </w:r>
    </w:p>
    <w:p w14:paraId="00BAFD5E" w14:textId="77777777" w:rsidR="008E3F72" w:rsidRPr="00F35F4D" w:rsidRDefault="008E3F72" w:rsidP="00C37ADD">
      <w:pPr>
        <w:pStyle w:val="BodyText"/>
        <w:widowControl/>
        <w:numPr>
          <w:ilvl w:val="1"/>
          <w:numId w:val="16"/>
        </w:numPr>
        <w:kinsoku w:val="0"/>
        <w:overflowPunct w:val="0"/>
        <w:spacing w:before="0"/>
        <w:ind w:left="0" w:firstLine="0"/>
        <w:jc w:val="both"/>
        <w:rPr>
          <w:noProof/>
          <w:sz w:val="24"/>
          <w:szCs w:val="24"/>
        </w:rPr>
      </w:pPr>
      <w:r w:rsidRPr="00F35F4D">
        <w:rPr>
          <w:noProof/>
          <w:sz w:val="24"/>
        </w:rPr>
        <w:t>absorbciju vai adsorbciju pakaišos (piemēram, salmos);</w:t>
      </w:r>
    </w:p>
    <w:p w14:paraId="2096ADE8" w14:textId="77777777" w:rsidR="008E3F72" w:rsidRPr="00F35F4D" w:rsidRDefault="008E3F72" w:rsidP="00C37ADD">
      <w:pPr>
        <w:pStyle w:val="BodyText"/>
        <w:widowControl/>
        <w:numPr>
          <w:ilvl w:val="1"/>
          <w:numId w:val="16"/>
        </w:numPr>
        <w:kinsoku w:val="0"/>
        <w:overflowPunct w:val="0"/>
        <w:spacing w:before="0"/>
        <w:ind w:left="0" w:firstLine="0"/>
        <w:jc w:val="both"/>
        <w:rPr>
          <w:noProof/>
          <w:sz w:val="24"/>
          <w:szCs w:val="24"/>
        </w:rPr>
      </w:pPr>
      <w:r w:rsidRPr="00F35F4D">
        <w:rPr>
          <w:noProof/>
          <w:sz w:val="24"/>
        </w:rPr>
        <w:t>urīna ātru aizvadīšanu; fekāliju ātru atdalīšanu no urīna;</w:t>
      </w:r>
    </w:p>
    <w:p w14:paraId="4F9A5DF2" w14:textId="77777777" w:rsidR="008E3F72" w:rsidRPr="00F35F4D" w:rsidRDefault="008E3F72" w:rsidP="00C37ADD">
      <w:pPr>
        <w:pStyle w:val="BodyText"/>
        <w:widowControl/>
        <w:numPr>
          <w:ilvl w:val="1"/>
          <w:numId w:val="16"/>
        </w:numPr>
        <w:kinsoku w:val="0"/>
        <w:overflowPunct w:val="0"/>
        <w:spacing w:before="0"/>
        <w:ind w:left="0" w:firstLine="0"/>
        <w:jc w:val="both"/>
        <w:rPr>
          <w:noProof/>
          <w:sz w:val="24"/>
          <w:szCs w:val="24"/>
        </w:rPr>
      </w:pPr>
      <w:r w:rsidRPr="00F35F4D">
        <w:rPr>
          <w:noProof/>
          <w:sz w:val="24"/>
        </w:rPr>
        <w:t>virs kūtsmēsliem esošās gaisa kustības ātruma samazināšanu un temperatūras pazemināšanu, izņemot tajās vietās, kur kūtsmēslus kaltē;</w:t>
      </w:r>
    </w:p>
    <w:p w14:paraId="7012E8E3" w14:textId="77777777" w:rsidR="008E3F72" w:rsidRPr="00F35F4D" w:rsidRDefault="008E3F72" w:rsidP="00C37ADD">
      <w:pPr>
        <w:pStyle w:val="BodyText"/>
        <w:widowControl/>
        <w:numPr>
          <w:ilvl w:val="1"/>
          <w:numId w:val="16"/>
        </w:numPr>
        <w:kinsoku w:val="0"/>
        <w:overflowPunct w:val="0"/>
        <w:spacing w:before="0"/>
        <w:ind w:left="0" w:firstLine="0"/>
        <w:jc w:val="both"/>
        <w:rPr>
          <w:noProof/>
          <w:sz w:val="24"/>
          <w:szCs w:val="24"/>
        </w:rPr>
      </w:pPr>
      <w:r w:rsidRPr="00F35F4D">
        <w:rPr>
          <w:noProof/>
          <w:sz w:val="24"/>
        </w:rPr>
        <w:t>kūtsmēslu temperatūras pazemināšanu;</w:t>
      </w:r>
    </w:p>
    <w:p w14:paraId="207D3810" w14:textId="77777777" w:rsidR="008E3F72" w:rsidRPr="00F35F4D" w:rsidRDefault="008E3F72" w:rsidP="00C37ADD">
      <w:pPr>
        <w:pStyle w:val="BodyText"/>
        <w:widowControl/>
        <w:numPr>
          <w:ilvl w:val="1"/>
          <w:numId w:val="16"/>
        </w:numPr>
        <w:kinsoku w:val="0"/>
        <w:overflowPunct w:val="0"/>
        <w:spacing w:before="0"/>
        <w:ind w:left="0" w:firstLine="0"/>
        <w:jc w:val="both"/>
        <w:rPr>
          <w:noProof/>
          <w:sz w:val="24"/>
          <w:szCs w:val="24"/>
        </w:rPr>
      </w:pPr>
      <w:r w:rsidRPr="00F35F4D">
        <w:rPr>
          <w:noProof/>
          <w:sz w:val="24"/>
        </w:rPr>
        <w:t>piemēslotās platības samazināšanu novietnēs un dzīvnieku pastāvīgās uzturēšanās vietās, palielinot ganīšanas laiku;</w:t>
      </w:r>
    </w:p>
    <w:p w14:paraId="7EDC915B" w14:textId="77777777" w:rsidR="008E3F72" w:rsidRPr="00C37ADD" w:rsidRDefault="008E3F72" w:rsidP="00C37ADD">
      <w:pPr>
        <w:pStyle w:val="BodyText"/>
        <w:widowControl/>
        <w:numPr>
          <w:ilvl w:val="1"/>
          <w:numId w:val="16"/>
        </w:numPr>
        <w:kinsoku w:val="0"/>
        <w:overflowPunct w:val="0"/>
        <w:spacing w:before="0"/>
        <w:ind w:left="0" w:firstLine="0"/>
        <w:jc w:val="both"/>
        <w:rPr>
          <w:noProof/>
          <w:sz w:val="24"/>
          <w:szCs w:val="24"/>
        </w:rPr>
      </w:pPr>
      <w:r w:rsidRPr="00F35F4D">
        <w:rPr>
          <w:noProof/>
          <w:sz w:val="24"/>
        </w:rPr>
        <w:t>gaisa attīrīšanu, t. i., gaisa atbrīvošanu no NH3 ar piespiedu ventilācijas palīdzību, ko piemēro vienlaicīgi ar gaisa skruberiem.</w:t>
      </w:r>
    </w:p>
    <w:p w14:paraId="27FC5070" w14:textId="77777777" w:rsidR="00C37ADD" w:rsidRPr="00F35F4D" w:rsidRDefault="00C37ADD" w:rsidP="00C37ADD">
      <w:pPr>
        <w:pStyle w:val="BodyText"/>
        <w:widowControl/>
        <w:kinsoku w:val="0"/>
        <w:overflowPunct w:val="0"/>
        <w:spacing w:before="0"/>
        <w:ind w:left="0"/>
        <w:jc w:val="both"/>
        <w:rPr>
          <w:noProof/>
          <w:sz w:val="24"/>
          <w:szCs w:val="24"/>
        </w:rPr>
      </w:pPr>
    </w:p>
    <w:p w14:paraId="6EC13E33" w14:textId="77777777" w:rsidR="008E3F72" w:rsidRPr="00C37ADD" w:rsidRDefault="008E3F72" w:rsidP="00C37ADD">
      <w:pPr>
        <w:pStyle w:val="BodyText"/>
        <w:widowControl/>
        <w:numPr>
          <w:ilvl w:val="0"/>
          <w:numId w:val="16"/>
        </w:numPr>
        <w:kinsoku w:val="0"/>
        <w:overflowPunct w:val="0"/>
        <w:spacing w:before="0"/>
        <w:ind w:left="0" w:firstLine="0"/>
        <w:jc w:val="both"/>
        <w:rPr>
          <w:noProof/>
          <w:sz w:val="24"/>
          <w:szCs w:val="24"/>
        </w:rPr>
      </w:pPr>
      <w:r w:rsidRPr="00F35F4D">
        <w:rPr>
          <w:noProof/>
          <w:sz w:val="24"/>
        </w:rPr>
        <w:t>Piemērojot pasākumus emisijas samazināšanai no liellopu turēšanas novietnēm, ir būtiski samazināt saglabātā NH3 zudumus vēlākās kūtsmēslu apstrādes stadijās krātuvēs un izkliedēšanas laikā, lai ieguvums no izmaksām par emisijas samazināšanu būtu pēc iespējas lielāks.</w:t>
      </w:r>
    </w:p>
    <w:p w14:paraId="15A6A20C" w14:textId="77777777" w:rsidR="00C37ADD" w:rsidRPr="00F35F4D" w:rsidRDefault="00C37ADD" w:rsidP="00C37ADD">
      <w:pPr>
        <w:pStyle w:val="BodyText"/>
        <w:widowControl/>
        <w:kinsoku w:val="0"/>
        <w:overflowPunct w:val="0"/>
        <w:spacing w:before="0"/>
        <w:ind w:left="0"/>
        <w:jc w:val="both"/>
        <w:rPr>
          <w:noProof/>
          <w:sz w:val="24"/>
          <w:szCs w:val="24"/>
        </w:rPr>
      </w:pPr>
    </w:p>
    <w:p w14:paraId="067C2B55" w14:textId="3DB65CF5" w:rsidR="008E3F72" w:rsidRPr="00C37ADD" w:rsidRDefault="008E3F72" w:rsidP="00C37ADD">
      <w:pPr>
        <w:pStyle w:val="BodyText"/>
        <w:widowControl/>
        <w:numPr>
          <w:ilvl w:val="0"/>
          <w:numId w:val="16"/>
        </w:numPr>
        <w:kinsoku w:val="0"/>
        <w:overflowPunct w:val="0"/>
        <w:spacing w:before="0"/>
        <w:ind w:left="0" w:firstLine="0"/>
        <w:jc w:val="both"/>
        <w:rPr>
          <w:noProof/>
          <w:sz w:val="24"/>
          <w:szCs w:val="24"/>
        </w:rPr>
      </w:pPr>
      <w:r w:rsidRPr="00F35F4D">
        <w:rPr>
          <w:noProof/>
          <w:sz w:val="24"/>
        </w:rPr>
        <w:t xml:space="preserve">Liellopu novietņu sistēmas dažādos EEK reģionos ir atšķirīgas. Kaut arī visplašāk tiek izmantota brīvās turēšanas sistēma, dažās valstīs piena </w:t>
      </w:r>
      <w:r w:rsidR="00FC0E68">
        <w:rPr>
          <w:noProof/>
          <w:sz w:val="24"/>
        </w:rPr>
        <w:t>liellopus vēl aizvien tur piesietus</w:t>
      </w:r>
      <w:r w:rsidRPr="00F35F4D">
        <w:rPr>
          <w:noProof/>
          <w:sz w:val="24"/>
        </w:rPr>
        <w:t xml:space="preserve"> steliņģos. Brīvās turēš</w:t>
      </w:r>
      <w:r w:rsidR="00FC0E68">
        <w:rPr>
          <w:noProof/>
          <w:sz w:val="24"/>
        </w:rPr>
        <w:t>anas sistēmās visus kūtsmēslus</w:t>
      </w:r>
      <w:r w:rsidRPr="00F35F4D">
        <w:rPr>
          <w:noProof/>
          <w:sz w:val="24"/>
        </w:rPr>
        <w:t xml:space="preserve"> vai to daļu savāc šķidro kūt</w:t>
      </w:r>
      <w:r w:rsidR="00FC0E68">
        <w:rPr>
          <w:noProof/>
          <w:sz w:val="24"/>
        </w:rPr>
        <w:t>smēslu veidā. Sistēmās, kur iegūst</w:t>
      </w:r>
      <w:r w:rsidRPr="00F35F4D">
        <w:rPr>
          <w:noProof/>
          <w:sz w:val="24"/>
        </w:rPr>
        <w:t xml:space="preserve"> cietos</w:t>
      </w:r>
      <w:r w:rsidR="00FC0E68">
        <w:rPr>
          <w:noProof/>
          <w:sz w:val="24"/>
        </w:rPr>
        <w:t xml:space="preserve"> pakaišu</w:t>
      </w:r>
      <w:r w:rsidRPr="00F35F4D">
        <w:rPr>
          <w:noProof/>
          <w:sz w:val="24"/>
        </w:rPr>
        <w:t xml:space="preserve"> kūtsmēslus (piemēram salmu pak</w:t>
      </w:r>
      <w:r w:rsidR="00FC0E68">
        <w:rPr>
          <w:noProof/>
          <w:sz w:val="24"/>
        </w:rPr>
        <w:t>aišu sistēmās), dažreiz kūti tīra</w:t>
      </w:r>
      <w:r w:rsidRPr="00F35F4D">
        <w:rPr>
          <w:noProof/>
          <w:sz w:val="24"/>
        </w:rPr>
        <w:t xml:space="preserve"> ik dienu vai arī kūtsmēsli tajā var atrasties kaut visu sezonu, piemēram, dziļo pakaišu sistēmas gadījumā. Visvairāk izpētītā sistēma ir „boksi” piena govju turēšanai, kur NH3 emisiju rada piemēslotas redeļu un/vai vienlaidu grīdas un kūtsmēsli zemgrīdas krātuvēs un kanālos zem redelēm/grīdas.</w:t>
      </w:r>
    </w:p>
    <w:p w14:paraId="34A3532B" w14:textId="77777777" w:rsidR="00C37ADD" w:rsidRPr="00F35F4D" w:rsidRDefault="00C37ADD" w:rsidP="00C37ADD">
      <w:pPr>
        <w:pStyle w:val="BodyText"/>
        <w:widowControl/>
        <w:kinsoku w:val="0"/>
        <w:overflowPunct w:val="0"/>
        <w:spacing w:before="0"/>
        <w:ind w:left="0"/>
        <w:jc w:val="both"/>
        <w:rPr>
          <w:noProof/>
          <w:sz w:val="24"/>
          <w:szCs w:val="24"/>
        </w:rPr>
      </w:pPr>
    </w:p>
    <w:p w14:paraId="649718A5" w14:textId="50EE2680" w:rsidR="008E3F72" w:rsidRPr="00C37ADD" w:rsidRDefault="008E3F72" w:rsidP="00C37ADD">
      <w:pPr>
        <w:pStyle w:val="BodyText"/>
        <w:widowControl/>
        <w:numPr>
          <w:ilvl w:val="0"/>
          <w:numId w:val="16"/>
        </w:numPr>
        <w:kinsoku w:val="0"/>
        <w:overflowPunct w:val="0"/>
        <w:spacing w:before="0"/>
        <w:ind w:left="0" w:firstLine="0"/>
        <w:jc w:val="both"/>
        <w:rPr>
          <w:noProof/>
          <w:sz w:val="24"/>
          <w:szCs w:val="24"/>
        </w:rPr>
      </w:pPr>
      <w:r w:rsidRPr="00C37ADD">
        <w:rPr>
          <w:i/>
          <w:noProof/>
          <w:sz w:val="24"/>
          <w:szCs w:val="24"/>
        </w:rPr>
        <w:t xml:space="preserve">Atsauces sistēma. </w:t>
      </w:r>
      <w:r w:rsidRPr="00C37ADD">
        <w:rPr>
          <w:noProof/>
          <w:sz w:val="24"/>
          <w:szCs w:val="24"/>
        </w:rPr>
        <w:t xml:space="preserve">Par atsauces sistēmu liellopu novietnēm pieņem </w:t>
      </w:r>
      <w:r w:rsidR="00FC0E68">
        <w:rPr>
          <w:noProof/>
          <w:sz w:val="24"/>
          <w:szCs w:val="24"/>
        </w:rPr>
        <w:t>“</w:t>
      </w:r>
      <w:r w:rsidRPr="00C37ADD">
        <w:rPr>
          <w:noProof/>
          <w:sz w:val="24"/>
          <w:szCs w:val="24"/>
        </w:rPr>
        <w:t>boksu</w:t>
      </w:r>
      <w:r w:rsidR="00FC0E68">
        <w:rPr>
          <w:noProof/>
          <w:sz w:val="24"/>
          <w:szCs w:val="24"/>
        </w:rPr>
        <w:t>”</w:t>
      </w:r>
      <w:r w:rsidRPr="00C37ADD">
        <w:rPr>
          <w:noProof/>
          <w:sz w:val="24"/>
          <w:szCs w:val="24"/>
        </w:rPr>
        <w:t xml:space="preserve"> sistēmu (6. tabula). Liellopi, kurus tur steliņģos piesietus, rada mazāku NH3 emisiju nekā brīvās turēšanas sistēmā, jo ar mēsliem un urīnu piemēslotais grīdas laukums ir mazāks. Tomēr saskaņā ar dzīvnieku labturīb</w:t>
      </w:r>
      <w:r w:rsidR="00FC0E68">
        <w:rPr>
          <w:noProof/>
          <w:sz w:val="24"/>
          <w:szCs w:val="24"/>
        </w:rPr>
        <w:t>as prasībām piesieto turēšanu</w:t>
      </w:r>
      <w:r w:rsidRPr="00C37ADD">
        <w:rPr>
          <w:noProof/>
          <w:sz w:val="24"/>
          <w:szCs w:val="24"/>
        </w:rPr>
        <w:t xml:space="preserve"> neiesaka, ja vien govis katru dienu nelaiž pastaigā. Sistēmu, kurā dzīvniekus tur piesietus, izmanto ka tradicionālo atsauces sistēmu, lai nodrošinātu nepārtrauktību emisijas uzskaitē.</w:t>
      </w:r>
    </w:p>
    <w:p w14:paraId="219843A1" w14:textId="77777777" w:rsidR="00C37ADD" w:rsidRPr="00C37ADD" w:rsidRDefault="00C37ADD" w:rsidP="00C37ADD">
      <w:pPr>
        <w:pStyle w:val="BodyText"/>
        <w:widowControl/>
        <w:kinsoku w:val="0"/>
        <w:overflowPunct w:val="0"/>
        <w:spacing w:before="0"/>
        <w:ind w:left="0"/>
        <w:jc w:val="both"/>
        <w:rPr>
          <w:noProof/>
          <w:sz w:val="24"/>
          <w:szCs w:val="24"/>
        </w:rPr>
      </w:pPr>
    </w:p>
    <w:p w14:paraId="3AAAE092" w14:textId="0524A2E9" w:rsidR="00C37ADD" w:rsidRPr="00FC0E68" w:rsidRDefault="008E3F72" w:rsidP="008E3F72">
      <w:pPr>
        <w:pStyle w:val="BodyText"/>
        <w:widowControl/>
        <w:numPr>
          <w:ilvl w:val="0"/>
          <w:numId w:val="16"/>
        </w:numPr>
        <w:kinsoku w:val="0"/>
        <w:overflowPunct w:val="0"/>
        <w:spacing w:before="0"/>
        <w:ind w:left="0" w:firstLine="0"/>
        <w:jc w:val="both"/>
        <w:rPr>
          <w:noProof/>
          <w:sz w:val="24"/>
          <w:szCs w:val="24"/>
        </w:rPr>
      </w:pPr>
      <w:r w:rsidRPr="00C37ADD">
        <w:rPr>
          <w:i/>
          <w:sz w:val="24"/>
          <w:szCs w:val="24"/>
        </w:rPr>
        <w:t>Dzīvnieku labturības apsvērumu dēļ</w:t>
      </w:r>
      <w:r w:rsidRPr="00C37ADD">
        <w:rPr>
          <w:sz w:val="24"/>
          <w:szCs w:val="24"/>
        </w:rPr>
        <w:t xml:space="preserve"> piemēslotā platība uz dzīvnieku, pa kuru tas var pārvietoties, parasti palielinās, novietnes tiek vairāk vēdinātas, temperatūra ziemā var pazemināties, un kopējā emisija – pieaugt.</w:t>
      </w:r>
      <w:r w:rsidRPr="00C37ADD">
        <w:rPr>
          <w:noProof/>
          <w:sz w:val="24"/>
          <w:szCs w:val="24"/>
        </w:rPr>
        <w:t xml:space="preserve"> Tāpēc dažās valstīs izmaiņas ēku </w:t>
      </w:r>
      <w:r w:rsidRPr="00C37ADD">
        <w:rPr>
          <w:noProof/>
          <w:sz w:val="24"/>
          <w:szCs w:val="24"/>
        </w:rPr>
        <w:lastRenderedPageBreak/>
        <w:t>konstrukcijā, lai nodrošinātu atbilstību jaunajiem noteikumiem par dzīvnieku labturību (t. i., pāreju no sistēmas, kurā dzīvniekus tur piesietus steliņģos, uz boksiem), palielina NH3 emisiju, ja</w:t>
      </w:r>
      <w:r w:rsidRPr="00F35F4D">
        <w:rPr>
          <w:noProof/>
          <w:sz w:val="24"/>
        </w:rPr>
        <w:t xml:space="preserve"> vien vienlaicīgi nav ieviesti emisiju samazinoši pasākumi cīņai pret šo palielinājumu. Izmaiņas ēkās vai jaunu ēku būvēšana dzīvnieku labturības noteikumu ievērošanai</w:t>
      </w:r>
      <w:r w:rsidR="00FC0E68">
        <w:rPr>
          <w:noProof/>
          <w:sz w:val="24"/>
          <w:szCs w:val="24"/>
        </w:rPr>
        <w:t xml:space="preserve"> </w:t>
      </w:r>
      <w:r w:rsidRPr="00FC0E68">
        <w:rPr>
          <w:noProof/>
          <w:sz w:val="24"/>
        </w:rPr>
        <w:t>ir būtiska iespēja, lai vienlaicīgi ieviestu NH3 emisijas mazināšanas pasākumus, samazinot šo pasākumu izmaksas salīdzinājumā ar modernizāciju.</w:t>
      </w:r>
    </w:p>
    <w:p w14:paraId="72BBE065" w14:textId="77777777" w:rsidR="00C37ADD" w:rsidRPr="00C37ADD" w:rsidRDefault="00C37ADD" w:rsidP="008E3F72">
      <w:pPr>
        <w:pStyle w:val="BodyText"/>
        <w:widowControl/>
        <w:kinsoku w:val="0"/>
        <w:overflowPunct w:val="0"/>
        <w:spacing w:before="0"/>
        <w:ind w:left="0"/>
        <w:jc w:val="both"/>
        <w:rPr>
          <w:noProof/>
          <w:sz w:val="24"/>
        </w:rPr>
      </w:pPr>
    </w:p>
    <w:p w14:paraId="56177985" w14:textId="35058BB2" w:rsidR="008E3F72" w:rsidRPr="00F35F4D" w:rsidRDefault="0085568E" w:rsidP="008E3F72">
      <w:pPr>
        <w:pStyle w:val="BodyText"/>
        <w:widowControl/>
        <w:numPr>
          <w:ilvl w:val="0"/>
          <w:numId w:val="16"/>
        </w:numPr>
        <w:tabs>
          <w:tab w:val="left" w:pos="861"/>
        </w:tabs>
        <w:kinsoku w:val="0"/>
        <w:overflowPunct w:val="0"/>
        <w:spacing w:before="0"/>
        <w:ind w:left="0" w:firstLine="0"/>
        <w:jc w:val="both"/>
        <w:rPr>
          <w:noProof/>
          <w:sz w:val="24"/>
          <w:szCs w:val="24"/>
        </w:rPr>
      </w:pPr>
      <w:r>
        <w:rPr>
          <w:i/>
          <w:noProof/>
          <w:sz w:val="24"/>
        </w:rPr>
        <w:t>Pakaišu</w:t>
      </w:r>
      <w:r w:rsidR="008E3F72" w:rsidRPr="00F35F4D">
        <w:rPr>
          <w:i/>
          <w:noProof/>
          <w:sz w:val="24"/>
        </w:rPr>
        <w:t xml:space="preserve"> kūtsmēslu sistēmas vai šķidro kūtsmēslu sistēmas. </w:t>
      </w:r>
      <w:r w:rsidR="008E3F72" w:rsidRPr="00F35F4D">
        <w:rPr>
          <w:noProof/>
          <w:sz w:val="24"/>
        </w:rPr>
        <w:t>Nav pamata domāt, ka liellopu sa</w:t>
      </w:r>
      <w:r w:rsidR="00FC0E68">
        <w:rPr>
          <w:noProof/>
          <w:sz w:val="24"/>
        </w:rPr>
        <w:t>lmu pakaišu sistēmās, kurās iegūst pakaišu</w:t>
      </w:r>
      <w:r w:rsidR="008E3F72" w:rsidRPr="00F35F4D">
        <w:rPr>
          <w:noProof/>
          <w:sz w:val="24"/>
        </w:rPr>
        <w:t xml:space="preserve"> kūtsmēslus, izdalās mazāks NH3 daudzums nekā šķidro kūtsmēslu sistēmās. Vēl jo vairāk, N2O un divatomu slāpekļa (N2) zudumi (de)nitrifikācijas rezultātā pakaišu sistēmās mēdz būt lielāki nekā šķidro kūtsmēslu sistēmās. Lai gan p</w:t>
      </w:r>
      <w:r>
        <w:rPr>
          <w:noProof/>
          <w:sz w:val="24"/>
        </w:rPr>
        <w:t>ēc izkliedēšanas uz lauka</w:t>
      </w:r>
      <w:r w:rsidR="00B53D2E">
        <w:rPr>
          <w:noProof/>
          <w:sz w:val="24"/>
        </w:rPr>
        <w:t xml:space="preserve"> pakaišu</w:t>
      </w:r>
      <w:r w:rsidR="008E3F72" w:rsidRPr="00F35F4D">
        <w:rPr>
          <w:noProof/>
          <w:sz w:val="24"/>
        </w:rPr>
        <w:t xml:space="preserve"> kūtsmēsli no salmu pakaišu sistēmām var izdalīt mazāku NH3 daudzumu nekā šķidrie kūtsmēsli (piemēram, </w:t>
      </w:r>
      <w:r w:rsidR="008E3F72" w:rsidRPr="00F35F4D">
        <w:rPr>
          <w:i/>
          <w:noProof/>
          <w:sz w:val="24"/>
        </w:rPr>
        <w:t>Powell et al.</w:t>
      </w:r>
      <w:r w:rsidR="008E3F72" w:rsidRPr="00F35F4D">
        <w:rPr>
          <w:noProof/>
          <w:sz w:val="24"/>
        </w:rPr>
        <w:t>, 2008), šķidro kūtsmēslu gadījumā ir vairāk iespēju piemērot emisiju mazinošus pasākumus. Atdalot fekālijas (kas satur ureāzi) no urīna novietnē, samazinās urīnvielas hidrolīze, un tā rezultātā samazinās emisija gan no novietnes, gan kūtsmēslu izkliedēšanas laikā (</w:t>
      </w:r>
      <w:r w:rsidR="008E3F72" w:rsidRPr="00F35F4D">
        <w:rPr>
          <w:i/>
          <w:noProof/>
          <w:sz w:val="24"/>
        </w:rPr>
        <w:t>Burton</w:t>
      </w:r>
      <w:r w:rsidR="008E3F72" w:rsidRPr="00F35F4D">
        <w:rPr>
          <w:noProof/>
          <w:sz w:val="24"/>
        </w:rPr>
        <w:t xml:space="preserve">, 2007; </w:t>
      </w:r>
      <w:r w:rsidR="008E3F72" w:rsidRPr="00F35F4D">
        <w:rPr>
          <w:i/>
          <w:noProof/>
          <w:sz w:val="24"/>
        </w:rPr>
        <w:t>Fangueiro et al.</w:t>
      </w:r>
      <w:r w:rsidR="008E3F72" w:rsidRPr="00F35F4D">
        <w:rPr>
          <w:noProof/>
          <w:sz w:val="24"/>
        </w:rPr>
        <w:t xml:space="preserve">, 2008a, 2008b; </w:t>
      </w:r>
      <w:r w:rsidR="008E3F72" w:rsidRPr="00F35F4D">
        <w:rPr>
          <w:i/>
          <w:noProof/>
          <w:sz w:val="24"/>
        </w:rPr>
        <w:t>Møller et al</w:t>
      </w:r>
      <w:r w:rsidR="008E3F72" w:rsidRPr="00F35F4D">
        <w:rPr>
          <w:noProof/>
          <w:sz w:val="24"/>
        </w:rPr>
        <w:t>., 2007). Verificējot NH3 emisijas samazinājumu cieto kūtsmēslu lietošanas gadījumā salīdzinājumā ar šķidrajiem kūtsmēsliem vai cieto un šķidro kūtsmēslu atdalīšanas gadījumā, jāņem vērā visas emisijas stadijas (no novietnēm, krātuvēm un zemes mēslošanas rezultātā).</w:t>
      </w:r>
    </w:p>
    <w:p w14:paraId="5D9DC6BF" w14:textId="77777777" w:rsidR="008E3F72" w:rsidRPr="00F35F4D" w:rsidRDefault="008E3F72" w:rsidP="008E3F72">
      <w:pPr>
        <w:pStyle w:val="BodyText"/>
        <w:widowControl/>
        <w:kinsoku w:val="0"/>
        <w:overflowPunct w:val="0"/>
        <w:spacing w:before="0"/>
        <w:ind w:left="0"/>
        <w:jc w:val="both"/>
        <w:rPr>
          <w:noProof/>
          <w:sz w:val="24"/>
          <w:szCs w:val="24"/>
        </w:rPr>
      </w:pPr>
    </w:p>
    <w:p w14:paraId="08DE68A7" w14:textId="77777777" w:rsidR="008E3F72" w:rsidRDefault="008E3F72" w:rsidP="008E3F72">
      <w:pPr>
        <w:pStyle w:val="Heading5"/>
        <w:widowControl/>
        <w:kinsoku w:val="0"/>
        <w:overflowPunct w:val="0"/>
        <w:ind w:left="0"/>
        <w:jc w:val="both"/>
        <w:rPr>
          <w:rFonts w:ascii="Times New Roman" w:hAnsi="Times New Roman" w:cs="Times New Roman"/>
          <w:noProof/>
          <w:color w:val="0D0D0D"/>
          <w:sz w:val="24"/>
        </w:rPr>
      </w:pPr>
      <w:r w:rsidRPr="00F35F4D">
        <w:rPr>
          <w:rFonts w:ascii="Times New Roman" w:hAnsi="Times New Roman" w:cs="Times New Roman"/>
          <w:noProof/>
          <w:color w:val="0D0D0D"/>
          <w:sz w:val="24"/>
        </w:rPr>
        <w:t>1. kategorijas paņēmieni</w:t>
      </w:r>
    </w:p>
    <w:p w14:paraId="522A75D8" w14:textId="77777777" w:rsidR="00C37ADD" w:rsidRPr="00C37ADD" w:rsidRDefault="00C37ADD" w:rsidP="00C37ADD"/>
    <w:p w14:paraId="57618B49" w14:textId="73A5CA89" w:rsidR="008E3F72"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C37ADD">
        <w:rPr>
          <w:i/>
          <w:sz w:val="24"/>
          <w:szCs w:val="24"/>
        </w:rPr>
        <w:t>„Rievoto grīdu sistēma”</w:t>
      </w:r>
      <w:r w:rsidRPr="00C37ADD">
        <w:rPr>
          <w:sz w:val="24"/>
          <w:szCs w:val="24"/>
        </w:rPr>
        <w:t xml:space="preserve"> piena un gaļas liellopu novietnēs, kur izmanto „zobotus” skrāpjus rievotās grīdas attīrīšanai, ir drošs paņēmiens NH3 emisijas samazināšanai.</w:t>
      </w:r>
      <w:r w:rsidRPr="00C37ADD">
        <w:rPr>
          <w:noProof/>
          <w:sz w:val="24"/>
          <w:szCs w:val="24"/>
        </w:rPr>
        <w:t xml:space="preserve"> Rievās jābūt perforācijai, kas ļauj notecēt urīnam. Rezultātā iegūst tīru grīdas laukumu ar zemu emisijas līmeni un labu saķeri kas neļauj </w:t>
      </w:r>
      <w:r w:rsidR="00B53D2E">
        <w:rPr>
          <w:noProof/>
          <w:sz w:val="24"/>
          <w:szCs w:val="24"/>
        </w:rPr>
        <w:t>liel</w:t>
      </w:r>
      <w:r w:rsidRPr="00C37ADD">
        <w:rPr>
          <w:noProof/>
          <w:sz w:val="24"/>
          <w:szCs w:val="24"/>
        </w:rPr>
        <w:t>lopiem slīdēt. Amonjaka emisijas samazinājums ir no 25 % līdz 46 % salīdzinājumā ar atsauces sistēmu (</w:t>
      </w:r>
      <w:r w:rsidRPr="00C37ADD">
        <w:rPr>
          <w:i/>
          <w:noProof/>
          <w:sz w:val="24"/>
          <w:szCs w:val="24"/>
        </w:rPr>
        <w:t>Smits</w:t>
      </w:r>
      <w:r w:rsidRPr="00C37ADD">
        <w:rPr>
          <w:noProof/>
          <w:sz w:val="24"/>
          <w:szCs w:val="24"/>
        </w:rPr>
        <w:t xml:space="preserve">, 1998; </w:t>
      </w:r>
      <w:r w:rsidRPr="00C37ADD">
        <w:rPr>
          <w:i/>
          <w:noProof/>
          <w:sz w:val="24"/>
          <w:szCs w:val="24"/>
        </w:rPr>
        <w:t>Swierstra, Bram, Smits</w:t>
      </w:r>
      <w:r w:rsidRPr="00C37ADD">
        <w:rPr>
          <w:noProof/>
          <w:sz w:val="24"/>
          <w:szCs w:val="24"/>
        </w:rPr>
        <w:t>, 2001).</w:t>
      </w:r>
    </w:p>
    <w:p w14:paraId="1D83CCF2" w14:textId="77777777" w:rsidR="00C37ADD" w:rsidRPr="00C37ADD" w:rsidRDefault="00C37ADD" w:rsidP="00C37ADD">
      <w:pPr>
        <w:pStyle w:val="BodyText"/>
        <w:widowControl/>
        <w:tabs>
          <w:tab w:val="left" w:pos="861"/>
        </w:tabs>
        <w:kinsoku w:val="0"/>
        <w:overflowPunct w:val="0"/>
        <w:spacing w:before="0"/>
        <w:ind w:left="0"/>
        <w:jc w:val="both"/>
        <w:rPr>
          <w:noProof/>
          <w:sz w:val="24"/>
          <w:szCs w:val="24"/>
        </w:rPr>
      </w:pPr>
    </w:p>
    <w:p w14:paraId="54294756" w14:textId="77777777" w:rsidR="008E3F72"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C37ADD">
        <w:rPr>
          <w:noProof/>
          <w:sz w:val="24"/>
          <w:szCs w:val="24"/>
        </w:rPr>
        <w:t>Novietnēs ar tradicionālajām redelēm (bez slīpuma, ar 1 % slīpumu vai rievām), optimālu mikroklimatu un izolētu jumta segumu (JI), un/vai automatizētas kontroles dabisko ventilāciju (AKDV) var panākt mēreni lielu emisijas samazinājumu (20 %), ko nodrošina pazemināta temperatūra (īpaši vasarā) un mazāks gaisa kustības ātrums (</w:t>
      </w:r>
      <w:r w:rsidRPr="00C37ADD">
        <w:rPr>
          <w:i/>
          <w:noProof/>
          <w:sz w:val="24"/>
          <w:szCs w:val="24"/>
        </w:rPr>
        <w:t>Braam, Ketelaars, Smits</w:t>
      </w:r>
      <w:r w:rsidRPr="00C37ADD">
        <w:rPr>
          <w:noProof/>
          <w:sz w:val="24"/>
          <w:szCs w:val="24"/>
        </w:rPr>
        <w:t xml:space="preserve"> 1997; </w:t>
      </w:r>
      <w:r w:rsidRPr="00C37ADD">
        <w:rPr>
          <w:i/>
          <w:noProof/>
          <w:sz w:val="24"/>
          <w:szCs w:val="24"/>
        </w:rPr>
        <w:t>Bram et al</w:t>
      </w:r>
      <w:r w:rsidRPr="00C37ADD">
        <w:rPr>
          <w:noProof/>
          <w:sz w:val="24"/>
          <w:szCs w:val="24"/>
        </w:rPr>
        <w:t xml:space="preserve">., 1997; </w:t>
      </w:r>
      <w:r w:rsidRPr="00C37ADD">
        <w:rPr>
          <w:i/>
          <w:noProof/>
          <w:sz w:val="24"/>
          <w:szCs w:val="24"/>
        </w:rPr>
        <w:t>Smits</w:t>
      </w:r>
      <w:r w:rsidRPr="00C37ADD">
        <w:rPr>
          <w:noProof/>
          <w:sz w:val="24"/>
          <w:szCs w:val="24"/>
        </w:rPr>
        <w:t xml:space="preserve">, 1998; </w:t>
      </w:r>
      <w:r w:rsidRPr="00C37ADD">
        <w:rPr>
          <w:i/>
          <w:noProof/>
          <w:sz w:val="24"/>
          <w:szCs w:val="24"/>
        </w:rPr>
        <w:t>Monteny</w:t>
      </w:r>
      <w:r w:rsidRPr="00C37ADD">
        <w:rPr>
          <w:noProof/>
          <w:sz w:val="24"/>
          <w:szCs w:val="24"/>
        </w:rPr>
        <w:t>, 2000).</w:t>
      </w:r>
    </w:p>
    <w:p w14:paraId="645A31E2" w14:textId="77777777" w:rsidR="00C37ADD" w:rsidRPr="00C37ADD" w:rsidRDefault="00C37ADD" w:rsidP="00C37ADD">
      <w:pPr>
        <w:pStyle w:val="BodyText"/>
        <w:widowControl/>
        <w:tabs>
          <w:tab w:val="left" w:pos="861"/>
        </w:tabs>
        <w:kinsoku w:val="0"/>
        <w:overflowPunct w:val="0"/>
        <w:spacing w:before="0"/>
        <w:ind w:left="0"/>
        <w:jc w:val="both"/>
        <w:rPr>
          <w:noProof/>
          <w:sz w:val="24"/>
          <w:szCs w:val="24"/>
        </w:rPr>
      </w:pPr>
    </w:p>
    <w:p w14:paraId="4EA28396" w14:textId="11C80139"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C37ADD">
        <w:rPr>
          <w:noProof/>
          <w:sz w:val="24"/>
          <w:szCs w:val="24"/>
        </w:rPr>
        <w:t>Ekskrementu samazināšana lauksaimniecības dzīvnieku novietņu sistēmās, palielinot ganībās pavadīto laiku, ir efektīvs pasākums NH3 emisijas samazināšanai. Kaut arī, turot dzīvniekus ganībās, emisija no ganīšanas palielinās, NH3 emisijas samazinājums no dzīvnieku novietnēm ir daudz lielāks, ja laikā, kad dzīvnieki atrodas ganībās, dzīvnieku novietnē ir tīras virsmas. Ja dzīvnieki gandrīz visu dienu pavada ganībās, kopējā gada emisija (no novietnēm, kūtsmēslu krātuvēm un izkliedēšanas) piensaimniecībā var samazināties par līdz pat 50 % (</w:t>
      </w:r>
      <w:r w:rsidRPr="00C37ADD">
        <w:rPr>
          <w:i/>
          <w:noProof/>
          <w:sz w:val="24"/>
          <w:szCs w:val="24"/>
        </w:rPr>
        <w:t>Bracher et al.</w:t>
      </w:r>
      <w:r w:rsidRPr="00C37ADD">
        <w:rPr>
          <w:noProof/>
          <w:sz w:val="24"/>
          <w:szCs w:val="24"/>
        </w:rPr>
        <w:t>, drīzumā), salīdzinot ar dzīvniekiem, kurus visu laiku tur telpās. Kaut arī ganīšanās laika pagarināšana piena govīm ir drošs emisijas samazināšanas pasākums, emisijas</w:t>
      </w:r>
      <w:r w:rsidRPr="00C37ADD">
        <w:rPr>
          <w:noProof/>
          <w:sz w:val="24"/>
        </w:rPr>
        <w:t xml:space="preserve"> </w:t>
      </w:r>
      <w:r w:rsidRPr="00F35F4D">
        <w:rPr>
          <w:noProof/>
          <w:sz w:val="24"/>
        </w:rPr>
        <w:t>samazinājuma apjo</w:t>
      </w:r>
      <w:r w:rsidR="00B53D2E">
        <w:rPr>
          <w:noProof/>
          <w:sz w:val="24"/>
        </w:rPr>
        <w:t>ms ir atkarīgs no laika, ko dzīvnieki</w:t>
      </w:r>
      <w:r w:rsidRPr="00F35F4D">
        <w:rPr>
          <w:noProof/>
          <w:sz w:val="24"/>
        </w:rPr>
        <w:t xml:space="preserve"> dienā pavada ganībās, un tīrības novietnēs un dzīvnieku turēšanas vietās. Ganīšana </w:t>
      </w:r>
      <w:r w:rsidR="00B53D2E">
        <w:rPr>
          <w:noProof/>
          <w:sz w:val="24"/>
        </w:rPr>
        <w:t>atbilst 1. kategorijai, ja dzīvniekus</w:t>
      </w:r>
      <w:r w:rsidRPr="00F35F4D">
        <w:rPr>
          <w:noProof/>
          <w:sz w:val="24"/>
        </w:rPr>
        <w:t xml:space="preserve"> tur ganībās visu diennakti vai arī katru dienu ar kūtsmēsliem tiek </w:t>
      </w:r>
      <w:r w:rsidRPr="00F35F4D">
        <w:rPr>
          <w:noProof/>
          <w:sz w:val="24"/>
        </w:rPr>
        <w:lastRenderedPageBreak/>
        <w:t>piemēslota tikai maza</w:t>
      </w:r>
      <w:r w:rsidR="00B53D2E">
        <w:rPr>
          <w:noProof/>
          <w:sz w:val="24"/>
        </w:rPr>
        <w:t xml:space="preserve"> novietnes</w:t>
      </w:r>
      <w:r w:rsidRPr="00F35F4D">
        <w:rPr>
          <w:noProof/>
          <w:sz w:val="24"/>
        </w:rPr>
        <w:t xml:space="preserve"> grīdas daļa. Mazāk nekā 18 ganīšanas stundas dienā jāuzskata par 2. kategorijas pasākumu, jo nav skaidrības, kā kvantitatīvi izmērīt emisiju. Dažos gadījumos ganīšana var palielināt izskalošanos un palielināt pat</w:t>
      </w:r>
      <w:r w:rsidR="00B53D2E">
        <w:rPr>
          <w:noProof/>
          <w:sz w:val="24"/>
        </w:rPr>
        <w:t>ogēno organismu un barības elementu</w:t>
      </w:r>
      <w:r w:rsidRPr="00F35F4D">
        <w:rPr>
          <w:noProof/>
          <w:sz w:val="24"/>
        </w:rPr>
        <w:t xml:space="preserve"> slodzi virszemes ūdeņos (skatīt arī 40., 184. un 185. punktu).</w:t>
      </w:r>
    </w:p>
    <w:p w14:paraId="4B9EE70F" w14:textId="77777777" w:rsidR="008E3F72" w:rsidRPr="00F35F4D" w:rsidRDefault="008E3F72" w:rsidP="008E3F72">
      <w:pPr>
        <w:pStyle w:val="BodyText"/>
        <w:widowControl/>
        <w:kinsoku w:val="0"/>
        <w:overflowPunct w:val="0"/>
        <w:spacing w:before="0"/>
        <w:ind w:left="0"/>
        <w:jc w:val="both"/>
        <w:rPr>
          <w:noProof/>
          <w:sz w:val="24"/>
          <w:szCs w:val="24"/>
        </w:rPr>
      </w:pPr>
    </w:p>
    <w:p w14:paraId="2A1314ED" w14:textId="14D53F15" w:rsidR="008E3F72" w:rsidRDefault="008E3F72" w:rsidP="005816E9">
      <w:pPr>
        <w:pStyle w:val="Heading5"/>
        <w:widowControl/>
        <w:numPr>
          <w:ilvl w:val="0"/>
          <w:numId w:val="17"/>
        </w:numPr>
        <w:kinsoku w:val="0"/>
        <w:overflowPunct w:val="0"/>
        <w:ind w:left="0" w:firstLine="0"/>
        <w:jc w:val="both"/>
        <w:rPr>
          <w:rFonts w:ascii="Times New Roman" w:hAnsi="Times New Roman" w:cs="Times New Roman"/>
          <w:noProof/>
          <w:color w:val="0D0D0D"/>
          <w:sz w:val="24"/>
        </w:rPr>
      </w:pPr>
      <w:r w:rsidRPr="00F35F4D">
        <w:rPr>
          <w:rFonts w:ascii="Times New Roman" w:hAnsi="Times New Roman" w:cs="Times New Roman"/>
          <w:noProof/>
          <w:color w:val="0D0D0D"/>
          <w:sz w:val="24"/>
        </w:rPr>
        <w:t>kategorijas paņēmieni</w:t>
      </w:r>
    </w:p>
    <w:p w14:paraId="5E6CF3E3" w14:textId="77777777" w:rsidR="00C37ADD" w:rsidRPr="00C37ADD" w:rsidRDefault="00C37ADD" w:rsidP="00C37ADD">
      <w:pPr>
        <w:pStyle w:val="ListParagraph"/>
        <w:ind w:left="720"/>
      </w:pPr>
    </w:p>
    <w:p w14:paraId="39167FD8" w14:textId="015E4FA7" w:rsidR="008E3F72"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C37ADD">
        <w:rPr>
          <w:sz w:val="24"/>
          <w:szCs w:val="24"/>
        </w:rPr>
        <w:t xml:space="preserve">Nīderlandē ir pārbaudīti </w:t>
      </w:r>
      <w:r w:rsidRPr="00C37ADD">
        <w:rPr>
          <w:i/>
          <w:sz w:val="24"/>
          <w:szCs w:val="24"/>
        </w:rPr>
        <w:t>dažādi uzlaboti grīdu veidi</w:t>
      </w:r>
      <w:r w:rsidRPr="00C37ADD">
        <w:rPr>
          <w:sz w:val="24"/>
          <w:szCs w:val="24"/>
        </w:rPr>
        <w:t>, kam pamatā ir redeles vai vienlaidu profilēti betona elementi.</w:t>
      </w:r>
      <w:r w:rsidRPr="00C37ADD">
        <w:rPr>
          <w:noProof/>
          <w:sz w:val="24"/>
          <w:szCs w:val="24"/>
        </w:rPr>
        <w:t xml:space="preserve"> Šie tehniskie risinājumi ļauj vienlaicīgi samazināt emisiju </w:t>
      </w:r>
      <w:r w:rsidR="00B53D2E">
        <w:rPr>
          <w:noProof/>
          <w:sz w:val="24"/>
          <w:szCs w:val="24"/>
        </w:rPr>
        <w:t>no grīdas (lielāka urīna notece</w:t>
      </w:r>
      <w:r w:rsidRPr="00C37ADD">
        <w:rPr>
          <w:noProof/>
          <w:sz w:val="24"/>
          <w:szCs w:val="24"/>
        </w:rPr>
        <w:t xml:space="preserve">) un zemgrīdas krātuves (mazāka gaisa apmaiņa, ko nodrošina gumijas, kas pārsedz spraugas grīdā). Emisijas </w:t>
      </w:r>
      <w:r w:rsidR="00B53D2E">
        <w:rPr>
          <w:noProof/>
          <w:sz w:val="24"/>
          <w:szCs w:val="24"/>
        </w:rPr>
        <w:t>sa</w:t>
      </w:r>
      <w:r w:rsidRPr="00C37ADD">
        <w:rPr>
          <w:noProof/>
          <w:sz w:val="24"/>
          <w:szCs w:val="24"/>
        </w:rPr>
        <w:t>mazināšanas efektivitāte ir atkarīga no sistēmas konkrētajiem tehniskajiem parametriem. Tāpēc šo pasākumu uzskata par 2. kategorijas pasākumu, un tas nav iekļauts 6. tabulā.</w:t>
      </w:r>
    </w:p>
    <w:p w14:paraId="5D09EAAE" w14:textId="77777777" w:rsidR="00C37ADD" w:rsidRPr="00C37ADD" w:rsidRDefault="00C37ADD" w:rsidP="00C37ADD">
      <w:pPr>
        <w:pStyle w:val="BodyText"/>
        <w:widowControl/>
        <w:tabs>
          <w:tab w:val="left" w:pos="861"/>
        </w:tabs>
        <w:kinsoku w:val="0"/>
        <w:overflowPunct w:val="0"/>
        <w:spacing w:before="0"/>
        <w:ind w:left="0"/>
        <w:jc w:val="both"/>
        <w:rPr>
          <w:noProof/>
          <w:sz w:val="24"/>
          <w:szCs w:val="24"/>
        </w:rPr>
      </w:pPr>
    </w:p>
    <w:p w14:paraId="2F3360B4" w14:textId="107EC7A6" w:rsidR="008E3F72"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C37ADD">
        <w:rPr>
          <w:sz w:val="24"/>
          <w:szCs w:val="24"/>
        </w:rPr>
        <w:t xml:space="preserve">NH3 emisiju var ietekmēt dzīvnieku novietnēs esošais </w:t>
      </w:r>
      <w:r w:rsidRPr="00C37ADD">
        <w:rPr>
          <w:i/>
          <w:sz w:val="24"/>
          <w:szCs w:val="24"/>
        </w:rPr>
        <w:t>pakaišu materiāls</w:t>
      </w:r>
      <w:r w:rsidRPr="00C37ADD">
        <w:rPr>
          <w:sz w:val="24"/>
          <w:szCs w:val="24"/>
        </w:rPr>
        <w:t>.</w:t>
      </w:r>
      <w:r w:rsidRPr="00C37ADD">
        <w:rPr>
          <w:noProof/>
          <w:sz w:val="24"/>
          <w:szCs w:val="24"/>
        </w:rPr>
        <w:t xml:space="preserve"> Nosakot NH3 emisiju no kūts grīdas piensaimniecībā, pakaišu materiāla fiziskie parametri (spēja absorbēt urīnu, beramā materiāla blīvums) ir svarīgāki par tā ķīmiskajiem parametriem (pH, katjonu apmaiņas spēja, attiecība starp oglekli un slāpekli) (</w:t>
      </w:r>
      <w:r w:rsidRPr="00C37ADD">
        <w:rPr>
          <w:i/>
          <w:noProof/>
          <w:sz w:val="24"/>
          <w:szCs w:val="24"/>
        </w:rPr>
        <w:t>Misselbrook, Powell,</w:t>
      </w:r>
      <w:r w:rsidRPr="00C37ADD">
        <w:rPr>
          <w:noProof/>
          <w:sz w:val="24"/>
          <w:szCs w:val="24"/>
        </w:rPr>
        <w:t xml:space="preserve"> 2005; </w:t>
      </w:r>
      <w:r w:rsidRPr="00C37ADD">
        <w:rPr>
          <w:i/>
          <w:noProof/>
          <w:sz w:val="24"/>
          <w:szCs w:val="24"/>
        </w:rPr>
        <w:t>Powell, Misselbrook, Casler</w:t>
      </w:r>
      <w:r w:rsidRPr="00C37ADD">
        <w:rPr>
          <w:noProof/>
          <w:sz w:val="24"/>
          <w:szCs w:val="24"/>
        </w:rPr>
        <w:t xml:space="preserve">, 2008; </w:t>
      </w:r>
      <w:r w:rsidRPr="00C37ADD">
        <w:rPr>
          <w:i/>
          <w:noProof/>
          <w:sz w:val="24"/>
          <w:szCs w:val="24"/>
        </w:rPr>
        <w:t>Gillespy et al.</w:t>
      </w:r>
      <w:r w:rsidRPr="00C37ADD">
        <w:rPr>
          <w:noProof/>
          <w:sz w:val="24"/>
          <w:szCs w:val="24"/>
        </w:rPr>
        <w:t>, 2009). Tomēr pakaišu materiāla ietekmi uz emisiju no konkrētām sistēmām ir vēl papildus jāizvērtē, ņemot</w:t>
      </w:r>
      <w:r w:rsidR="00B53D2E">
        <w:rPr>
          <w:noProof/>
          <w:sz w:val="24"/>
          <w:szCs w:val="24"/>
        </w:rPr>
        <w:t xml:space="preserve"> vērā visu kūtsmēslu apsaimniekošanas</w:t>
      </w:r>
      <w:r w:rsidRPr="00C37ADD">
        <w:rPr>
          <w:noProof/>
          <w:sz w:val="24"/>
          <w:szCs w:val="24"/>
        </w:rPr>
        <w:t xml:space="preserve"> ķēdi.</w:t>
      </w:r>
    </w:p>
    <w:p w14:paraId="607CEC93" w14:textId="77777777" w:rsidR="00C37ADD" w:rsidRPr="00C37ADD" w:rsidRDefault="00C37ADD" w:rsidP="00C37ADD">
      <w:pPr>
        <w:pStyle w:val="BodyText"/>
        <w:widowControl/>
        <w:tabs>
          <w:tab w:val="left" w:pos="861"/>
        </w:tabs>
        <w:kinsoku w:val="0"/>
        <w:overflowPunct w:val="0"/>
        <w:spacing w:before="0"/>
        <w:ind w:left="0"/>
        <w:jc w:val="both"/>
        <w:rPr>
          <w:noProof/>
          <w:sz w:val="24"/>
          <w:szCs w:val="24"/>
        </w:rPr>
      </w:pPr>
    </w:p>
    <w:p w14:paraId="6111AE0F" w14:textId="77777777" w:rsidR="008E3F72" w:rsidRPr="00C37AD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C37ADD">
        <w:rPr>
          <w:sz w:val="24"/>
          <w:szCs w:val="24"/>
        </w:rPr>
        <w:t xml:space="preserve">Kaut arī </w:t>
      </w:r>
      <w:r w:rsidRPr="00C37ADD">
        <w:rPr>
          <w:i/>
          <w:sz w:val="24"/>
          <w:szCs w:val="24"/>
        </w:rPr>
        <w:t>ķīmiskie un skābes skruberi</w:t>
      </w:r>
      <w:r w:rsidRPr="00C37ADD">
        <w:rPr>
          <w:sz w:val="24"/>
          <w:szCs w:val="24"/>
        </w:rPr>
        <w:t xml:space="preserve"> </w:t>
      </w:r>
      <w:r w:rsidRPr="00C37ADD">
        <w:rPr>
          <w:i/>
          <w:sz w:val="24"/>
          <w:szCs w:val="24"/>
        </w:rPr>
        <w:t>gaisam</w:t>
      </w:r>
      <w:r w:rsidRPr="00C37ADD">
        <w:rPr>
          <w:sz w:val="24"/>
          <w:szCs w:val="24"/>
        </w:rPr>
        <w:t xml:space="preserve"> efektīvi samazina NH3 emisiju no cūku kūtīm ar piespiedu ventilāciju, tos parasti nevar izmantot liellopu novietnēs, jo EEK reģionā tajās parasti ir dabiskā ventilācija.</w:t>
      </w:r>
      <w:r w:rsidRPr="00C37ADD">
        <w:rPr>
          <w:noProof/>
          <w:sz w:val="24"/>
          <w:szCs w:val="24"/>
        </w:rPr>
        <w:t xml:space="preserve"> Par skruberu izmantošanu liellopu novietnēs ir arī maz datu, tāpēc to pašlaik uzskata par 2. kategorijas paņēmienu (</w:t>
      </w:r>
      <w:r w:rsidRPr="00C37ADD">
        <w:rPr>
          <w:i/>
          <w:noProof/>
          <w:sz w:val="24"/>
          <w:szCs w:val="24"/>
        </w:rPr>
        <w:t>Ellen et al.</w:t>
      </w:r>
      <w:r w:rsidRPr="00C37ADD">
        <w:rPr>
          <w:noProof/>
          <w:sz w:val="24"/>
          <w:szCs w:val="24"/>
        </w:rPr>
        <w:t>, 2008).</w:t>
      </w:r>
    </w:p>
    <w:p w14:paraId="7E4F5907" w14:textId="77777777" w:rsidR="008E3F72" w:rsidRPr="00C37ADD" w:rsidRDefault="008E3F72" w:rsidP="008E3F72">
      <w:pPr>
        <w:pStyle w:val="BodyText"/>
        <w:widowControl/>
        <w:tabs>
          <w:tab w:val="left" w:pos="861"/>
        </w:tabs>
        <w:kinsoku w:val="0"/>
        <w:overflowPunct w:val="0"/>
        <w:spacing w:before="0"/>
        <w:ind w:left="0"/>
        <w:jc w:val="both"/>
        <w:rPr>
          <w:noProof/>
          <w:sz w:val="24"/>
          <w:szCs w:val="24"/>
        </w:rPr>
      </w:pPr>
    </w:p>
    <w:p w14:paraId="45174ABE" w14:textId="77777777" w:rsidR="008E3F72" w:rsidRPr="00C37ADD" w:rsidRDefault="008E3F72" w:rsidP="008E3F72">
      <w:pPr>
        <w:pStyle w:val="Heading5"/>
        <w:widowControl/>
        <w:kinsoku w:val="0"/>
        <w:overflowPunct w:val="0"/>
        <w:ind w:left="0"/>
        <w:jc w:val="both"/>
        <w:rPr>
          <w:rFonts w:ascii="Times New Roman" w:hAnsi="Times New Roman" w:cs="Times New Roman"/>
          <w:noProof/>
          <w:color w:val="0D0D0D"/>
          <w:sz w:val="24"/>
          <w:szCs w:val="24"/>
        </w:rPr>
      </w:pPr>
      <w:r w:rsidRPr="00C37ADD">
        <w:rPr>
          <w:rFonts w:ascii="Times New Roman" w:hAnsi="Times New Roman" w:cs="Times New Roman"/>
          <w:noProof/>
          <w:color w:val="0D0D0D"/>
          <w:sz w:val="24"/>
          <w:szCs w:val="24"/>
        </w:rPr>
        <w:t>3. kategorijas paņēmieni</w:t>
      </w:r>
    </w:p>
    <w:p w14:paraId="299B35C3" w14:textId="77777777" w:rsidR="008E3F72" w:rsidRPr="00C37ADD" w:rsidRDefault="008E3F72" w:rsidP="008E3F72">
      <w:pPr>
        <w:rPr>
          <w:noProof/>
        </w:rPr>
      </w:pPr>
    </w:p>
    <w:p w14:paraId="426A5268" w14:textId="77777777"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C37ADD">
        <w:rPr>
          <w:i/>
          <w:sz w:val="24"/>
          <w:szCs w:val="24"/>
        </w:rPr>
        <w:t>Grīdas tīrīšana ar skrāpjiem un skalošanu</w:t>
      </w:r>
      <w:r w:rsidRPr="00C37ADD">
        <w:rPr>
          <w:noProof/>
          <w:sz w:val="24"/>
          <w:szCs w:val="24"/>
        </w:rPr>
        <w:t xml:space="preserve"> Ir izmēģinātas vairākas sistēmas grīdu regulārai tīrīšanai un šķidro kūtsmēslu nogādāšanai uz slēgtu krātuvi ārpus ēkas. Tās paredz noskalošanu ar ūdeni, skābi, atšķaidītiem vai mehāniski atdalītiem šķidrajiem kūtsmēsliem vai nokasīšanu ar vai bez laistīšanas ar ūdeni</w:t>
      </w:r>
      <w:r w:rsidRPr="00F35F4D">
        <w:rPr>
          <w:noProof/>
          <w:sz w:val="24"/>
        </w:rPr>
        <w:t>. Kopumā ir apstiprinājies, ka šīs sistēmas ir neefektīvas vai arī to ievērošana ir pārāk sarežģīta. Ja grīdas ir gludas un/vai slīpas, lai tas varētu vieglāk nokasīt un noskalot, var vieglāk paslīdēt, kas ļoti kaitē liellopu veselībai. Tāpēc šīs sistēmas uzskata par 3. kategorijas paņēmieniem.</w:t>
      </w:r>
    </w:p>
    <w:p w14:paraId="03E82E16" w14:textId="77777777" w:rsidR="008E3F72" w:rsidRPr="00F35F4D" w:rsidRDefault="008E3F72" w:rsidP="008E3F72">
      <w:pPr>
        <w:pStyle w:val="BodyText"/>
        <w:widowControl/>
        <w:kinsoku w:val="0"/>
        <w:overflowPunct w:val="0"/>
        <w:spacing w:before="0"/>
        <w:ind w:left="0"/>
        <w:jc w:val="both"/>
        <w:rPr>
          <w:noProof/>
          <w:sz w:val="24"/>
          <w:szCs w:val="24"/>
        </w:rPr>
      </w:pPr>
    </w:p>
    <w:p w14:paraId="7D3CAE59"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6. tabula</w:t>
      </w:r>
    </w:p>
    <w:p w14:paraId="1BF97A8E" w14:textId="77777777" w:rsidR="008E3F72" w:rsidRPr="00F35F4D" w:rsidRDefault="008E3F72" w:rsidP="008E3F72">
      <w:pPr>
        <w:pStyle w:val="BodyText"/>
        <w:widowControl/>
        <w:kinsoku w:val="0"/>
        <w:overflowPunct w:val="0"/>
        <w:spacing w:before="0"/>
        <w:ind w:left="0"/>
        <w:jc w:val="both"/>
        <w:rPr>
          <w:noProof/>
          <w:sz w:val="24"/>
          <w:szCs w:val="24"/>
        </w:rPr>
      </w:pPr>
    </w:p>
    <w:p w14:paraId="4CDF548E" w14:textId="7473BC6A"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Amonjaka</w:t>
      </w:r>
      <w:r w:rsidR="00B53D2E">
        <w:rPr>
          <w:noProof/>
          <w:sz w:val="24"/>
        </w:rPr>
        <w:t xml:space="preserve"> emisija no dažādām liellopu turēšanas</w:t>
      </w:r>
      <w:r w:rsidRPr="00F35F4D">
        <w:rPr>
          <w:noProof/>
          <w:sz w:val="24"/>
        </w:rPr>
        <w:t xml:space="preserve"> sistēmām (atsauces sistēmas un 1. un 2. kategorijas paņēmieni)</w:t>
      </w:r>
    </w:p>
    <w:p w14:paraId="2EBBA38E"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4985"/>
        <w:gridCol w:w="1443"/>
        <w:gridCol w:w="1798"/>
      </w:tblGrid>
      <w:tr w:rsidR="008E3F72" w:rsidRPr="005816E9" w14:paraId="3D802F76" w14:textId="77777777" w:rsidTr="0010018A">
        <w:tc>
          <w:tcPr>
            <w:tcW w:w="3029" w:type="pct"/>
            <w:tcBorders>
              <w:top w:val="single" w:sz="4" w:space="0" w:color="000000"/>
              <w:left w:val="nil"/>
              <w:bottom w:val="single" w:sz="12" w:space="0" w:color="000000"/>
              <w:right w:val="nil"/>
            </w:tcBorders>
          </w:tcPr>
          <w:p w14:paraId="6F7E3B80" w14:textId="77777777" w:rsidR="008E3F72" w:rsidRPr="005816E9" w:rsidRDefault="008E3F72" w:rsidP="0010018A">
            <w:pPr>
              <w:pStyle w:val="TableParagraph"/>
              <w:widowControl/>
              <w:kinsoku w:val="0"/>
              <w:overflowPunct w:val="0"/>
              <w:jc w:val="both"/>
              <w:rPr>
                <w:i/>
                <w:iCs/>
                <w:noProof/>
                <w:sz w:val="20"/>
                <w:szCs w:val="20"/>
              </w:rPr>
            </w:pPr>
            <w:r w:rsidRPr="005816E9">
              <w:rPr>
                <w:i/>
                <w:noProof/>
                <w:sz w:val="20"/>
                <w:szCs w:val="20"/>
              </w:rPr>
              <w:t>Novietnes veids</w:t>
            </w:r>
          </w:p>
        </w:tc>
        <w:tc>
          <w:tcPr>
            <w:tcW w:w="877" w:type="pct"/>
            <w:tcBorders>
              <w:top w:val="single" w:sz="4" w:space="0" w:color="000000"/>
              <w:left w:val="nil"/>
              <w:bottom w:val="single" w:sz="12" w:space="0" w:color="000000"/>
              <w:right w:val="nil"/>
            </w:tcBorders>
          </w:tcPr>
          <w:p w14:paraId="58BD9130" w14:textId="77777777" w:rsidR="008E3F72" w:rsidRPr="005816E9" w:rsidRDefault="008E3F72" w:rsidP="0010018A">
            <w:pPr>
              <w:pStyle w:val="TableParagraph"/>
              <w:widowControl/>
              <w:kinsoku w:val="0"/>
              <w:overflowPunct w:val="0"/>
              <w:jc w:val="both"/>
              <w:rPr>
                <w:i/>
                <w:iCs/>
                <w:noProof/>
                <w:sz w:val="20"/>
                <w:szCs w:val="20"/>
              </w:rPr>
            </w:pPr>
            <w:r w:rsidRPr="005816E9">
              <w:rPr>
                <w:i/>
                <w:noProof/>
                <w:sz w:val="20"/>
                <w:szCs w:val="20"/>
              </w:rPr>
              <w:t>Samazinājums (%)</w:t>
            </w:r>
          </w:p>
        </w:tc>
        <w:tc>
          <w:tcPr>
            <w:tcW w:w="1093" w:type="pct"/>
            <w:tcBorders>
              <w:top w:val="single" w:sz="4" w:space="0" w:color="000000"/>
              <w:left w:val="nil"/>
              <w:bottom w:val="single" w:sz="12" w:space="0" w:color="000000"/>
              <w:right w:val="nil"/>
            </w:tcBorders>
          </w:tcPr>
          <w:p w14:paraId="7B77C9A8" w14:textId="77777777" w:rsidR="008E3F72" w:rsidRPr="005816E9" w:rsidRDefault="008E3F72" w:rsidP="0010018A">
            <w:pPr>
              <w:pStyle w:val="TableParagraph"/>
              <w:widowControl/>
              <w:kinsoku w:val="0"/>
              <w:overflowPunct w:val="0"/>
              <w:jc w:val="both"/>
              <w:rPr>
                <w:noProof/>
                <w:sz w:val="20"/>
                <w:szCs w:val="20"/>
              </w:rPr>
            </w:pPr>
            <w:r w:rsidRPr="005816E9">
              <w:rPr>
                <w:i/>
                <w:noProof/>
                <w:sz w:val="20"/>
                <w:szCs w:val="20"/>
              </w:rPr>
              <w:t xml:space="preserve">NH3 </w:t>
            </w:r>
            <w:r w:rsidRPr="005816E9">
              <w:rPr>
                <w:i/>
                <w:sz w:val="20"/>
                <w:szCs w:val="20"/>
              </w:rPr>
              <w:t>emisija</w:t>
            </w:r>
            <w:r w:rsidRPr="005816E9">
              <w:rPr>
                <w:sz w:val="20"/>
                <w:szCs w:val="20"/>
              </w:rPr>
              <w:t xml:space="preserve"> a) </w:t>
            </w:r>
            <w:r w:rsidRPr="005816E9">
              <w:rPr>
                <w:i/>
                <w:noProof/>
                <w:sz w:val="20"/>
                <w:szCs w:val="20"/>
              </w:rPr>
              <w:t>(kg uz lopvietu/</w:t>
            </w:r>
            <w:r w:rsidRPr="005816E9">
              <w:rPr>
                <w:i/>
                <w:sz w:val="20"/>
                <w:szCs w:val="20"/>
              </w:rPr>
              <w:t>gadā</w:t>
            </w:r>
            <w:r w:rsidRPr="005816E9">
              <w:rPr>
                <w:sz w:val="20"/>
                <w:szCs w:val="20"/>
              </w:rPr>
              <w:t>)</w:t>
            </w:r>
          </w:p>
        </w:tc>
      </w:tr>
      <w:tr w:rsidR="008E3F72" w:rsidRPr="005816E9" w14:paraId="0112B541" w14:textId="77777777" w:rsidTr="0010018A">
        <w:tc>
          <w:tcPr>
            <w:tcW w:w="3029" w:type="pct"/>
            <w:tcBorders>
              <w:top w:val="single" w:sz="12" w:space="0" w:color="000000"/>
              <w:left w:val="nil"/>
              <w:bottom w:val="nil"/>
              <w:right w:val="nil"/>
            </w:tcBorders>
          </w:tcPr>
          <w:p w14:paraId="79A99E67" w14:textId="71505469" w:rsidR="008E3F72" w:rsidRPr="005816E9" w:rsidRDefault="00B53D2E" w:rsidP="0010018A">
            <w:pPr>
              <w:pStyle w:val="TableParagraph"/>
              <w:widowControl/>
              <w:kinsoku w:val="0"/>
              <w:overflowPunct w:val="0"/>
              <w:jc w:val="both"/>
              <w:rPr>
                <w:noProof/>
                <w:sz w:val="20"/>
                <w:szCs w:val="20"/>
              </w:rPr>
            </w:pPr>
            <w:r>
              <w:rPr>
                <w:sz w:val="20"/>
                <w:szCs w:val="20"/>
              </w:rPr>
              <w:t>“</w:t>
            </w:r>
            <w:r w:rsidR="008E3F72" w:rsidRPr="005816E9">
              <w:rPr>
                <w:sz w:val="20"/>
                <w:szCs w:val="20"/>
              </w:rPr>
              <w:t>Boksi</w:t>
            </w:r>
            <w:r>
              <w:rPr>
                <w:sz w:val="20"/>
                <w:szCs w:val="20"/>
              </w:rPr>
              <w:t>”</w:t>
            </w:r>
            <w:r w:rsidR="008E3F72" w:rsidRPr="005816E9">
              <w:rPr>
                <w:sz w:val="20"/>
                <w:szCs w:val="20"/>
              </w:rPr>
              <w:t xml:space="preserve"> (atsauces sistēma)</w:t>
            </w:r>
          </w:p>
        </w:tc>
        <w:tc>
          <w:tcPr>
            <w:tcW w:w="877" w:type="pct"/>
            <w:tcBorders>
              <w:top w:val="single" w:sz="12" w:space="0" w:color="000000"/>
              <w:left w:val="nil"/>
              <w:bottom w:val="nil"/>
              <w:right w:val="nil"/>
            </w:tcBorders>
          </w:tcPr>
          <w:p w14:paraId="7B2EBBC4"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na</w:t>
            </w:r>
          </w:p>
        </w:tc>
        <w:tc>
          <w:tcPr>
            <w:tcW w:w="1093" w:type="pct"/>
            <w:tcBorders>
              <w:top w:val="single" w:sz="12" w:space="0" w:color="000000"/>
              <w:left w:val="nil"/>
              <w:bottom w:val="nil"/>
              <w:right w:val="nil"/>
            </w:tcBorders>
          </w:tcPr>
          <w:p w14:paraId="4AE65333"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12,0 b)</w:t>
            </w:r>
          </w:p>
        </w:tc>
      </w:tr>
      <w:tr w:rsidR="008E3F72" w:rsidRPr="005816E9" w14:paraId="2AC048F5" w14:textId="77777777" w:rsidTr="0010018A">
        <w:tc>
          <w:tcPr>
            <w:tcW w:w="3029" w:type="pct"/>
            <w:tcBorders>
              <w:top w:val="nil"/>
              <w:left w:val="nil"/>
              <w:bottom w:val="nil"/>
              <w:right w:val="nil"/>
            </w:tcBorders>
          </w:tcPr>
          <w:p w14:paraId="45C03D67" w14:textId="59C50536" w:rsidR="008E3F72" w:rsidRPr="005816E9" w:rsidRDefault="00B53D2E" w:rsidP="0010018A">
            <w:pPr>
              <w:pStyle w:val="TableParagraph"/>
              <w:widowControl/>
              <w:kinsoku w:val="0"/>
              <w:overflowPunct w:val="0"/>
              <w:jc w:val="both"/>
              <w:rPr>
                <w:noProof/>
                <w:sz w:val="20"/>
                <w:szCs w:val="20"/>
              </w:rPr>
            </w:pPr>
            <w:r>
              <w:rPr>
                <w:sz w:val="20"/>
                <w:szCs w:val="20"/>
              </w:rPr>
              <w:t>P</w:t>
            </w:r>
            <w:r w:rsidR="008E3F72" w:rsidRPr="005816E9">
              <w:rPr>
                <w:sz w:val="20"/>
                <w:szCs w:val="20"/>
              </w:rPr>
              <w:t>iesietā</w:t>
            </w:r>
            <w:r>
              <w:rPr>
                <w:sz w:val="20"/>
                <w:szCs w:val="20"/>
              </w:rPr>
              <w:t xml:space="preserve"> turēšana</w:t>
            </w:r>
            <w:r w:rsidR="008E3F72" w:rsidRPr="005816E9">
              <w:rPr>
                <w:sz w:val="20"/>
                <w:szCs w:val="20"/>
              </w:rPr>
              <w:t xml:space="preserve"> stāvoklī (tradicionālā atsauces sistēma)</w:t>
            </w:r>
          </w:p>
        </w:tc>
        <w:tc>
          <w:tcPr>
            <w:tcW w:w="877" w:type="pct"/>
            <w:tcBorders>
              <w:top w:val="nil"/>
              <w:left w:val="nil"/>
              <w:bottom w:val="nil"/>
              <w:right w:val="nil"/>
            </w:tcBorders>
          </w:tcPr>
          <w:p w14:paraId="7B007A7F"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na</w:t>
            </w:r>
          </w:p>
        </w:tc>
        <w:tc>
          <w:tcPr>
            <w:tcW w:w="1093" w:type="pct"/>
            <w:tcBorders>
              <w:top w:val="nil"/>
              <w:left w:val="nil"/>
              <w:bottom w:val="nil"/>
              <w:right w:val="nil"/>
            </w:tcBorders>
          </w:tcPr>
          <w:p w14:paraId="5C685CE3"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4,8</w:t>
            </w:r>
          </w:p>
        </w:tc>
      </w:tr>
      <w:tr w:rsidR="008E3F72" w:rsidRPr="005816E9" w14:paraId="2EA735BD" w14:textId="77777777" w:rsidTr="0010018A">
        <w:tc>
          <w:tcPr>
            <w:tcW w:w="3029" w:type="pct"/>
            <w:tcBorders>
              <w:top w:val="nil"/>
              <w:left w:val="nil"/>
              <w:bottom w:val="nil"/>
              <w:right w:val="nil"/>
            </w:tcBorders>
          </w:tcPr>
          <w:p w14:paraId="2DBBA656"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Rievota grīda (1. kat.)</w:t>
            </w:r>
          </w:p>
        </w:tc>
        <w:tc>
          <w:tcPr>
            <w:tcW w:w="877" w:type="pct"/>
            <w:tcBorders>
              <w:top w:val="nil"/>
              <w:left w:val="nil"/>
              <w:bottom w:val="nil"/>
              <w:right w:val="nil"/>
            </w:tcBorders>
          </w:tcPr>
          <w:p w14:paraId="12E90816"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25–46</w:t>
            </w:r>
          </w:p>
        </w:tc>
        <w:tc>
          <w:tcPr>
            <w:tcW w:w="1093" w:type="pct"/>
            <w:tcBorders>
              <w:top w:val="nil"/>
              <w:left w:val="nil"/>
              <w:bottom w:val="nil"/>
              <w:right w:val="nil"/>
            </w:tcBorders>
          </w:tcPr>
          <w:p w14:paraId="10E7FB7A"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9,0</w:t>
            </w:r>
          </w:p>
        </w:tc>
      </w:tr>
      <w:tr w:rsidR="008E3F72" w:rsidRPr="005816E9" w14:paraId="2041271F" w14:textId="77777777" w:rsidTr="0010018A">
        <w:tc>
          <w:tcPr>
            <w:tcW w:w="3029" w:type="pct"/>
            <w:tcBorders>
              <w:top w:val="nil"/>
              <w:left w:val="nil"/>
              <w:bottom w:val="nil"/>
              <w:right w:val="nil"/>
            </w:tcBorders>
          </w:tcPr>
          <w:p w14:paraId="5FC552E6"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Optimāls kūts mikroklimats ar jumta izolāciju (1. kat.)</w:t>
            </w:r>
          </w:p>
        </w:tc>
        <w:tc>
          <w:tcPr>
            <w:tcW w:w="877" w:type="pct"/>
            <w:tcBorders>
              <w:top w:val="nil"/>
              <w:left w:val="nil"/>
              <w:bottom w:val="nil"/>
              <w:right w:val="nil"/>
            </w:tcBorders>
          </w:tcPr>
          <w:p w14:paraId="300A2715"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20</w:t>
            </w:r>
          </w:p>
        </w:tc>
        <w:tc>
          <w:tcPr>
            <w:tcW w:w="1093" w:type="pct"/>
            <w:tcBorders>
              <w:top w:val="nil"/>
              <w:left w:val="nil"/>
              <w:bottom w:val="nil"/>
              <w:right w:val="nil"/>
            </w:tcBorders>
          </w:tcPr>
          <w:p w14:paraId="108A2F31"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9,6</w:t>
            </w:r>
          </w:p>
        </w:tc>
      </w:tr>
      <w:tr w:rsidR="008E3F72" w:rsidRPr="005816E9" w14:paraId="748C6195" w14:textId="77777777" w:rsidTr="0010018A">
        <w:tc>
          <w:tcPr>
            <w:tcW w:w="3029" w:type="pct"/>
            <w:tcBorders>
              <w:top w:val="nil"/>
              <w:left w:val="nil"/>
              <w:bottom w:val="nil"/>
              <w:right w:val="nil"/>
            </w:tcBorders>
          </w:tcPr>
          <w:p w14:paraId="7E868C33"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lastRenderedPageBreak/>
              <w:t>Ķīmiskie gaisa skruberi (tikai sistēmās ar piespiedu ventilāciju) (2. kat.)</w:t>
            </w:r>
          </w:p>
        </w:tc>
        <w:tc>
          <w:tcPr>
            <w:tcW w:w="877" w:type="pct"/>
            <w:tcBorders>
              <w:top w:val="nil"/>
              <w:left w:val="nil"/>
              <w:bottom w:val="nil"/>
              <w:right w:val="nil"/>
            </w:tcBorders>
          </w:tcPr>
          <w:p w14:paraId="0ABD8CB9"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70–90</w:t>
            </w:r>
          </w:p>
        </w:tc>
        <w:tc>
          <w:tcPr>
            <w:tcW w:w="1093" w:type="pct"/>
            <w:tcBorders>
              <w:top w:val="nil"/>
              <w:left w:val="nil"/>
              <w:bottom w:val="nil"/>
              <w:right w:val="nil"/>
            </w:tcBorders>
          </w:tcPr>
          <w:p w14:paraId="24CC42FD" w14:textId="77777777" w:rsidR="008E3F72" w:rsidRPr="005816E9" w:rsidRDefault="008E3F72" w:rsidP="0010018A">
            <w:pPr>
              <w:pStyle w:val="TableParagraph"/>
              <w:widowControl/>
              <w:kinsoku w:val="0"/>
              <w:overflowPunct w:val="0"/>
              <w:jc w:val="both"/>
              <w:rPr>
                <w:b/>
                <w:bCs/>
                <w:noProof/>
                <w:sz w:val="20"/>
                <w:szCs w:val="20"/>
              </w:rPr>
            </w:pPr>
          </w:p>
          <w:p w14:paraId="4B32BD13"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1,2</w:t>
            </w:r>
          </w:p>
        </w:tc>
      </w:tr>
      <w:tr w:rsidR="008E3F72" w:rsidRPr="005816E9" w14:paraId="6B964598" w14:textId="77777777" w:rsidTr="0010018A">
        <w:tc>
          <w:tcPr>
            <w:tcW w:w="3029" w:type="pct"/>
            <w:tcBorders>
              <w:top w:val="nil"/>
              <w:left w:val="nil"/>
              <w:bottom w:val="nil"/>
              <w:right w:val="nil"/>
            </w:tcBorders>
          </w:tcPr>
          <w:p w14:paraId="48888F9C"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Ganīšana (12 stundas/24 stundas) (2. kat.), salīdzinājumā ar 1. atsauces situāciju</w:t>
            </w:r>
          </w:p>
        </w:tc>
        <w:tc>
          <w:tcPr>
            <w:tcW w:w="877" w:type="pct"/>
            <w:tcBorders>
              <w:top w:val="nil"/>
              <w:left w:val="nil"/>
              <w:bottom w:val="nil"/>
              <w:right w:val="nil"/>
            </w:tcBorders>
          </w:tcPr>
          <w:p w14:paraId="39FA1E87"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10</w:t>
            </w:r>
          </w:p>
        </w:tc>
        <w:tc>
          <w:tcPr>
            <w:tcW w:w="1093" w:type="pct"/>
            <w:tcBorders>
              <w:top w:val="nil"/>
              <w:left w:val="nil"/>
              <w:bottom w:val="nil"/>
              <w:right w:val="nil"/>
            </w:tcBorders>
          </w:tcPr>
          <w:p w14:paraId="4B71E620"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10,8</w:t>
            </w:r>
            <w:r w:rsidRPr="005816E9">
              <w:rPr>
                <w:i/>
                <w:noProof/>
                <w:sz w:val="20"/>
                <w:szCs w:val="20"/>
              </w:rPr>
              <w:t>d</w:t>
            </w:r>
          </w:p>
        </w:tc>
      </w:tr>
      <w:tr w:rsidR="008E3F72" w:rsidRPr="005816E9" w14:paraId="7B17AB04" w14:textId="77777777" w:rsidTr="0010018A">
        <w:tc>
          <w:tcPr>
            <w:tcW w:w="3029" w:type="pct"/>
            <w:tcBorders>
              <w:top w:val="nil"/>
              <w:left w:val="nil"/>
              <w:bottom w:val="nil"/>
              <w:right w:val="nil"/>
            </w:tcBorders>
          </w:tcPr>
          <w:p w14:paraId="7EF8CE9A"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Ganīšana (18 stundas/24 stundas) (1. kat.), salīdzinājumā ar 1. atsauces situāciju</w:t>
            </w:r>
          </w:p>
        </w:tc>
        <w:tc>
          <w:tcPr>
            <w:tcW w:w="877" w:type="pct"/>
            <w:tcBorders>
              <w:top w:val="nil"/>
              <w:left w:val="nil"/>
              <w:bottom w:val="nil"/>
              <w:right w:val="nil"/>
            </w:tcBorders>
          </w:tcPr>
          <w:p w14:paraId="2A1AE9D9"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30</w:t>
            </w:r>
          </w:p>
        </w:tc>
        <w:tc>
          <w:tcPr>
            <w:tcW w:w="1093" w:type="pct"/>
            <w:tcBorders>
              <w:top w:val="nil"/>
              <w:left w:val="nil"/>
              <w:bottom w:val="nil"/>
              <w:right w:val="nil"/>
            </w:tcBorders>
          </w:tcPr>
          <w:p w14:paraId="658A0611"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8,4</w:t>
            </w:r>
            <w:r w:rsidRPr="005816E9">
              <w:rPr>
                <w:i/>
                <w:noProof/>
                <w:sz w:val="20"/>
                <w:szCs w:val="20"/>
              </w:rPr>
              <w:t>d</w:t>
            </w:r>
          </w:p>
        </w:tc>
      </w:tr>
      <w:tr w:rsidR="008E3F72" w:rsidRPr="005816E9" w14:paraId="5ECA7222" w14:textId="77777777" w:rsidTr="0010018A">
        <w:tc>
          <w:tcPr>
            <w:tcW w:w="3029" w:type="pct"/>
            <w:tcBorders>
              <w:top w:val="nil"/>
              <w:left w:val="nil"/>
              <w:bottom w:val="single" w:sz="12" w:space="0" w:color="000000"/>
              <w:right w:val="nil"/>
            </w:tcBorders>
          </w:tcPr>
          <w:p w14:paraId="5608A76C"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Ganīšana (22 stundas/24 stundas) (1. kat.), salīdzinājumā ar 1. atsauces situāciju</w:t>
            </w:r>
          </w:p>
        </w:tc>
        <w:tc>
          <w:tcPr>
            <w:tcW w:w="877" w:type="pct"/>
            <w:tcBorders>
              <w:top w:val="nil"/>
              <w:left w:val="nil"/>
              <w:bottom w:val="single" w:sz="12" w:space="0" w:color="000000"/>
              <w:right w:val="nil"/>
            </w:tcBorders>
          </w:tcPr>
          <w:p w14:paraId="250BB486"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50</w:t>
            </w:r>
          </w:p>
        </w:tc>
        <w:tc>
          <w:tcPr>
            <w:tcW w:w="1093" w:type="pct"/>
            <w:tcBorders>
              <w:top w:val="nil"/>
              <w:left w:val="nil"/>
              <w:bottom w:val="single" w:sz="12" w:space="0" w:color="000000"/>
              <w:right w:val="nil"/>
            </w:tcBorders>
          </w:tcPr>
          <w:p w14:paraId="4D194DCC" w14:textId="77777777" w:rsidR="008E3F72" w:rsidRPr="005816E9" w:rsidRDefault="008E3F72" w:rsidP="0010018A">
            <w:pPr>
              <w:pStyle w:val="TableParagraph"/>
              <w:widowControl/>
              <w:kinsoku w:val="0"/>
              <w:overflowPunct w:val="0"/>
              <w:jc w:val="both"/>
              <w:rPr>
                <w:noProof/>
                <w:sz w:val="20"/>
                <w:szCs w:val="20"/>
              </w:rPr>
            </w:pPr>
            <w:r w:rsidRPr="005816E9">
              <w:rPr>
                <w:sz w:val="20"/>
                <w:szCs w:val="20"/>
              </w:rPr>
              <w:t>6.0</w:t>
            </w:r>
            <w:r w:rsidRPr="005816E9">
              <w:rPr>
                <w:i/>
                <w:noProof/>
                <w:sz w:val="20"/>
                <w:szCs w:val="20"/>
              </w:rPr>
              <w:t>d</w:t>
            </w:r>
          </w:p>
        </w:tc>
      </w:tr>
    </w:tbl>
    <w:p w14:paraId="17897931"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Saīsinājumi </w:t>
      </w:r>
      <w:r w:rsidRPr="00F35F4D">
        <w:rPr>
          <w:noProof/>
          <w:sz w:val="24"/>
        </w:rPr>
        <w:t>na = neattiecina</w:t>
      </w:r>
    </w:p>
    <w:p w14:paraId="0FFB036D" w14:textId="6815E1B3" w:rsidR="008E3F72" w:rsidRPr="00F35F4D" w:rsidRDefault="008E3F72" w:rsidP="008E3F72">
      <w:pPr>
        <w:pStyle w:val="BodyText"/>
        <w:widowControl/>
        <w:kinsoku w:val="0"/>
        <w:overflowPunct w:val="0"/>
        <w:spacing w:before="0"/>
        <w:ind w:left="0"/>
        <w:jc w:val="both"/>
        <w:rPr>
          <w:noProof/>
          <w:sz w:val="24"/>
          <w:szCs w:val="24"/>
        </w:rPr>
      </w:pPr>
      <w:r w:rsidRPr="00F35F4D">
        <w:t>a) Emisija, ja dzīvniekus</w:t>
      </w:r>
      <w:r w:rsidR="00B53D2E">
        <w:t xml:space="preserve"> visu laiku tur novietnēs</w:t>
      </w:r>
      <w:r w:rsidRPr="00F35F4D">
        <w:t>.</w:t>
      </w:r>
    </w:p>
    <w:p w14:paraId="2BBF3009" w14:textId="77777777" w:rsidR="008E3F72" w:rsidRPr="00F35F4D" w:rsidRDefault="008E3F72" w:rsidP="008E3F72">
      <w:pPr>
        <w:pStyle w:val="BodyText"/>
        <w:widowControl/>
        <w:kinsoku w:val="0"/>
        <w:overflowPunct w:val="0"/>
        <w:spacing w:before="0"/>
        <w:ind w:left="0"/>
        <w:jc w:val="both"/>
        <w:rPr>
          <w:noProof/>
          <w:sz w:val="24"/>
          <w:szCs w:val="24"/>
        </w:rPr>
      </w:pPr>
      <w:r w:rsidRPr="00F35F4D">
        <w:t>b) Paredzēta 4–4,5 m2 liela pastaigu platība uz liellopu un pastāvīga novietne.</w:t>
      </w:r>
    </w:p>
    <w:p w14:paraId="60A28F07" w14:textId="5CD14447" w:rsidR="008E3F72" w:rsidRPr="00F35F4D" w:rsidRDefault="00B53D2E" w:rsidP="008E3F72">
      <w:pPr>
        <w:pStyle w:val="BodyText"/>
        <w:widowControl/>
        <w:kinsoku w:val="0"/>
        <w:overflowPunct w:val="0"/>
        <w:spacing w:before="0"/>
        <w:ind w:left="0"/>
        <w:jc w:val="both"/>
        <w:rPr>
          <w:noProof/>
          <w:sz w:val="24"/>
          <w:szCs w:val="24"/>
        </w:rPr>
      </w:pPr>
      <w:r>
        <w:t>c) Piesietā turēšana</w:t>
      </w:r>
      <w:r w:rsidR="008E3F72" w:rsidRPr="00F35F4D">
        <w:t xml:space="preserve"> stāvoklī nav atbalstāma dzīvnieku labturības apsvērumu dēļ.</w:t>
      </w:r>
      <w:r w:rsidR="008E3F72" w:rsidRPr="00F35F4D">
        <w:rPr>
          <w:noProof/>
          <w:sz w:val="24"/>
        </w:rPr>
        <w:t xml:space="preserve"> Šīs sistēmas ir tradicionālās atsauces sistēmas, ko izmanto, lai emisijas uzskaitē tiktu ievērota nepārtrauktība.</w:t>
      </w:r>
    </w:p>
    <w:p w14:paraId="5755DD80" w14:textId="77777777" w:rsidR="008E3F72" w:rsidRPr="00F35F4D" w:rsidRDefault="008E3F72" w:rsidP="008E3F72">
      <w:pPr>
        <w:pStyle w:val="BodyText"/>
        <w:widowControl/>
        <w:kinsoku w:val="0"/>
        <w:overflowPunct w:val="0"/>
        <w:spacing w:before="0"/>
        <w:ind w:left="0"/>
        <w:jc w:val="both"/>
        <w:rPr>
          <w:noProof/>
          <w:sz w:val="24"/>
          <w:szCs w:val="24"/>
        </w:rPr>
      </w:pPr>
      <w:r w:rsidRPr="00F35F4D">
        <w:t>d) Šie skaitļi ir attiecināmi uz ganīšanu visas sezonas garumā (pieņem, ka tā ilgst 200 dienas).</w:t>
      </w:r>
      <w:r w:rsidRPr="00F35F4D">
        <w:rPr>
          <w:noProof/>
          <w:sz w:val="24"/>
        </w:rPr>
        <w:t xml:space="preserve"> Tie norāda</w:t>
      </w:r>
    </w:p>
    <w:p w14:paraId="141F6F2A" w14:textId="0C56132A"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emisijas relatīvo samazinājumu gadā salīdzinājumā ar atsauces sistēmu, kurā ganīšana nav paredzēta. Ja dzīvnieki atrodas ganībās nepilnu dienu, tad kūtī esošajām</w:t>
      </w:r>
      <w:r w:rsidR="00B53D2E">
        <w:rPr>
          <w:noProof/>
          <w:sz w:val="24"/>
        </w:rPr>
        <w:t xml:space="preserve"> kūts</w:t>
      </w:r>
      <w:r w:rsidRPr="00F35F4D">
        <w:rPr>
          <w:noProof/>
          <w:sz w:val="24"/>
        </w:rPr>
        <w:t xml:space="preserve"> virsmām vienmēr jābūt tīrām.</w:t>
      </w:r>
    </w:p>
    <w:p w14:paraId="14F854CF" w14:textId="77777777" w:rsidR="008E3F72" w:rsidRPr="00F35F4D" w:rsidRDefault="008E3F72" w:rsidP="008E3F72">
      <w:pPr>
        <w:pStyle w:val="BodyText"/>
        <w:widowControl/>
        <w:kinsoku w:val="0"/>
        <w:overflowPunct w:val="0"/>
        <w:spacing w:before="0"/>
        <w:ind w:left="0"/>
        <w:jc w:val="both"/>
        <w:rPr>
          <w:noProof/>
          <w:sz w:val="24"/>
          <w:szCs w:val="24"/>
        </w:rPr>
      </w:pPr>
    </w:p>
    <w:p w14:paraId="15DA45AB" w14:textId="77777777" w:rsidR="008E3F72" w:rsidRPr="00F35F4D" w:rsidRDefault="008E3F72" w:rsidP="008E3F72">
      <w:pPr>
        <w:pStyle w:val="BodyText"/>
        <w:widowControl/>
        <w:numPr>
          <w:ilvl w:val="0"/>
          <w:numId w:val="15"/>
        </w:numPr>
        <w:tabs>
          <w:tab w:val="left" w:pos="861"/>
        </w:tabs>
        <w:kinsoku w:val="0"/>
        <w:overflowPunct w:val="0"/>
        <w:spacing w:before="0"/>
        <w:ind w:left="0" w:firstLine="0"/>
        <w:jc w:val="both"/>
        <w:rPr>
          <w:b/>
          <w:bCs/>
          <w:noProof/>
          <w:color w:val="0D0D0D"/>
          <w:sz w:val="24"/>
          <w:szCs w:val="24"/>
        </w:rPr>
      </w:pPr>
      <w:r w:rsidRPr="00F35F4D">
        <w:rPr>
          <w:b/>
          <w:noProof/>
          <w:color w:val="0D0D0D"/>
          <w:sz w:val="24"/>
        </w:rPr>
        <w:t>Novietņu sistēmas cūkām</w:t>
      </w:r>
    </w:p>
    <w:p w14:paraId="71AF7AFF" w14:textId="77777777" w:rsidR="008E3F72" w:rsidRPr="00F35F4D" w:rsidRDefault="008E3F72" w:rsidP="008E3F72">
      <w:pPr>
        <w:pStyle w:val="BodyText"/>
        <w:widowControl/>
        <w:tabs>
          <w:tab w:val="left" w:pos="861"/>
        </w:tabs>
        <w:kinsoku w:val="0"/>
        <w:overflowPunct w:val="0"/>
        <w:spacing w:before="0"/>
        <w:ind w:left="0"/>
        <w:jc w:val="both"/>
        <w:rPr>
          <w:b/>
          <w:bCs/>
          <w:noProof/>
          <w:color w:val="0D0D0D"/>
          <w:sz w:val="24"/>
          <w:szCs w:val="24"/>
        </w:rPr>
      </w:pPr>
    </w:p>
    <w:p w14:paraId="740E8C95" w14:textId="77777777"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i/>
          <w:noProof/>
          <w:sz w:val="24"/>
        </w:rPr>
        <w:t xml:space="preserve">Atsauces sistēma. </w:t>
      </w:r>
      <w:r w:rsidRPr="00F35F4D">
        <w:rPr>
          <w:noProof/>
          <w:sz w:val="24"/>
        </w:rPr>
        <w:t>Par atsauci pieņem emisiju no cūku kūtīm, kurās visu grīdas laukumu aizņem redeles un ir ierīkota zemgrīdas krātuve, kaut arī dažās valstīs šādas sistēmas ir aizliegtas dzīvnieku labturības apsvērumu dēļ.</w:t>
      </w:r>
    </w:p>
    <w:p w14:paraId="09D67CEB"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6D342B62" w14:textId="77777777"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Projekta risinājumi NH3 emisijas mazināšanai no cūku novietnēm ir sīki aprakstīti Eiropas Komisijas dokumentā (2003), un tajās izmanto šādus principus:</w:t>
      </w:r>
    </w:p>
    <w:p w14:paraId="04830251"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0571472A" w14:textId="3B051700" w:rsidR="008E3F72" w:rsidRPr="00F35F4D" w:rsidRDefault="008E3F72" w:rsidP="005816E9">
      <w:pPr>
        <w:pStyle w:val="BodyText"/>
        <w:widowControl/>
        <w:numPr>
          <w:ilvl w:val="1"/>
          <w:numId w:val="16"/>
        </w:numPr>
        <w:kinsoku w:val="0"/>
        <w:overflowPunct w:val="0"/>
        <w:spacing w:before="0"/>
        <w:ind w:left="0" w:firstLine="0"/>
        <w:jc w:val="both"/>
        <w:rPr>
          <w:noProof/>
          <w:sz w:val="24"/>
          <w:szCs w:val="24"/>
        </w:rPr>
      </w:pPr>
      <w:r w:rsidRPr="00F35F4D">
        <w:rPr>
          <w:noProof/>
          <w:sz w:val="24"/>
        </w:rPr>
        <w:t>samazina ar kūtsmēsliem klāto virsmu, piemēram, piemēsloto grīdu, šķidro kūtsmēslu virmas laukuma kanālos ar slīpām sienām. Grīdas, kurās redeles aizņem daļu no grīdas laukuma (~50 % platības), īpaši tad, ja redelēm ir metāla vai plastmasas pārklājums un tās nav pilnībā no betona, parasti rada mazāku NH3 emisiju, ļaujot visiem kūtsmēsliem ātri nonākt zemgrīdas krātuvē. Emisiju no vienlaidu grīdas platības samazina s</w:t>
      </w:r>
      <w:r w:rsidR="00B53D2E">
        <w:rPr>
          <w:noProof/>
          <w:sz w:val="24"/>
        </w:rPr>
        <w:t>līpas, gludas virsmas; ēdināšanas</w:t>
      </w:r>
      <w:r w:rsidRPr="00F35F4D">
        <w:rPr>
          <w:noProof/>
          <w:sz w:val="24"/>
        </w:rPr>
        <w:t xml:space="preserve"> un dzirdināšanas iekārtu pareizs novietojums, lai mazinātu to piemēslošanu, un pienācīgs mikroklimats ēkā;</w:t>
      </w:r>
    </w:p>
    <w:p w14:paraId="65C3D3C6" w14:textId="77777777" w:rsidR="008E3F72" w:rsidRPr="00F35F4D" w:rsidRDefault="008E3F72" w:rsidP="005816E9">
      <w:pPr>
        <w:pStyle w:val="BodyText"/>
        <w:widowControl/>
        <w:numPr>
          <w:ilvl w:val="1"/>
          <w:numId w:val="16"/>
        </w:numPr>
        <w:kinsoku w:val="0"/>
        <w:overflowPunct w:val="0"/>
        <w:spacing w:before="0"/>
        <w:ind w:left="0" w:firstLine="0"/>
        <w:jc w:val="both"/>
        <w:rPr>
          <w:noProof/>
          <w:sz w:val="24"/>
          <w:szCs w:val="24"/>
        </w:rPr>
      </w:pPr>
      <w:r w:rsidRPr="00F35F4D">
        <w:rPr>
          <w:noProof/>
          <w:sz w:val="24"/>
        </w:rPr>
        <w:t>bieži iztukšo zemgrīdas krātuves, šķidros kūtsmēslus pārvietojot uz ārēju krātuvi ar vakuumsistēmām vai uz gravitāciju balstītām iztukšošanas sistēmām vai arī skalojot ne retāk kā divas reizes nedēļā;</w:t>
      </w:r>
    </w:p>
    <w:p w14:paraId="24A031A4" w14:textId="77777777" w:rsidR="008E3F72" w:rsidRPr="00F35F4D" w:rsidRDefault="008E3F72" w:rsidP="005816E9">
      <w:pPr>
        <w:pStyle w:val="BodyText"/>
        <w:widowControl/>
        <w:numPr>
          <w:ilvl w:val="1"/>
          <w:numId w:val="16"/>
        </w:numPr>
        <w:kinsoku w:val="0"/>
        <w:overflowPunct w:val="0"/>
        <w:spacing w:before="0"/>
        <w:ind w:left="0" w:firstLine="0"/>
        <w:jc w:val="both"/>
        <w:rPr>
          <w:noProof/>
          <w:sz w:val="24"/>
          <w:szCs w:val="24"/>
        </w:rPr>
      </w:pPr>
      <w:r w:rsidRPr="00F35F4D">
        <w:rPr>
          <w:noProof/>
          <w:sz w:val="24"/>
        </w:rPr>
        <w:t>veic papildu apstrādi, piemēram, cieto/šķidro kūtsmēslu atdalīšanu;</w:t>
      </w:r>
    </w:p>
    <w:p w14:paraId="309D2AD5" w14:textId="05F12C4A" w:rsidR="008E3F72" w:rsidRPr="00F35F4D" w:rsidRDefault="008E3F72" w:rsidP="005816E9">
      <w:pPr>
        <w:pStyle w:val="BodyText"/>
        <w:widowControl/>
        <w:numPr>
          <w:ilvl w:val="1"/>
          <w:numId w:val="16"/>
        </w:numPr>
        <w:kinsoku w:val="0"/>
        <w:overflowPunct w:val="0"/>
        <w:spacing w:before="0"/>
        <w:ind w:left="0" w:firstLine="0"/>
        <w:jc w:val="both"/>
        <w:rPr>
          <w:noProof/>
          <w:sz w:val="24"/>
          <w:szCs w:val="24"/>
        </w:rPr>
      </w:pPr>
      <w:r w:rsidRPr="00F35F4D">
        <w:rPr>
          <w:noProof/>
          <w:sz w:val="24"/>
        </w:rPr>
        <w:t>nodrošina gruntsūdens cirkulāciju peldošos siltummaiņos, lai kūtsmēslu virsmas temperatūra zemgrī</w:t>
      </w:r>
      <w:r w:rsidR="00B53D2E">
        <w:rPr>
          <w:noProof/>
          <w:sz w:val="24"/>
        </w:rPr>
        <w:t>das krātuvē nepārsniegtu</w:t>
      </w:r>
      <w:r w:rsidRPr="00F35F4D">
        <w:rPr>
          <w:noProof/>
          <w:sz w:val="24"/>
        </w:rPr>
        <w:t xml:space="preserve"> 12°C. Ierobežojumus rada izmaksas un nepieciešamība pēc gruntsūdens avota pietiekamā attālumā no dzeramā ūdens ņemšanas vietas;</w:t>
      </w:r>
    </w:p>
    <w:p w14:paraId="18810772" w14:textId="77777777" w:rsidR="008E3F72" w:rsidRPr="00F35F4D" w:rsidRDefault="008E3F72" w:rsidP="005816E9">
      <w:pPr>
        <w:pStyle w:val="BodyText"/>
        <w:widowControl/>
        <w:numPr>
          <w:ilvl w:val="1"/>
          <w:numId w:val="16"/>
        </w:numPr>
        <w:kinsoku w:val="0"/>
        <w:overflowPunct w:val="0"/>
        <w:spacing w:before="0"/>
        <w:ind w:left="0" w:firstLine="0"/>
        <w:jc w:val="both"/>
        <w:rPr>
          <w:noProof/>
          <w:sz w:val="24"/>
          <w:szCs w:val="24"/>
        </w:rPr>
      </w:pPr>
      <w:r w:rsidRPr="00F35F4D">
        <w:rPr>
          <w:noProof/>
          <w:sz w:val="24"/>
        </w:rPr>
        <w:t xml:space="preserve"> pārveido kūtsmēslu ķīmiskās/fizikālās īpašības, piemēram, samazina pH līmeni;</w:t>
      </w:r>
    </w:p>
    <w:p w14:paraId="290760A1" w14:textId="77777777" w:rsidR="008E3F72" w:rsidRPr="00F35F4D" w:rsidRDefault="008E3F72" w:rsidP="005816E9">
      <w:pPr>
        <w:pStyle w:val="BodyText"/>
        <w:widowControl/>
        <w:numPr>
          <w:ilvl w:val="1"/>
          <w:numId w:val="16"/>
        </w:numPr>
        <w:kinsoku w:val="0"/>
        <w:overflowPunct w:val="0"/>
        <w:spacing w:before="0"/>
        <w:ind w:left="0" w:firstLine="0"/>
        <w:jc w:val="both"/>
        <w:rPr>
          <w:noProof/>
          <w:sz w:val="24"/>
          <w:szCs w:val="24"/>
        </w:rPr>
      </w:pPr>
      <w:r w:rsidRPr="00F35F4D">
        <w:rPr>
          <w:noProof/>
          <w:sz w:val="24"/>
        </w:rPr>
        <w:t>izmanto virsmas, kas ir gludas un viegli tīrāmas; (skatīt a) apakšpunktu);</w:t>
      </w:r>
    </w:p>
    <w:p w14:paraId="1B12CD84" w14:textId="77777777" w:rsidR="008E3F72" w:rsidRPr="00F35F4D" w:rsidRDefault="008E3F72" w:rsidP="005816E9">
      <w:pPr>
        <w:pStyle w:val="BodyText"/>
        <w:widowControl/>
        <w:numPr>
          <w:ilvl w:val="1"/>
          <w:numId w:val="16"/>
        </w:numPr>
        <w:kinsoku w:val="0"/>
        <w:overflowPunct w:val="0"/>
        <w:spacing w:before="0"/>
        <w:ind w:left="0" w:firstLine="0"/>
        <w:jc w:val="both"/>
        <w:rPr>
          <w:noProof/>
          <w:sz w:val="24"/>
          <w:szCs w:val="24"/>
        </w:rPr>
      </w:pPr>
      <w:r w:rsidRPr="00F35F4D">
        <w:rPr>
          <w:noProof/>
          <w:sz w:val="24"/>
        </w:rPr>
        <w:t>veic izplūdes gaisa tīrīšanu ar skābes skruberiem vai pilienu biofiltriem;</w:t>
      </w:r>
    </w:p>
    <w:p w14:paraId="3B63104E" w14:textId="77777777" w:rsidR="008E3F72" w:rsidRPr="00F35F4D" w:rsidRDefault="008E3F72" w:rsidP="005816E9">
      <w:pPr>
        <w:pStyle w:val="BodyText"/>
        <w:widowControl/>
        <w:numPr>
          <w:ilvl w:val="1"/>
          <w:numId w:val="16"/>
        </w:numPr>
        <w:kinsoku w:val="0"/>
        <w:overflowPunct w:val="0"/>
        <w:spacing w:before="0"/>
        <w:ind w:left="0" w:firstLine="0"/>
        <w:jc w:val="both"/>
        <w:rPr>
          <w:noProof/>
          <w:sz w:val="24"/>
          <w:szCs w:val="24"/>
        </w:rPr>
      </w:pPr>
      <w:r w:rsidRPr="00F35F4D">
        <w:rPr>
          <w:noProof/>
          <w:sz w:val="24"/>
        </w:rPr>
        <w:t>pazemina temperatūru un samazina gaisa apmaiņas ātrumu iekštelpās, ievērojot dzīvnieku labturības un ražošanas apsvērumus, īpaši ziemā;</w:t>
      </w:r>
    </w:p>
    <w:p w14:paraId="62754186" w14:textId="77777777" w:rsidR="008E3F72" w:rsidRPr="005816E9" w:rsidRDefault="008E3F72" w:rsidP="005816E9">
      <w:pPr>
        <w:pStyle w:val="BodyText"/>
        <w:widowControl/>
        <w:numPr>
          <w:ilvl w:val="1"/>
          <w:numId w:val="16"/>
        </w:numPr>
        <w:kinsoku w:val="0"/>
        <w:overflowPunct w:val="0"/>
        <w:spacing w:before="0"/>
        <w:ind w:left="0" w:firstLine="0"/>
        <w:jc w:val="both"/>
        <w:rPr>
          <w:noProof/>
          <w:sz w:val="24"/>
          <w:szCs w:val="24"/>
        </w:rPr>
      </w:pPr>
      <w:r w:rsidRPr="00F35F4D">
        <w:rPr>
          <w:noProof/>
          <w:sz w:val="24"/>
        </w:rPr>
        <w:t>samazina gaisa plūsmu virs kūtsmēsliem.</w:t>
      </w:r>
    </w:p>
    <w:p w14:paraId="570C84DC" w14:textId="77777777" w:rsidR="005816E9" w:rsidRPr="00F35F4D" w:rsidRDefault="005816E9" w:rsidP="005816E9">
      <w:pPr>
        <w:pStyle w:val="BodyText"/>
        <w:widowControl/>
        <w:kinsoku w:val="0"/>
        <w:overflowPunct w:val="0"/>
        <w:spacing w:before="0"/>
        <w:ind w:left="0"/>
        <w:jc w:val="both"/>
        <w:rPr>
          <w:noProof/>
          <w:sz w:val="24"/>
          <w:szCs w:val="24"/>
        </w:rPr>
      </w:pPr>
    </w:p>
    <w:p w14:paraId="475F8C91" w14:textId="77777777"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lastRenderedPageBreak/>
        <w:t>Pie noteikta redeles platuma kūtsmēsli sliktāk notek no betona redelēm nekā no redelēm ar tērauda vai plastmasas pārklājumu, un tāpēc NH3 emisija palielinās. Jāņem vērā, ka dažās valstīs tērauda redeles nav atļautas dzīvnieku labturības apsvērumu dēļ.</w:t>
      </w:r>
    </w:p>
    <w:p w14:paraId="61E2DB86"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37A07D2E" w14:textId="77777777"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Šo paņēmienu mijiedarbība, ir ņemta vērā, nosakot labākās pieejamās metodes (LPM) dažādiem novietņu risinājumiem. Piemēram, ja šķidro kūtsmēslu noskalošanu veic bieži (parasti vienu reizi no rīta un vienu reizi vakarā), izplatās nepatīkama smaka. Šķidro kūtsmēslu skalošana arī patērē enerģiju, ja vien to neveic ar manuāli darbināmām pasīvām sistēmām.</w:t>
      </w:r>
    </w:p>
    <w:p w14:paraId="1651DC51"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3F514B12" w14:textId="67A04719" w:rsidR="005816E9" w:rsidRPr="005816E9" w:rsidRDefault="008E3F72" w:rsidP="005816E9">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Domājams, ka cūku labturības apsvērumu dēļ salmus cūku novietnēs turpmāk izmantos vairāk. Salmi novietnēs kopā ar (automatizētas kontroles) dabisko gaisa apmaiņu ļauj dzīvniekiem pašiem regulēt savu temperatūru, mazāk izmantojot ventilāciju un apsildi un samazinot enerģijas patēriņu. Pakaišu sistēmās aizgalds dažreiz ir sadalīts platībā ar vienlaidu grīdas segumu, kurā ir pakaiši gulēšanai, un platībā ar redeļu grīdu, kas domāta mēsliem. Tomēr cūkas ne vienmēr izmanto šīs platības paredzētajiem mērķiem, atstājot pakaišos mēslus un izmantojot redeļu grīdas laukumu, lai atvēsinātos karstā laikā. Kopumā aizgaldu konstrukcijai jābūt tādai, kas nodrošina cūku vēlamo uzvedību saistībā ar defekāciju, lai tās pēc iespējas mazāk </w:t>
      </w:r>
      <w:r w:rsidRPr="005816E9">
        <w:rPr>
          <w:noProof/>
          <w:sz w:val="24"/>
          <w:szCs w:val="24"/>
        </w:rPr>
        <w:t>piemēslotu grīdas vienlaidu platību. Reģionos, kur klimats ir silts, to panākt ir grūtāk. Jāņem vērā, ka, vērtējot salmu izmantošanu kopumā, jārēķinās ar papildu izmaksām par salmiem un aizgaldu tīrīšanu; iespējamo emisijas palielināšanos no kūtsmēslu krātuvēm un salmiem kūtsmēslos, ko izmanto zemes mēslošanai, kā arī ar papildu guvumu no organiskajām vielām, kas nonāk augsnē.</w:t>
      </w:r>
    </w:p>
    <w:p w14:paraId="0AD46832" w14:textId="77777777" w:rsidR="005816E9" w:rsidRPr="005816E9" w:rsidRDefault="005816E9" w:rsidP="005816E9">
      <w:pPr>
        <w:pStyle w:val="BodyText"/>
        <w:widowControl/>
        <w:tabs>
          <w:tab w:val="left" w:pos="861"/>
        </w:tabs>
        <w:kinsoku w:val="0"/>
        <w:overflowPunct w:val="0"/>
        <w:spacing w:before="0"/>
        <w:ind w:left="0"/>
        <w:jc w:val="both"/>
        <w:rPr>
          <w:noProof/>
          <w:sz w:val="24"/>
          <w:szCs w:val="24"/>
        </w:rPr>
      </w:pPr>
    </w:p>
    <w:p w14:paraId="5E638072" w14:textId="17771B6D" w:rsidR="008E3F72" w:rsidRPr="005816E9" w:rsidRDefault="008E3F72" w:rsidP="00CD1311">
      <w:pPr>
        <w:pStyle w:val="BodyText"/>
        <w:widowControl/>
        <w:numPr>
          <w:ilvl w:val="0"/>
          <w:numId w:val="16"/>
        </w:numPr>
        <w:tabs>
          <w:tab w:val="left" w:pos="861"/>
        </w:tabs>
        <w:kinsoku w:val="0"/>
        <w:overflowPunct w:val="0"/>
        <w:spacing w:before="0"/>
        <w:ind w:left="0" w:firstLine="0"/>
        <w:jc w:val="both"/>
        <w:rPr>
          <w:noProof/>
          <w:sz w:val="24"/>
          <w:szCs w:val="24"/>
        </w:rPr>
      </w:pPr>
      <w:r w:rsidRPr="005816E9">
        <w:rPr>
          <w:i/>
          <w:noProof/>
          <w:sz w:val="24"/>
          <w:szCs w:val="24"/>
        </w:rPr>
        <w:t xml:space="preserve">Atsauces paņēmiens audzējamām/nobarojamām cūkām. </w:t>
      </w:r>
      <w:r w:rsidRPr="005816E9">
        <w:rPr>
          <w:noProof/>
          <w:sz w:val="24"/>
          <w:szCs w:val="24"/>
        </w:rPr>
        <w:t>Atsauces sistēma, ko parasti izmanto Eiropā, ir grīda, ko pilnībā klāj redeles, ar zemgrīdas krātuvi un mehānisko ventilāciju; emisija ir no 2,4 līdz</w:t>
      </w:r>
      <w:r w:rsidR="005816E9" w:rsidRPr="005816E9">
        <w:rPr>
          <w:noProof/>
          <w:sz w:val="24"/>
          <w:szCs w:val="24"/>
        </w:rPr>
        <w:t xml:space="preserve"> </w:t>
      </w:r>
      <w:r w:rsidR="00B53D2E">
        <w:rPr>
          <w:noProof/>
          <w:sz w:val="24"/>
          <w:szCs w:val="24"/>
        </w:rPr>
        <w:t>3,2 kg NH3 no vienas dzīvnieku vietas</w:t>
      </w:r>
      <w:r w:rsidRPr="005816E9">
        <w:rPr>
          <w:noProof/>
          <w:sz w:val="24"/>
          <w:szCs w:val="24"/>
        </w:rPr>
        <w:t xml:space="preserve"> gadā. Tā kā audzējamās/no</w:t>
      </w:r>
      <w:r w:rsidR="00B53D2E">
        <w:rPr>
          <w:noProof/>
          <w:sz w:val="24"/>
          <w:szCs w:val="24"/>
        </w:rPr>
        <w:t>barojamās cūkas vienmēr tur</w:t>
      </w:r>
      <w:r w:rsidRPr="005816E9">
        <w:rPr>
          <w:noProof/>
          <w:sz w:val="24"/>
          <w:szCs w:val="24"/>
        </w:rPr>
        <w:t xml:space="preserve"> grupās, sistēmas, ko izmanto sivēnmāšu turēšanai grupās, lielākoties var izmantot arī audzējamām cūkām.</w:t>
      </w:r>
    </w:p>
    <w:p w14:paraId="31C8F35B" w14:textId="77777777" w:rsidR="005816E9" w:rsidRPr="005816E9" w:rsidRDefault="005816E9" w:rsidP="005816E9">
      <w:pPr>
        <w:pStyle w:val="BodyText"/>
        <w:widowControl/>
        <w:tabs>
          <w:tab w:val="left" w:pos="861"/>
        </w:tabs>
        <w:kinsoku w:val="0"/>
        <w:overflowPunct w:val="0"/>
        <w:spacing w:before="0"/>
        <w:ind w:left="0"/>
        <w:jc w:val="both"/>
        <w:rPr>
          <w:noProof/>
          <w:sz w:val="24"/>
          <w:szCs w:val="24"/>
        </w:rPr>
      </w:pPr>
    </w:p>
    <w:p w14:paraId="2A4373D3" w14:textId="77777777"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5816E9">
        <w:rPr>
          <w:i/>
          <w:noProof/>
          <w:sz w:val="24"/>
          <w:szCs w:val="24"/>
        </w:rPr>
        <w:t xml:space="preserve">Atsauces paņēmiens sivēnmātēm pēc atnešanās. </w:t>
      </w:r>
      <w:r w:rsidRPr="005816E9">
        <w:rPr>
          <w:noProof/>
          <w:sz w:val="24"/>
          <w:szCs w:val="24"/>
        </w:rPr>
        <w:t>Atnesušās sivēnmātes Eiropā parasti tur sprostos ar tērauda vai plastmasas redeļu grīdu, zem kuras ir dziļa kūtsmēslu krātuve. Novietnēs sivēnmātes ir lielākoties iesprostotas, turpretim sivēni var brīvi pārvietoties. Visās novietnēs ir kontrolēta ventilācija, un sivēniem bieži vien ir paredzēts apsildīts laukums, kurā tie pavada pirmās dienas pēc atnešanās. Atšķirība starp to, vai redeles klāj visu grīdu vai tikai daļu no grīdas laukuma, ir mazāk būtiska sivēnmātēm pēc atnešanās nekā audzējamām cūkām, jo sivēnmāte ir iesprostota un defekācija galvenokārt notiek uz redeļu grīdas. Tāpēc, izvēloties paņēmienu emisijas samazināšanai, galvenā vērība tiek pievērsta mēslu krātuves variantiem.</w:t>
      </w:r>
    </w:p>
    <w:p w14:paraId="4A3FA525" w14:textId="77777777" w:rsidR="005816E9" w:rsidRPr="005816E9" w:rsidRDefault="005816E9" w:rsidP="005816E9">
      <w:pPr>
        <w:pStyle w:val="BodyText"/>
        <w:widowControl/>
        <w:tabs>
          <w:tab w:val="left" w:pos="861"/>
        </w:tabs>
        <w:kinsoku w:val="0"/>
        <w:overflowPunct w:val="0"/>
        <w:spacing w:before="0"/>
        <w:ind w:left="0"/>
        <w:jc w:val="both"/>
        <w:rPr>
          <w:noProof/>
          <w:sz w:val="24"/>
          <w:szCs w:val="24"/>
        </w:rPr>
      </w:pPr>
    </w:p>
    <w:p w14:paraId="78BF3A65" w14:textId="01046EF7"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5816E9">
        <w:rPr>
          <w:i/>
          <w:sz w:val="24"/>
          <w:szCs w:val="24"/>
        </w:rPr>
        <w:t>Atsauces paņēmiens aplecināmām cūkām un grūsnām sivēnmātēm.</w:t>
      </w:r>
      <w:r w:rsidRPr="005816E9">
        <w:rPr>
          <w:noProof/>
          <w:sz w:val="24"/>
          <w:szCs w:val="24"/>
        </w:rPr>
        <w:t xml:space="preserve"> Atsauces sistēma aplecināmu cūku u</w:t>
      </w:r>
      <w:r w:rsidR="00B53D2E">
        <w:rPr>
          <w:noProof/>
          <w:sz w:val="24"/>
          <w:szCs w:val="24"/>
        </w:rPr>
        <w:t>n grūsnu sivēnmāšu turēšanai</w:t>
      </w:r>
      <w:r w:rsidRPr="005816E9">
        <w:rPr>
          <w:noProof/>
          <w:sz w:val="24"/>
          <w:szCs w:val="24"/>
        </w:rPr>
        <w:t xml:space="preserve"> ir novietnes, kurās visu grīdas laukumu klāj redeles (betona redeles) un ierīkota dziļa zemgrīdas krātuve. Aplecināmas cūkas un grūsnas sivēnmātes tur vai nu pa vienai, vai grupās. Visā Eiropas Savienībā grupu novietnes ir obligāta prasība jaunu novietņu būves gadījumā</w:t>
      </w:r>
      <w:r w:rsidRPr="00F35F4D">
        <w:rPr>
          <w:noProof/>
          <w:sz w:val="24"/>
        </w:rPr>
        <w:t>, un ar 2013. gadu būs spēkā prasība par visu apleci</w:t>
      </w:r>
      <w:r w:rsidR="00B53D2E">
        <w:rPr>
          <w:noProof/>
          <w:sz w:val="24"/>
        </w:rPr>
        <w:t>nāmo un grūsno cūku turēšanu</w:t>
      </w:r>
      <w:r w:rsidRPr="00F35F4D">
        <w:rPr>
          <w:noProof/>
          <w:sz w:val="24"/>
        </w:rPr>
        <w:t xml:space="preserve"> grupās četru nedēļu laikā pēc apsēklošanas. Grupu novietn</w:t>
      </w:r>
      <w:r w:rsidR="00B53D2E">
        <w:rPr>
          <w:noProof/>
          <w:sz w:val="24"/>
        </w:rPr>
        <w:t>ēs ir vajadzīga īpaša ēdināšanas sistēma (piemēram, elektroniski sivēnmāšu ēdināšanas automāti</w:t>
      </w:r>
      <w:r w:rsidRPr="00F35F4D">
        <w:rPr>
          <w:noProof/>
          <w:sz w:val="24"/>
        </w:rPr>
        <w:t xml:space="preserve"> vai atvērti aizgaldi), un aizgalda plānojumam jāveicina, lai cūkas veiktu defekāciju un gulētu </w:t>
      </w:r>
      <w:r w:rsidRPr="005816E9">
        <w:rPr>
          <w:noProof/>
          <w:sz w:val="24"/>
          <w:szCs w:val="24"/>
        </w:rPr>
        <w:lastRenderedPageBreak/>
        <w:t>dažādās aizgalda daļās. Emisija no grupu novietnēm neatšķiras no novietnēm, kurās cūkas tiek turētas atsevišķi (</w:t>
      </w:r>
      <w:r w:rsidRPr="005816E9">
        <w:rPr>
          <w:i/>
          <w:noProof/>
          <w:sz w:val="24"/>
          <w:szCs w:val="24"/>
        </w:rPr>
        <w:t>Groenestein et al.</w:t>
      </w:r>
      <w:r w:rsidRPr="005816E9">
        <w:rPr>
          <w:noProof/>
          <w:sz w:val="24"/>
          <w:szCs w:val="24"/>
        </w:rPr>
        <w:t>, 2001), un tajās var izmantot līdzīgus emisijas samazināšanas paņēmienus.</w:t>
      </w:r>
    </w:p>
    <w:p w14:paraId="6617B356" w14:textId="77777777" w:rsidR="005816E9" w:rsidRPr="005816E9" w:rsidRDefault="005816E9" w:rsidP="005816E9">
      <w:pPr>
        <w:pStyle w:val="BodyText"/>
        <w:widowControl/>
        <w:tabs>
          <w:tab w:val="left" w:pos="861"/>
        </w:tabs>
        <w:kinsoku w:val="0"/>
        <w:overflowPunct w:val="0"/>
        <w:spacing w:before="0"/>
        <w:ind w:left="0"/>
        <w:jc w:val="both"/>
        <w:rPr>
          <w:noProof/>
          <w:sz w:val="24"/>
          <w:szCs w:val="24"/>
        </w:rPr>
      </w:pPr>
    </w:p>
    <w:p w14:paraId="5B301F3D" w14:textId="77777777" w:rsidR="008E3F72"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5816E9">
        <w:rPr>
          <w:i/>
          <w:sz w:val="24"/>
          <w:szCs w:val="24"/>
        </w:rPr>
        <w:t>Atsauces paņēmiens atšķirtiem sivēniem.</w:t>
      </w:r>
      <w:r w:rsidRPr="005816E9">
        <w:rPr>
          <w:noProof/>
          <w:sz w:val="24"/>
          <w:szCs w:val="24"/>
        </w:rPr>
        <w:t xml:space="preserve"> Atšķirtos sivēnus izmitina vai nu parastos aizgaldos, vai aizgaldos uz paaugstinājuma. Tā kā atbrīvošanās no kūtsmēsliem notiek vienādi, pieņem, ka emisijas samazināšanai gan parastajos aizgaldos, gan aizgaldos uz paaugstinājuma var piemērot vienus un tos pašus pasākumus.</w:t>
      </w:r>
    </w:p>
    <w:p w14:paraId="221B3F80" w14:textId="77777777" w:rsidR="005816E9" w:rsidRPr="005816E9" w:rsidRDefault="005816E9" w:rsidP="005816E9">
      <w:pPr>
        <w:pStyle w:val="BodyText"/>
        <w:widowControl/>
        <w:tabs>
          <w:tab w:val="left" w:pos="861"/>
        </w:tabs>
        <w:kinsoku w:val="0"/>
        <w:overflowPunct w:val="0"/>
        <w:spacing w:before="0"/>
        <w:ind w:left="0"/>
        <w:jc w:val="both"/>
        <w:rPr>
          <w:noProof/>
          <w:sz w:val="24"/>
          <w:szCs w:val="24"/>
        </w:rPr>
      </w:pPr>
    </w:p>
    <w:p w14:paraId="602B4C63" w14:textId="77777777" w:rsidR="008E3F72"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5816E9">
        <w:rPr>
          <w:noProof/>
          <w:sz w:val="24"/>
          <w:szCs w:val="24"/>
        </w:rPr>
        <w:t xml:space="preserve">Konstruktīvie risinājumi un paņēmieni emisijas samazināšanai, tostarp aplēses par to efektivitāti un izmaksām visa veida cūku novietnēs, ir apkopoti 7. tabulā. Aplēstās izmaksas var būt ļoti atšķirīgas atkarībā no konkrētajiem apstākļiem saimniecībā un ēkas izmēriem. Jāņem vērā, ka dažu paņēmienu izmantošana jau esošajās ēkās var būt saistīta ar ievērojamām izmaksām. Informāciju par ekonomiskajām izmaksām saistībā ar zema emisiju līmeņa metodēm un stratēģijām var atrast avotā </w:t>
      </w:r>
      <w:r w:rsidRPr="005816E9">
        <w:rPr>
          <w:i/>
          <w:noProof/>
          <w:sz w:val="24"/>
          <w:szCs w:val="24"/>
        </w:rPr>
        <w:t>Reis</w:t>
      </w:r>
      <w:r w:rsidRPr="005816E9">
        <w:rPr>
          <w:noProof/>
          <w:sz w:val="24"/>
          <w:szCs w:val="24"/>
        </w:rPr>
        <w:t xml:space="preserve"> (drīzumā).</w:t>
      </w:r>
    </w:p>
    <w:p w14:paraId="17119CA0" w14:textId="77777777" w:rsidR="005816E9" w:rsidRPr="005816E9" w:rsidRDefault="005816E9" w:rsidP="005816E9">
      <w:pPr>
        <w:pStyle w:val="BodyText"/>
        <w:widowControl/>
        <w:tabs>
          <w:tab w:val="left" w:pos="861"/>
        </w:tabs>
        <w:kinsoku w:val="0"/>
        <w:overflowPunct w:val="0"/>
        <w:spacing w:before="0"/>
        <w:ind w:left="0"/>
        <w:jc w:val="both"/>
        <w:rPr>
          <w:noProof/>
          <w:sz w:val="24"/>
          <w:szCs w:val="24"/>
        </w:rPr>
      </w:pPr>
    </w:p>
    <w:p w14:paraId="3F967541" w14:textId="6419EC22" w:rsidR="008E3F72" w:rsidRDefault="008E3F72" w:rsidP="00CD1311">
      <w:pPr>
        <w:pStyle w:val="BodyText"/>
        <w:widowControl/>
        <w:numPr>
          <w:ilvl w:val="0"/>
          <w:numId w:val="16"/>
        </w:numPr>
        <w:tabs>
          <w:tab w:val="left" w:pos="861"/>
        </w:tabs>
        <w:kinsoku w:val="0"/>
        <w:overflowPunct w:val="0"/>
        <w:spacing w:before="0"/>
        <w:ind w:left="0" w:firstLine="0"/>
        <w:jc w:val="both"/>
        <w:rPr>
          <w:noProof/>
          <w:sz w:val="24"/>
          <w:szCs w:val="24"/>
        </w:rPr>
      </w:pPr>
      <w:r w:rsidRPr="005816E9">
        <w:rPr>
          <w:noProof/>
          <w:sz w:val="24"/>
          <w:szCs w:val="24"/>
        </w:rPr>
        <w:t>Pētījums, ko veica 2007. gadā, parādīja, ka vidējās kopējas izmaksas par NH3 emisijas sa</w:t>
      </w:r>
      <w:r w:rsidR="00B53D2E">
        <w:rPr>
          <w:noProof/>
          <w:sz w:val="24"/>
          <w:szCs w:val="24"/>
        </w:rPr>
        <w:t>mazināšanu no cūku turēšanas</w:t>
      </w:r>
      <w:r w:rsidRPr="005816E9">
        <w:rPr>
          <w:noProof/>
          <w:sz w:val="24"/>
          <w:szCs w:val="24"/>
        </w:rPr>
        <w:t xml:space="preserve"> sistēmām Nīderlandē, izmantojot galvenokārt gaisa skruberus, bija 0,016 € uz vienu kg saražotā cūkas kautķermeņa. (</w:t>
      </w:r>
      <w:r w:rsidRPr="005816E9">
        <w:rPr>
          <w:i/>
          <w:noProof/>
          <w:sz w:val="24"/>
          <w:szCs w:val="24"/>
        </w:rPr>
        <w:t>Baltussen et al.</w:t>
      </w:r>
      <w:r w:rsidRPr="005816E9">
        <w:rPr>
          <w:noProof/>
          <w:sz w:val="24"/>
          <w:szCs w:val="24"/>
        </w:rPr>
        <w:t>, 2010). Pētījuma veikšanas laikā tikai lielajās (PINK) saimniecībās jau bija tehnoloģiskie risinājumi emisijas samazināšan</w:t>
      </w:r>
      <w:r w:rsidR="00B53D2E">
        <w:rPr>
          <w:noProof/>
          <w:sz w:val="24"/>
          <w:szCs w:val="24"/>
        </w:rPr>
        <w:t>ai par 40–60 % (no turēšanas</w:t>
      </w:r>
      <w:r w:rsidRPr="005816E9">
        <w:rPr>
          <w:noProof/>
          <w:sz w:val="24"/>
          <w:szCs w:val="24"/>
        </w:rPr>
        <w:t xml:space="preserve"> un kūtsmēslu krātuvēm). Tomēr lēš, ka izmaksas pieaugs līdz 0,04 € uz cūku kautķermeņa kg 2013. gadā, kad pat mazajām cūkkopības saimniecībām Nīderlandē nāksies ievērot gan emisijas, gan labturības standartus</w:t>
      </w:r>
      <w:r w:rsidR="00B53D2E">
        <w:rPr>
          <w:noProof/>
          <w:sz w:val="24"/>
          <w:szCs w:val="24"/>
        </w:rPr>
        <w:t>. Pieņemot, ka uz vienu dzīvnieku vietu</w:t>
      </w:r>
      <w:r w:rsidRPr="005816E9">
        <w:rPr>
          <w:noProof/>
          <w:sz w:val="24"/>
          <w:szCs w:val="24"/>
        </w:rPr>
        <w:t xml:space="preserve"> saražo 200 kg cūkgaļas, NH3 emisijas samazināšanas un labturības pas</w:t>
      </w:r>
      <w:r w:rsidR="00B53D2E">
        <w:rPr>
          <w:noProof/>
          <w:sz w:val="24"/>
          <w:szCs w:val="24"/>
        </w:rPr>
        <w:t>ākumi izmaksā 7,2 € par dzīvnieku vietu</w:t>
      </w:r>
      <w:r w:rsidRPr="005816E9">
        <w:rPr>
          <w:noProof/>
          <w:sz w:val="24"/>
          <w:szCs w:val="24"/>
        </w:rPr>
        <w:t xml:space="preserve"> vai 3 € par ietaupītā NH3-N kilogramu; abas šīs aplēses Nīderlandē uzskata par pamatotām. Aplēsēs nav ņemts vērā tas, ka daļa no saglabātā NH3 var zust kādā turpmākā kūtsmēslu aprites posmā.</w:t>
      </w:r>
    </w:p>
    <w:p w14:paraId="30275BD2" w14:textId="77777777" w:rsidR="005816E9" w:rsidRPr="005816E9" w:rsidRDefault="005816E9" w:rsidP="005816E9">
      <w:pPr>
        <w:pStyle w:val="BodyText"/>
        <w:widowControl/>
        <w:tabs>
          <w:tab w:val="left" w:pos="861"/>
        </w:tabs>
        <w:kinsoku w:val="0"/>
        <w:overflowPunct w:val="0"/>
        <w:spacing w:before="0"/>
        <w:ind w:left="0"/>
        <w:jc w:val="both"/>
        <w:rPr>
          <w:noProof/>
          <w:sz w:val="24"/>
          <w:szCs w:val="24"/>
        </w:rPr>
      </w:pPr>
    </w:p>
    <w:p w14:paraId="0A1D1F80" w14:textId="77777777"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5816E9">
        <w:rPr>
          <w:noProof/>
          <w:sz w:val="24"/>
          <w:szCs w:val="24"/>
        </w:rPr>
        <w:t>Dažādās emisijas mazināšanas sistēmas, kas aprakstītas 80.–90. punktā, pamatojas uz 69. punktā minētajiem principiem.</w:t>
      </w:r>
    </w:p>
    <w:p w14:paraId="1A4E1FA9" w14:textId="77777777" w:rsidR="008E3F72" w:rsidRPr="00F35F4D" w:rsidRDefault="008E3F72" w:rsidP="008E3F72">
      <w:pPr>
        <w:pStyle w:val="BodyText"/>
        <w:widowControl/>
        <w:kinsoku w:val="0"/>
        <w:overflowPunct w:val="0"/>
        <w:spacing w:before="0"/>
        <w:ind w:left="0"/>
        <w:jc w:val="both"/>
        <w:rPr>
          <w:noProof/>
          <w:sz w:val="24"/>
          <w:szCs w:val="24"/>
        </w:rPr>
      </w:pPr>
    </w:p>
    <w:p w14:paraId="422145AD" w14:textId="7961D6BD" w:rsidR="008E3F72" w:rsidRDefault="008E3F72" w:rsidP="005816E9">
      <w:pPr>
        <w:pStyle w:val="Heading5"/>
        <w:widowControl/>
        <w:numPr>
          <w:ilvl w:val="0"/>
          <w:numId w:val="18"/>
        </w:numPr>
        <w:kinsoku w:val="0"/>
        <w:overflowPunct w:val="0"/>
        <w:ind w:left="0" w:firstLine="0"/>
        <w:jc w:val="both"/>
        <w:rPr>
          <w:rFonts w:ascii="Times New Roman" w:hAnsi="Times New Roman" w:cs="Times New Roman"/>
          <w:noProof/>
          <w:color w:val="0D0D0D"/>
          <w:sz w:val="24"/>
        </w:rPr>
      </w:pPr>
      <w:r w:rsidRPr="00F35F4D">
        <w:rPr>
          <w:rFonts w:ascii="Times New Roman" w:hAnsi="Times New Roman" w:cs="Times New Roman"/>
          <w:noProof/>
          <w:color w:val="0D0D0D"/>
          <w:sz w:val="24"/>
        </w:rPr>
        <w:t>kategorijas paņēmieni</w:t>
      </w:r>
    </w:p>
    <w:p w14:paraId="4D596418" w14:textId="77777777" w:rsidR="005816E9" w:rsidRPr="005816E9" w:rsidRDefault="005816E9" w:rsidP="005816E9">
      <w:pPr>
        <w:pStyle w:val="ListParagraph"/>
        <w:ind w:left="720"/>
      </w:pPr>
    </w:p>
    <w:p w14:paraId="117AC8EE" w14:textId="77777777"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Amonjaka emisiju var samazināt par 25 %, ja emisijas virsmas laukumu samazina, bieži un pilnīgi aizvadot šķidros kūtsmēslus no zemgrīdas krātuves pamatnes ar vakuumsistēmas palīdzību. Tur, kur to var izdarīt, paņēmiens neko nemaksā.</w:t>
      </w:r>
    </w:p>
    <w:p w14:paraId="1C7E4212"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2E7B0617" w14:textId="62481FD1"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Grīdas, kurās redeles aizņem 50 % no grīdas laukuma, parasti izdala par 15–20 % mazāk NH3, jo īpaši, ja redeles ir pārklātas ar metāla vai plastmasas apvalku, pie kura kūtsmēsli līp mazāk nekā pie betona. Emisijas risku no vienlaidu grīdas laukuma var samazināt, izmantojot slīpu (vai liektu)</w:t>
      </w:r>
      <w:r w:rsidR="00B53D2E">
        <w:rPr>
          <w:noProof/>
          <w:sz w:val="24"/>
        </w:rPr>
        <w:t xml:space="preserve"> grīdas</w:t>
      </w:r>
      <w:r w:rsidRPr="00F35F4D">
        <w:rPr>
          <w:noProof/>
          <w:sz w:val="24"/>
        </w:rPr>
        <w:t xml:space="preserve"> virsmu ar gludu pārklāju</w:t>
      </w:r>
      <w:r w:rsidR="00B53D2E">
        <w:rPr>
          <w:noProof/>
          <w:sz w:val="24"/>
        </w:rPr>
        <w:t>mu; pareizi izvietojot ēdināšanas</w:t>
      </w:r>
      <w:r w:rsidRPr="00F35F4D">
        <w:rPr>
          <w:noProof/>
          <w:sz w:val="24"/>
        </w:rPr>
        <w:t xml:space="preserve"> un dzirdināšanas iekārtas, lai samazinātu vienlaidu virsmu piemēslošanu, un nodrošinot labu mikroklimatu (</w:t>
      </w:r>
      <w:r w:rsidRPr="00F35F4D">
        <w:rPr>
          <w:i/>
          <w:noProof/>
          <w:sz w:val="24"/>
        </w:rPr>
        <w:t>Aarnink et al.</w:t>
      </w:r>
      <w:r w:rsidRPr="00F35F4D">
        <w:rPr>
          <w:noProof/>
          <w:sz w:val="24"/>
        </w:rPr>
        <w:t xml:space="preserve">, 1996; </w:t>
      </w:r>
      <w:r w:rsidRPr="00F35F4D">
        <w:rPr>
          <w:i/>
          <w:noProof/>
          <w:sz w:val="24"/>
        </w:rPr>
        <w:t>Guigand, Courboulay</w:t>
      </w:r>
      <w:r w:rsidRPr="00F35F4D">
        <w:rPr>
          <w:noProof/>
          <w:sz w:val="24"/>
        </w:rPr>
        <w:t xml:space="preserve">, 2007; </w:t>
      </w:r>
      <w:r w:rsidRPr="00F35F4D">
        <w:rPr>
          <w:i/>
          <w:noProof/>
          <w:sz w:val="24"/>
        </w:rPr>
        <w:t>Ye et al</w:t>
      </w:r>
      <w:r w:rsidRPr="00F35F4D">
        <w:rPr>
          <w:noProof/>
          <w:sz w:val="24"/>
        </w:rPr>
        <w:t>., 2008a, 2008b).</w:t>
      </w:r>
    </w:p>
    <w:p w14:paraId="32B95CDE"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40A5599A" w14:textId="77777777"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Emisijas laukumu var vēl vairāk ierobežot, ja samazina daļēji redelēm klāto laukumu un zemgrīdas krātuvi. Ja redeles klāj mazāku grīdas laukumu, risku, ka </w:t>
      </w:r>
      <w:r w:rsidRPr="00F35F4D">
        <w:rPr>
          <w:noProof/>
          <w:sz w:val="24"/>
        </w:rPr>
        <w:lastRenderedPageBreak/>
        <w:t>vienlaidu grīdas virsma tiks piemēslota, var mazināt, veidojot vēl vienu nelielu redeļu laukumu aizgalda pretējā pusē, kur cūkas mēdz baroties un dzert, un ierīkojot zem tā ūdens notekkanālu. Kanālu piepilda ar ūdeni vismaz divu centimetru (cm) dziļumā to kūtsmēslu atšķaidīšanai, kuri varētu tajā iekrist. Šajā redelēm klātajā daļā emisija ir zema, jo visi kūtsmēsli, kas kanālā iekrīt, tiek atšķaidīti. Šāda kombinēta kūtsmēslu kanāla un ūdens notekkanāla sistēma var samazināt NH3 emisiju par 40–50 % atkarībā no ūdens notekkanāla lieluma.</w:t>
      </w:r>
    </w:p>
    <w:p w14:paraId="24B2849C"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226B3A18" w14:textId="77777777"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Ja emisijas virsmas laukumu samazina, veidojot krātuvē vienu vai vairākas slīpas sienas, tad kopā ar redeļu grīdas laukumu un biežu kūtsmēslu izvākšanu emisiju var samazināt par līdz pat 65 %.</w:t>
      </w:r>
    </w:p>
    <w:p w14:paraId="6B69F877"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06A079B2" w14:textId="77777777"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Ja emisijas virsmas laukumu samazina, ierīkojot seklas V-veida renes (ne platākas par 60 cm un ne dziļākas par 20 cm), emisiju no cūkkūtīm var samazināt par 40–65 % atkarībā no cūku kategorijas un redelēm, kas klāj daļu grīdas laukuma. Renes jāskalo divas reizes dienā, ūdens vietā izmantojot kūtsmēslu šķidro (sašķidrināto) frakciju; skalojot ar ūdeni, kūtsmēsli tiek atšķaidīti, un palielinās to pārvadāšanas izmaksas.</w:t>
      </w:r>
    </w:p>
    <w:p w14:paraId="1EA00219"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5569665F" w14:textId="67441E38" w:rsidR="008E3F72" w:rsidRPr="005816E9" w:rsidRDefault="00B53D2E" w:rsidP="008E3F72">
      <w:pPr>
        <w:pStyle w:val="BodyText"/>
        <w:widowControl/>
        <w:numPr>
          <w:ilvl w:val="0"/>
          <w:numId w:val="16"/>
        </w:numPr>
        <w:tabs>
          <w:tab w:val="left" w:pos="861"/>
        </w:tabs>
        <w:kinsoku w:val="0"/>
        <w:overflowPunct w:val="0"/>
        <w:spacing w:before="0"/>
        <w:ind w:left="0" w:firstLine="0"/>
        <w:jc w:val="both"/>
        <w:rPr>
          <w:noProof/>
          <w:sz w:val="24"/>
          <w:szCs w:val="24"/>
        </w:rPr>
      </w:pPr>
      <w:r>
        <w:rPr>
          <w:noProof/>
          <w:sz w:val="24"/>
        </w:rPr>
        <w:t>Sivēnmātēm zīdīšanas periodā</w:t>
      </w:r>
      <w:r w:rsidR="008E3F72" w:rsidRPr="00F35F4D">
        <w:rPr>
          <w:noProof/>
          <w:sz w:val="24"/>
        </w:rPr>
        <w:t xml:space="preserve"> 65 % lielu emisijas samazinājumu var panākt, ja samazina emisijas virsmu, iebūvējot vannu zem aizgalda redeļu grīdas laukuma. Vannu veido slīpa zemgrīda (ar slīpumu, kas nav mazāks par 3°) ar kūtsmēslu noteci zemākajā punktā. Kaut arī vannu var iebūvēt, modernizējot jau esošu novietni, praksē kūtsmēslu noteces sistēmas pārveidošana var būt saistīta ar ievērojamām izmaksām.</w:t>
      </w:r>
    </w:p>
    <w:p w14:paraId="0D5C8D87"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47893A01" w14:textId="487D3394" w:rsidR="008E3F72" w:rsidRPr="005816E9" w:rsidRDefault="00720C1E"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lang w:bidi="ar-SA"/>
        </w:rPr>
        <mc:AlternateContent>
          <mc:Choice Requires="wps">
            <w:drawing>
              <wp:anchor distT="0" distB="0" distL="114300" distR="114300" simplePos="0" relativeHeight="251659264" behindDoc="1" locked="0" layoutInCell="0" allowOverlap="1" wp14:anchorId="2EF5D73B" wp14:editId="108E91D4">
                <wp:simplePos x="0" y="0"/>
                <wp:positionH relativeFrom="page">
                  <wp:posOffset>1833880</wp:posOffset>
                </wp:positionH>
                <wp:positionV relativeFrom="paragraph">
                  <wp:posOffset>222885</wp:posOffset>
                </wp:positionV>
                <wp:extent cx="46990" cy="82550"/>
                <wp:effectExtent l="0" t="0" r="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177DE" w14:textId="77777777" w:rsidR="0085568E" w:rsidRPr="008E3F72" w:rsidRDefault="0085568E" w:rsidP="008E3F72">
                            <w:pPr>
                              <w:pStyle w:val="BodyText"/>
                              <w:kinsoku w:val="0"/>
                              <w:overflowPunct w:val="0"/>
                              <w:spacing w:before="0" w:line="130" w:lineRule="exact"/>
                              <w:ind w:left="0"/>
                              <w:rPr>
                                <w:noProof/>
                                <w:sz w:val="13"/>
                                <w:szCs w:val="13"/>
                              </w:rPr>
                            </w:pPr>
                            <w:r>
                              <w:rPr>
                                <w:noProof/>
                                <w:sz w:val="13"/>
                                <w:vertAlign w:val="superscrip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5D73B" id="_x0000_t202" coordsize="21600,21600" o:spt="202" path="m,l,21600r21600,l21600,xe">
                <v:stroke joinstyle="miter"/>
                <v:path gradientshapeok="t" o:connecttype="rect"/>
              </v:shapetype>
              <v:shape id="Text Box 5" o:spid="_x0000_s1026" type="#_x0000_t202" style="position:absolute;left:0;text-align:left;margin-left:144.4pt;margin-top:17.55pt;width:3.7pt;height: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" o:allowincell="f" filled="f" stroked="f">
                <v:textbox inset="0,0,0,0">
                  <w:txbxContent>
                    <w:p w14:paraId="49F177DE" w14:textId="77777777" w:rsidR="0085568E" w:rsidRPr="008E3F72" w:rsidRDefault="0085568E" w:rsidP="008E3F72">
                      <w:pPr>
                        <w:pStyle w:val="BodyText"/>
                        <w:kinsoku w:val="0"/>
                        <w:overflowPunct w:val="0"/>
                        <w:spacing w:before="0" w:line="130" w:lineRule="exact"/>
                        <w:ind w:left="0"/>
                        <w:rPr>
                          <w:noProof/>
                          <w:sz w:val="13"/>
                          <w:szCs w:val="13"/>
                        </w:rPr>
                      </w:pPr>
                      <w:r>
                        <w:rPr>
                          <w:noProof/>
                          <w:sz w:val="13"/>
                          <w:vertAlign w:val="superscript"/>
                        </w:rPr>
                        <w:t>+</w:t>
                      </w:r>
                    </w:p>
                  </w:txbxContent>
                </v:textbox>
                <w10:wrap anchorx="page"/>
              </v:shape>
            </w:pict>
          </mc:Fallback>
        </mc:AlternateContent>
      </w:r>
      <w:r w:rsidRPr="00F35F4D">
        <w:rPr>
          <w:noProof/>
          <w:sz w:val="24"/>
        </w:rPr>
        <w:t>NH3 emisiju var samazināt arī, paskābinot šķidros kūtsmēslus, lai ķīmiskais līdzsvars no NH3 novirzītos NH4</w:t>
      </w:r>
      <w:r w:rsidRPr="00F35F4D">
        <w:rPr>
          <w:noProof/>
          <w:sz w:val="24"/>
          <w:vertAlign w:val="superscript"/>
        </w:rPr>
        <w:t>+</w:t>
      </w:r>
      <w:r w:rsidRPr="00F35F4D">
        <w:rPr>
          <w:noProof/>
          <w:sz w:val="24"/>
        </w:rPr>
        <w:t xml:space="preserve"> virzienā. Kūtsmēslus (īpaši šķidro frakciju) savāc cisternās ar paskābinātu šķidrumu (parasti sērskābi, bet var izmantot arī organiskās skābes), uzturot pH līmeni, kas zemāks par 6. Ir novērots, ka emisija no sivēnu novietnēm samazinās par 60 %.</w:t>
      </w:r>
    </w:p>
    <w:p w14:paraId="5FCCD85D"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76831CFD" w14:textId="07D8AE34"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Kūtsmēslu virsmas dzesēšana ar dzesēšanas ribām, izmantojot slēgtu siltumapmaiņas sistēmu, ir 1. kategorijas paņēmiens, kura efektivitāte emisijas samazināšanā ir 45–75 % atkarībā no dzīvnieku kategorijas un dzesēšanas ribu virsmas. Šis paņēmiens dod maksimālu ekonomisko efektu, ja savākto siltumu var izmantot citu telpu, piemēram, atšķirto sivēnu novietņu apsildīšanai (</w:t>
      </w:r>
      <w:r w:rsidRPr="00F35F4D">
        <w:rPr>
          <w:i/>
          <w:noProof/>
          <w:sz w:val="24"/>
        </w:rPr>
        <w:t>Huynh et al.</w:t>
      </w:r>
      <w:r w:rsidRPr="00F35F4D">
        <w:rPr>
          <w:noProof/>
          <w:sz w:val="24"/>
        </w:rPr>
        <w:t xml:space="preserve">, 2004). Šķidro kūtsmēslu sistēmās šī paņēmiena izmantošanai var pielāgot esošās ēkas. Šo sistēmu nevar izmantot, ja lieto </w:t>
      </w:r>
      <w:r w:rsidR="00B53D2E">
        <w:rPr>
          <w:noProof/>
          <w:sz w:val="24"/>
        </w:rPr>
        <w:t>salmu pakaišus vai dzīvniekiem izēdina</w:t>
      </w:r>
      <w:r w:rsidRPr="00F35F4D">
        <w:rPr>
          <w:noProof/>
          <w:sz w:val="24"/>
        </w:rPr>
        <w:t xml:space="preserve"> daudz rupjās barības, jo uz šķidro kūtsmēslu virsmas var veidoties peldošu atlieku slānis.</w:t>
      </w:r>
    </w:p>
    <w:p w14:paraId="78023A6A"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1EFC13F1" w14:textId="1572A855" w:rsidR="008E3F72" w:rsidRPr="005816E9"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 xml:space="preserve">Lielās saimniecībās Dānijā, Vācijā, Francijā un Nīderlandē izplūdes gaisa apstrāde ar skābes skruberiem (galvenokārt sērskābi) vai pilienu biofiltriem ir pierādījusi savu praktisko nozīmi un efektivitāti, tāpēc to uzskata par 1. kategorijas paņēmienu (piemēram, </w:t>
      </w:r>
      <w:r w:rsidRPr="00F35F4D">
        <w:rPr>
          <w:i/>
          <w:noProof/>
          <w:sz w:val="24"/>
        </w:rPr>
        <w:t>Melse, Ogink</w:t>
      </w:r>
      <w:r w:rsidRPr="00F35F4D">
        <w:rPr>
          <w:noProof/>
          <w:sz w:val="24"/>
        </w:rPr>
        <w:t xml:space="preserve">, 2005; </w:t>
      </w:r>
      <w:r w:rsidRPr="00F35F4D">
        <w:rPr>
          <w:i/>
          <w:noProof/>
          <w:sz w:val="24"/>
        </w:rPr>
        <w:t>Guingand</w:t>
      </w:r>
      <w:r w:rsidRPr="00F35F4D">
        <w:rPr>
          <w:noProof/>
          <w:sz w:val="24"/>
        </w:rPr>
        <w:t>, 2009). Ekonomiski pamatotāk ir šo metodi izmant</w:t>
      </w:r>
      <w:r w:rsidR="00E501A1">
        <w:rPr>
          <w:noProof/>
          <w:sz w:val="24"/>
        </w:rPr>
        <w:t>ot jaunās ēkās, jo jau esošo novietņu</w:t>
      </w:r>
      <w:r w:rsidRPr="00F35F4D">
        <w:rPr>
          <w:noProof/>
          <w:sz w:val="24"/>
        </w:rPr>
        <w:t xml:space="preserve"> pielāgošanai ir jāpārbūvē ventilācijas sistēma, kas izmaksā dārgi.</w:t>
      </w:r>
    </w:p>
    <w:p w14:paraId="5EB60AA0" w14:textId="77777777" w:rsidR="005816E9" w:rsidRPr="00F35F4D" w:rsidRDefault="005816E9" w:rsidP="005816E9">
      <w:pPr>
        <w:pStyle w:val="BodyText"/>
        <w:widowControl/>
        <w:tabs>
          <w:tab w:val="left" w:pos="861"/>
        </w:tabs>
        <w:kinsoku w:val="0"/>
        <w:overflowPunct w:val="0"/>
        <w:spacing w:before="0"/>
        <w:ind w:left="0"/>
        <w:jc w:val="both"/>
        <w:rPr>
          <w:noProof/>
          <w:sz w:val="24"/>
          <w:szCs w:val="24"/>
        </w:rPr>
      </w:pPr>
    </w:p>
    <w:p w14:paraId="4795CC1B" w14:textId="3B482B4D"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Ir pierādījumi, ka skābes skruberu efektivitāte gaisa attīrīšanā no NH3 ir 70–90 % atkarībā no to pH rādītājiem. Skruberi un pilienu biofiltri arī samazina nepatīkamo smaku un cietās daļiņas attiecīgi par 75 % un 70 % (</w:t>
      </w:r>
      <w:r w:rsidRPr="00F35F4D">
        <w:rPr>
          <w:i/>
          <w:noProof/>
          <w:sz w:val="24"/>
        </w:rPr>
        <w:t>Guingand</w:t>
      </w:r>
      <w:r w:rsidRPr="00F35F4D">
        <w:rPr>
          <w:noProof/>
          <w:sz w:val="24"/>
        </w:rPr>
        <w:t xml:space="preserve">, 2009). Par to, cik šīs sistēmas piemērotas Dienvideiropas un Centrāleiropas valstīm, ir vajadzīga plašāka </w:t>
      </w:r>
      <w:r w:rsidRPr="00F35F4D">
        <w:rPr>
          <w:noProof/>
          <w:sz w:val="24"/>
        </w:rPr>
        <w:lastRenderedPageBreak/>
        <w:t>informācija. Gan skābes skruberu, gan pilienu filtru ekspluatācijas izmaksas īpaši ir atkarīgas no izmantotas papildu enerģijas ūdens recirkulācijai un spiediena zuduma kompensācijai ventilatoros. Izmaksu samazināšanai ir pieejamas optimizācijas metodes (</w:t>
      </w:r>
      <w:r w:rsidRPr="00F35F4D">
        <w:rPr>
          <w:i/>
          <w:noProof/>
          <w:sz w:val="24"/>
        </w:rPr>
        <w:t>Melse, Hofschereuder, Ogink,</w:t>
      </w:r>
      <w:r w:rsidRPr="00F35F4D">
        <w:rPr>
          <w:noProof/>
          <w:sz w:val="24"/>
        </w:rPr>
        <w:t xml:space="preserve"> 2012), un lielās saimniecībās izmaksas ir zemākas.</w:t>
      </w:r>
    </w:p>
    <w:p w14:paraId="58C4138E" w14:textId="77777777" w:rsidR="008E3F72" w:rsidRPr="00F35F4D" w:rsidRDefault="008E3F72" w:rsidP="008E3F72">
      <w:pPr>
        <w:pStyle w:val="BodyText"/>
        <w:widowControl/>
        <w:kinsoku w:val="0"/>
        <w:overflowPunct w:val="0"/>
        <w:spacing w:before="0"/>
        <w:ind w:left="0"/>
        <w:jc w:val="both"/>
        <w:rPr>
          <w:noProof/>
          <w:sz w:val="24"/>
          <w:szCs w:val="24"/>
        </w:rPr>
      </w:pPr>
    </w:p>
    <w:p w14:paraId="752F1011" w14:textId="7A513D7B" w:rsidR="008E3F72" w:rsidRDefault="008E3F72" w:rsidP="005816E9">
      <w:pPr>
        <w:pStyle w:val="Heading5"/>
        <w:widowControl/>
        <w:numPr>
          <w:ilvl w:val="0"/>
          <w:numId w:val="18"/>
        </w:numPr>
        <w:kinsoku w:val="0"/>
        <w:overflowPunct w:val="0"/>
        <w:ind w:left="0" w:firstLine="0"/>
        <w:jc w:val="both"/>
        <w:rPr>
          <w:rFonts w:ascii="Times New Roman" w:hAnsi="Times New Roman" w:cs="Times New Roman"/>
          <w:noProof/>
          <w:color w:val="0D0D0D"/>
          <w:sz w:val="24"/>
        </w:rPr>
      </w:pPr>
      <w:r w:rsidRPr="00F35F4D">
        <w:rPr>
          <w:rFonts w:ascii="Times New Roman" w:hAnsi="Times New Roman" w:cs="Times New Roman"/>
          <w:noProof/>
          <w:color w:val="0D0D0D"/>
          <w:sz w:val="24"/>
        </w:rPr>
        <w:t>kategorijas paņēmieni</w:t>
      </w:r>
    </w:p>
    <w:p w14:paraId="27F4EDBD" w14:textId="77777777" w:rsidR="005816E9" w:rsidRPr="005816E9" w:rsidRDefault="005816E9" w:rsidP="005816E9">
      <w:pPr>
        <w:pStyle w:val="ListParagraph"/>
        <w:ind w:left="720"/>
      </w:pPr>
    </w:p>
    <w:p w14:paraId="0EE61EE3" w14:textId="682E910C" w:rsidR="005816E9" w:rsidRDefault="008E3F72" w:rsidP="005816E9">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Peldošas lodītes kūtsmēslu zemgrīdas krātuvēs var samazināt emisiju par 25 %, jo tās daļēji nosedz emisijas virsmu. Kūtsmēsliem krītot uz lodītēm, tās griežas, un, tā kā kūtsmēsli nelīp pie lodīšu virsmas, tīrā daļa nonāk augšpusē. Šo paņēmienu var izmantot jau esošajās ēkās. Tā kā šis paņēmiens ārpus Nīderlandes nav vērtēts, to uzskata par 2. kategorijas paņēmienu.</w:t>
      </w:r>
    </w:p>
    <w:p w14:paraId="5D7F731E" w14:textId="77777777" w:rsidR="005816E9" w:rsidRPr="005816E9" w:rsidRDefault="005816E9" w:rsidP="005816E9">
      <w:pPr>
        <w:pStyle w:val="BodyText"/>
        <w:widowControl/>
        <w:tabs>
          <w:tab w:val="left" w:pos="861"/>
        </w:tabs>
        <w:kinsoku w:val="0"/>
        <w:overflowPunct w:val="0"/>
        <w:spacing w:before="0"/>
        <w:ind w:left="0"/>
        <w:jc w:val="both"/>
        <w:rPr>
          <w:noProof/>
          <w:sz w:val="24"/>
          <w:szCs w:val="24"/>
        </w:rPr>
      </w:pPr>
    </w:p>
    <w:p w14:paraId="6B5BD44D" w14:textId="77777777" w:rsidR="008E3F72" w:rsidRPr="00F35F4D" w:rsidRDefault="008E3F72" w:rsidP="008E3F72">
      <w:pPr>
        <w:pStyle w:val="BodyText"/>
        <w:widowControl/>
        <w:numPr>
          <w:ilvl w:val="0"/>
          <w:numId w:val="16"/>
        </w:numPr>
        <w:tabs>
          <w:tab w:val="left" w:pos="861"/>
        </w:tabs>
        <w:kinsoku w:val="0"/>
        <w:overflowPunct w:val="0"/>
        <w:spacing w:before="0"/>
        <w:ind w:left="0" w:firstLine="0"/>
        <w:jc w:val="both"/>
        <w:rPr>
          <w:noProof/>
          <w:sz w:val="24"/>
          <w:szCs w:val="24"/>
        </w:rPr>
      </w:pPr>
      <w:r w:rsidRPr="00F35F4D">
        <w:rPr>
          <w:noProof/>
          <w:sz w:val="24"/>
        </w:rPr>
        <w:t>Biežai kūtsmēslu izvākšanai no novietnes var izmantot V-veida transportiera lenti, kas uzstādīta zem redeļu grīdas. Lentes forma ļauj urīnam pastāvīgi notecēt, atdalot to no fekālijās esošā ureāzes fermenta un pēc iespējas samazinot urīnvielas konversiju (hidrolīzi) NH3. Tā kā urīns tiek ātri aizvadīts un saražotā NH3 daudzums samazinās, emisija samazinās par aptuveni 70 % (</w:t>
      </w:r>
      <w:r w:rsidRPr="00F35F4D">
        <w:rPr>
          <w:i/>
          <w:noProof/>
          <w:sz w:val="24"/>
        </w:rPr>
        <w:t>Aarnink et al.</w:t>
      </w:r>
      <w:r w:rsidRPr="00F35F4D">
        <w:rPr>
          <w:noProof/>
          <w:sz w:val="24"/>
        </w:rPr>
        <w:t>, 2007). Jāatzīmē, ka šim paņēmienam zemgrīdas krātuve nav vajadzīga, un tas daļēji kompensē ēkas celtniecības izmaksas. Atdalot cietos kūtsmēslus, var arī panākt efektīvu P un N iestrādi augsnē. V-veida transportiera lentes sistēmu uzskata par 2. kategorijas paņēmienu, jo tā ir izvērtēta tikai Nīderlandē. Potenciāli to var izmantot visām cūku kategorijām, bet izvērtēšana ir veikta tikai attiecība uz nobarojamām cūkām.</w:t>
      </w:r>
    </w:p>
    <w:p w14:paraId="3CEC8269" w14:textId="7D70261A" w:rsidR="005816E9" w:rsidRDefault="005816E9">
      <w:pPr>
        <w:widowControl/>
        <w:autoSpaceDE/>
        <w:autoSpaceDN/>
        <w:adjustRightInd/>
        <w:spacing w:after="160" w:line="259" w:lineRule="auto"/>
        <w:rPr>
          <w:noProof/>
        </w:rPr>
      </w:pPr>
      <w:r>
        <w:rPr>
          <w:noProof/>
        </w:rPr>
        <w:br w:type="page"/>
      </w:r>
    </w:p>
    <w:p w14:paraId="5272BC57" w14:textId="77777777" w:rsidR="008E3F72" w:rsidRPr="00F35F4D" w:rsidRDefault="008E3F72" w:rsidP="008E3F72">
      <w:pPr>
        <w:pStyle w:val="BodyText"/>
        <w:widowControl/>
        <w:kinsoku w:val="0"/>
        <w:overflowPunct w:val="0"/>
        <w:spacing w:before="0"/>
        <w:ind w:left="0"/>
        <w:jc w:val="both"/>
        <w:rPr>
          <w:noProof/>
          <w:sz w:val="24"/>
          <w:szCs w:val="24"/>
        </w:rPr>
      </w:pPr>
    </w:p>
    <w:p w14:paraId="5853DA79"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7. tabula</w:t>
      </w:r>
    </w:p>
    <w:p w14:paraId="23F1361D" w14:textId="77777777" w:rsidR="008E3F72" w:rsidRPr="00F35F4D" w:rsidRDefault="008E3F72" w:rsidP="008E3F72">
      <w:pPr>
        <w:pStyle w:val="BodyText"/>
        <w:widowControl/>
        <w:kinsoku w:val="0"/>
        <w:overflowPunct w:val="0"/>
        <w:spacing w:before="0"/>
        <w:ind w:left="0"/>
        <w:jc w:val="both"/>
        <w:rPr>
          <w:noProof/>
          <w:sz w:val="24"/>
          <w:szCs w:val="24"/>
        </w:rPr>
      </w:pPr>
    </w:p>
    <w:p w14:paraId="77B5CE6C"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1. un 2. kategorijas paņēmieni – emisijas samazinājums un izmaksas par cūku novietņu sistēmām ar zemu emisijas līmeni</w:t>
      </w:r>
    </w:p>
    <w:p w14:paraId="14BD07EA" w14:textId="77777777" w:rsidR="008E3F72" w:rsidRPr="00F35F4D" w:rsidRDefault="008E3F72" w:rsidP="008E3F72">
      <w:pPr>
        <w:pStyle w:val="BodyText"/>
        <w:widowControl/>
        <w:kinsoku w:val="0"/>
        <w:overflowPunct w:val="0"/>
        <w:spacing w:before="0"/>
        <w:ind w:left="0"/>
        <w:jc w:val="both"/>
        <w:rPr>
          <w:noProof/>
          <w:sz w:val="24"/>
          <w:szCs w:val="24"/>
        </w:rPr>
      </w:pPr>
    </w:p>
    <w:p w14:paraId="32E54718" w14:textId="77777777" w:rsidR="008E3F72" w:rsidRPr="00F35F4D" w:rsidRDefault="008E3F72" w:rsidP="008E3F72">
      <w:pPr>
        <w:widowControl/>
        <w:autoSpaceDE/>
        <w:autoSpaceDN/>
        <w:adjustRightInd/>
        <w:rPr>
          <w:rFonts w:eastAsia="Times New Roman"/>
          <w:noProof/>
        </w:rPr>
      </w:pPr>
      <w:r w:rsidRPr="00F35F4D">
        <w:rPr>
          <w:i/>
          <w:noProof/>
          <w:color w:val="000000"/>
          <w:sz w:val="20"/>
        </w:rPr>
        <w:t>1. kategorijas paņēmiens (ja vien nav norādīta piederība 2. kategorijai) 2)NH</w:t>
      </w:r>
      <w:r w:rsidRPr="00F35F4D">
        <w:rPr>
          <w:i/>
          <w:noProof/>
          <w:color w:val="000000"/>
          <w:sz w:val="20"/>
          <w:vertAlign w:val="subscript"/>
        </w:rPr>
        <w:t>3</w:t>
      </w:r>
      <w:r w:rsidRPr="00F35F4D">
        <w:tab/>
      </w:r>
      <w:r w:rsidRPr="00F35F4D">
        <w:rPr>
          <w:i/>
          <w:noProof/>
          <w:color w:val="000000"/>
          <w:sz w:val="20"/>
        </w:rPr>
        <w:t>emisija Papildu izdevumi Papildu izdevumi</w:t>
      </w:r>
    </w:p>
    <w:p w14:paraId="20E52835" w14:textId="77777777" w:rsidR="008E3F72" w:rsidRPr="00F35F4D" w:rsidRDefault="008E3F72" w:rsidP="008E3F72">
      <w:pPr>
        <w:widowControl/>
        <w:autoSpaceDE/>
        <w:autoSpaceDN/>
        <w:adjustRightInd/>
        <w:rPr>
          <w:rFonts w:eastAsia="Times New Roman"/>
          <w:noProof/>
        </w:rPr>
      </w:pPr>
      <w:r w:rsidRPr="00F35F4D">
        <w:rPr>
          <w:i/>
        </w:rPr>
        <w:t>par</w:t>
      </w:r>
      <w:r w:rsidRPr="00F35F4D">
        <w:t xml:space="preserve"> </w:t>
      </w:r>
      <w:r w:rsidRPr="00F35F4D">
        <w:rPr>
          <w:i/>
          <w:noProof/>
          <w:color w:val="000000"/>
          <w:sz w:val="20"/>
        </w:rPr>
        <w:t>emisija</w:t>
      </w:r>
      <w:r w:rsidRPr="00F35F4D">
        <w:t>s</w:t>
      </w:r>
      <w:r w:rsidRPr="00F35F4D">
        <w:tab/>
      </w:r>
      <w:r w:rsidRPr="00F35F4D">
        <w:rPr>
          <w:i/>
          <w:noProof/>
          <w:color w:val="000000"/>
          <w:sz w:val="20"/>
        </w:rPr>
        <w:t>samazinājumu (€ par lopvietu gadā) (€ par ietaupīto NH</w:t>
      </w:r>
      <w:r w:rsidRPr="00F35F4D">
        <w:rPr>
          <w:i/>
          <w:noProof/>
          <w:color w:val="000000"/>
          <w:sz w:val="20"/>
          <w:vertAlign w:val="subscript"/>
        </w:rPr>
        <w:t>3</w:t>
      </w:r>
      <w:r w:rsidRPr="00F35F4D">
        <w:rPr>
          <w:i/>
          <w:noProof/>
          <w:color w:val="000000"/>
          <w:sz w:val="20"/>
        </w:rPr>
        <w:t>-N kg)</w:t>
      </w:r>
    </w:p>
    <w:p w14:paraId="12442D7B" w14:textId="77777777" w:rsidR="008E3F72" w:rsidRPr="00F35F4D" w:rsidRDefault="008E3F72" w:rsidP="008E3F72">
      <w:pPr>
        <w:widowControl/>
        <w:autoSpaceDE/>
        <w:autoSpaceDN/>
        <w:adjustRightInd/>
        <w:rPr>
          <w:rFonts w:eastAsia="Times New Roman"/>
          <w:i/>
          <w:iCs/>
          <w:noProof/>
          <w:color w:val="000000"/>
          <w:sz w:val="20"/>
          <w:szCs w:val="20"/>
        </w:rPr>
      </w:pPr>
      <w:r w:rsidRPr="00F35F4D">
        <w:rPr>
          <w:i/>
          <w:noProof/>
          <w:color w:val="000000"/>
          <w:sz w:val="20"/>
        </w:rPr>
        <w:t>(NH</w:t>
      </w:r>
      <w:r w:rsidRPr="00F35F4D">
        <w:rPr>
          <w:i/>
          <w:noProof/>
          <w:color w:val="000000"/>
          <w:sz w:val="20"/>
          <w:vertAlign w:val="subscript"/>
        </w:rPr>
        <w:t>3</w:t>
      </w:r>
      <w:r w:rsidRPr="00F35F4D">
        <w:t xml:space="preserve"> </w:t>
      </w:r>
      <w:r w:rsidRPr="00F35F4D">
        <w:rPr>
          <w:i/>
        </w:rPr>
        <w:t>kg</w:t>
      </w:r>
      <w:r w:rsidRPr="00F35F4D">
        <w:tab/>
      </w:r>
      <w:r w:rsidRPr="00F35F4D">
        <w:rPr>
          <w:i/>
          <w:noProof/>
          <w:color w:val="000000"/>
          <w:sz w:val="20"/>
        </w:rPr>
        <w:t>(%)</w:t>
      </w:r>
      <w:r w:rsidRPr="00F35F4D">
        <w:tab/>
      </w:r>
      <w:r w:rsidRPr="00F35F4D">
        <w:tab/>
      </w:r>
    </w:p>
    <w:p w14:paraId="5C919250" w14:textId="77777777" w:rsidR="008E3F72" w:rsidRPr="00F35F4D" w:rsidRDefault="008E3F72" w:rsidP="008E3F72">
      <w:pPr>
        <w:widowControl/>
        <w:autoSpaceDE/>
        <w:autoSpaceDN/>
        <w:adjustRightInd/>
        <w:rPr>
          <w:rFonts w:eastAsia="Times New Roman"/>
          <w:i/>
          <w:iCs/>
          <w:noProof/>
          <w:color w:val="000000"/>
          <w:sz w:val="20"/>
          <w:szCs w:val="20"/>
        </w:rPr>
      </w:pPr>
      <w:r w:rsidRPr="00F35F4D">
        <w:rPr>
          <w:i/>
          <w:noProof/>
          <w:color w:val="000000"/>
          <w:sz w:val="20"/>
        </w:rPr>
        <w:t>no lopvietas gadā)</w:t>
      </w:r>
    </w:p>
    <w:p w14:paraId="57A6DD9B" w14:textId="77777777" w:rsidR="008E3F72" w:rsidRPr="00F35F4D" w:rsidRDefault="008E3F72" w:rsidP="008E3F72">
      <w:pPr>
        <w:widowControl/>
        <w:autoSpaceDE/>
        <w:autoSpaceDN/>
        <w:adjustRightInd/>
        <w:rPr>
          <w:rFonts w:eastAsia="Times New Roman"/>
          <w:noProof/>
          <w:color w:val="000000"/>
          <w:sz w:val="20"/>
          <w:szCs w:val="20"/>
        </w:rPr>
      </w:pPr>
      <w:r w:rsidRPr="00F35F4D">
        <w:rPr>
          <w:noProof/>
          <w:color w:val="000000"/>
          <w:sz w:val="20"/>
        </w:rPr>
        <w:t>Grūsnas sivēnmātes</w:t>
      </w:r>
      <w:r w:rsidRPr="00F35F4D">
        <w:tab/>
      </w:r>
      <w:r w:rsidRPr="00F35F4D">
        <w:rPr>
          <w:noProof/>
          <w:color w:val="000000"/>
          <w:sz w:val="20"/>
        </w:rPr>
        <w:t>4,20</w:t>
      </w:r>
    </w:p>
    <w:tbl>
      <w:tblPr>
        <w:tblW w:w="5000" w:type="pct"/>
        <w:tblCellMar>
          <w:left w:w="0" w:type="dxa"/>
          <w:right w:w="0" w:type="dxa"/>
        </w:tblCellMar>
        <w:tblLook w:val="0000" w:firstRow="0" w:lastRow="0" w:firstColumn="0" w:lastColumn="0" w:noHBand="0" w:noVBand="0"/>
      </w:tblPr>
      <w:tblGrid>
        <w:gridCol w:w="4606"/>
        <w:gridCol w:w="1040"/>
        <w:gridCol w:w="956"/>
        <w:gridCol w:w="897"/>
        <w:gridCol w:w="727"/>
      </w:tblGrid>
      <w:tr w:rsidR="008E3F72" w:rsidRPr="00F35F4D" w14:paraId="164CA803" w14:textId="77777777" w:rsidTr="0010018A">
        <w:tc>
          <w:tcPr>
            <w:tcW w:w="2799" w:type="pct"/>
            <w:tcBorders>
              <w:top w:val="nil"/>
              <w:left w:val="nil"/>
              <w:bottom w:val="nil"/>
              <w:right w:val="nil"/>
            </w:tcBorders>
            <w:shd w:val="clear" w:color="auto" w:fill="FFFFFF"/>
            <w:vAlign w:val="center"/>
          </w:tcPr>
          <w:p w14:paraId="3790554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Kūtsmēslus bieži izvāc ar vakuumsistēmu</w:t>
            </w:r>
          </w:p>
        </w:tc>
        <w:tc>
          <w:tcPr>
            <w:tcW w:w="632" w:type="pct"/>
            <w:tcBorders>
              <w:top w:val="nil"/>
              <w:left w:val="nil"/>
              <w:bottom w:val="nil"/>
              <w:right w:val="nil"/>
            </w:tcBorders>
            <w:shd w:val="clear" w:color="auto" w:fill="FFFFFF"/>
          </w:tcPr>
          <w:p w14:paraId="37247A0E"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vAlign w:val="center"/>
          </w:tcPr>
          <w:p w14:paraId="0D6B4F3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25</w:t>
            </w:r>
          </w:p>
        </w:tc>
        <w:tc>
          <w:tcPr>
            <w:tcW w:w="545" w:type="pct"/>
            <w:tcBorders>
              <w:top w:val="nil"/>
              <w:left w:val="nil"/>
              <w:bottom w:val="nil"/>
              <w:right w:val="nil"/>
            </w:tcBorders>
            <w:shd w:val="clear" w:color="auto" w:fill="FFFFFF"/>
            <w:vAlign w:val="center"/>
          </w:tcPr>
          <w:p w14:paraId="68C9D80D" w14:textId="77777777" w:rsidR="008E3F72" w:rsidRPr="00F35F4D" w:rsidRDefault="008E3F72" w:rsidP="0010018A">
            <w:pPr>
              <w:widowControl/>
              <w:autoSpaceDE/>
              <w:autoSpaceDN/>
              <w:adjustRightInd/>
              <w:spacing w:line="200" w:lineRule="exact"/>
              <w:rPr>
                <w:rFonts w:eastAsia="Times New Roman"/>
                <w:noProof/>
              </w:rPr>
            </w:pPr>
            <w:r w:rsidRPr="00F35F4D">
              <w:rPr>
                <w:noProof/>
                <w:color w:val="000000"/>
                <w:sz w:val="20"/>
              </w:rPr>
              <w:t>0</w:t>
            </w:r>
            <w:r w:rsidRPr="00F35F4D">
              <w:rPr>
                <w:noProof/>
                <w:color w:val="000000"/>
                <w:sz w:val="20"/>
                <w:vertAlign w:val="superscript"/>
              </w:rPr>
              <w:t>b</w:t>
            </w:r>
          </w:p>
        </w:tc>
        <w:tc>
          <w:tcPr>
            <w:tcW w:w="442" w:type="pct"/>
            <w:tcBorders>
              <w:top w:val="nil"/>
              <w:left w:val="nil"/>
              <w:bottom w:val="nil"/>
              <w:right w:val="nil"/>
            </w:tcBorders>
            <w:shd w:val="clear" w:color="auto" w:fill="FFFFFF"/>
            <w:vAlign w:val="center"/>
          </w:tcPr>
          <w:p w14:paraId="22724EFB" w14:textId="77777777" w:rsidR="008E3F72" w:rsidRPr="00F35F4D" w:rsidRDefault="008E3F72" w:rsidP="0010018A">
            <w:pPr>
              <w:widowControl/>
              <w:autoSpaceDE/>
              <w:autoSpaceDN/>
              <w:adjustRightInd/>
              <w:spacing w:line="200" w:lineRule="exact"/>
              <w:rPr>
                <w:rFonts w:eastAsia="Times New Roman"/>
                <w:noProof/>
              </w:rPr>
            </w:pPr>
            <w:r w:rsidRPr="00F35F4D">
              <w:rPr>
                <w:noProof/>
                <w:color w:val="000000"/>
                <w:sz w:val="20"/>
              </w:rPr>
              <w:t>0</w:t>
            </w:r>
            <w:r w:rsidRPr="00F35F4D">
              <w:rPr>
                <w:noProof/>
                <w:color w:val="000000"/>
                <w:sz w:val="20"/>
                <w:vertAlign w:val="superscript"/>
              </w:rPr>
              <w:t>b</w:t>
            </w:r>
          </w:p>
        </w:tc>
      </w:tr>
      <w:tr w:rsidR="008E3F72" w:rsidRPr="00F35F4D" w14:paraId="09FB2189" w14:textId="77777777" w:rsidTr="0010018A">
        <w:tc>
          <w:tcPr>
            <w:tcW w:w="2799" w:type="pct"/>
            <w:tcBorders>
              <w:top w:val="nil"/>
              <w:left w:val="nil"/>
              <w:bottom w:val="nil"/>
              <w:right w:val="nil"/>
            </w:tcBorders>
            <w:shd w:val="clear" w:color="auto" w:fill="FFFFFF"/>
          </w:tcPr>
          <w:p w14:paraId="15D630BE"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Veic reņu skalošanu</w:t>
            </w:r>
          </w:p>
        </w:tc>
        <w:tc>
          <w:tcPr>
            <w:tcW w:w="632" w:type="pct"/>
            <w:tcBorders>
              <w:top w:val="nil"/>
              <w:left w:val="nil"/>
              <w:bottom w:val="nil"/>
              <w:right w:val="nil"/>
            </w:tcBorders>
            <w:shd w:val="clear" w:color="auto" w:fill="FFFFFF"/>
          </w:tcPr>
          <w:p w14:paraId="55189E99"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2C89288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40</w:t>
            </w:r>
          </w:p>
        </w:tc>
        <w:tc>
          <w:tcPr>
            <w:tcW w:w="545" w:type="pct"/>
            <w:tcBorders>
              <w:top w:val="nil"/>
              <w:left w:val="nil"/>
              <w:bottom w:val="nil"/>
              <w:right w:val="nil"/>
            </w:tcBorders>
            <w:shd w:val="clear" w:color="auto" w:fill="FFFFFF"/>
          </w:tcPr>
          <w:p w14:paraId="24E5825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33</w:t>
            </w:r>
          </w:p>
        </w:tc>
        <w:tc>
          <w:tcPr>
            <w:tcW w:w="442" w:type="pct"/>
            <w:tcBorders>
              <w:top w:val="nil"/>
              <w:left w:val="nil"/>
              <w:bottom w:val="nil"/>
              <w:right w:val="nil"/>
            </w:tcBorders>
            <w:shd w:val="clear" w:color="auto" w:fill="FFFFFF"/>
          </w:tcPr>
          <w:p w14:paraId="13C50FC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23</w:t>
            </w:r>
          </w:p>
        </w:tc>
      </w:tr>
      <w:tr w:rsidR="008E3F72" w:rsidRPr="00F35F4D" w14:paraId="1457B3F2" w14:textId="77777777" w:rsidTr="0010018A">
        <w:tc>
          <w:tcPr>
            <w:tcW w:w="2799" w:type="pct"/>
            <w:tcBorders>
              <w:top w:val="nil"/>
              <w:left w:val="nil"/>
              <w:bottom w:val="nil"/>
              <w:right w:val="nil"/>
            </w:tcBorders>
            <w:shd w:val="clear" w:color="auto" w:fill="FFFFFF"/>
          </w:tcPr>
          <w:p w14:paraId="024228E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Veic kūtsmēslu virsmas dzesēšanu</w:t>
            </w:r>
          </w:p>
        </w:tc>
        <w:tc>
          <w:tcPr>
            <w:tcW w:w="632" w:type="pct"/>
            <w:tcBorders>
              <w:top w:val="nil"/>
              <w:left w:val="nil"/>
              <w:bottom w:val="nil"/>
              <w:right w:val="nil"/>
            </w:tcBorders>
            <w:shd w:val="clear" w:color="auto" w:fill="FFFFFF"/>
          </w:tcPr>
          <w:p w14:paraId="3F275512"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62F76DC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45</w:t>
            </w:r>
          </w:p>
        </w:tc>
        <w:tc>
          <w:tcPr>
            <w:tcW w:w="545" w:type="pct"/>
            <w:tcBorders>
              <w:top w:val="nil"/>
              <w:left w:val="nil"/>
              <w:bottom w:val="nil"/>
              <w:right w:val="nil"/>
            </w:tcBorders>
            <w:shd w:val="clear" w:color="auto" w:fill="FFFFFF"/>
          </w:tcPr>
          <w:p w14:paraId="493A6A4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19</w:t>
            </w:r>
          </w:p>
        </w:tc>
        <w:tc>
          <w:tcPr>
            <w:tcW w:w="442" w:type="pct"/>
            <w:tcBorders>
              <w:top w:val="nil"/>
              <w:left w:val="nil"/>
              <w:bottom w:val="nil"/>
              <w:right w:val="nil"/>
            </w:tcBorders>
            <w:shd w:val="clear" w:color="auto" w:fill="FFFFFF"/>
            <w:vAlign w:val="center"/>
          </w:tcPr>
          <w:p w14:paraId="610B94C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12</w:t>
            </w:r>
          </w:p>
        </w:tc>
      </w:tr>
      <w:tr w:rsidR="008E3F72" w:rsidRPr="00F35F4D" w14:paraId="297DE75A" w14:textId="77777777" w:rsidTr="0010018A">
        <w:tc>
          <w:tcPr>
            <w:tcW w:w="2799" w:type="pct"/>
            <w:tcBorders>
              <w:top w:val="nil"/>
              <w:left w:val="nil"/>
              <w:bottom w:val="nil"/>
              <w:right w:val="nil"/>
            </w:tcBorders>
            <w:shd w:val="clear" w:color="auto" w:fill="FFFFFF"/>
            <w:vAlign w:val="bottom"/>
          </w:tcPr>
          <w:p w14:paraId="039F04FD" w14:textId="50FC86FC" w:rsidR="008E3F72" w:rsidRPr="00F35F4D" w:rsidRDefault="00E501A1" w:rsidP="0010018A">
            <w:pPr>
              <w:widowControl/>
              <w:autoSpaceDE/>
              <w:autoSpaceDN/>
              <w:adjustRightInd/>
              <w:rPr>
                <w:rFonts w:eastAsia="Times New Roman"/>
                <w:noProof/>
                <w:color w:val="000000"/>
                <w:sz w:val="20"/>
                <w:szCs w:val="20"/>
              </w:rPr>
            </w:pPr>
            <w:r>
              <w:rPr>
                <w:noProof/>
                <w:color w:val="000000"/>
                <w:sz w:val="20"/>
              </w:rPr>
              <w:t>(Grupu) novietnes, kur ēdināšanas</w:t>
            </w:r>
            <w:r w:rsidR="008E3F72" w:rsidRPr="00F35F4D">
              <w:rPr>
                <w:noProof/>
                <w:color w:val="000000"/>
                <w:sz w:val="20"/>
              </w:rPr>
              <w:t xml:space="preserve"> iekārtām un kūtsmēslu krātuvei ir slīpas sienas</w:t>
            </w:r>
          </w:p>
        </w:tc>
        <w:tc>
          <w:tcPr>
            <w:tcW w:w="632" w:type="pct"/>
            <w:tcBorders>
              <w:top w:val="nil"/>
              <w:left w:val="nil"/>
              <w:bottom w:val="nil"/>
              <w:right w:val="nil"/>
            </w:tcBorders>
            <w:shd w:val="clear" w:color="auto" w:fill="FFFFFF"/>
          </w:tcPr>
          <w:p w14:paraId="068F08A0"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384A83C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45</w:t>
            </w:r>
          </w:p>
        </w:tc>
        <w:tc>
          <w:tcPr>
            <w:tcW w:w="545" w:type="pct"/>
            <w:tcBorders>
              <w:top w:val="nil"/>
              <w:left w:val="nil"/>
              <w:bottom w:val="nil"/>
              <w:right w:val="nil"/>
            </w:tcBorders>
            <w:shd w:val="clear" w:color="auto" w:fill="FFFFFF"/>
            <w:vAlign w:val="center"/>
          </w:tcPr>
          <w:p w14:paraId="1DADE56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16</w:t>
            </w:r>
          </w:p>
        </w:tc>
        <w:tc>
          <w:tcPr>
            <w:tcW w:w="442" w:type="pct"/>
            <w:tcBorders>
              <w:top w:val="nil"/>
              <w:left w:val="nil"/>
              <w:bottom w:val="nil"/>
              <w:right w:val="nil"/>
            </w:tcBorders>
            <w:shd w:val="clear" w:color="auto" w:fill="FFFFFF"/>
            <w:vAlign w:val="center"/>
          </w:tcPr>
          <w:p w14:paraId="334642D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10</w:t>
            </w:r>
          </w:p>
        </w:tc>
      </w:tr>
      <w:tr w:rsidR="008E3F72" w:rsidRPr="00F35F4D" w14:paraId="0822B7BA" w14:textId="77777777" w:rsidTr="0010018A">
        <w:tc>
          <w:tcPr>
            <w:tcW w:w="2799" w:type="pct"/>
            <w:tcBorders>
              <w:top w:val="nil"/>
              <w:left w:val="nil"/>
              <w:bottom w:val="nil"/>
              <w:right w:val="nil"/>
            </w:tcBorders>
            <w:shd w:val="clear" w:color="auto" w:fill="FFFFFF"/>
            <w:vAlign w:val="center"/>
          </w:tcPr>
          <w:p w14:paraId="5E212D9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Peldošas lodītes uz kūtsmēslu virsmas (2. kat.)</w:t>
            </w:r>
          </w:p>
        </w:tc>
        <w:tc>
          <w:tcPr>
            <w:tcW w:w="632" w:type="pct"/>
            <w:tcBorders>
              <w:top w:val="nil"/>
              <w:left w:val="nil"/>
              <w:bottom w:val="nil"/>
              <w:right w:val="nil"/>
            </w:tcBorders>
            <w:shd w:val="clear" w:color="auto" w:fill="FFFFFF"/>
          </w:tcPr>
          <w:p w14:paraId="39DF58D8"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vAlign w:val="center"/>
          </w:tcPr>
          <w:p w14:paraId="48601F8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25</w:t>
            </w:r>
          </w:p>
        </w:tc>
        <w:tc>
          <w:tcPr>
            <w:tcW w:w="545" w:type="pct"/>
            <w:tcBorders>
              <w:top w:val="nil"/>
              <w:left w:val="nil"/>
              <w:bottom w:val="nil"/>
              <w:right w:val="nil"/>
            </w:tcBorders>
            <w:shd w:val="clear" w:color="auto" w:fill="FFFFFF"/>
            <w:vAlign w:val="center"/>
          </w:tcPr>
          <w:p w14:paraId="2AA6355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14</w:t>
            </w:r>
          </w:p>
        </w:tc>
        <w:tc>
          <w:tcPr>
            <w:tcW w:w="442" w:type="pct"/>
            <w:tcBorders>
              <w:top w:val="nil"/>
              <w:left w:val="nil"/>
              <w:bottom w:val="nil"/>
              <w:right w:val="nil"/>
            </w:tcBorders>
            <w:shd w:val="clear" w:color="auto" w:fill="FFFFFF"/>
            <w:vAlign w:val="center"/>
          </w:tcPr>
          <w:p w14:paraId="4559266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16</w:t>
            </w:r>
          </w:p>
        </w:tc>
      </w:tr>
      <w:tr w:rsidR="008E3F72" w:rsidRPr="00F35F4D" w14:paraId="34EC36DD" w14:textId="77777777" w:rsidTr="0010018A">
        <w:tc>
          <w:tcPr>
            <w:tcW w:w="2799" w:type="pct"/>
            <w:tcBorders>
              <w:top w:val="nil"/>
              <w:left w:val="nil"/>
              <w:bottom w:val="nil"/>
              <w:right w:val="nil"/>
            </w:tcBorders>
            <w:shd w:val="clear" w:color="auto" w:fill="FFFFFF"/>
            <w:vAlign w:val="bottom"/>
          </w:tcPr>
          <w:p w14:paraId="36EF158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Veic gaisa attīrīšanu ar skruberiem</w:t>
            </w:r>
          </w:p>
          <w:p w14:paraId="0D1A271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Sivēnmātes laktācijas stadijā</w:t>
            </w:r>
          </w:p>
        </w:tc>
        <w:tc>
          <w:tcPr>
            <w:tcW w:w="632" w:type="pct"/>
            <w:tcBorders>
              <w:top w:val="nil"/>
              <w:left w:val="nil"/>
              <w:bottom w:val="nil"/>
              <w:right w:val="nil"/>
            </w:tcBorders>
            <w:shd w:val="clear" w:color="auto" w:fill="FFFFFF"/>
            <w:vAlign w:val="bottom"/>
          </w:tcPr>
          <w:p w14:paraId="3F5ACD5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8,30</w:t>
            </w:r>
          </w:p>
        </w:tc>
        <w:tc>
          <w:tcPr>
            <w:tcW w:w="581" w:type="pct"/>
            <w:tcBorders>
              <w:top w:val="nil"/>
              <w:left w:val="nil"/>
              <w:bottom w:val="nil"/>
              <w:right w:val="nil"/>
            </w:tcBorders>
            <w:shd w:val="clear" w:color="auto" w:fill="FFFFFF"/>
          </w:tcPr>
          <w:p w14:paraId="1985361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70–90</w:t>
            </w:r>
          </w:p>
        </w:tc>
        <w:tc>
          <w:tcPr>
            <w:tcW w:w="545" w:type="pct"/>
            <w:tcBorders>
              <w:top w:val="nil"/>
              <w:left w:val="nil"/>
              <w:bottom w:val="nil"/>
              <w:right w:val="nil"/>
            </w:tcBorders>
            <w:shd w:val="clear" w:color="auto" w:fill="FFFFFF"/>
          </w:tcPr>
          <w:p w14:paraId="2679BB6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22–30</w:t>
            </w:r>
          </w:p>
        </w:tc>
        <w:tc>
          <w:tcPr>
            <w:tcW w:w="442" w:type="pct"/>
            <w:tcBorders>
              <w:top w:val="nil"/>
              <w:left w:val="nil"/>
              <w:bottom w:val="nil"/>
              <w:right w:val="nil"/>
            </w:tcBorders>
            <w:shd w:val="clear" w:color="auto" w:fill="FFFFFF"/>
          </w:tcPr>
          <w:p w14:paraId="2716E8C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8–10</w:t>
            </w:r>
          </w:p>
        </w:tc>
      </w:tr>
      <w:tr w:rsidR="008E3F72" w:rsidRPr="00F35F4D" w14:paraId="543C7968" w14:textId="77777777" w:rsidTr="0010018A">
        <w:tc>
          <w:tcPr>
            <w:tcW w:w="2799" w:type="pct"/>
            <w:tcBorders>
              <w:top w:val="nil"/>
              <w:left w:val="nil"/>
              <w:bottom w:val="nil"/>
              <w:right w:val="nil"/>
            </w:tcBorders>
            <w:shd w:val="clear" w:color="auto" w:fill="FFFFFF"/>
          </w:tcPr>
          <w:p w14:paraId="650194B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Ūdens noteces un kūtsmēslu kanāls</w:t>
            </w:r>
          </w:p>
        </w:tc>
        <w:tc>
          <w:tcPr>
            <w:tcW w:w="632" w:type="pct"/>
            <w:tcBorders>
              <w:top w:val="nil"/>
              <w:left w:val="nil"/>
              <w:bottom w:val="nil"/>
              <w:right w:val="nil"/>
            </w:tcBorders>
            <w:shd w:val="clear" w:color="auto" w:fill="FFFFFF"/>
          </w:tcPr>
          <w:p w14:paraId="08B27DC2"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428F301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50</w:t>
            </w:r>
          </w:p>
        </w:tc>
        <w:tc>
          <w:tcPr>
            <w:tcW w:w="545" w:type="pct"/>
            <w:tcBorders>
              <w:top w:val="nil"/>
              <w:left w:val="nil"/>
              <w:bottom w:val="nil"/>
              <w:right w:val="nil"/>
            </w:tcBorders>
            <w:shd w:val="clear" w:color="auto" w:fill="FFFFFF"/>
            <w:vAlign w:val="center"/>
          </w:tcPr>
          <w:p w14:paraId="0A34366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w:t>
            </w:r>
          </w:p>
        </w:tc>
        <w:tc>
          <w:tcPr>
            <w:tcW w:w="442" w:type="pct"/>
            <w:tcBorders>
              <w:top w:val="nil"/>
              <w:left w:val="nil"/>
              <w:bottom w:val="nil"/>
              <w:right w:val="nil"/>
            </w:tcBorders>
            <w:shd w:val="clear" w:color="auto" w:fill="FFFFFF"/>
          </w:tcPr>
          <w:p w14:paraId="1016C2D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0,5</w:t>
            </w:r>
          </w:p>
        </w:tc>
      </w:tr>
      <w:tr w:rsidR="008E3F72" w:rsidRPr="00F35F4D" w14:paraId="5B461D19" w14:textId="77777777" w:rsidTr="0010018A">
        <w:tc>
          <w:tcPr>
            <w:tcW w:w="2799" w:type="pct"/>
            <w:tcBorders>
              <w:top w:val="nil"/>
              <w:left w:val="nil"/>
              <w:bottom w:val="nil"/>
              <w:right w:val="nil"/>
            </w:tcBorders>
            <w:shd w:val="clear" w:color="auto" w:fill="FFFFFF"/>
          </w:tcPr>
          <w:p w14:paraId="2F0A6E7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Zemgrīdas kūtsmēslu vanna</w:t>
            </w:r>
          </w:p>
        </w:tc>
        <w:tc>
          <w:tcPr>
            <w:tcW w:w="632" w:type="pct"/>
            <w:tcBorders>
              <w:top w:val="nil"/>
              <w:left w:val="nil"/>
              <w:bottom w:val="nil"/>
              <w:right w:val="nil"/>
            </w:tcBorders>
            <w:shd w:val="clear" w:color="auto" w:fill="FFFFFF"/>
          </w:tcPr>
          <w:p w14:paraId="3E3B887E"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0CF0206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65</w:t>
            </w:r>
          </w:p>
        </w:tc>
        <w:tc>
          <w:tcPr>
            <w:tcW w:w="545" w:type="pct"/>
            <w:tcBorders>
              <w:top w:val="nil"/>
              <w:left w:val="nil"/>
              <w:bottom w:val="nil"/>
              <w:right w:val="nil"/>
            </w:tcBorders>
            <w:shd w:val="clear" w:color="auto" w:fill="FFFFFF"/>
          </w:tcPr>
          <w:p w14:paraId="7317754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40–45</w:t>
            </w:r>
          </w:p>
        </w:tc>
        <w:tc>
          <w:tcPr>
            <w:tcW w:w="442" w:type="pct"/>
            <w:tcBorders>
              <w:top w:val="nil"/>
              <w:left w:val="nil"/>
              <w:bottom w:val="nil"/>
              <w:right w:val="nil"/>
            </w:tcBorders>
            <w:shd w:val="clear" w:color="auto" w:fill="FFFFFF"/>
          </w:tcPr>
          <w:p w14:paraId="65FAA2D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9</w:t>
            </w:r>
          </w:p>
        </w:tc>
      </w:tr>
      <w:tr w:rsidR="008E3F72" w:rsidRPr="00F35F4D" w14:paraId="37422F35" w14:textId="77777777" w:rsidTr="0010018A">
        <w:tc>
          <w:tcPr>
            <w:tcW w:w="2799" w:type="pct"/>
            <w:tcBorders>
              <w:top w:val="nil"/>
              <w:left w:val="nil"/>
              <w:bottom w:val="nil"/>
              <w:right w:val="nil"/>
            </w:tcBorders>
            <w:shd w:val="clear" w:color="auto" w:fill="FFFFFF"/>
          </w:tcPr>
          <w:p w14:paraId="2BD71FC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Veic kūtsmēslu virsmas dzesēšanu</w:t>
            </w:r>
          </w:p>
        </w:tc>
        <w:tc>
          <w:tcPr>
            <w:tcW w:w="632" w:type="pct"/>
            <w:tcBorders>
              <w:top w:val="nil"/>
              <w:left w:val="nil"/>
              <w:bottom w:val="nil"/>
              <w:right w:val="nil"/>
            </w:tcBorders>
            <w:shd w:val="clear" w:color="auto" w:fill="FFFFFF"/>
          </w:tcPr>
          <w:p w14:paraId="76E9D027"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02E36C5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45</w:t>
            </w:r>
          </w:p>
        </w:tc>
        <w:tc>
          <w:tcPr>
            <w:tcW w:w="545" w:type="pct"/>
            <w:tcBorders>
              <w:top w:val="nil"/>
              <w:left w:val="nil"/>
              <w:bottom w:val="nil"/>
              <w:right w:val="nil"/>
            </w:tcBorders>
            <w:shd w:val="clear" w:color="auto" w:fill="FFFFFF"/>
          </w:tcPr>
          <w:p w14:paraId="69C02F5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45</w:t>
            </w:r>
          </w:p>
        </w:tc>
        <w:tc>
          <w:tcPr>
            <w:tcW w:w="442" w:type="pct"/>
            <w:tcBorders>
              <w:top w:val="nil"/>
              <w:left w:val="nil"/>
              <w:bottom w:val="nil"/>
              <w:right w:val="nil"/>
            </w:tcBorders>
            <w:shd w:val="clear" w:color="auto" w:fill="FFFFFF"/>
          </w:tcPr>
          <w:p w14:paraId="0CE48EA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15</w:t>
            </w:r>
          </w:p>
        </w:tc>
      </w:tr>
      <w:tr w:rsidR="008E3F72" w:rsidRPr="00F35F4D" w14:paraId="75EEC0F2" w14:textId="77777777" w:rsidTr="0010018A">
        <w:tc>
          <w:tcPr>
            <w:tcW w:w="2799" w:type="pct"/>
            <w:tcBorders>
              <w:top w:val="nil"/>
              <w:left w:val="nil"/>
              <w:bottom w:val="nil"/>
              <w:right w:val="nil"/>
            </w:tcBorders>
            <w:shd w:val="clear" w:color="auto" w:fill="FFFFFF"/>
            <w:vAlign w:val="center"/>
          </w:tcPr>
          <w:p w14:paraId="0119CC1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Peldošas lodītes uz kūtsmēslu virsmas (2. kat.)</w:t>
            </w:r>
          </w:p>
        </w:tc>
        <w:tc>
          <w:tcPr>
            <w:tcW w:w="632" w:type="pct"/>
            <w:tcBorders>
              <w:top w:val="nil"/>
              <w:left w:val="nil"/>
              <w:bottom w:val="nil"/>
              <w:right w:val="nil"/>
            </w:tcBorders>
            <w:shd w:val="clear" w:color="auto" w:fill="FFFFFF"/>
          </w:tcPr>
          <w:p w14:paraId="55B82F6E"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vAlign w:val="center"/>
          </w:tcPr>
          <w:p w14:paraId="16005FF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25</w:t>
            </w:r>
          </w:p>
        </w:tc>
        <w:tc>
          <w:tcPr>
            <w:tcW w:w="545" w:type="pct"/>
            <w:tcBorders>
              <w:top w:val="nil"/>
              <w:left w:val="nil"/>
              <w:bottom w:val="nil"/>
              <w:right w:val="nil"/>
            </w:tcBorders>
            <w:shd w:val="clear" w:color="auto" w:fill="FFFFFF"/>
            <w:vAlign w:val="center"/>
          </w:tcPr>
          <w:p w14:paraId="276E2CDF"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14</w:t>
            </w:r>
          </w:p>
        </w:tc>
        <w:tc>
          <w:tcPr>
            <w:tcW w:w="442" w:type="pct"/>
            <w:tcBorders>
              <w:top w:val="nil"/>
              <w:left w:val="nil"/>
              <w:bottom w:val="nil"/>
              <w:right w:val="nil"/>
            </w:tcBorders>
            <w:shd w:val="clear" w:color="auto" w:fill="FFFFFF"/>
            <w:vAlign w:val="center"/>
          </w:tcPr>
          <w:p w14:paraId="48BC2BF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8</w:t>
            </w:r>
          </w:p>
        </w:tc>
      </w:tr>
      <w:tr w:rsidR="008E3F72" w:rsidRPr="00F35F4D" w14:paraId="66C5FBA2" w14:textId="77777777" w:rsidTr="0010018A">
        <w:tc>
          <w:tcPr>
            <w:tcW w:w="2799" w:type="pct"/>
            <w:tcBorders>
              <w:top w:val="nil"/>
              <w:left w:val="nil"/>
              <w:bottom w:val="nil"/>
              <w:right w:val="nil"/>
            </w:tcBorders>
            <w:shd w:val="clear" w:color="auto" w:fill="FFFFFF"/>
          </w:tcPr>
          <w:p w14:paraId="636D028B"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Veic gaisa attīrīšanu ar skruberiem</w:t>
            </w:r>
          </w:p>
          <w:p w14:paraId="6807676F"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Atšķirti sivēni</w:t>
            </w:r>
          </w:p>
        </w:tc>
        <w:tc>
          <w:tcPr>
            <w:tcW w:w="632" w:type="pct"/>
            <w:tcBorders>
              <w:top w:val="nil"/>
              <w:left w:val="nil"/>
              <w:bottom w:val="nil"/>
              <w:right w:val="nil"/>
            </w:tcBorders>
            <w:shd w:val="clear" w:color="auto" w:fill="FFFFFF"/>
            <w:vAlign w:val="bottom"/>
          </w:tcPr>
          <w:p w14:paraId="7F17FE7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0,65</w:t>
            </w:r>
          </w:p>
        </w:tc>
        <w:tc>
          <w:tcPr>
            <w:tcW w:w="581" w:type="pct"/>
            <w:tcBorders>
              <w:top w:val="nil"/>
              <w:left w:val="nil"/>
              <w:bottom w:val="nil"/>
              <w:right w:val="nil"/>
            </w:tcBorders>
            <w:shd w:val="clear" w:color="auto" w:fill="FFFFFF"/>
          </w:tcPr>
          <w:p w14:paraId="5689FFB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70–90</w:t>
            </w:r>
          </w:p>
        </w:tc>
        <w:tc>
          <w:tcPr>
            <w:tcW w:w="545" w:type="pct"/>
            <w:tcBorders>
              <w:top w:val="nil"/>
              <w:left w:val="nil"/>
              <w:bottom w:val="nil"/>
              <w:right w:val="nil"/>
            </w:tcBorders>
            <w:shd w:val="clear" w:color="auto" w:fill="FFFFFF"/>
          </w:tcPr>
          <w:p w14:paraId="0723B2E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35–50</w:t>
            </w:r>
          </w:p>
        </w:tc>
        <w:tc>
          <w:tcPr>
            <w:tcW w:w="442" w:type="pct"/>
            <w:tcBorders>
              <w:top w:val="nil"/>
              <w:left w:val="nil"/>
              <w:bottom w:val="nil"/>
              <w:right w:val="nil"/>
            </w:tcBorders>
            <w:shd w:val="clear" w:color="auto" w:fill="FFFFFF"/>
          </w:tcPr>
          <w:p w14:paraId="7F93DE59"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7–10</w:t>
            </w:r>
          </w:p>
        </w:tc>
      </w:tr>
      <w:tr w:rsidR="008E3F72" w:rsidRPr="00F35F4D" w14:paraId="74F242AD" w14:textId="77777777" w:rsidTr="0010018A">
        <w:tc>
          <w:tcPr>
            <w:tcW w:w="2799" w:type="pct"/>
            <w:tcBorders>
              <w:top w:val="nil"/>
              <w:left w:val="nil"/>
              <w:bottom w:val="nil"/>
              <w:right w:val="nil"/>
            </w:tcBorders>
            <w:shd w:val="clear" w:color="auto" w:fill="FFFFFF"/>
            <w:vAlign w:val="center"/>
          </w:tcPr>
          <w:p w14:paraId="5453671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Daļā grīdas ierīkotas redeles, un samazināta zemgrīdas krātuve</w:t>
            </w:r>
          </w:p>
        </w:tc>
        <w:tc>
          <w:tcPr>
            <w:tcW w:w="632" w:type="pct"/>
            <w:tcBorders>
              <w:top w:val="nil"/>
              <w:left w:val="nil"/>
              <w:bottom w:val="nil"/>
              <w:right w:val="nil"/>
            </w:tcBorders>
            <w:shd w:val="clear" w:color="auto" w:fill="FFFFFF"/>
          </w:tcPr>
          <w:p w14:paraId="1EA5E2A0"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vAlign w:val="center"/>
          </w:tcPr>
          <w:p w14:paraId="5CF3D9BB"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25–35</w:t>
            </w:r>
          </w:p>
        </w:tc>
        <w:tc>
          <w:tcPr>
            <w:tcW w:w="545" w:type="pct"/>
            <w:tcBorders>
              <w:top w:val="nil"/>
              <w:left w:val="nil"/>
              <w:bottom w:val="nil"/>
              <w:right w:val="nil"/>
            </w:tcBorders>
            <w:shd w:val="clear" w:color="auto" w:fill="FFFFFF"/>
            <w:vAlign w:val="center"/>
          </w:tcPr>
          <w:p w14:paraId="11F4D15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0</w:t>
            </w:r>
          </w:p>
        </w:tc>
        <w:tc>
          <w:tcPr>
            <w:tcW w:w="442" w:type="pct"/>
            <w:tcBorders>
              <w:top w:val="nil"/>
              <w:left w:val="nil"/>
              <w:bottom w:val="nil"/>
              <w:right w:val="nil"/>
            </w:tcBorders>
            <w:shd w:val="clear" w:color="auto" w:fill="FFFFFF"/>
            <w:vAlign w:val="center"/>
          </w:tcPr>
          <w:p w14:paraId="780F105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0</w:t>
            </w:r>
          </w:p>
        </w:tc>
      </w:tr>
      <w:tr w:rsidR="008E3F72" w:rsidRPr="00F35F4D" w14:paraId="5DFFC2F9" w14:textId="77777777" w:rsidTr="0010018A">
        <w:tc>
          <w:tcPr>
            <w:tcW w:w="2799" w:type="pct"/>
            <w:tcBorders>
              <w:top w:val="nil"/>
              <w:left w:val="nil"/>
              <w:bottom w:val="nil"/>
              <w:right w:val="nil"/>
            </w:tcBorders>
            <w:shd w:val="clear" w:color="auto" w:fill="FFFFFF"/>
            <w:vAlign w:val="center"/>
          </w:tcPr>
          <w:p w14:paraId="0CF4D0E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Kūtsmēslus bieži izvāc ar vakuumsistēmu</w:t>
            </w:r>
          </w:p>
        </w:tc>
        <w:tc>
          <w:tcPr>
            <w:tcW w:w="632" w:type="pct"/>
            <w:tcBorders>
              <w:top w:val="nil"/>
              <w:left w:val="nil"/>
              <w:bottom w:val="nil"/>
              <w:right w:val="nil"/>
            </w:tcBorders>
            <w:shd w:val="clear" w:color="auto" w:fill="FFFFFF"/>
          </w:tcPr>
          <w:p w14:paraId="26FDD5C0"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vAlign w:val="center"/>
          </w:tcPr>
          <w:p w14:paraId="72FDFF5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25</w:t>
            </w:r>
          </w:p>
        </w:tc>
        <w:tc>
          <w:tcPr>
            <w:tcW w:w="545" w:type="pct"/>
            <w:tcBorders>
              <w:top w:val="nil"/>
              <w:left w:val="nil"/>
              <w:bottom w:val="nil"/>
              <w:right w:val="nil"/>
            </w:tcBorders>
            <w:shd w:val="clear" w:color="auto" w:fill="FFFFFF"/>
            <w:vAlign w:val="center"/>
          </w:tcPr>
          <w:p w14:paraId="153894BB" w14:textId="77777777" w:rsidR="008E3F72" w:rsidRPr="00F35F4D" w:rsidRDefault="008E3F72" w:rsidP="0010018A">
            <w:pPr>
              <w:widowControl/>
              <w:autoSpaceDE/>
              <w:autoSpaceDN/>
              <w:adjustRightInd/>
              <w:spacing w:line="200" w:lineRule="exact"/>
              <w:rPr>
                <w:rFonts w:eastAsia="Times New Roman"/>
                <w:noProof/>
              </w:rPr>
            </w:pPr>
            <w:r w:rsidRPr="00F35F4D">
              <w:rPr>
                <w:noProof/>
                <w:color w:val="000000"/>
                <w:sz w:val="20"/>
              </w:rPr>
              <w:t>0</w:t>
            </w:r>
            <w:r w:rsidRPr="00F35F4D">
              <w:rPr>
                <w:noProof/>
                <w:color w:val="000000"/>
                <w:sz w:val="20"/>
                <w:vertAlign w:val="superscript"/>
              </w:rPr>
              <w:t>b</w:t>
            </w:r>
          </w:p>
        </w:tc>
        <w:tc>
          <w:tcPr>
            <w:tcW w:w="442" w:type="pct"/>
            <w:tcBorders>
              <w:top w:val="nil"/>
              <w:left w:val="nil"/>
              <w:bottom w:val="nil"/>
              <w:right w:val="nil"/>
            </w:tcBorders>
            <w:shd w:val="clear" w:color="auto" w:fill="FFFFFF"/>
            <w:vAlign w:val="center"/>
          </w:tcPr>
          <w:p w14:paraId="36AE765E" w14:textId="77777777" w:rsidR="008E3F72" w:rsidRPr="00F35F4D" w:rsidRDefault="008E3F72" w:rsidP="0010018A">
            <w:pPr>
              <w:widowControl/>
              <w:autoSpaceDE/>
              <w:autoSpaceDN/>
              <w:adjustRightInd/>
              <w:spacing w:line="200" w:lineRule="exact"/>
              <w:rPr>
                <w:rFonts w:eastAsia="Times New Roman"/>
                <w:noProof/>
              </w:rPr>
            </w:pPr>
            <w:r w:rsidRPr="00F35F4D">
              <w:rPr>
                <w:noProof/>
                <w:color w:val="000000"/>
                <w:sz w:val="20"/>
              </w:rPr>
              <w:t>0</w:t>
            </w:r>
            <w:r w:rsidRPr="00F35F4D">
              <w:rPr>
                <w:noProof/>
                <w:color w:val="000000"/>
                <w:sz w:val="20"/>
                <w:vertAlign w:val="superscript"/>
              </w:rPr>
              <w:t>b</w:t>
            </w:r>
          </w:p>
        </w:tc>
      </w:tr>
      <w:tr w:rsidR="008E3F72" w:rsidRPr="00F35F4D" w14:paraId="24B25F53" w14:textId="77777777" w:rsidTr="0010018A">
        <w:tc>
          <w:tcPr>
            <w:tcW w:w="2799" w:type="pct"/>
            <w:tcBorders>
              <w:top w:val="nil"/>
              <w:left w:val="nil"/>
              <w:bottom w:val="nil"/>
              <w:right w:val="nil"/>
            </w:tcBorders>
            <w:shd w:val="clear" w:color="auto" w:fill="FFFFFF"/>
          </w:tcPr>
          <w:p w14:paraId="37E7A79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Daļā grīdas ierīkotas redeles, un tiek veikta reņu skalošana</w:t>
            </w:r>
          </w:p>
        </w:tc>
        <w:tc>
          <w:tcPr>
            <w:tcW w:w="632" w:type="pct"/>
            <w:tcBorders>
              <w:top w:val="nil"/>
              <w:left w:val="nil"/>
              <w:bottom w:val="nil"/>
              <w:right w:val="nil"/>
            </w:tcBorders>
            <w:shd w:val="clear" w:color="auto" w:fill="FFFFFF"/>
          </w:tcPr>
          <w:p w14:paraId="4D154397"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43CEDBB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65</w:t>
            </w:r>
          </w:p>
        </w:tc>
        <w:tc>
          <w:tcPr>
            <w:tcW w:w="545" w:type="pct"/>
            <w:tcBorders>
              <w:top w:val="nil"/>
              <w:left w:val="nil"/>
              <w:bottom w:val="nil"/>
              <w:right w:val="nil"/>
            </w:tcBorders>
            <w:shd w:val="clear" w:color="auto" w:fill="FFFFFF"/>
          </w:tcPr>
          <w:p w14:paraId="71D09A0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5</w:t>
            </w:r>
          </w:p>
        </w:tc>
        <w:tc>
          <w:tcPr>
            <w:tcW w:w="442" w:type="pct"/>
            <w:tcBorders>
              <w:top w:val="nil"/>
              <w:left w:val="nil"/>
              <w:bottom w:val="nil"/>
              <w:right w:val="nil"/>
            </w:tcBorders>
            <w:shd w:val="clear" w:color="auto" w:fill="FFFFFF"/>
          </w:tcPr>
          <w:p w14:paraId="6AB108F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14</w:t>
            </w:r>
          </w:p>
        </w:tc>
      </w:tr>
      <w:tr w:rsidR="008E3F72" w:rsidRPr="00F35F4D" w14:paraId="40E43073" w14:textId="77777777" w:rsidTr="0010018A">
        <w:tc>
          <w:tcPr>
            <w:tcW w:w="2799" w:type="pct"/>
            <w:tcBorders>
              <w:top w:val="nil"/>
              <w:left w:val="nil"/>
              <w:bottom w:val="nil"/>
              <w:right w:val="nil"/>
            </w:tcBorders>
            <w:shd w:val="clear" w:color="auto" w:fill="FFFFFF"/>
          </w:tcPr>
          <w:p w14:paraId="69FFBA5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Daļā grīdas ierīkotas redeles, un kūtsmēslus savāc paskābinātā šķidrumā</w:t>
            </w:r>
          </w:p>
        </w:tc>
        <w:tc>
          <w:tcPr>
            <w:tcW w:w="632" w:type="pct"/>
            <w:tcBorders>
              <w:top w:val="nil"/>
              <w:left w:val="nil"/>
              <w:bottom w:val="nil"/>
              <w:right w:val="nil"/>
            </w:tcBorders>
            <w:shd w:val="clear" w:color="auto" w:fill="FFFFFF"/>
          </w:tcPr>
          <w:p w14:paraId="129C3E27"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vAlign w:val="center"/>
          </w:tcPr>
          <w:p w14:paraId="0F09078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60</w:t>
            </w:r>
          </w:p>
        </w:tc>
        <w:tc>
          <w:tcPr>
            <w:tcW w:w="545" w:type="pct"/>
            <w:tcBorders>
              <w:top w:val="nil"/>
              <w:left w:val="nil"/>
              <w:bottom w:val="nil"/>
              <w:right w:val="nil"/>
            </w:tcBorders>
            <w:shd w:val="clear" w:color="auto" w:fill="FFFFFF"/>
          </w:tcPr>
          <w:p w14:paraId="6872AA1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5</w:t>
            </w:r>
          </w:p>
        </w:tc>
        <w:tc>
          <w:tcPr>
            <w:tcW w:w="442" w:type="pct"/>
            <w:tcBorders>
              <w:top w:val="nil"/>
              <w:left w:val="nil"/>
              <w:bottom w:val="nil"/>
              <w:right w:val="nil"/>
            </w:tcBorders>
            <w:shd w:val="clear" w:color="auto" w:fill="FFFFFF"/>
          </w:tcPr>
          <w:p w14:paraId="11F3613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15</w:t>
            </w:r>
          </w:p>
        </w:tc>
      </w:tr>
      <w:tr w:rsidR="008E3F72" w:rsidRPr="00F35F4D" w14:paraId="39F41610" w14:textId="77777777" w:rsidTr="0010018A">
        <w:tc>
          <w:tcPr>
            <w:tcW w:w="2799" w:type="pct"/>
            <w:tcBorders>
              <w:top w:val="nil"/>
              <w:left w:val="nil"/>
              <w:bottom w:val="nil"/>
              <w:right w:val="nil"/>
            </w:tcBorders>
            <w:shd w:val="clear" w:color="auto" w:fill="FFFFFF"/>
          </w:tcPr>
          <w:p w14:paraId="0D23869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Daļā grīdas ierīkotas redeles, un veic kūtsmēslu virsmas dzesēšanu</w:t>
            </w:r>
          </w:p>
        </w:tc>
        <w:tc>
          <w:tcPr>
            <w:tcW w:w="632" w:type="pct"/>
            <w:tcBorders>
              <w:top w:val="nil"/>
              <w:left w:val="nil"/>
              <w:bottom w:val="nil"/>
              <w:right w:val="nil"/>
            </w:tcBorders>
            <w:shd w:val="clear" w:color="auto" w:fill="FFFFFF"/>
          </w:tcPr>
          <w:p w14:paraId="26EF2E64"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40D37C8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75</w:t>
            </w:r>
          </w:p>
        </w:tc>
        <w:tc>
          <w:tcPr>
            <w:tcW w:w="545" w:type="pct"/>
            <w:tcBorders>
              <w:top w:val="nil"/>
              <w:left w:val="nil"/>
              <w:bottom w:val="nil"/>
              <w:right w:val="nil"/>
            </w:tcBorders>
            <w:shd w:val="clear" w:color="auto" w:fill="FFFFFF"/>
          </w:tcPr>
          <w:p w14:paraId="0C5C5A5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3–4</w:t>
            </w:r>
          </w:p>
        </w:tc>
        <w:tc>
          <w:tcPr>
            <w:tcW w:w="442" w:type="pct"/>
            <w:tcBorders>
              <w:top w:val="nil"/>
              <w:left w:val="nil"/>
              <w:bottom w:val="nil"/>
              <w:right w:val="nil"/>
            </w:tcBorders>
            <w:shd w:val="clear" w:color="auto" w:fill="FFFFFF"/>
          </w:tcPr>
          <w:p w14:paraId="4E01E67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7–10</w:t>
            </w:r>
          </w:p>
        </w:tc>
      </w:tr>
      <w:tr w:rsidR="008E3F72" w:rsidRPr="00F35F4D" w14:paraId="634D3E2E" w14:textId="77777777" w:rsidTr="0010018A">
        <w:tc>
          <w:tcPr>
            <w:tcW w:w="2799" w:type="pct"/>
            <w:tcBorders>
              <w:top w:val="nil"/>
              <w:left w:val="nil"/>
              <w:bottom w:val="nil"/>
              <w:right w:val="nil"/>
            </w:tcBorders>
            <w:shd w:val="clear" w:color="auto" w:fill="FFFFFF"/>
          </w:tcPr>
          <w:p w14:paraId="63FF36AE" w14:textId="77777777" w:rsidR="008E3F72" w:rsidRPr="00F35F4D" w:rsidRDefault="008E3F72" w:rsidP="0010018A">
            <w:pPr>
              <w:widowControl/>
              <w:autoSpaceDE/>
              <w:autoSpaceDN/>
              <w:adjustRightInd/>
              <w:rPr>
                <w:rFonts w:eastAsia="Times New Roman"/>
                <w:noProof/>
                <w:color w:val="000000"/>
                <w:sz w:val="20"/>
                <w:szCs w:val="20"/>
              </w:rPr>
            </w:pPr>
            <w:r w:rsidRPr="00F35F4D">
              <w:rPr>
                <w:noProof/>
                <w:color w:val="000000"/>
                <w:sz w:val="20"/>
              </w:rPr>
              <w:t>Daļā grīdas ierīkotas redeles, un ir kūtsmēslu kanāls ar slīpām sienām</w:t>
            </w:r>
          </w:p>
        </w:tc>
        <w:tc>
          <w:tcPr>
            <w:tcW w:w="632" w:type="pct"/>
            <w:tcBorders>
              <w:top w:val="nil"/>
              <w:left w:val="nil"/>
              <w:bottom w:val="nil"/>
              <w:right w:val="nil"/>
            </w:tcBorders>
            <w:shd w:val="clear" w:color="auto" w:fill="FFFFFF"/>
          </w:tcPr>
          <w:p w14:paraId="50E1AD5E"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7CC4C829"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65</w:t>
            </w:r>
          </w:p>
        </w:tc>
        <w:tc>
          <w:tcPr>
            <w:tcW w:w="545" w:type="pct"/>
            <w:tcBorders>
              <w:top w:val="nil"/>
              <w:left w:val="nil"/>
              <w:bottom w:val="nil"/>
              <w:right w:val="nil"/>
            </w:tcBorders>
            <w:shd w:val="clear" w:color="auto" w:fill="FFFFFF"/>
            <w:vAlign w:val="center"/>
          </w:tcPr>
          <w:p w14:paraId="243FC50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w:t>
            </w:r>
          </w:p>
        </w:tc>
        <w:tc>
          <w:tcPr>
            <w:tcW w:w="442" w:type="pct"/>
            <w:tcBorders>
              <w:top w:val="nil"/>
              <w:left w:val="nil"/>
              <w:bottom w:val="nil"/>
              <w:right w:val="nil"/>
            </w:tcBorders>
            <w:shd w:val="clear" w:color="auto" w:fill="FFFFFF"/>
          </w:tcPr>
          <w:p w14:paraId="3D7597C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5–6</w:t>
            </w:r>
          </w:p>
        </w:tc>
      </w:tr>
      <w:tr w:rsidR="008E3F72" w:rsidRPr="00F35F4D" w14:paraId="67C7AAE8" w14:textId="77777777" w:rsidTr="0010018A">
        <w:tc>
          <w:tcPr>
            <w:tcW w:w="2799" w:type="pct"/>
            <w:tcBorders>
              <w:top w:val="nil"/>
              <w:left w:val="nil"/>
              <w:bottom w:val="nil"/>
              <w:right w:val="nil"/>
            </w:tcBorders>
            <w:shd w:val="clear" w:color="auto" w:fill="FFFFFF"/>
            <w:vAlign w:val="center"/>
          </w:tcPr>
          <w:p w14:paraId="2557591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Peldošas lodītes uz kūtsmēslu virsmas (2. kat.)</w:t>
            </w:r>
          </w:p>
        </w:tc>
        <w:tc>
          <w:tcPr>
            <w:tcW w:w="632" w:type="pct"/>
            <w:tcBorders>
              <w:top w:val="nil"/>
              <w:left w:val="nil"/>
              <w:bottom w:val="nil"/>
              <w:right w:val="nil"/>
            </w:tcBorders>
            <w:shd w:val="clear" w:color="auto" w:fill="FFFFFF"/>
          </w:tcPr>
          <w:p w14:paraId="23014376"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vAlign w:val="center"/>
          </w:tcPr>
          <w:p w14:paraId="0285CEA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25</w:t>
            </w:r>
          </w:p>
        </w:tc>
        <w:tc>
          <w:tcPr>
            <w:tcW w:w="545" w:type="pct"/>
            <w:tcBorders>
              <w:top w:val="nil"/>
              <w:left w:val="nil"/>
              <w:bottom w:val="nil"/>
              <w:right w:val="nil"/>
            </w:tcBorders>
            <w:shd w:val="clear" w:color="auto" w:fill="FFFFFF"/>
            <w:vAlign w:val="center"/>
          </w:tcPr>
          <w:p w14:paraId="625491E9"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w:t>
            </w:r>
          </w:p>
        </w:tc>
        <w:tc>
          <w:tcPr>
            <w:tcW w:w="442" w:type="pct"/>
            <w:tcBorders>
              <w:top w:val="nil"/>
              <w:left w:val="nil"/>
              <w:bottom w:val="nil"/>
              <w:right w:val="nil"/>
            </w:tcBorders>
            <w:shd w:val="clear" w:color="auto" w:fill="FFFFFF"/>
            <w:vAlign w:val="center"/>
          </w:tcPr>
          <w:p w14:paraId="616E83EB"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6–7</w:t>
            </w:r>
          </w:p>
        </w:tc>
      </w:tr>
      <w:tr w:rsidR="008E3F72" w:rsidRPr="00F35F4D" w14:paraId="500ECC70" w14:textId="77777777" w:rsidTr="0010018A">
        <w:tc>
          <w:tcPr>
            <w:tcW w:w="2799" w:type="pct"/>
            <w:tcBorders>
              <w:top w:val="nil"/>
              <w:left w:val="nil"/>
              <w:bottom w:val="nil"/>
              <w:right w:val="nil"/>
            </w:tcBorders>
            <w:shd w:val="clear" w:color="auto" w:fill="FFFFFF"/>
            <w:vAlign w:val="center"/>
          </w:tcPr>
          <w:p w14:paraId="71F46CA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Veic gaisa attīrīšanu ar skruberiem</w:t>
            </w:r>
          </w:p>
          <w:p w14:paraId="48F8615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Audzējamas–nobarojamas cūkas</w:t>
            </w:r>
          </w:p>
        </w:tc>
        <w:tc>
          <w:tcPr>
            <w:tcW w:w="632" w:type="pct"/>
            <w:tcBorders>
              <w:top w:val="nil"/>
              <w:left w:val="nil"/>
              <w:bottom w:val="nil"/>
              <w:right w:val="nil"/>
            </w:tcBorders>
            <w:shd w:val="clear" w:color="auto" w:fill="FFFFFF"/>
            <w:vAlign w:val="bottom"/>
          </w:tcPr>
          <w:p w14:paraId="7BBAFC0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3,0</w:t>
            </w:r>
          </w:p>
        </w:tc>
        <w:tc>
          <w:tcPr>
            <w:tcW w:w="581" w:type="pct"/>
            <w:tcBorders>
              <w:top w:val="nil"/>
              <w:left w:val="nil"/>
              <w:bottom w:val="nil"/>
              <w:right w:val="nil"/>
            </w:tcBorders>
            <w:shd w:val="clear" w:color="auto" w:fill="FFFFFF"/>
          </w:tcPr>
          <w:p w14:paraId="4F6385F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70–90</w:t>
            </w:r>
          </w:p>
        </w:tc>
        <w:tc>
          <w:tcPr>
            <w:tcW w:w="545" w:type="pct"/>
            <w:tcBorders>
              <w:top w:val="nil"/>
              <w:left w:val="nil"/>
              <w:bottom w:val="nil"/>
              <w:right w:val="nil"/>
            </w:tcBorders>
            <w:shd w:val="clear" w:color="auto" w:fill="FFFFFF"/>
          </w:tcPr>
          <w:p w14:paraId="3816298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4–5</w:t>
            </w:r>
          </w:p>
        </w:tc>
        <w:tc>
          <w:tcPr>
            <w:tcW w:w="442" w:type="pct"/>
            <w:tcBorders>
              <w:top w:val="nil"/>
              <w:left w:val="nil"/>
              <w:bottom w:val="nil"/>
              <w:right w:val="nil"/>
            </w:tcBorders>
            <w:shd w:val="clear" w:color="auto" w:fill="FFFFFF"/>
          </w:tcPr>
          <w:p w14:paraId="4543AB4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8–12</w:t>
            </w:r>
          </w:p>
        </w:tc>
      </w:tr>
      <w:tr w:rsidR="008E3F72" w:rsidRPr="00F35F4D" w14:paraId="1264D69D" w14:textId="77777777" w:rsidTr="0010018A">
        <w:tc>
          <w:tcPr>
            <w:tcW w:w="2799" w:type="pct"/>
            <w:tcBorders>
              <w:top w:val="nil"/>
              <w:left w:val="nil"/>
              <w:bottom w:val="nil"/>
              <w:right w:val="nil"/>
            </w:tcBorders>
            <w:shd w:val="clear" w:color="auto" w:fill="FFFFFF"/>
            <w:vAlign w:val="center"/>
          </w:tcPr>
          <w:p w14:paraId="62C5B20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Daļā grīdas ierīkotas redeles, un samazināta zemgrīdas krātuve</w:t>
            </w:r>
          </w:p>
        </w:tc>
        <w:tc>
          <w:tcPr>
            <w:tcW w:w="632" w:type="pct"/>
            <w:tcBorders>
              <w:top w:val="nil"/>
              <w:left w:val="nil"/>
              <w:bottom w:val="nil"/>
              <w:right w:val="nil"/>
            </w:tcBorders>
            <w:shd w:val="clear" w:color="auto" w:fill="FFFFFF"/>
          </w:tcPr>
          <w:p w14:paraId="554B0850"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vAlign w:val="center"/>
          </w:tcPr>
          <w:p w14:paraId="3A8ABC2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15–20</w:t>
            </w:r>
          </w:p>
        </w:tc>
        <w:tc>
          <w:tcPr>
            <w:tcW w:w="545" w:type="pct"/>
            <w:tcBorders>
              <w:top w:val="nil"/>
              <w:left w:val="nil"/>
              <w:bottom w:val="nil"/>
              <w:right w:val="nil"/>
            </w:tcBorders>
            <w:shd w:val="clear" w:color="auto" w:fill="FFFFFF"/>
            <w:vAlign w:val="center"/>
          </w:tcPr>
          <w:p w14:paraId="77601A5F"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0</w:t>
            </w:r>
          </w:p>
        </w:tc>
        <w:tc>
          <w:tcPr>
            <w:tcW w:w="442" w:type="pct"/>
            <w:tcBorders>
              <w:top w:val="nil"/>
              <w:left w:val="nil"/>
              <w:bottom w:val="nil"/>
              <w:right w:val="nil"/>
            </w:tcBorders>
            <w:shd w:val="clear" w:color="auto" w:fill="FFFFFF"/>
            <w:vAlign w:val="center"/>
          </w:tcPr>
          <w:p w14:paraId="3CE0AD4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0</w:t>
            </w:r>
          </w:p>
        </w:tc>
      </w:tr>
      <w:tr w:rsidR="008E3F72" w:rsidRPr="00F35F4D" w14:paraId="469F25E1" w14:textId="77777777" w:rsidTr="0010018A">
        <w:tc>
          <w:tcPr>
            <w:tcW w:w="2799" w:type="pct"/>
            <w:tcBorders>
              <w:top w:val="nil"/>
              <w:left w:val="nil"/>
              <w:bottom w:val="nil"/>
              <w:right w:val="nil"/>
            </w:tcBorders>
            <w:shd w:val="clear" w:color="auto" w:fill="FFFFFF"/>
            <w:vAlign w:val="center"/>
          </w:tcPr>
          <w:p w14:paraId="4189F9A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Kūtsmēslus bieži izvāc ar vakuumsistēmu</w:t>
            </w:r>
          </w:p>
        </w:tc>
        <w:tc>
          <w:tcPr>
            <w:tcW w:w="632" w:type="pct"/>
            <w:tcBorders>
              <w:top w:val="nil"/>
              <w:left w:val="nil"/>
              <w:bottom w:val="nil"/>
              <w:right w:val="nil"/>
            </w:tcBorders>
            <w:shd w:val="clear" w:color="auto" w:fill="FFFFFF"/>
          </w:tcPr>
          <w:p w14:paraId="653AA952"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vAlign w:val="center"/>
          </w:tcPr>
          <w:p w14:paraId="167E971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25</w:t>
            </w:r>
          </w:p>
        </w:tc>
        <w:tc>
          <w:tcPr>
            <w:tcW w:w="545" w:type="pct"/>
            <w:tcBorders>
              <w:top w:val="nil"/>
              <w:left w:val="nil"/>
              <w:bottom w:val="nil"/>
              <w:right w:val="nil"/>
            </w:tcBorders>
            <w:shd w:val="clear" w:color="auto" w:fill="FFFFFF"/>
            <w:vAlign w:val="center"/>
          </w:tcPr>
          <w:p w14:paraId="11772134" w14:textId="77777777" w:rsidR="008E3F72" w:rsidRPr="00F35F4D" w:rsidRDefault="008E3F72" w:rsidP="0010018A">
            <w:pPr>
              <w:widowControl/>
              <w:autoSpaceDE/>
              <w:autoSpaceDN/>
              <w:adjustRightInd/>
              <w:spacing w:line="200" w:lineRule="exact"/>
              <w:rPr>
                <w:rFonts w:eastAsia="Times New Roman"/>
                <w:noProof/>
              </w:rPr>
            </w:pPr>
            <w:r w:rsidRPr="00F35F4D">
              <w:rPr>
                <w:noProof/>
                <w:color w:val="000000"/>
                <w:sz w:val="20"/>
              </w:rPr>
              <w:t>0</w:t>
            </w:r>
            <w:r w:rsidRPr="00F35F4D">
              <w:rPr>
                <w:noProof/>
                <w:color w:val="000000"/>
                <w:sz w:val="20"/>
                <w:vertAlign w:val="superscript"/>
              </w:rPr>
              <w:t>b</w:t>
            </w:r>
          </w:p>
        </w:tc>
        <w:tc>
          <w:tcPr>
            <w:tcW w:w="442" w:type="pct"/>
            <w:tcBorders>
              <w:top w:val="nil"/>
              <w:left w:val="nil"/>
              <w:bottom w:val="nil"/>
              <w:right w:val="nil"/>
            </w:tcBorders>
            <w:shd w:val="clear" w:color="auto" w:fill="FFFFFF"/>
            <w:vAlign w:val="center"/>
          </w:tcPr>
          <w:p w14:paraId="2241852F" w14:textId="77777777" w:rsidR="008E3F72" w:rsidRPr="00F35F4D" w:rsidRDefault="008E3F72" w:rsidP="0010018A">
            <w:pPr>
              <w:widowControl/>
              <w:autoSpaceDE/>
              <w:autoSpaceDN/>
              <w:adjustRightInd/>
              <w:spacing w:line="200" w:lineRule="exact"/>
              <w:rPr>
                <w:rFonts w:eastAsia="Times New Roman"/>
                <w:noProof/>
              </w:rPr>
            </w:pPr>
            <w:r w:rsidRPr="00F35F4D">
              <w:rPr>
                <w:noProof/>
                <w:color w:val="000000"/>
                <w:sz w:val="20"/>
              </w:rPr>
              <w:t>0</w:t>
            </w:r>
            <w:r w:rsidRPr="00F35F4D">
              <w:rPr>
                <w:noProof/>
                <w:color w:val="000000"/>
                <w:sz w:val="20"/>
                <w:vertAlign w:val="superscript"/>
              </w:rPr>
              <w:t>b</w:t>
            </w:r>
          </w:p>
        </w:tc>
      </w:tr>
      <w:tr w:rsidR="008E3F72" w:rsidRPr="00F35F4D" w14:paraId="60F39EF9" w14:textId="77777777" w:rsidTr="0010018A">
        <w:tc>
          <w:tcPr>
            <w:tcW w:w="2799" w:type="pct"/>
            <w:tcBorders>
              <w:top w:val="nil"/>
              <w:left w:val="nil"/>
              <w:bottom w:val="nil"/>
              <w:right w:val="nil"/>
            </w:tcBorders>
            <w:shd w:val="clear" w:color="auto" w:fill="FFFFFF"/>
            <w:vAlign w:val="center"/>
          </w:tcPr>
          <w:p w14:paraId="627CFF5B"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Daļā grīdas ierīkotas redeles, un ierīkots ūdens noteces un kūtsmēslu kanāls</w:t>
            </w:r>
          </w:p>
        </w:tc>
        <w:tc>
          <w:tcPr>
            <w:tcW w:w="632" w:type="pct"/>
            <w:tcBorders>
              <w:top w:val="nil"/>
              <w:left w:val="nil"/>
              <w:bottom w:val="nil"/>
              <w:right w:val="nil"/>
            </w:tcBorders>
            <w:shd w:val="clear" w:color="auto" w:fill="FFFFFF"/>
          </w:tcPr>
          <w:p w14:paraId="705D1EFF"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vAlign w:val="center"/>
          </w:tcPr>
          <w:p w14:paraId="3F7B0DC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40</w:t>
            </w:r>
          </w:p>
        </w:tc>
        <w:tc>
          <w:tcPr>
            <w:tcW w:w="545" w:type="pct"/>
            <w:tcBorders>
              <w:top w:val="nil"/>
              <w:left w:val="nil"/>
              <w:bottom w:val="nil"/>
              <w:right w:val="nil"/>
            </w:tcBorders>
            <w:shd w:val="clear" w:color="auto" w:fill="FFFFFF"/>
            <w:vAlign w:val="bottom"/>
          </w:tcPr>
          <w:p w14:paraId="6ECC6FEB"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w:t>
            </w:r>
          </w:p>
        </w:tc>
        <w:tc>
          <w:tcPr>
            <w:tcW w:w="442" w:type="pct"/>
            <w:tcBorders>
              <w:top w:val="nil"/>
              <w:left w:val="nil"/>
              <w:bottom w:val="nil"/>
              <w:right w:val="nil"/>
            </w:tcBorders>
            <w:shd w:val="clear" w:color="auto" w:fill="FFFFFF"/>
            <w:vAlign w:val="bottom"/>
          </w:tcPr>
          <w:p w14:paraId="33EE886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w:t>
            </w:r>
          </w:p>
        </w:tc>
      </w:tr>
      <w:tr w:rsidR="008E3F72" w:rsidRPr="00F35F4D" w14:paraId="06742249" w14:textId="77777777" w:rsidTr="0010018A">
        <w:tc>
          <w:tcPr>
            <w:tcW w:w="2799" w:type="pct"/>
            <w:tcBorders>
              <w:top w:val="nil"/>
              <w:left w:val="nil"/>
              <w:bottom w:val="nil"/>
              <w:right w:val="nil"/>
            </w:tcBorders>
            <w:shd w:val="clear" w:color="auto" w:fill="FFFFFF"/>
            <w:vAlign w:val="bottom"/>
          </w:tcPr>
          <w:p w14:paraId="7D26A233" w14:textId="77777777" w:rsidR="008E3F72" w:rsidRPr="00F35F4D" w:rsidRDefault="008E3F72" w:rsidP="0010018A">
            <w:pPr>
              <w:widowControl/>
              <w:autoSpaceDE/>
              <w:autoSpaceDN/>
              <w:adjustRightInd/>
              <w:rPr>
                <w:rFonts w:eastAsia="Times New Roman"/>
                <w:noProof/>
                <w:color w:val="000000"/>
                <w:sz w:val="20"/>
                <w:szCs w:val="20"/>
              </w:rPr>
            </w:pPr>
            <w:r w:rsidRPr="00F35F4D">
              <w:rPr>
                <w:noProof/>
                <w:color w:val="000000"/>
                <w:sz w:val="20"/>
              </w:rPr>
              <w:t>Daļā grīdas ierīkotas redeles, un ierīkots ūdens noteces un kūtsmēslu kanāls ar slīpām sienām</w:t>
            </w:r>
          </w:p>
        </w:tc>
        <w:tc>
          <w:tcPr>
            <w:tcW w:w="632" w:type="pct"/>
            <w:tcBorders>
              <w:top w:val="nil"/>
              <w:left w:val="nil"/>
              <w:bottom w:val="nil"/>
              <w:right w:val="nil"/>
            </w:tcBorders>
            <w:shd w:val="clear" w:color="auto" w:fill="FFFFFF"/>
          </w:tcPr>
          <w:p w14:paraId="4E29865F"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2A14D07E"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60–65</w:t>
            </w:r>
          </w:p>
        </w:tc>
        <w:tc>
          <w:tcPr>
            <w:tcW w:w="545" w:type="pct"/>
            <w:tcBorders>
              <w:top w:val="nil"/>
              <w:left w:val="nil"/>
              <w:bottom w:val="nil"/>
              <w:right w:val="nil"/>
            </w:tcBorders>
            <w:shd w:val="clear" w:color="auto" w:fill="FFFFFF"/>
          </w:tcPr>
          <w:p w14:paraId="7B8F2D6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3–5</w:t>
            </w:r>
          </w:p>
        </w:tc>
        <w:tc>
          <w:tcPr>
            <w:tcW w:w="442" w:type="pct"/>
            <w:tcBorders>
              <w:top w:val="nil"/>
              <w:left w:val="nil"/>
              <w:bottom w:val="nil"/>
              <w:right w:val="nil"/>
            </w:tcBorders>
            <w:shd w:val="clear" w:color="auto" w:fill="FFFFFF"/>
          </w:tcPr>
          <w:p w14:paraId="3ECE2BD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2–3</w:t>
            </w:r>
          </w:p>
        </w:tc>
      </w:tr>
      <w:tr w:rsidR="008E3F72" w:rsidRPr="00F35F4D" w14:paraId="7861C9CA" w14:textId="77777777" w:rsidTr="0010018A">
        <w:tc>
          <w:tcPr>
            <w:tcW w:w="2799" w:type="pct"/>
            <w:tcBorders>
              <w:top w:val="nil"/>
              <w:left w:val="nil"/>
              <w:bottom w:val="nil"/>
              <w:right w:val="nil"/>
            </w:tcBorders>
            <w:shd w:val="clear" w:color="auto" w:fill="FFFFFF"/>
          </w:tcPr>
          <w:p w14:paraId="3053FBD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Veic reņu skalošanu</w:t>
            </w:r>
          </w:p>
        </w:tc>
        <w:tc>
          <w:tcPr>
            <w:tcW w:w="632" w:type="pct"/>
            <w:tcBorders>
              <w:top w:val="nil"/>
              <w:left w:val="nil"/>
              <w:bottom w:val="nil"/>
              <w:right w:val="nil"/>
            </w:tcBorders>
            <w:shd w:val="clear" w:color="auto" w:fill="FFFFFF"/>
          </w:tcPr>
          <w:p w14:paraId="20F09510"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48933E4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40</w:t>
            </w:r>
          </w:p>
        </w:tc>
        <w:tc>
          <w:tcPr>
            <w:tcW w:w="545" w:type="pct"/>
            <w:tcBorders>
              <w:top w:val="nil"/>
              <w:left w:val="nil"/>
              <w:bottom w:val="nil"/>
              <w:right w:val="nil"/>
            </w:tcBorders>
            <w:shd w:val="clear" w:color="auto" w:fill="FFFFFF"/>
          </w:tcPr>
          <w:p w14:paraId="53C853B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10–15</w:t>
            </w:r>
          </w:p>
        </w:tc>
        <w:tc>
          <w:tcPr>
            <w:tcW w:w="442" w:type="pct"/>
            <w:tcBorders>
              <w:top w:val="nil"/>
              <w:left w:val="nil"/>
              <w:bottom w:val="nil"/>
              <w:right w:val="nil"/>
            </w:tcBorders>
            <w:shd w:val="clear" w:color="auto" w:fill="FFFFFF"/>
          </w:tcPr>
          <w:p w14:paraId="473FDF2E"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10–15</w:t>
            </w:r>
          </w:p>
        </w:tc>
      </w:tr>
      <w:tr w:rsidR="008E3F72" w:rsidRPr="00F35F4D" w14:paraId="27CD1002" w14:textId="77777777" w:rsidTr="0010018A">
        <w:tc>
          <w:tcPr>
            <w:tcW w:w="2799" w:type="pct"/>
            <w:tcBorders>
              <w:top w:val="nil"/>
              <w:left w:val="nil"/>
              <w:bottom w:val="nil"/>
              <w:right w:val="nil"/>
            </w:tcBorders>
            <w:shd w:val="clear" w:color="auto" w:fill="FFFFFF"/>
          </w:tcPr>
          <w:p w14:paraId="5A8741AB"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Daļā grīdas ierīkotas redeles, un veic kūtsmēslu virsmas dzesēšanu</w:t>
            </w:r>
          </w:p>
        </w:tc>
        <w:tc>
          <w:tcPr>
            <w:tcW w:w="632" w:type="pct"/>
            <w:tcBorders>
              <w:top w:val="nil"/>
              <w:left w:val="nil"/>
              <w:bottom w:val="nil"/>
              <w:right w:val="nil"/>
            </w:tcBorders>
            <w:shd w:val="clear" w:color="auto" w:fill="FFFFFF"/>
          </w:tcPr>
          <w:p w14:paraId="11EF1D8F"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1D4DA1A9"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45</w:t>
            </w:r>
          </w:p>
        </w:tc>
        <w:tc>
          <w:tcPr>
            <w:tcW w:w="545" w:type="pct"/>
            <w:tcBorders>
              <w:top w:val="nil"/>
              <w:left w:val="nil"/>
              <w:bottom w:val="nil"/>
              <w:right w:val="nil"/>
            </w:tcBorders>
            <w:shd w:val="clear" w:color="auto" w:fill="FFFFFF"/>
          </w:tcPr>
          <w:p w14:paraId="463F986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5–7</w:t>
            </w:r>
          </w:p>
        </w:tc>
        <w:tc>
          <w:tcPr>
            <w:tcW w:w="442" w:type="pct"/>
            <w:tcBorders>
              <w:top w:val="nil"/>
              <w:left w:val="nil"/>
              <w:bottom w:val="nil"/>
              <w:right w:val="nil"/>
            </w:tcBorders>
            <w:shd w:val="clear" w:color="auto" w:fill="FFFFFF"/>
          </w:tcPr>
          <w:p w14:paraId="10C6704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4–6</w:t>
            </w:r>
          </w:p>
        </w:tc>
      </w:tr>
      <w:tr w:rsidR="008E3F72" w:rsidRPr="00F35F4D" w14:paraId="7691836F" w14:textId="77777777" w:rsidTr="0010018A">
        <w:tc>
          <w:tcPr>
            <w:tcW w:w="2799" w:type="pct"/>
            <w:tcBorders>
              <w:top w:val="nil"/>
              <w:left w:val="nil"/>
              <w:bottom w:val="nil"/>
              <w:right w:val="nil"/>
            </w:tcBorders>
            <w:shd w:val="clear" w:color="auto" w:fill="FFFFFF"/>
            <w:vAlign w:val="center"/>
          </w:tcPr>
          <w:p w14:paraId="00EBDE8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Peldošas lodītes uz kūtsmēslu virsmas (2. kat.)</w:t>
            </w:r>
          </w:p>
        </w:tc>
        <w:tc>
          <w:tcPr>
            <w:tcW w:w="632" w:type="pct"/>
            <w:tcBorders>
              <w:top w:val="nil"/>
              <w:left w:val="nil"/>
              <w:bottom w:val="nil"/>
              <w:right w:val="nil"/>
            </w:tcBorders>
            <w:shd w:val="clear" w:color="auto" w:fill="FFFFFF"/>
          </w:tcPr>
          <w:p w14:paraId="73C433DC"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vAlign w:val="center"/>
          </w:tcPr>
          <w:p w14:paraId="49066AD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25</w:t>
            </w:r>
          </w:p>
        </w:tc>
        <w:tc>
          <w:tcPr>
            <w:tcW w:w="545" w:type="pct"/>
            <w:tcBorders>
              <w:top w:val="nil"/>
              <w:left w:val="nil"/>
              <w:bottom w:val="nil"/>
              <w:right w:val="nil"/>
            </w:tcBorders>
            <w:shd w:val="clear" w:color="auto" w:fill="FFFFFF"/>
            <w:vAlign w:val="center"/>
          </w:tcPr>
          <w:p w14:paraId="163CCEE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2</w:t>
            </w:r>
          </w:p>
        </w:tc>
        <w:tc>
          <w:tcPr>
            <w:tcW w:w="442" w:type="pct"/>
            <w:tcBorders>
              <w:top w:val="nil"/>
              <w:left w:val="nil"/>
              <w:bottom w:val="nil"/>
              <w:right w:val="nil"/>
            </w:tcBorders>
            <w:shd w:val="clear" w:color="auto" w:fill="FFFFFF"/>
            <w:vAlign w:val="center"/>
          </w:tcPr>
          <w:p w14:paraId="35D990B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4</w:t>
            </w:r>
          </w:p>
        </w:tc>
      </w:tr>
      <w:tr w:rsidR="008E3F72" w:rsidRPr="00F35F4D" w14:paraId="5F9BDE11" w14:textId="77777777" w:rsidTr="0010018A">
        <w:tc>
          <w:tcPr>
            <w:tcW w:w="2799" w:type="pct"/>
            <w:tcBorders>
              <w:top w:val="nil"/>
              <w:left w:val="nil"/>
              <w:bottom w:val="nil"/>
              <w:right w:val="nil"/>
            </w:tcBorders>
            <w:shd w:val="clear" w:color="auto" w:fill="FFFFFF"/>
            <w:vAlign w:val="bottom"/>
          </w:tcPr>
          <w:p w14:paraId="476C3A0D" w14:textId="77777777" w:rsidR="008E3F72" w:rsidRPr="00F35F4D" w:rsidRDefault="008E3F72" w:rsidP="0010018A">
            <w:pPr>
              <w:widowControl/>
              <w:autoSpaceDE/>
              <w:autoSpaceDN/>
              <w:adjustRightInd/>
              <w:rPr>
                <w:rFonts w:eastAsia="Times New Roman"/>
                <w:noProof/>
                <w:color w:val="000000"/>
                <w:sz w:val="20"/>
                <w:szCs w:val="20"/>
              </w:rPr>
            </w:pPr>
            <w:r w:rsidRPr="00F35F4D">
              <w:rPr>
                <w:noProof/>
                <w:color w:val="000000"/>
                <w:sz w:val="20"/>
              </w:rPr>
              <w:t>Daļā grīdas ierīkotas redeles, un kūtsmēslu šķidro frakciju atdala no cietās frakcijas, izmantojot V-veida transportiera lenti (2. kat.)</w:t>
            </w:r>
          </w:p>
        </w:tc>
        <w:tc>
          <w:tcPr>
            <w:tcW w:w="632" w:type="pct"/>
            <w:tcBorders>
              <w:top w:val="nil"/>
              <w:left w:val="nil"/>
              <w:bottom w:val="nil"/>
              <w:right w:val="nil"/>
            </w:tcBorders>
            <w:shd w:val="clear" w:color="auto" w:fill="FFFFFF"/>
          </w:tcPr>
          <w:p w14:paraId="1DFBE0F6"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nil"/>
              <w:right w:val="nil"/>
            </w:tcBorders>
            <w:shd w:val="clear" w:color="auto" w:fill="FFFFFF"/>
          </w:tcPr>
          <w:p w14:paraId="62F207D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70</w:t>
            </w:r>
          </w:p>
        </w:tc>
        <w:tc>
          <w:tcPr>
            <w:tcW w:w="545" w:type="pct"/>
            <w:tcBorders>
              <w:top w:val="nil"/>
              <w:left w:val="nil"/>
              <w:bottom w:val="nil"/>
              <w:right w:val="nil"/>
            </w:tcBorders>
            <w:shd w:val="clear" w:color="auto" w:fill="FFFFFF"/>
          </w:tcPr>
          <w:p w14:paraId="7A23D86F"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0–5</w:t>
            </w:r>
          </w:p>
        </w:tc>
        <w:tc>
          <w:tcPr>
            <w:tcW w:w="442" w:type="pct"/>
            <w:tcBorders>
              <w:top w:val="nil"/>
              <w:left w:val="nil"/>
              <w:bottom w:val="nil"/>
              <w:right w:val="nil"/>
            </w:tcBorders>
            <w:shd w:val="clear" w:color="auto" w:fill="FFFFFF"/>
          </w:tcPr>
          <w:p w14:paraId="4C331AE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0–3</w:t>
            </w:r>
          </w:p>
        </w:tc>
      </w:tr>
      <w:tr w:rsidR="008E3F72" w:rsidRPr="00F35F4D" w14:paraId="3E238083" w14:textId="77777777" w:rsidTr="0010018A">
        <w:tc>
          <w:tcPr>
            <w:tcW w:w="2799" w:type="pct"/>
            <w:tcBorders>
              <w:top w:val="nil"/>
              <w:left w:val="nil"/>
              <w:bottom w:val="single" w:sz="4" w:space="0" w:color="auto"/>
              <w:right w:val="nil"/>
            </w:tcBorders>
            <w:shd w:val="clear" w:color="auto" w:fill="FFFFFF"/>
          </w:tcPr>
          <w:p w14:paraId="79A31D5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Veic gaisa attīrīšanu ar skruberiem</w:t>
            </w:r>
          </w:p>
        </w:tc>
        <w:tc>
          <w:tcPr>
            <w:tcW w:w="632" w:type="pct"/>
            <w:tcBorders>
              <w:top w:val="nil"/>
              <w:left w:val="nil"/>
              <w:bottom w:val="single" w:sz="4" w:space="0" w:color="auto"/>
              <w:right w:val="nil"/>
            </w:tcBorders>
            <w:shd w:val="clear" w:color="auto" w:fill="FFFFFF"/>
          </w:tcPr>
          <w:p w14:paraId="01A8C941" w14:textId="77777777" w:rsidR="008E3F72" w:rsidRPr="00F35F4D" w:rsidRDefault="008E3F72" w:rsidP="0010018A">
            <w:pPr>
              <w:widowControl/>
              <w:autoSpaceDE/>
              <w:autoSpaceDN/>
              <w:adjustRightInd/>
              <w:rPr>
                <w:rFonts w:eastAsia="Times New Roman"/>
                <w:noProof/>
                <w:sz w:val="10"/>
                <w:szCs w:val="10"/>
              </w:rPr>
            </w:pPr>
          </w:p>
        </w:tc>
        <w:tc>
          <w:tcPr>
            <w:tcW w:w="581" w:type="pct"/>
            <w:tcBorders>
              <w:top w:val="nil"/>
              <w:left w:val="nil"/>
              <w:bottom w:val="single" w:sz="4" w:space="0" w:color="auto"/>
              <w:right w:val="nil"/>
            </w:tcBorders>
            <w:shd w:val="clear" w:color="auto" w:fill="FFFFFF"/>
          </w:tcPr>
          <w:p w14:paraId="433D7CD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70–90</w:t>
            </w:r>
          </w:p>
        </w:tc>
        <w:tc>
          <w:tcPr>
            <w:tcW w:w="545" w:type="pct"/>
            <w:tcBorders>
              <w:top w:val="nil"/>
              <w:left w:val="nil"/>
              <w:bottom w:val="single" w:sz="4" w:space="0" w:color="auto"/>
              <w:right w:val="nil"/>
            </w:tcBorders>
            <w:shd w:val="clear" w:color="auto" w:fill="FFFFFF"/>
          </w:tcPr>
          <w:p w14:paraId="28EAD66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10–15</w:t>
            </w:r>
          </w:p>
        </w:tc>
        <w:tc>
          <w:tcPr>
            <w:tcW w:w="442" w:type="pct"/>
            <w:tcBorders>
              <w:top w:val="nil"/>
              <w:left w:val="nil"/>
              <w:bottom w:val="single" w:sz="4" w:space="0" w:color="auto"/>
              <w:right w:val="nil"/>
            </w:tcBorders>
            <w:shd w:val="clear" w:color="auto" w:fill="FFFFFF"/>
          </w:tcPr>
          <w:p w14:paraId="542F858E"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5–9</w:t>
            </w:r>
          </w:p>
        </w:tc>
      </w:tr>
    </w:tbl>
    <w:p w14:paraId="7305F8F4" w14:textId="77777777" w:rsidR="008E3F72" w:rsidRPr="00F35F4D" w:rsidRDefault="008E3F72" w:rsidP="008E3F72">
      <w:pPr>
        <w:pStyle w:val="BodyText"/>
        <w:widowControl/>
        <w:kinsoku w:val="0"/>
        <w:overflowPunct w:val="0"/>
        <w:spacing w:before="0"/>
        <w:ind w:left="0"/>
        <w:jc w:val="both"/>
        <w:rPr>
          <w:i/>
          <w:iCs/>
          <w:noProof/>
          <w:sz w:val="24"/>
          <w:szCs w:val="24"/>
        </w:rPr>
      </w:pPr>
    </w:p>
    <w:p w14:paraId="472CA0E7"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Piezīme. </w:t>
      </w:r>
      <w:r w:rsidRPr="00F35F4D">
        <w:rPr>
          <w:noProof/>
          <w:sz w:val="24"/>
        </w:rPr>
        <w:t xml:space="preserve">Informāciju par ekonomiskajām izmaksām saistībā ar paņēmieniem emisijas samazināšanai var atrast avotā </w:t>
      </w:r>
      <w:r w:rsidRPr="00F35F4D">
        <w:rPr>
          <w:i/>
          <w:noProof/>
          <w:sz w:val="24"/>
        </w:rPr>
        <w:t>Reis</w:t>
      </w:r>
      <w:r w:rsidRPr="00F35F4D">
        <w:rPr>
          <w:noProof/>
          <w:sz w:val="24"/>
        </w:rPr>
        <w:t xml:space="preserve"> (drīzumā).</w:t>
      </w:r>
    </w:p>
    <w:p w14:paraId="162585ED"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a </w:t>
      </w:r>
      <w:r w:rsidRPr="00F35F4D">
        <w:rPr>
          <w:noProof/>
          <w:sz w:val="24"/>
        </w:rPr>
        <w:t>Cenas ir aprēķinātas, pamatojoties uz jaunu ēku celtniecības izmaksām. Esošajās ēkās var vienīgi ierīkot dzesēšanas sistēmas, izmantot peldošās lodītes un skruberu sistēmas; skaidrojumus par esošo ēku modernizāciju skatīt tekstā.</w:t>
      </w:r>
    </w:p>
    <w:p w14:paraId="78AA7C37" w14:textId="16B02A0D"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b </w:t>
      </w:r>
      <w:r w:rsidRPr="00F35F4D">
        <w:rPr>
          <w:noProof/>
          <w:sz w:val="24"/>
        </w:rPr>
        <w:t>Ja ir uzstādīta vakuumsistēma kūtsmēslu izvākšanai.</w:t>
      </w:r>
    </w:p>
    <w:p w14:paraId="3F6C3222" w14:textId="77777777" w:rsidR="008E3F72" w:rsidRPr="00F35F4D" w:rsidRDefault="008E3F72" w:rsidP="008E3F72">
      <w:pPr>
        <w:pStyle w:val="Heading3"/>
        <w:widowControl/>
        <w:numPr>
          <w:ilvl w:val="0"/>
          <w:numId w:val="15"/>
        </w:numPr>
        <w:tabs>
          <w:tab w:val="left" w:pos="861"/>
        </w:tabs>
        <w:kinsoku w:val="0"/>
        <w:overflowPunct w:val="0"/>
        <w:ind w:left="0" w:firstLine="0"/>
        <w:jc w:val="both"/>
        <w:rPr>
          <w:rFonts w:ascii="Times New Roman" w:hAnsi="Times New Roman" w:cs="Times New Roman"/>
          <w:noProof/>
          <w:color w:val="0D0D0D"/>
          <w:sz w:val="24"/>
          <w:szCs w:val="24"/>
        </w:rPr>
      </w:pPr>
      <w:r w:rsidRPr="00F35F4D">
        <w:rPr>
          <w:rFonts w:ascii="Times New Roman" w:hAnsi="Times New Roman" w:cs="Times New Roman"/>
        </w:rPr>
        <w:br w:type="page"/>
      </w:r>
      <w:r w:rsidRPr="00F35F4D">
        <w:rPr>
          <w:rFonts w:ascii="Times New Roman" w:hAnsi="Times New Roman" w:cs="Times New Roman"/>
          <w:noProof/>
          <w:color w:val="0D0D0D"/>
          <w:sz w:val="24"/>
        </w:rPr>
        <w:lastRenderedPageBreak/>
        <w:t xml:space="preserve"> </w:t>
      </w:r>
      <w:bookmarkStart w:id="10" w:name="_Toc426033262"/>
      <w:r w:rsidRPr="00F35F4D">
        <w:rPr>
          <w:rFonts w:ascii="Times New Roman" w:hAnsi="Times New Roman" w:cs="Times New Roman"/>
          <w:noProof/>
          <w:color w:val="0D0D0D"/>
          <w:sz w:val="24"/>
        </w:rPr>
        <w:t>Novietņu sistēmas mājputniem</w:t>
      </w:r>
      <w:bookmarkEnd w:id="10"/>
    </w:p>
    <w:p w14:paraId="34CC0869" w14:textId="77777777" w:rsidR="008E3F72" w:rsidRPr="00F35F4D" w:rsidRDefault="008E3F72" w:rsidP="008E3F72">
      <w:pPr>
        <w:rPr>
          <w:noProof/>
        </w:rPr>
      </w:pPr>
    </w:p>
    <w:p w14:paraId="126B779E" w14:textId="77777777" w:rsidR="008E3F72" w:rsidRPr="00F35F4D" w:rsidRDefault="008E3F72" w:rsidP="00E70BBB">
      <w:pPr>
        <w:pStyle w:val="BodyText"/>
        <w:widowControl/>
        <w:numPr>
          <w:ilvl w:val="0"/>
          <w:numId w:val="16"/>
        </w:numPr>
        <w:kinsoku w:val="0"/>
        <w:overflowPunct w:val="0"/>
        <w:spacing w:before="0"/>
        <w:ind w:left="0" w:firstLine="0"/>
        <w:jc w:val="both"/>
        <w:rPr>
          <w:noProof/>
          <w:sz w:val="24"/>
          <w:szCs w:val="24"/>
        </w:rPr>
      </w:pPr>
      <w:r w:rsidRPr="00F35F4D">
        <w:rPr>
          <w:noProof/>
          <w:sz w:val="24"/>
        </w:rPr>
        <w:t>Projektētajos risinājumos NH3 emisijas samazināšanai no mājputnu novietņu sistēmām piemēro šādus principus:</w:t>
      </w:r>
    </w:p>
    <w:p w14:paraId="3FD8A936" w14:textId="77777777" w:rsidR="008E3F72" w:rsidRPr="00F35F4D" w:rsidRDefault="008E3F72" w:rsidP="00E70BBB">
      <w:pPr>
        <w:pStyle w:val="BodyText"/>
        <w:widowControl/>
        <w:numPr>
          <w:ilvl w:val="1"/>
          <w:numId w:val="16"/>
        </w:numPr>
        <w:kinsoku w:val="0"/>
        <w:overflowPunct w:val="0"/>
        <w:spacing w:before="0"/>
        <w:ind w:left="0" w:firstLine="0"/>
        <w:jc w:val="both"/>
        <w:rPr>
          <w:noProof/>
          <w:sz w:val="24"/>
          <w:szCs w:val="24"/>
        </w:rPr>
      </w:pPr>
      <w:r w:rsidRPr="00F35F4D">
        <w:rPr>
          <w:noProof/>
          <w:sz w:val="24"/>
        </w:rPr>
        <w:t>samazina emisijas virsmas laukumu;</w:t>
      </w:r>
    </w:p>
    <w:p w14:paraId="75E05B06" w14:textId="77777777" w:rsidR="008E3F72" w:rsidRPr="00F35F4D" w:rsidRDefault="008E3F72" w:rsidP="00E70BBB">
      <w:pPr>
        <w:pStyle w:val="BodyText"/>
        <w:widowControl/>
        <w:numPr>
          <w:ilvl w:val="1"/>
          <w:numId w:val="16"/>
        </w:numPr>
        <w:kinsoku w:val="0"/>
        <w:overflowPunct w:val="0"/>
        <w:spacing w:before="0"/>
        <w:ind w:left="0" w:firstLine="0"/>
        <w:jc w:val="both"/>
        <w:rPr>
          <w:noProof/>
          <w:sz w:val="24"/>
          <w:szCs w:val="24"/>
        </w:rPr>
      </w:pPr>
      <w:r w:rsidRPr="00F35F4D">
        <w:rPr>
          <w:noProof/>
          <w:sz w:val="24"/>
        </w:rPr>
        <w:t>mēslus bieži pārvieto uz ārēju šķidro kūtsmēslu krātuvi (piemēram, ar lentes transportieri);</w:t>
      </w:r>
    </w:p>
    <w:p w14:paraId="3B10F04A" w14:textId="77777777" w:rsidR="008E3F72" w:rsidRPr="00F35F4D" w:rsidRDefault="008E3F72" w:rsidP="00E70BBB">
      <w:pPr>
        <w:pStyle w:val="BodyText"/>
        <w:widowControl/>
        <w:numPr>
          <w:ilvl w:val="1"/>
          <w:numId w:val="16"/>
        </w:numPr>
        <w:kinsoku w:val="0"/>
        <w:overflowPunct w:val="0"/>
        <w:spacing w:before="0"/>
        <w:ind w:left="0" w:firstLine="0"/>
        <w:jc w:val="both"/>
        <w:rPr>
          <w:noProof/>
          <w:sz w:val="24"/>
          <w:szCs w:val="24"/>
        </w:rPr>
      </w:pPr>
      <w:r w:rsidRPr="00F35F4D">
        <w:rPr>
          <w:noProof/>
          <w:sz w:val="24"/>
        </w:rPr>
        <w:t>mēslus ātri izžāvē;</w:t>
      </w:r>
    </w:p>
    <w:p w14:paraId="13DF0B25" w14:textId="77777777" w:rsidR="008E3F72" w:rsidRPr="00F35F4D" w:rsidRDefault="008E3F72" w:rsidP="00E70BBB">
      <w:pPr>
        <w:pStyle w:val="BodyText"/>
        <w:widowControl/>
        <w:numPr>
          <w:ilvl w:val="1"/>
          <w:numId w:val="16"/>
        </w:numPr>
        <w:kinsoku w:val="0"/>
        <w:overflowPunct w:val="0"/>
        <w:spacing w:before="0"/>
        <w:ind w:left="0" w:firstLine="0"/>
        <w:jc w:val="both"/>
        <w:rPr>
          <w:noProof/>
          <w:sz w:val="24"/>
          <w:szCs w:val="24"/>
        </w:rPr>
      </w:pPr>
      <w:r w:rsidRPr="00F35F4D">
        <w:rPr>
          <w:noProof/>
          <w:sz w:val="24"/>
        </w:rPr>
        <w:t>izmanto gludas un viegli tīrāmas virsmas;</w:t>
      </w:r>
    </w:p>
    <w:p w14:paraId="6EBB501F" w14:textId="77777777" w:rsidR="008E3F72" w:rsidRPr="00E70BBB" w:rsidRDefault="008E3F72" w:rsidP="00E70BBB">
      <w:pPr>
        <w:pStyle w:val="BodyText"/>
        <w:widowControl/>
        <w:numPr>
          <w:ilvl w:val="1"/>
          <w:numId w:val="16"/>
        </w:numPr>
        <w:kinsoku w:val="0"/>
        <w:overflowPunct w:val="0"/>
        <w:spacing w:before="0"/>
        <w:ind w:left="0" w:firstLine="0"/>
        <w:jc w:val="both"/>
        <w:rPr>
          <w:noProof/>
          <w:sz w:val="24"/>
          <w:szCs w:val="24"/>
        </w:rPr>
      </w:pPr>
      <w:r w:rsidRPr="00E70BBB">
        <w:rPr>
          <w:noProof/>
          <w:sz w:val="24"/>
          <w:szCs w:val="24"/>
        </w:rPr>
        <w:t>veic izplūdes gaisa tīrīšanu ar skābes skruberiem vai pilienu biofiltriem;</w:t>
      </w:r>
    </w:p>
    <w:p w14:paraId="22FDB29E" w14:textId="77777777" w:rsidR="008E3F72" w:rsidRPr="00E70BBB" w:rsidRDefault="008E3F72" w:rsidP="00E70BBB">
      <w:pPr>
        <w:pStyle w:val="BodyText"/>
        <w:widowControl/>
        <w:numPr>
          <w:ilvl w:val="1"/>
          <w:numId w:val="16"/>
        </w:numPr>
        <w:kinsoku w:val="0"/>
        <w:overflowPunct w:val="0"/>
        <w:spacing w:before="0"/>
        <w:ind w:left="0" w:firstLine="0"/>
        <w:jc w:val="both"/>
        <w:rPr>
          <w:noProof/>
          <w:sz w:val="24"/>
          <w:szCs w:val="24"/>
        </w:rPr>
      </w:pPr>
      <w:r w:rsidRPr="00E70BBB">
        <w:rPr>
          <w:noProof/>
          <w:sz w:val="24"/>
          <w:szCs w:val="24"/>
        </w:rPr>
        <w:t>pazemina iekštelpu temperatūru un samazina gaisa apmaiņu līdz līmenim, ko pieļauj dzīvnieku labturības un/vai ražošanas prasības.</w:t>
      </w:r>
    </w:p>
    <w:p w14:paraId="79BA2CE3" w14:textId="77777777" w:rsidR="008E3F72" w:rsidRPr="00E70BBB" w:rsidRDefault="008E3F72" w:rsidP="008E3F72">
      <w:pPr>
        <w:pStyle w:val="BodyText"/>
        <w:widowControl/>
        <w:kinsoku w:val="0"/>
        <w:overflowPunct w:val="0"/>
        <w:spacing w:before="0"/>
        <w:ind w:left="0"/>
        <w:jc w:val="both"/>
        <w:rPr>
          <w:noProof/>
          <w:sz w:val="24"/>
          <w:szCs w:val="24"/>
        </w:rPr>
      </w:pPr>
    </w:p>
    <w:p w14:paraId="76590A54" w14:textId="300A86DE" w:rsidR="008E3F72" w:rsidRPr="00E70BBB" w:rsidRDefault="008E3F72" w:rsidP="00E70BBB">
      <w:pPr>
        <w:pStyle w:val="Heading6"/>
        <w:widowControl/>
        <w:numPr>
          <w:ilvl w:val="0"/>
          <w:numId w:val="19"/>
        </w:numPr>
        <w:kinsoku w:val="0"/>
        <w:overflowPunct w:val="0"/>
        <w:ind w:left="0" w:firstLine="0"/>
        <w:jc w:val="both"/>
        <w:rPr>
          <w:rFonts w:ascii="Times New Roman" w:hAnsi="Times New Roman" w:cs="Times New Roman"/>
          <w:noProof/>
        </w:rPr>
      </w:pPr>
      <w:r w:rsidRPr="00E70BBB">
        <w:rPr>
          <w:rFonts w:ascii="Times New Roman" w:hAnsi="Times New Roman" w:cs="Times New Roman"/>
          <w:noProof/>
        </w:rPr>
        <w:t>Novietņu sistēmas dējējvistām</w:t>
      </w:r>
    </w:p>
    <w:p w14:paraId="4BAC677A" w14:textId="77777777" w:rsidR="00E70BBB" w:rsidRPr="00E70BBB" w:rsidRDefault="00E70BBB" w:rsidP="00E70BBB">
      <w:pPr>
        <w:pStyle w:val="ListParagraph"/>
        <w:ind w:left="720"/>
      </w:pPr>
    </w:p>
    <w:p w14:paraId="50EE411C" w14:textId="7BD5DF7A" w:rsidR="008E3F72" w:rsidRPr="00E70BBB" w:rsidRDefault="008E3F72" w:rsidP="008E3F72">
      <w:pPr>
        <w:pStyle w:val="BodyText"/>
        <w:widowControl/>
        <w:numPr>
          <w:ilvl w:val="0"/>
          <w:numId w:val="14"/>
        </w:numPr>
        <w:tabs>
          <w:tab w:val="left" w:pos="861"/>
        </w:tabs>
        <w:kinsoku w:val="0"/>
        <w:overflowPunct w:val="0"/>
        <w:spacing w:before="0"/>
        <w:ind w:left="0" w:firstLine="0"/>
        <w:jc w:val="both"/>
        <w:rPr>
          <w:noProof/>
          <w:sz w:val="24"/>
          <w:szCs w:val="24"/>
        </w:rPr>
      </w:pPr>
      <w:r w:rsidRPr="00E70BBB">
        <w:rPr>
          <w:noProof/>
          <w:sz w:val="24"/>
          <w:szCs w:val="24"/>
        </w:rPr>
        <w:t>Izvērtējot novietnes dējējvistām, ES dalībvalstīm ir jāņem vērā prasības, kas noteiktas Padomes 1999. gada 19. jūlija Direktīvā 1999/74/EK, ar ko nosaka minimālos standartus attiecībā uz dējējvistu aizsardzību. Ar šo direktīvu tradicionālās būru sistēmas ir aizliegtas izmantošanai no 2012. gada. To vietā drīkst izmantot tikai uzlabotos būrus (ko angliski arī dēvē par „mēbelētajiem (</w:t>
      </w:r>
      <w:r w:rsidRPr="00E70BBB">
        <w:rPr>
          <w:i/>
          <w:noProof/>
          <w:sz w:val="24"/>
          <w:szCs w:val="24"/>
        </w:rPr>
        <w:t>furniture</w:t>
      </w:r>
      <w:r w:rsidRPr="00E70BBB">
        <w:rPr>
          <w:noProof/>
          <w:sz w:val="24"/>
          <w:szCs w:val="24"/>
        </w:rPr>
        <w:t>)” būriem), vai arī pakaišu (</w:t>
      </w:r>
      <w:r w:rsidR="00E501A1">
        <w:rPr>
          <w:noProof/>
          <w:sz w:val="24"/>
          <w:szCs w:val="24"/>
        </w:rPr>
        <w:t>vai dziļo pakaišu) turēšanas</w:t>
      </w:r>
      <w:r w:rsidRPr="00E70BBB">
        <w:rPr>
          <w:noProof/>
          <w:sz w:val="24"/>
          <w:szCs w:val="24"/>
        </w:rPr>
        <w:t xml:space="preserve"> sistēmas, vai voljērus.</w:t>
      </w:r>
    </w:p>
    <w:p w14:paraId="7839C336" w14:textId="77777777" w:rsidR="00E70BBB" w:rsidRPr="00E70BBB" w:rsidRDefault="00E70BBB" w:rsidP="00E70BBB">
      <w:pPr>
        <w:pStyle w:val="BodyText"/>
        <w:widowControl/>
        <w:tabs>
          <w:tab w:val="left" w:pos="861"/>
        </w:tabs>
        <w:kinsoku w:val="0"/>
        <w:overflowPunct w:val="0"/>
        <w:spacing w:before="0"/>
        <w:ind w:left="0"/>
        <w:jc w:val="both"/>
        <w:rPr>
          <w:noProof/>
          <w:sz w:val="24"/>
          <w:szCs w:val="24"/>
        </w:rPr>
      </w:pPr>
    </w:p>
    <w:p w14:paraId="5F44AE1B" w14:textId="2AFE9B8F" w:rsidR="008E3F72" w:rsidRDefault="00E501A1" w:rsidP="008E3F72">
      <w:pPr>
        <w:pStyle w:val="BodyText"/>
        <w:widowControl/>
        <w:numPr>
          <w:ilvl w:val="0"/>
          <w:numId w:val="14"/>
        </w:numPr>
        <w:tabs>
          <w:tab w:val="left" w:pos="861"/>
        </w:tabs>
        <w:kinsoku w:val="0"/>
        <w:overflowPunct w:val="0"/>
        <w:spacing w:before="0"/>
        <w:ind w:left="0" w:firstLine="0"/>
        <w:jc w:val="both"/>
        <w:rPr>
          <w:noProof/>
          <w:sz w:val="24"/>
          <w:szCs w:val="24"/>
        </w:rPr>
      </w:pPr>
      <w:r>
        <w:rPr>
          <w:i/>
          <w:sz w:val="24"/>
          <w:szCs w:val="24"/>
        </w:rPr>
        <w:t>Atsauces sistēma turēšanai</w:t>
      </w:r>
      <w:r w:rsidR="008E3F72" w:rsidRPr="00E70BBB">
        <w:rPr>
          <w:i/>
          <w:sz w:val="24"/>
          <w:szCs w:val="24"/>
        </w:rPr>
        <w:t xml:space="preserve"> tradicionālajos būros.</w:t>
      </w:r>
      <w:r w:rsidR="008E3F72" w:rsidRPr="00E70BBB">
        <w:rPr>
          <w:noProof/>
          <w:sz w:val="24"/>
          <w:szCs w:val="24"/>
        </w:rPr>
        <w:t xml:space="preserve"> Šajā sistēmā putnu mēsli nonāk atklātā krātuvē zem būriem. Kaut arī ES šī sistēma kopš 2012. gada ir aizliegta, dažās EEK valstīs putnus vēl aizvien tur tradicionālajos būros, un vairumā ziņojumu par NH3 emisija</w:t>
      </w:r>
      <w:r>
        <w:rPr>
          <w:noProof/>
          <w:sz w:val="24"/>
          <w:szCs w:val="24"/>
        </w:rPr>
        <w:t>s samazināšanu šis turēšanas</w:t>
      </w:r>
      <w:r w:rsidR="008E3F72" w:rsidRPr="00E70BBB">
        <w:rPr>
          <w:noProof/>
          <w:sz w:val="24"/>
          <w:szCs w:val="24"/>
        </w:rPr>
        <w:t xml:space="preserve"> veids tiek minēts kā atsauce. To izmanto atsaucei arī tāpēc, lai emisijas uzskaitē tiktu ievērota nepārtrauktība.</w:t>
      </w:r>
    </w:p>
    <w:p w14:paraId="064D5E34" w14:textId="77777777" w:rsidR="00E70BBB" w:rsidRPr="00E70BBB" w:rsidRDefault="00E70BBB" w:rsidP="00E70BBB">
      <w:pPr>
        <w:pStyle w:val="BodyText"/>
        <w:widowControl/>
        <w:tabs>
          <w:tab w:val="left" w:pos="861"/>
        </w:tabs>
        <w:kinsoku w:val="0"/>
        <w:overflowPunct w:val="0"/>
        <w:spacing w:before="0"/>
        <w:ind w:left="0"/>
        <w:jc w:val="both"/>
        <w:rPr>
          <w:noProof/>
          <w:sz w:val="24"/>
          <w:szCs w:val="24"/>
        </w:rPr>
      </w:pPr>
    </w:p>
    <w:p w14:paraId="68D820F7" w14:textId="31F08E7C" w:rsidR="008E3F72" w:rsidRDefault="008E3F72" w:rsidP="008E3F72">
      <w:pPr>
        <w:pStyle w:val="BodyText"/>
        <w:widowControl/>
        <w:numPr>
          <w:ilvl w:val="0"/>
          <w:numId w:val="14"/>
        </w:numPr>
        <w:tabs>
          <w:tab w:val="left" w:pos="861"/>
        </w:tabs>
        <w:kinsoku w:val="0"/>
        <w:overflowPunct w:val="0"/>
        <w:spacing w:before="0"/>
        <w:ind w:left="0" w:firstLine="0"/>
        <w:jc w:val="both"/>
        <w:rPr>
          <w:noProof/>
          <w:sz w:val="24"/>
          <w:szCs w:val="24"/>
        </w:rPr>
      </w:pPr>
      <w:r w:rsidRPr="00E70BBB">
        <w:rPr>
          <w:i/>
          <w:sz w:val="24"/>
          <w:szCs w:val="24"/>
        </w:rPr>
        <w:t>Atsauces sistēma izmitināšanai „uzlabotajos” būros.</w:t>
      </w:r>
      <w:r w:rsidRPr="00E70BBB">
        <w:rPr>
          <w:noProof/>
          <w:sz w:val="24"/>
          <w:szCs w:val="24"/>
        </w:rPr>
        <w:t xml:space="preserve"> Šajā sistēmā tradicionālos būrus var aizstāt, būtiski nepārbūvējot esošās ēkas. Uzlabotie būri nodrošina vistām vairāk vietas, kā arī to, lai tās varētu ligzdot, kašņāties un s</w:t>
      </w:r>
      <w:r w:rsidR="00E501A1">
        <w:rPr>
          <w:noProof/>
          <w:sz w:val="24"/>
          <w:szCs w:val="24"/>
        </w:rPr>
        <w:t>ēdēt uz laktas. Putnus tur ēdinās</w:t>
      </w:r>
      <w:r w:rsidRPr="00E70BBB">
        <w:rPr>
          <w:noProof/>
          <w:sz w:val="24"/>
          <w:szCs w:val="24"/>
        </w:rPr>
        <w:t xml:space="preserve"> pa 40–60. Visbiežāk mēslus izved ar (ventilējamu) transportiera lenti, kas atrodas zem būriem. Pasākumi emisijas samazināšanai putniem, kurus tur uzlabotajos būros, ir norādīti atsevišķā tabulā, jo atsauce salīdzināšanai ir nevis tradicionālais būris, bet gan uzlabotais būris, zem kura ir transportiera lente regulārai mēslu izvešanai bez žāvēšanas. Dzīvnieku labturības apsvērumu dēļ Nīderlandē un Vācijā uzlabotie būri nav atļauti, to vietā putnus tur mazās grupās (</w:t>
      </w:r>
      <w:r w:rsidRPr="00E70BBB">
        <w:rPr>
          <w:i/>
          <w:noProof/>
          <w:sz w:val="24"/>
          <w:szCs w:val="24"/>
        </w:rPr>
        <w:t>Kleingruppenhaltung</w:t>
      </w:r>
      <w:r w:rsidRPr="00E70BBB">
        <w:rPr>
          <w:noProof/>
          <w:sz w:val="24"/>
          <w:szCs w:val="24"/>
        </w:rPr>
        <w:t xml:space="preserve">). Šis turēšanas veids atšķiras no uzlabotā būra ar lielāku virsmas laukumu uz vienu dzīvnieku; būris ir augstāks, un tajā ir precīzāk iezīmētas zonas ar pakaišiem un ligzdām. Avotā </w:t>
      </w:r>
      <w:r w:rsidRPr="00E70BBB">
        <w:rPr>
          <w:i/>
          <w:noProof/>
          <w:sz w:val="24"/>
          <w:szCs w:val="24"/>
        </w:rPr>
        <w:t>Ellen, Ogink</w:t>
      </w:r>
      <w:r w:rsidRPr="00E70BBB">
        <w:rPr>
          <w:noProof/>
          <w:sz w:val="24"/>
          <w:szCs w:val="24"/>
        </w:rPr>
        <w:t xml:space="preserve"> (2009) ir pamatots, ka šajā gadījumā var piemērot tos pašus NH3 emisijas samazināšanas faktorus, ko piemēro uzlaboto būru gadījumā.</w:t>
      </w:r>
    </w:p>
    <w:p w14:paraId="31C120AA" w14:textId="77777777" w:rsidR="00E70BBB" w:rsidRPr="00E70BBB" w:rsidRDefault="00E70BBB" w:rsidP="00E70BBB">
      <w:pPr>
        <w:pStyle w:val="BodyText"/>
        <w:widowControl/>
        <w:tabs>
          <w:tab w:val="left" w:pos="861"/>
        </w:tabs>
        <w:kinsoku w:val="0"/>
        <w:overflowPunct w:val="0"/>
        <w:spacing w:before="0"/>
        <w:ind w:left="0"/>
        <w:jc w:val="both"/>
        <w:rPr>
          <w:noProof/>
          <w:sz w:val="24"/>
          <w:szCs w:val="24"/>
        </w:rPr>
      </w:pPr>
    </w:p>
    <w:p w14:paraId="467597CB" w14:textId="77777777" w:rsidR="008E3F72" w:rsidRPr="00F35F4D" w:rsidRDefault="008E3F72" w:rsidP="008E3F72">
      <w:pPr>
        <w:pStyle w:val="BodyText"/>
        <w:widowControl/>
        <w:numPr>
          <w:ilvl w:val="0"/>
          <w:numId w:val="14"/>
        </w:numPr>
        <w:tabs>
          <w:tab w:val="left" w:pos="861"/>
        </w:tabs>
        <w:kinsoku w:val="0"/>
        <w:overflowPunct w:val="0"/>
        <w:spacing w:before="0"/>
        <w:ind w:left="0" w:firstLine="0"/>
        <w:jc w:val="both"/>
        <w:rPr>
          <w:noProof/>
          <w:sz w:val="24"/>
          <w:szCs w:val="24"/>
        </w:rPr>
      </w:pPr>
      <w:r w:rsidRPr="00E70BBB">
        <w:rPr>
          <w:i/>
          <w:noProof/>
          <w:sz w:val="24"/>
          <w:szCs w:val="24"/>
        </w:rPr>
        <w:t xml:space="preserve">Atsauces sistēma izmitināšanai bez būriem – novietnes ar dziļajām zemgrīdas krātuvēm un grīdu, ko daļēji klāj pakaiši. </w:t>
      </w:r>
      <w:r w:rsidRPr="00E70BBB">
        <w:rPr>
          <w:noProof/>
          <w:sz w:val="24"/>
          <w:szCs w:val="24"/>
        </w:rPr>
        <w:t>Šajā sistēmā ēkās parasti ir ierīkotas 80–90 cm dziļas krātuves, ko sedz koka vai plastmasas redeles vai stiepļu režģis. Mēslus savāc krātuvēs zem redelēm, kas aizņem divas trešdaļas grīdas laukuma. Atlikušo grīdas trešdaļu sedz pakaiši, piemēram, smiltis, koka skaidas vai</w:t>
      </w:r>
      <w:r w:rsidRPr="00F35F4D">
        <w:rPr>
          <w:noProof/>
          <w:sz w:val="24"/>
        </w:rPr>
        <w:t xml:space="preserve"> salmi, kuros putni kašņājas vai peras. Putnu blīvums novietnēs ir līdz deviņām vistām uz m² grīdas laukuma.</w:t>
      </w:r>
    </w:p>
    <w:p w14:paraId="2A5CAC05" w14:textId="633B8C4D" w:rsidR="00E70BBB" w:rsidRDefault="008E3F72" w:rsidP="00E70BBB">
      <w:pPr>
        <w:pStyle w:val="BodyText"/>
        <w:widowControl/>
        <w:numPr>
          <w:ilvl w:val="0"/>
          <w:numId w:val="14"/>
        </w:numPr>
        <w:tabs>
          <w:tab w:val="left" w:pos="861"/>
        </w:tabs>
        <w:kinsoku w:val="0"/>
        <w:overflowPunct w:val="0"/>
        <w:spacing w:before="0"/>
        <w:ind w:left="0" w:firstLine="0"/>
        <w:jc w:val="both"/>
        <w:rPr>
          <w:noProof/>
          <w:sz w:val="24"/>
          <w:szCs w:val="24"/>
        </w:rPr>
      </w:pPr>
      <w:r w:rsidRPr="00F35F4D">
        <w:rPr>
          <w:i/>
          <w:noProof/>
          <w:sz w:val="24"/>
        </w:rPr>
        <w:lastRenderedPageBreak/>
        <w:t xml:space="preserve">Voljēru sistēma (laktas). </w:t>
      </w:r>
      <w:r w:rsidRPr="00F35F4D">
        <w:rPr>
          <w:noProof/>
          <w:sz w:val="24"/>
        </w:rPr>
        <w:t>Ēka ir sadalīta vairākās funkcionālās zonās, ko putni izmanto, lai barotos un dzertu, dētu olas, kašņātos un atpūstos, un tajā ir pabērti pakaiši. Pieejamais virsmas laukums ir paplašināts ar piepaceltām redeļu grīdām, kas vairākos stāvos ļauj izvietot līdz 18 vistām uz m² grīdas laukuma. Tāpat kā būru sistēmā voljēros zem stāviem izmanto transportieru lentes mēslu savākšanai; lentes ar ventilāciju var uzstādīt pakaišu savākšanai, žāvēšanai un izvākšanai.</w:t>
      </w:r>
    </w:p>
    <w:p w14:paraId="7E8242E1" w14:textId="77777777" w:rsidR="00E70BBB" w:rsidRPr="00E70BBB" w:rsidRDefault="00E70BBB" w:rsidP="00E70BBB">
      <w:pPr>
        <w:pStyle w:val="BodyText"/>
        <w:widowControl/>
        <w:tabs>
          <w:tab w:val="left" w:pos="861"/>
        </w:tabs>
        <w:kinsoku w:val="0"/>
        <w:overflowPunct w:val="0"/>
        <w:spacing w:before="0"/>
        <w:ind w:left="0"/>
        <w:jc w:val="both"/>
        <w:rPr>
          <w:noProof/>
          <w:sz w:val="24"/>
          <w:szCs w:val="24"/>
        </w:rPr>
      </w:pPr>
    </w:p>
    <w:p w14:paraId="33FBB43D" w14:textId="77777777" w:rsidR="008E3F72" w:rsidRPr="00E70BBB" w:rsidRDefault="008E3F72" w:rsidP="008E3F72">
      <w:pPr>
        <w:pStyle w:val="BodyText"/>
        <w:widowControl/>
        <w:numPr>
          <w:ilvl w:val="0"/>
          <w:numId w:val="14"/>
        </w:numPr>
        <w:tabs>
          <w:tab w:val="left" w:pos="861"/>
        </w:tabs>
        <w:kinsoku w:val="0"/>
        <w:overflowPunct w:val="0"/>
        <w:spacing w:before="0"/>
        <w:ind w:left="0" w:firstLine="0"/>
        <w:jc w:val="both"/>
        <w:rPr>
          <w:noProof/>
          <w:sz w:val="24"/>
          <w:szCs w:val="24"/>
        </w:rPr>
      </w:pPr>
      <w:r w:rsidRPr="00F35F4D">
        <w:rPr>
          <w:noProof/>
          <w:sz w:val="24"/>
        </w:rPr>
        <w:t>Dažās valstīs „mājputnu brīvās turēšanas” definīcijā iekļauj arī novietnes ar dziļo krātuvi un grīdu, ko daļēji klāj pakaiši (vai dziļie pakaiši), un voljēru sistēmas, kurās putniem ir nodrošināta pastaigu vieta ārpus telpām. Valstīs, kur „brīvā turēšanā” esošās vistas ir izmitinātas uz vienlaidu grīdas vai grīdas laukuma, ko daļēji klāj redeles, vienlaidu grīdas platību nosedz ar pakaišiem, un vistām ir iespējams pastaigāties svaigā gaisā. Mēsli krājas vai nu uz vienlaidu grīdas, vai zem redelēm 14 mēnešu ilgā dēšanas perioda laikā.</w:t>
      </w:r>
    </w:p>
    <w:p w14:paraId="664CBAEE" w14:textId="77777777" w:rsidR="00E70BBB" w:rsidRPr="00F35F4D" w:rsidRDefault="00E70BBB" w:rsidP="00E70BBB">
      <w:pPr>
        <w:pStyle w:val="BodyText"/>
        <w:widowControl/>
        <w:tabs>
          <w:tab w:val="left" w:pos="861"/>
        </w:tabs>
        <w:kinsoku w:val="0"/>
        <w:overflowPunct w:val="0"/>
        <w:spacing w:before="0"/>
        <w:ind w:left="0"/>
        <w:jc w:val="both"/>
        <w:rPr>
          <w:noProof/>
          <w:sz w:val="24"/>
          <w:szCs w:val="24"/>
        </w:rPr>
      </w:pPr>
    </w:p>
    <w:p w14:paraId="5A3E666B" w14:textId="14048CD4" w:rsidR="008E3F72" w:rsidRDefault="00E70BBB" w:rsidP="00E70BBB">
      <w:pPr>
        <w:pStyle w:val="BodyText"/>
        <w:widowControl/>
        <w:kinsoku w:val="0"/>
        <w:overflowPunct w:val="0"/>
        <w:spacing w:before="0"/>
        <w:ind w:left="0"/>
        <w:jc w:val="both"/>
        <w:rPr>
          <w:b/>
          <w:i/>
          <w:noProof/>
          <w:color w:val="0D0D0D"/>
          <w:sz w:val="24"/>
        </w:rPr>
      </w:pPr>
      <w:r>
        <w:rPr>
          <w:b/>
          <w:i/>
          <w:noProof/>
          <w:color w:val="0D0D0D"/>
          <w:sz w:val="24"/>
        </w:rPr>
        <w:t xml:space="preserve">1. </w:t>
      </w:r>
      <w:r w:rsidR="008E3F72" w:rsidRPr="00F35F4D">
        <w:rPr>
          <w:b/>
          <w:i/>
          <w:noProof/>
          <w:color w:val="0D0D0D"/>
          <w:sz w:val="24"/>
        </w:rPr>
        <w:t>kategorijas paņēmieni</w:t>
      </w:r>
    </w:p>
    <w:p w14:paraId="703EB2D8" w14:textId="77777777" w:rsidR="00E70BBB" w:rsidRPr="00E70BBB" w:rsidRDefault="00E70BBB" w:rsidP="00E70BBB">
      <w:pPr>
        <w:pStyle w:val="BodyText"/>
        <w:widowControl/>
        <w:kinsoku w:val="0"/>
        <w:overflowPunct w:val="0"/>
        <w:spacing w:before="0"/>
        <w:ind w:left="0"/>
        <w:jc w:val="both"/>
        <w:rPr>
          <w:bCs/>
          <w:iCs/>
          <w:noProof/>
          <w:color w:val="0D0D0D"/>
          <w:sz w:val="24"/>
          <w:szCs w:val="24"/>
        </w:rPr>
      </w:pPr>
    </w:p>
    <w:p w14:paraId="26EC040B" w14:textId="5785B5DB" w:rsidR="008E3F72" w:rsidRPr="00E70BBB" w:rsidRDefault="008E3F72" w:rsidP="00E70BBB">
      <w:pPr>
        <w:pStyle w:val="BodyText"/>
        <w:widowControl/>
        <w:numPr>
          <w:ilvl w:val="0"/>
          <w:numId w:val="21"/>
        </w:numPr>
        <w:tabs>
          <w:tab w:val="left" w:pos="861"/>
        </w:tabs>
        <w:kinsoku w:val="0"/>
        <w:overflowPunct w:val="0"/>
        <w:spacing w:before="0"/>
        <w:ind w:left="0" w:firstLine="0"/>
        <w:jc w:val="both"/>
        <w:rPr>
          <w:noProof/>
          <w:sz w:val="24"/>
          <w:szCs w:val="24"/>
        </w:rPr>
      </w:pPr>
      <w:r w:rsidRPr="00F35F4D">
        <w:rPr>
          <w:noProof/>
          <w:sz w:val="24"/>
        </w:rPr>
        <w:t>Amonjaka e</w:t>
      </w:r>
      <w:r w:rsidR="00E501A1">
        <w:rPr>
          <w:noProof/>
          <w:sz w:val="24"/>
        </w:rPr>
        <w:t>misiju no sprostu baterijām</w:t>
      </w:r>
      <w:r w:rsidRPr="00F35F4D">
        <w:rPr>
          <w:noProof/>
          <w:sz w:val="24"/>
        </w:rPr>
        <w:t xml:space="preserve"> ar dziļo zemgrīdas krātuvi vai kanālu sistēmām var samazināt, ja, krātuvi ventilējot, samazina </w:t>
      </w:r>
      <w:r w:rsidR="00E501A1">
        <w:rPr>
          <w:noProof/>
          <w:sz w:val="24"/>
        </w:rPr>
        <w:t>kūts</w:t>
      </w:r>
      <w:r w:rsidRPr="00F35F4D">
        <w:rPr>
          <w:noProof/>
          <w:sz w:val="24"/>
        </w:rPr>
        <w:t>mēslos esošo mitruma daudzumu.</w:t>
      </w:r>
    </w:p>
    <w:p w14:paraId="3CF72E91" w14:textId="77777777" w:rsidR="00E70BBB" w:rsidRPr="00F35F4D" w:rsidRDefault="00E70BBB" w:rsidP="00E70BBB">
      <w:pPr>
        <w:pStyle w:val="BodyText"/>
        <w:widowControl/>
        <w:tabs>
          <w:tab w:val="left" w:pos="861"/>
        </w:tabs>
        <w:kinsoku w:val="0"/>
        <w:overflowPunct w:val="0"/>
        <w:spacing w:before="0"/>
        <w:ind w:left="0"/>
        <w:jc w:val="both"/>
        <w:rPr>
          <w:noProof/>
          <w:sz w:val="24"/>
          <w:szCs w:val="24"/>
        </w:rPr>
      </w:pPr>
    </w:p>
    <w:p w14:paraId="4763E66C" w14:textId="66929F36" w:rsidR="008E3F72" w:rsidRPr="00E70BBB" w:rsidRDefault="008E3F72" w:rsidP="00E70BBB">
      <w:pPr>
        <w:pStyle w:val="BodyText"/>
        <w:widowControl/>
        <w:numPr>
          <w:ilvl w:val="0"/>
          <w:numId w:val="21"/>
        </w:numPr>
        <w:tabs>
          <w:tab w:val="left" w:pos="861"/>
        </w:tabs>
        <w:kinsoku w:val="0"/>
        <w:overflowPunct w:val="0"/>
        <w:spacing w:before="0"/>
        <w:ind w:left="0" w:firstLine="0"/>
        <w:jc w:val="both"/>
        <w:rPr>
          <w:noProof/>
          <w:sz w:val="24"/>
          <w:szCs w:val="24"/>
        </w:rPr>
      </w:pPr>
      <w:r w:rsidRPr="00F35F4D">
        <w:rPr>
          <w:noProof/>
          <w:sz w:val="24"/>
        </w:rPr>
        <w:t xml:space="preserve">Mēslu savākšana uz transportiera lentes un pārvietošana uz slēgtu krātuvi ārpus ēkas arī var samazināt NH3 emisiju, jo īpaši, ja mēsli piespiedu ventilācijas rezultātā ir izžuvuši uz lentes. Lai pēc iespējas samazinātu NH3 </w:t>
      </w:r>
      <w:r w:rsidR="00E501A1">
        <w:rPr>
          <w:noProof/>
          <w:sz w:val="24"/>
        </w:rPr>
        <w:t xml:space="preserve">veidošanos, mēsli jāžāvē, līdz </w:t>
      </w:r>
      <w:r w:rsidR="00E501A1" w:rsidRPr="00E501A1">
        <w:rPr>
          <w:i/>
          <w:noProof/>
          <w:sz w:val="24"/>
        </w:rPr>
        <w:t>DM</w:t>
      </w:r>
      <w:r w:rsidRPr="00F35F4D">
        <w:rPr>
          <w:noProof/>
          <w:sz w:val="24"/>
        </w:rPr>
        <w:t xml:space="preserve"> veido 60–70 %. Mēslos, kas no lentes nonāk intensīvi ventilētos žāvēšanas tuneļos ēkā vai ārpus tās, </w:t>
      </w:r>
      <w:r w:rsidR="00E501A1" w:rsidRPr="00E501A1">
        <w:rPr>
          <w:i/>
          <w:noProof/>
          <w:sz w:val="24"/>
        </w:rPr>
        <w:t>DM</w:t>
      </w:r>
      <w:r w:rsidRPr="00F35F4D">
        <w:rPr>
          <w:noProof/>
          <w:sz w:val="24"/>
        </w:rPr>
        <w:t xml:space="preserve"> saturs mazāk nekā 48 stundu laikā var sasniegt 60–80 %, bet šādā gadījumā tie vairāk nonāk gaisa iedarbībā un emisija palielinās. Ja mēslus no mēslu transportieru lentēm pārvieto uz segtajām krātuvēm ik nedēļu, tad emisija samazinās par 50 % salīdzinājumā ar pārvietošanu, ko veic reizi divās nedēļās. Kopumā emisija no dējējvistu novietnēm, kurās ir mēslu transportieri, ir atkarīga no šādiem faktoriem: a) laika, kurā mēsli atrodas uz transportiera; b) žāvēšanas sistēmām; c) mājputnu sugas; d) gaisa apmaiņas ātruma lentes tuvumā (ja ātrums ir mazs, emisija ir lielāka) un e) barības sastāva. Voljēru sistēmas ar mēslu transportieriem biežai mēslu savākšanai un izvešanai uz slēgtām krātuvēm samazina emisiju par vairāk nekā 70 % salīdzinājum</w:t>
      </w:r>
      <w:r w:rsidR="00E501A1">
        <w:rPr>
          <w:noProof/>
          <w:sz w:val="24"/>
        </w:rPr>
        <w:t>ā ar dziļo pakaišu turēšanas</w:t>
      </w:r>
      <w:r w:rsidRPr="00F35F4D">
        <w:rPr>
          <w:noProof/>
          <w:sz w:val="24"/>
        </w:rPr>
        <w:t xml:space="preserve"> sistēmu.</w:t>
      </w:r>
    </w:p>
    <w:p w14:paraId="71C242B8" w14:textId="77777777" w:rsidR="00E70BBB" w:rsidRPr="00F35F4D" w:rsidRDefault="00E70BBB" w:rsidP="00E70BBB">
      <w:pPr>
        <w:pStyle w:val="BodyText"/>
        <w:widowControl/>
        <w:tabs>
          <w:tab w:val="left" w:pos="861"/>
        </w:tabs>
        <w:kinsoku w:val="0"/>
        <w:overflowPunct w:val="0"/>
        <w:spacing w:before="0"/>
        <w:ind w:left="0"/>
        <w:jc w:val="both"/>
        <w:rPr>
          <w:noProof/>
          <w:sz w:val="24"/>
          <w:szCs w:val="24"/>
        </w:rPr>
      </w:pPr>
    </w:p>
    <w:p w14:paraId="5E8BA190" w14:textId="77777777" w:rsidR="008E3F72" w:rsidRPr="00E70BBB" w:rsidRDefault="008E3F72" w:rsidP="00E70BBB">
      <w:pPr>
        <w:pStyle w:val="BodyText"/>
        <w:widowControl/>
        <w:numPr>
          <w:ilvl w:val="0"/>
          <w:numId w:val="21"/>
        </w:numPr>
        <w:tabs>
          <w:tab w:val="left" w:pos="861"/>
        </w:tabs>
        <w:kinsoku w:val="0"/>
        <w:overflowPunct w:val="0"/>
        <w:spacing w:before="0"/>
        <w:ind w:left="0" w:firstLine="0"/>
        <w:jc w:val="both"/>
        <w:rPr>
          <w:noProof/>
          <w:sz w:val="24"/>
          <w:szCs w:val="24"/>
        </w:rPr>
      </w:pPr>
      <w:r w:rsidRPr="00F35F4D">
        <w:rPr>
          <w:noProof/>
          <w:sz w:val="24"/>
        </w:rPr>
        <w:t>Vairākās valstīs ir veiksmīgi izmantota izplūdes gaisa apstrāde ar skābes skruberiem vai pilienu biofiltriem (</w:t>
      </w:r>
      <w:r w:rsidRPr="00F35F4D">
        <w:rPr>
          <w:i/>
          <w:noProof/>
          <w:sz w:val="24"/>
        </w:rPr>
        <w:t>Melse and Ogink</w:t>
      </w:r>
      <w:r w:rsidRPr="00F35F4D">
        <w:rPr>
          <w:noProof/>
          <w:sz w:val="24"/>
        </w:rPr>
        <w:t xml:space="preserve">, 2005; </w:t>
      </w:r>
      <w:r w:rsidRPr="00F35F4D">
        <w:rPr>
          <w:i/>
          <w:noProof/>
          <w:sz w:val="24"/>
        </w:rPr>
        <w:t>Ritz et</w:t>
      </w:r>
      <w:r w:rsidRPr="00F35F4D">
        <w:rPr>
          <w:noProof/>
          <w:sz w:val="24"/>
        </w:rPr>
        <w:t xml:space="preserve"> </w:t>
      </w:r>
      <w:r w:rsidRPr="00F35F4D">
        <w:rPr>
          <w:i/>
          <w:noProof/>
          <w:sz w:val="24"/>
        </w:rPr>
        <w:t>al. 2006;</w:t>
      </w:r>
      <w:r w:rsidRPr="00F35F4D">
        <w:rPr>
          <w:noProof/>
          <w:sz w:val="24"/>
        </w:rPr>
        <w:t xml:space="preserve"> </w:t>
      </w:r>
      <w:r w:rsidRPr="00F35F4D">
        <w:rPr>
          <w:i/>
          <w:noProof/>
          <w:sz w:val="24"/>
        </w:rPr>
        <w:t>Patterson, Adrizal</w:t>
      </w:r>
      <w:r w:rsidRPr="00F35F4D">
        <w:rPr>
          <w:noProof/>
          <w:sz w:val="24"/>
        </w:rPr>
        <w:t xml:space="preserve">, 2005; </w:t>
      </w:r>
      <w:r w:rsidRPr="00F35F4D">
        <w:rPr>
          <w:i/>
          <w:noProof/>
          <w:sz w:val="24"/>
        </w:rPr>
        <w:t>Melse, Hofschreuder, Ogink</w:t>
      </w:r>
      <w:r w:rsidRPr="00F35F4D">
        <w:rPr>
          <w:noProof/>
          <w:sz w:val="24"/>
        </w:rPr>
        <w:t>, 2012). Skābes skruberi samazina NH3 daudzumu par 70–90 %, turpretim bioloģiskie skruberi samazina to par 70 %; abos gadījumos gaiss tiek arī atbrīvots no smalkajām putekļu daļiņām un nepatīkamās smakas. Gadījumiem, kad gaisā ir daudz putekļu, ir izveidoti daudzpakāpju skruberi, kuros rupjākās daļiņas iepriekš atdala ar filtrāciju (</w:t>
      </w:r>
      <w:r w:rsidRPr="00F35F4D">
        <w:rPr>
          <w:i/>
          <w:noProof/>
          <w:sz w:val="24"/>
        </w:rPr>
        <w:t>Ogink, Bosma</w:t>
      </w:r>
      <w:r w:rsidRPr="00F35F4D">
        <w:rPr>
          <w:noProof/>
          <w:sz w:val="24"/>
        </w:rPr>
        <w:t xml:space="preserve">, 2007; </w:t>
      </w:r>
      <w:r w:rsidRPr="00F35F4D">
        <w:rPr>
          <w:i/>
          <w:noProof/>
          <w:sz w:val="24"/>
        </w:rPr>
        <w:t>Melse, Ogink, Bosma</w:t>
      </w:r>
      <w:r w:rsidRPr="00F35F4D">
        <w:rPr>
          <w:noProof/>
          <w:sz w:val="24"/>
        </w:rPr>
        <w:t>, 2008). Tomēr dažās valstīs, kas parakstījušas Konvenciju, šo paņēmienu uzskata tikai par 2. kategorijas paņēmienu gaisā esošo putekļu dēļ.</w:t>
      </w:r>
    </w:p>
    <w:p w14:paraId="44868913" w14:textId="77777777" w:rsidR="00E70BBB" w:rsidRPr="00F35F4D" w:rsidRDefault="00E70BBB" w:rsidP="00E70BBB">
      <w:pPr>
        <w:pStyle w:val="BodyText"/>
        <w:widowControl/>
        <w:tabs>
          <w:tab w:val="left" w:pos="861"/>
        </w:tabs>
        <w:kinsoku w:val="0"/>
        <w:overflowPunct w:val="0"/>
        <w:spacing w:before="0"/>
        <w:ind w:left="0"/>
        <w:jc w:val="both"/>
        <w:rPr>
          <w:noProof/>
          <w:sz w:val="24"/>
          <w:szCs w:val="24"/>
        </w:rPr>
      </w:pPr>
    </w:p>
    <w:p w14:paraId="2DC1F378" w14:textId="16480B09" w:rsidR="008E3F72" w:rsidRPr="00F35F4D" w:rsidRDefault="008E3F72" w:rsidP="00E70BBB">
      <w:pPr>
        <w:pStyle w:val="BodyText"/>
        <w:widowControl/>
        <w:numPr>
          <w:ilvl w:val="0"/>
          <w:numId w:val="21"/>
        </w:numPr>
        <w:tabs>
          <w:tab w:val="left" w:pos="861"/>
        </w:tabs>
        <w:kinsoku w:val="0"/>
        <w:overflowPunct w:val="0"/>
        <w:spacing w:before="0"/>
        <w:ind w:left="0" w:firstLine="0"/>
        <w:jc w:val="both"/>
        <w:rPr>
          <w:noProof/>
          <w:sz w:val="24"/>
          <w:szCs w:val="24"/>
        </w:rPr>
      </w:pPr>
      <w:r w:rsidRPr="00F35F4D">
        <w:rPr>
          <w:noProof/>
          <w:sz w:val="24"/>
        </w:rPr>
        <w:t>Paņēmieni emisijas samazināšanai ir apkopoti 8. tabulā (tradicionālo būru sistēmai), 9. tabulā (uzlaboto būru s</w:t>
      </w:r>
      <w:r w:rsidR="00E501A1">
        <w:rPr>
          <w:noProof/>
          <w:sz w:val="24"/>
        </w:rPr>
        <w:t>istēmai) un 10. tabulā (turē</w:t>
      </w:r>
      <w:r w:rsidRPr="00F35F4D">
        <w:rPr>
          <w:noProof/>
          <w:sz w:val="24"/>
        </w:rPr>
        <w:t>šanai bez būriem).</w:t>
      </w:r>
    </w:p>
    <w:p w14:paraId="04A61A7D" w14:textId="77777777" w:rsidR="008E3F72" w:rsidRPr="00F35F4D" w:rsidRDefault="008E3F72" w:rsidP="00E70BBB">
      <w:pPr>
        <w:pStyle w:val="BodyText"/>
        <w:keepNext/>
        <w:widowControl/>
        <w:kinsoku w:val="0"/>
        <w:overflowPunct w:val="0"/>
        <w:spacing w:before="0"/>
        <w:ind w:left="0"/>
        <w:jc w:val="both"/>
        <w:rPr>
          <w:noProof/>
          <w:sz w:val="24"/>
          <w:szCs w:val="24"/>
        </w:rPr>
      </w:pPr>
    </w:p>
    <w:p w14:paraId="7352E35B" w14:textId="31B24CB9" w:rsidR="008E3F72" w:rsidRPr="00E70BBB" w:rsidRDefault="00E70BBB" w:rsidP="00E70BBB">
      <w:pPr>
        <w:pStyle w:val="BodyText"/>
        <w:widowControl/>
        <w:kinsoku w:val="0"/>
        <w:overflowPunct w:val="0"/>
        <w:spacing w:before="0"/>
        <w:ind w:left="0"/>
        <w:jc w:val="both"/>
        <w:rPr>
          <w:b/>
          <w:i/>
          <w:noProof/>
          <w:color w:val="0D0D0D"/>
          <w:sz w:val="24"/>
        </w:rPr>
      </w:pPr>
      <w:r w:rsidRPr="00E70BBB">
        <w:rPr>
          <w:b/>
          <w:i/>
          <w:noProof/>
          <w:color w:val="0D0D0D"/>
          <w:sz w:val="24"/>
        </w:rPr>
        <w:t xml:space="preserve">2. </w:t>
      </w:r>
      <w:r w:rsidR="008E3F72" w:rsidRPr="00E70BBB">
        <w:rPr>
          <w:b/>
          <w:i/>
          <w:noProof/>
          <w:color w:val="0D0D0D"/>
          <w:sz w:val="24"/>
        </w:rPr>
        <w:t>kategorijas paņēmieni</w:t>
      </w:r>
    </w:p>
    <w:p w14:paraId="22E5EC74" w14:textId="77777777" w:rsidR="00E70BBB" w:rsidRPr="00E70BBB" w:rsidRDefault="00E70BBB" w:rsidP="00E70BBB">
      <w:pPr>
        <w:pStyle w:val="ListParagraph"/>
        <w:keepNext/>
        <w:ind w:left="420"/>
      </w:pPr>
    </w:p>
    <w:p w14:paraId="4DE911DE" w14:textId="61ECBE8D" w:rsidR="008E3F72" w:rsidRPr="00F35F4D" w:rsidRDefault="008E3F72" w:rsidP="00E70BBB">
      <w:pPr>
        <w:pStyle w:val="BodyText"/>
        <w:keepNext/>
        <w:widowControl/>
        <w:numPr>
          <w:ilvl w:val="0"/>
          <w:numId w:val="21"/>
        </w:numPr>
        <w:tabs>
          <w:tab w:val="left" w:pos="861"/>
        </w:tabs>
        <w:kinsoku w:val="0"/>
        <w:overflowPunct w:val="0"/>
        <w:spacing w:before="0"/>
        <w:ind w:left="0" w:firstLine="0"/>
        <w:jc w:val="both"/>
        <w:rPr>
          <w:noProof/>
          <w:sz w:val="24"/>
          <w:szCs w:val="24"/>
        </w:rPr>
      </w:pPr>
      <w:r w:rsidRPr="00F35F4D">
        <w:rPr>
          <w:noProof/>
          <w:sz w:val="24"/>
        </w:rPr>
        <w:t>Alumīnija sulfāta (alauna) regulāra pievienošana</w:t>
      </w:r>
      <w:r w:rsidR="00E501A1">
        <w:rPr>
          <w:noProof/>
          <w:sz w:val="24"/>
        </w:rPr>
        <w:t xml:space="preserve"> pakaišiem bezbūru turēšanas</w:t>
      </w:r>
      <w:r w:rsidRPr="00F35F4D">
        <w:rPr>
          <w:noProof/>
          <w:sz w:val="24"/>
        </w:rPr>
        <w:t xml:space="preserve"> sistēmās samazina NH3 emisiju no ēkām līdz 70 % un arī samazina gan NH3, gan smalko daļiņu (</w:t>
      </w:r>
      <w:r w:rsidRPr="00F35F4D">
        <w:rPr>
          <w:i/>
          <w:noProof/>
          <w:sz w:val="24"/>
        </w:rPr>
        <w:t>PM</w:t>
      </w:r>
      <w:r w:rsidRPr="00F35F4D">
        <w:rPr>
          <w:noProof/>
          <w:sz w:val="24"/>
        </w:rPr>
        <w:t>2,5) koncentrāciju iekštelpās, uzlabojot ražošanu. Alauns arī samazina fosfora zudumus izskalošanās rezultātā zemes mēslošanas laikā. Pētījumi Amerikas Savienotajās Valstīs liecina, ka guvumi no apstrādes ar alaunu divas reizes pārsniedz izmaksas, bet, tā kā citās valstīs pieredze vēl nav uzkrāta, šo metodi uzskata par 2. kategorijas paņēmienu.</w:t>
      </w:r>
    </w:p>
    <w:p w14:paraId="015F5C93" w14:textId="77777777" w:rsidR="008E3F72" w:rsidRPr="00F35F4D" w:rsidRDefault="008E3F72" w:rsidP="008E3F72">
      <w:pPr>
        <w:pStyle w:val="BodyText"/>
        <w:widowControl/>
        <w:kinsoku w:val="0"/>
        <w:overflowPunct w:val="0"/>
        <w:spacing w:before="0"/>
        <w:ind w:left="0"/>
        <w:jc w:val="both"/>
        <w:rPr>
          <w:noProof/>
          <w:sz w:val="24"/>
          <w:szCs w:val="24"/>
        </w:rPr>
      </w:pPr>
    </w:p>
    <w:p w14:paraId="426F2E99"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8. tabula</w:t>
      </w:r>
    </w:p>
    <w:p w14:paraId="3E5B6A17"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Būru sistēmas dējējvistām (atsauces sistēma) – emisijas samazināšanas paņēmieni un to NH3 emisijas samazināšanas potenciāls</w:t>
      </w:r>
    </w:p>
    <w:p w14:paraId="5401D6BC"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3062"/>
        <w:gridCol w:w="1217"/>
        <w:gridCol w:w="1264"/>
        <w:gridCol w:w="1260"/>
        <w:gridCol w:w="1423"/>
      </w:tblGrid>
      <w:tr w:rsidR="008E3F72" w:rsidRPr="00E70BBB" w14:paraId="5FE7F6D2" w14:textId="77777777" w:rsidTr="0010018A">
        <w:tc>
          <w:tcPr>
            <w:tcW w:w="1861" w:type="pct"/>
            <w:tcBorders>
              <w:top w:val="single" w:sz="4" w:space="0" w:color="000000"/>
              <w:left w:val="nil"/>
              <w:bottom w:val="single" w:sz="12" w:space="0" w:color="000000"/>
              <w:right w:val="nil"/>
            </w:tcBorders>
          </w:tcPr>
          <w:p w14:paraId="6597D717"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1. kategorija</w:t>
            </w:r>
          </w:p>
        </w:tc>
        <w:tc>
          <w:tcPr>
            <w:tcW w:w="740" w:type="pct"/>
            <w:tcBorders>
              <w:top w:val="single" w:sz="4" w:space="0" w:color="000000"/>
              <w:left w:val="nil"/>
              <w:bottom w:val="single" w:sz="12" w:space="0" w:color="000000"/>
              <w:right w:val="nil"/>
            </w:tcBorders>
          </w:tcPr>
          <w:p w14:paraId="0D2383AC"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kg NH3 gadā uz mājputna vietu</w:t>
            </w:r>
          </w:p>
        </w:tc>
        <w:tc>
          <w:tcPr>
            <w:tcW w:w="768" w:type="pct"/>
            <w:tcBorders>
              <w:top w:val="single" w:sz="4" w:space="0" w:color="000000"/>
              <w:left w:val="nil"/>
              <w:bottom w:val="single" w:sz="12" w:space="0" w:color="000000"/>
              <w:right w:val="nil"/>
            </w:tcBorders>
          </w:tcPr>
          <w:p w14:paraId="267F09B2"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NH3</w:t>
            </w:r>
          </w:p>
          <w:p w14:paraId="72A3AB95"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samazinājums (%)</w:t>
            </w:r>
          </w:p>
        </w:tc>
        <w:tc>
          <w:tcPr>
            <w:tcW w:w="766" w:type="pct"/>
            <w:tcBorders>
              <w:top w:val="single" w:sz="4" w:space="0" w:color="000000"/>
              <w:left w:val="nil"/>
              <w:bottom w:val="single" w:sz="12" w:space="0" w:color="000000"/>
              <w:right w:val="nil"/>
            </w:tcBorders>
          </w:tcPr>
          <w:p w14:paraId="0BFA5CA2"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Papildu izmaksas (€ gadā par mājputna vietu)</w:t>
            </w:r>
          </w:p>
        </w:tc>
        <w:tc>
          <w:tcPr>
            <w:tcW w:w="865" w:type="pct"/>
            <w:tcBorders>
              <w:top w:val="single" w:sz="4" w:space="0" w:color="000000"/>
              <w:left w:val="nil"/>
              <w:bottom w:val="single" w:sz="12" w:space="0" w:color="000000"/>
              <w:right w:val="nil"/>
            </w:tcBorders>
          </w:tcPr>
          <w:p w14:paraId="1EC05CBD"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Izmaksas (€ par NH3-N</w:t>
            </w:r>
          </w:p>
          <w:p w14:paraId="54B286BE"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emisijas kg samazinājumu gadā)</w:t>
            </w:r>
          </w:p>
        </w:tc>
      </w:tr>
      <w:tr w:rsidR="008E3F72" w:rsidRPr="00E70BBB" w14:paraId="2C231922" w14:textId="77777777" w:rsidTr="0010018A">
        <w:tc>
          <w:tcPr>
            <w:tcW w:w="1861" w:type="pct"/>
            <w:tcBorders>
              <w:top w:val="single" w:sz="12" w:space="0" w:color="000000"/>
              <w:left w:val="nil"/>
              <w:bottom w:val="nil"/>
              <w:right w:val="nil"/>
            </w:tcBorders>
          </w:tcPr>
          <w:p w14:paraId="60F4C149" w14:textId="77777777" w:rsidR="008E3F72" w:rsidRPr="00E70BBB" w:rsidRDefault="008E3F72" w:rsidP="0010018A">
            <w:pPr>
              <w:pStyle w:val="TableParagraph"/>
              <w:widowControl/>
              <w:kinsoku w:val="0"/>
              <w:overflowPunct w:val="0"/>
              <w:jc w:val="both"/>
              <w:rPr>
                <w:noProof/>
                <w:sz w:val="20"/>
                <w:szCs w:val="20"/>
              </w:rPr>
            </w:pPr>
            <w:r w:rsidRPr="00E70BBB">
              <w:rPr>
                <w:b/>
                <w:sz w:val="20"/>
                <w:szCs w:val="20"/>
              </w:rPr>
              <w:t>Tradicionālie būri,</w:t>
            </w:r>
            <w:r w:rsidRPr="00E70BBB">
              <w:rPr>
                <w:sz w:val="20"/>
                <w:szCs w:val="20"/>
              </w:rPr>
              <w:t xml:space="preserve"> nevēdināta vaļēja mēslu krātuve zem būriem (</w:t>
            </w:r>
            <w:r w:rsidRPr="00E70BBB">
              <w:rPr>
                <w:i/>
                <w:sz w:val="20"/>
                <w:szCs w:val="20"/>
              </w:rPr>
              <w:t>atsauces paņēmiens</w:t>
            </w:r>
            <w:r w:rsidRPr="00E70BBB">
              <w:rPr>
                <w:sz w:val="20"/>
                <w:szCs w:val="20"/>
              </w:rPr>
              <w:t>)</w:t>
            </w:r>
          </w:p>
        </w:tc>
        <w:tc>
          <w:tcPr>
            <w:tcW w:w="740" w:type="pct"/>
            <w:tcBorders>
              <w:top w:val="single" w:sz="12" w:space="0" w:color="000000"/>
              <w:left w:val="nil"/>
              <w:bottom w:val="nil"/>
              <w:right w:val="nil"/>
            </w:tcBorders>
          </w:tcPr>
          <w:p w14:paraId="28A7F60C"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0,1–0,2</w:t>
            </w:r>
          </w:p>
        </w:tc>
        <w:tc>
          <w:tcPr>
            <w:tcW w:w="768" w:type="pct"/>
            <w:tcBorders>
              <w:top w:val="single" w:sz="12" w:space="0" w:color="000000"/>
              <w:left w:val="nil"/>
              <w:bottom w:val="nil"/>
              <w:right w:val="nil"/>
            </w:tcBorders>
          </w:tcPr>
          <w:p w14:paraId="4E96ECBF"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66" w:type="pct"/>
            <w:tcBorders>
              <w:top w:val="single" w:sz="12" w:space="0" w:color="000000"/>
              <w:left w:val="nil"/>
              <w:bottom w:val="nil"/>
              <w:right w:val="nil"/>
            </w:tcBorders>
          </w:tcPr>
          <w:p w14:paraId="0F0532AE"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865" w:type="pct"/>
            <w:tcBorders>
              <w:top w:val="single" w:sz="12" w:space="0" w:color="000000"/>
              <w:left w:val="nil"/>
              <w:bottom w:val="nil"/>
              <w:right w:val="nil"/>
            </w:tcBorders>
          </w:tcPr>
          <w:p w14:paraId="55760823"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r>
      <w:tr w:rsidR="008E3F72" w:rsidRPr="00E70BBB" w14:paraId="100DA8C7" w14:textId="77777777" w:rsidTr="0010018A">
        <w:tc>
          <w:tcPr>
            <w:tcW w:w="1861" w:type="pct"/>
            <w:tcBorders>
              <w:top w:val="nil"/>
              <w:left w:val="nil"/>
              <w:bottom w:val="nil"/>
              <w:right w:val="nil"/>
            </w:tcBorders>
          </w:tcPr>
          <w:p w14:paraId="5987EED6" w14:textId="77777777" w:rsidR="008E3F72" w:rsidRPr="00E70BBB" w:rsidRDefault="008E3F72" w:rsidP="0010018A">
            <w:pPr>
              <w:pStyle w:val="TableParagraph"/>
              <w:widowControl/>
              <w:kinsoku w:val="0"/>
              <w:overflowPunct w:val="0"/>
              <w:jc w:val="both"/>
              <w:rPr>
                <w:noProof/>
                <w:sz w:val="20"/>
                <w:szCs w:val="20"/>
              </w:rPr>
            </w:pPr>
            <w:r w:rsidRPr="00E70BBB">
              <w:rPr>
                <w:b/>
                <w:sz w:val="20"/>
                <w:szCs w:val="20"/>
              </w:rPr>
              <w:t>Tradicionālie būri,</w:t>
            </w:r>
            <w:r w:rsidRPr="00E70BBB">
              <w:rPr>
                <w:sz w:val="20"/>
                <w:szCs w:val="20"/>
              </w:rPr>
              <w:t xml:space="preserve"> vēdināta vaļēja mēslu krātuve zem būriem mēslu žāvēšanai</w:t>
            </w:r>
          </w:p>
        </w:tc>
        <w:tc>
          <w:tcPr>
            <w:tcW w:w="740" w:type="pct"/>
            <w:tcBorders>
              <w:top w:val="nil"/>
              <w:left w:val="nil"/>
              <w:bottom w:val="nil"/>
              <w:right w:val="nil"/>
            </w:tcBorders>
          </w:tcPr>
          <w:p w14:paraId="4EE27E81"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68" w:type="pct"/>
            <w:tcBorders>
              <w:top w:val="nil"/>
              <w:left w:val="nil"/>
              <w:bottom w:val="nil"/>
              <w:right w:val="nil"/>
            </w:tcBorders>
          </w:tcPr>
          <w:p w14:paraId="621BF0E1"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30</w:t>
            </w:r>
          </w:p>
        </w:tc>
        <w:tc>
          <w:tcPr>
            <w:tcW w:w="766" w:type="pct"/>
            <w:tcBorders>
              <w:top w:val="nil"/>
              <w:left w:val="nil"/>
              <w:bottom w:val="nil"/>
              <w:right w:val="nil"/>
            </w:tcBorders>
          </w:tcPr>
          <w:p w14:paraId="64F4D5A8"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865" w:type="pct"/>
            <w:tcBorders>
              <w:top w:val="nil"/>
              <w:left w:val="nil"/>
              <w:bottom w:val="nil"/>
              <w:right w:val="nil"/>
            </w:tcBorders>
          </w:tcPr>
          <w:p w14:paraId="1FB579C8"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0–3</w:t>
            </w:r>
          </w:p>
        </w:tc>
      </w:tr>
      <w:tr w:rsidR="008E3F72" w:rsidRPr="00E70BBB" w14:paraId="2C4E4486" w14:textId="77777777" w:rsidTr="0010018A">
        <w:tc>
          <w:tcPr>
            <w:tcW w:w="1861" w:type="pct"/>
            <w:tcBorders>
              <w:top w:val="nil"/>
              <w:left w:val="nil"/>
              <w:bottom w:val="nil"/>
              <w:right w:val="nil"/>
            </w:tcBorders>
          </w:tcPr>
          <w:p w14:paraId="771099D4"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Tradicionālie būri, ātra mēslu izvešana ar transportieri uz slēgtu mēslu krātuvi</w:t>
            </w:r>
          </w:p>
        </w:tc>
        <w:tc>
          <w:tcPr>
            <w:tcW w:w="740" w:type="pct"/>
            <w:tcBorders>
              <w:top w:val="nil"/>
              <w:left w:val="nil"/>
              <w:bottom w:val="nil"/>
              <w:right w:val="nil"/>
            </w:tcBorders>
          </w:tcPr>
          <w:p w14:paraId="52EA5B6A"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68" w:type="pct"/>
            <w:tcBorders>
              <w:top w:val="nil"/>
              <w:left w:val="nil"/>
              <w:bottom w:val="nil"/>
              <w:right w:val="nil"/>
            </w:tcBorders>
          </w:tcPr>
          <w:p w14:paraId="03C1E606"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50–80</w:t>
            </w:r>
          </w:p>
        </w:tc>
        <w:tc>
          <w:tcPr>
            <w:tcW w:w="766" w:type="pct"/>
            <w:tcBorders>
              <w:top w:val="nil"/>
              <w:left w:val="nil"/>
              <w:bottom w:val="nil"/>
              <w:right w:val="nil"/>
            </w:tcBorders>
          </w:tcPr>
          <w:p w14:paraId="40A238F7"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865" w:type="pct"/>
            <w:tcBorders>
              <w:top w:val="nil"/>
              <w:left w:val="nil"/>
              <w:bottom w:val="nil"/>
              <w:right w:val="nil"/>
            </w:tcBorders>
          </w:tcPr>
          <w:p w14:paraId="2A702BD5"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0–5</w:t>
            </w:r>
          </w:p>
        </w:tc>
      </w:tr>
      <w:tr w:rsidR="008E3F72" w:rsidRPr="00E70BBB" w14:paraId="02B6D062" w14:textId="77777777" w:rsidTr="0010018A">
        <w:tc>
          <w:tcPr>
            <w:tcW w:w="1861" w:type="pct"/>
            <w:tcBorders>
              <w:top w:val="nil"/>
              <w:left w:val="nil"/>
              <w:bottom w:val="single" w:sz="12" w:space="0" w:color="000000"/>
              <w:right w:val="nil"/>
            </w:tcBorders>
          </w:tcPr>
          <w:p w14:paraId="51A7A0B8"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Izplūdes gaisa attīrīšana ar skruberi</w:t>
            </w:r>
            <w:r w:rsidRPr="00E70BBB">
              <w:rPr>
                <w:sz w:val="20"/>
                <w:szCs w:val="20"/>
                <w:vertAlign w:val="superscript"/>
              </w:rPr>
              <w:t xml:space="preserve"> </w:t>
            </w:r>
            <w:r w:rsidRPr="00E70BBB">
              <w:rPr>
                <w:i/>
                <w:noProof/>
                <w:sz w:val="20"/>
                <w:szCs w:val="20"/>
                <w:vertAlign w:val="superscript"/>
              </w:rPr>
              <w:t>a)</w:t>
            </w:r>
          </w:p>
        </w:tc>
        <w:tc>
          <w:tcPr>
            <w:tcW w:w="740" w:type="pct"/>
            <w:tcBorders>
              <w:top w:val="nil"/>
              <w:left w:val="nil"/>
              <w:bottom w:val="single" w:sz="12" w:space="0" w:color="000000"/>
              <w:right w:val="nil"/>
            </w:tcBorders>
          </w:tcPr>
          <w:p w14:paraId="26CD9D18"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68" w:type="pct"/>
            <w:tcBorders>
              <w:top w:val="nil"/>
              <w:left w:val="nil"/>
              <w:bottom w:val="single" w:sz="12" w:space="0" w:color="000000"/>
              <w:right w:val="nil"/>
            </w:tcBorders>
          </w:tcPr>
          <w:p w14:paraId="39106AED"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70–90</w:t>
            </w:r>
          </w:p>
        </w:tc>
        <w:tc>
          <w:tcPr>
            <w:tcW w:w="766" w:type="pct"/>
            <w:tcBorders>
              <w:top w:val="nil"/>
              <w:left w:val="nil"/>
              <w:bottom w:val="single" w:sz="12" w:space="0" w:color="000000"/>
              <w:right w:val="nil"/>
            </w:tcBorders>
          </w:tcPr>
          <w:p w14:paraId="45E2CB55"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865" w:type="pct"/>
            <w:tcBorders>
              <w:top w:val="nil"/>
              <w:left w:val="nil"/>
              <w:bottom w:val="single" w:sz="12" w:space="0" w:color="000000"/>
              <w:right w:val="nil"/>
            </w:tcBorders>
          </w:tcPr>
          <w:p w14:paraId="289F4F6D"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1–4</w:t>
            </w:r>
          </w:p>
        </w:tc>
      </w:tr>
    </w:tbl>
    <w:p w14:paraId="4DDF572A"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Piezīme. </w:t>
      </w:r>
      <w:r w:rsidRPr="00F35F4D">
        <w:rPr>
          <w:noProof/>
          <w:sz w:val="24"/>
        </w:rPr>
        <w:t xml:space="preserve">Informāciju par ekonomiskajām izmaksām saistībā ar paņēmieniem emisijas samazināšanai var atrast avotā </w:t>
      </w:r>
      <w:r w:rsidRPr="00F35F4D">
        <w:rPr>
          <w:i/>
          <w:noProof/>
          <w:sz w:val="24"/>
        </w:rPr>
        <w:t>Reis</w:t>
      </w:r>
      <w:r w:rsidRPr="00F35F4D">
        <w:rPr>
          <w:noProof/>
          <w:sz w:val="24"/>
        </w:rPr>
        <w:t xml:space="preserve"> (drīzumā).</w:t>
      </w:r>
    </w:p>
    <w:p w14:paraId="0C1FBDED"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vertAlign w:val="superscript"/>
        </w:rPr>
        <w:t>a)</w:t>
      </w:r>
      <w:r w:rsidRPr="00F35F4D">
        <w:t>Ar skābes skruberiem var panākt 70–90 % emisijas samazinājumu, turpretim bioloģiskie skruberi samazina to par 70 %; daži eksperti to uzskata par 2. kategorijas paņēmienu.</w:t>
      </w:r>
    </w:p>
    <w:p w14:paraId="38C5F481" w14:textId="77777777" w:rsidR="008E3F72" w:rsidRPr="00F35F4D" w:rsidRDefault="008E3F72" w:rsidP="008E3F72">
      <w:pPr>
        <w:pStyle w:val="BodyText"/>
        <w:widowControl/>
        <w:kinsoku w:val="0"/>
        <w:overflowPunct w:val="0"/>
        <w:spacing w:before="0"/>
        <w:ind w:left="0"/>
        <w:jc w:val="both"/>
        <w:rPr>
          <w:noProof/>
          <w:sz w:val="24"/>
          <w:szCs w:val="24"/>
        </w:rPr>
      </w:pPr>
    </w:p>
    <w:p w14:paraId="1D41D6AD"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9. tabula</w:t>
      </w:r>
    </w:p>
    <w:p w14:paraId="01D56E36"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Uzlaboto būru sistēmas dējējvistām – emisijas samazināšanas paņēmieni un to NH3 emisijas samazināšanas potenciāls</w:t>
      </w:r>
    </w:p>
    <w:p w14:paraId="73F1CC67"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2965"/>
        <w:gridCol w:w="1254"/>
        <w:gridCol w:w="1262"/>
        <w:gridCol w:w="1264"/>
        <w:gridCol w:w="1481"/>
      </w:tblGrid>
      <w:tr w:rsidR="008E3F72" w:rsidRPr="00E70BBB" w14:paraId="7AD54871" w14:textId="77777777" w:rsidTr="0010018A">
        <w:tc>
          <w:tcPr>
            <w:tcW w:w="1803" w:type="pct"/>
            <w:tcBorders>
              <w:top w:val="single" w:sz="4" w:space="0" w:color="000000"/>
              <w:left w:val="nil"/>
              <w:bottom w:val="single" w:sz="12" w:space="0" w:color="000000"/>
              <w:right w:val="nil"/>
            </w:tcBorders>
          </w:tcPr>
          <w:p w14:paraId="1E3B93DE"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1. kategorija</w:t>
            </w:r>
          </w:p>
        </w:tc>
        <w:tc>
          <w:tcPr>
            <w:tcW w:w="762" w:type="pct"/>
            <w:tcBorders>
              <w:top w:val="single" w:sz="4" w:space="0" w:color="000000"/>
              <w:left w:val="nil"/>
              <w:bottom w:val="single" w:sz="12" w:space="0" w:color="000000"/>
              <w:right w:val="nil"/>
            </w:tcBorders>
          </w:tcPr>
          <w:p w14:paraId="6EA46D35"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kg NH3 gadā uz mājputna vietu</w:t>
            </w:r>
          </w:p>
        </w:tc>
        <w:tc>
          <w:tcPr>
            <w:tcW w:w="767" w:type="pct"/>
            <w:tcBorders>
              <w:top w:val="single" w:sz="4" w:space="0" w:color="000000"/>
              <w:left w:val="nil"/>
              <w:bottom w:val="single" w:sz="12" w:space="0" w:color="000000"/>
              <w:right w:val="nil"/>
            </w:tcBorders>
          </w:tcPr>
          <w:p w14:paraId="34FE87FC"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NH3</w:t>
            </w:r>
          </w:p>
          <w:p w14:paraId="23B3A098"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samazinājums (%)</w:t>
            </w:r>
          </w:p>
        </w:tc>
        <w:tc>
          <w:tcPr>
            <w:tcW w:w="768" w:type="pct"/>
            <w:tcBorders>
              <w:top w:val="single" w:sz="4" w:space="0" w:color="000000"/>
              <w:left w:val="nil"/>
              <w:bottom w:val="single" w:sz="12" w:space="0" w:color="000000"/>
              <w:right w:val="nil"/>
            </w:tcBorders>
          </w:tcPr>
          <w:p w14:paraId="3D24BD16"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Papildu izmaksas (€ gadā par mājputna vietu)</w:t>
            </w:r>
          </w:p>
        </w:tc>
        <w:tc>
          <w:tcPr>
            <w:tcW w:w="901" w:type="pct"/>
            <w:tcBorders>
              <w:top w:val="single" w:sz="4" w:space="0" w:color="000000"/>
              <w:left w:val="nil"/>
              <w:bottom w:val="single" w:sz="12" w:space="0" w:color="000000"/>
              <w:right w:val="nil"/>
            </w:tcBorders>
          </w:tcPr>
          <w:p w14:paraId="4576D4FA"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Izmaksas (€ par NH3- N emisijas kg samazinājumu gadā)</w:t>
            </w:r>
          </w:p>
        </w:tc>
      </w:tr>
      <w:tr w:rsidR="008E3F72" w:rsidRPr="00E70BBB" w14:paraId="27A355E2" w14:textId="77777777" w:rsidTr="0010018A">
        <w:tc>
          <w:tcPr>
            <w:tcW w:w="1803" w:type="pct"/>
            <w:tcBorders>
              <w:top w:val="single" w:sz="12" w:space="0" w:color="000000"/>
              <w:left w:val="nil"/>
              <w:bottom w:val="nil"/>
              <w:right w:val="nil"/>
            </w:tcBorders>
          </w:tcPr>
          <w:p w14:paraId="63491E25"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Transportieri; izvešana divas reizes nedēļā</w:t>
            </w:r>
          </w:p>
          <w:p w14:paraId="07165E77"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(atsauces paņēmiens)</w:t>
            </w:r>
          </w:p>
        </w:tc>
        <w:tc>
          <w:tcPr>
            <w:tcW w:w="762" w:type="pct"/>
            <w:tcBorders>
              <w:top w:val="single" w:sz="12" w:space="0" w:color="000000"/>
              <w:left w:val="nil"/>
              <w:bottom w:val="nil"/>
              <w:right w:val="nil"/>
            </w:tcBorders>
          </w:tcPr>
          <w:p w14:paraId="0032B9BA"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0,05–0,1</w:t>
            </w:r>
          </w:p>
        </w:tc>
        <w:tc>
          <w:tcPr>
            <w:tcW w:w="767" w:type="pct"/>
            <w:tcBorders>
              <w:top w:val="single" w:sz="12" w:space="0" w:color="000000"/>
              <w:left w:val="nil"/>
              <w:bottom w:val="nil"/>
              <w:right w:val="nil"/>
            </w:tcBorders>
          </w:tcPr>
          <w:p w14:paraId="350BB46A"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68" w:type="pct"/>
            <w:tcBorders>
              <w:top w:val="single" w:sz="12" w:space="0" w:color="000000"/>
              <w:left w:val="nil"/>
              <w:bottom w:val="nil"/>
              <w:right w:val="nil"/>
            </w:tcBorders>
          </w:tcPr>
          <w:p w14:paraId="1D1527EB"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901" w:type="pct"/>
            <w:tcBorders>
              <w:top w:val="single" w:sz="12" w:space="0" w:color="000000"/>
              <w:left w:val="nil"/>
              <w:bottom w:val="nil"/>
              <w:right w:val="nil"/>
            </w:tcBorders>
          </w:tcPr>
          <w:p w14:paraId="4FA92954"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r>
      <w:tr w:rsidR="008E3F72" w:rsidRPr="00E70BBB" w14:paraId="79FE4EF4" w14:textId="77777777" w:rsidTr="0010018A">
        <w:tc>
          <w:tcPr>
            <w:tcW w:w="1803" w:type="pct"/>
            <w:tcBorders>
              <w:top w:val="nil"/>
              <w:left w:val="nil"/>
              <w:bottom w:val="nil"/>
              <w:right w:val="nil"/>
            </w:tcBorders>
          </w:tcPr>
          <w:p w14:paraId="402274D3"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 xml:space="preserve">Transportieri ar ventilāciju; izvešana divas reizes nedēļā </w:t>
            </w:r>
            <w:r w:rsidRPr="00E70BBB">
              <w:rPr>
                <w:i/>
                <w:noProof/>
                <w:sz w:val="20"/>
                <w:szCs w:val="20"/>
                <w:vertAlign w:val="superscript"/>
              </w:rPr>
              <w:t>a)</w:t>
            </w:r>
          </w:p>
        </w:tc>
        <w:tc>
          <w:tcPr>
            <w:tcW w:w="762" w:type="pct"/>
            <w:tcBorders>
              <w:top w:val="nil"/>
              <w:left w:val="nil"/>
              <w:bottom w:val="nil"/>
              <w:right w:val="nil"/>
            </w:tcBorders>
          </w:tcPr>
          <w:p w14:paraId="04E8A590"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67" w:type="pct"/>
            <w:tcBorders>
              <w:top w:val="nil"/>
              <w:left w:val="nil"/>
              <w:bottom w:val="nil"/>
              <w:right w:val="nil"/>
            </w:tcBorders>
          </w:tcPr>
          <w:p w14:paraId="6C242FCB"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30–40</w:t>
            </w:r>
          </w:p>
        </w:tc>
        <w:tc>
          <w:tcPr>
            <w:tcW w:w="768" w:type="pct"/>
            <w:tcBorders>
              <w:top w:val="nil"/>
              <w:left w:val="nil"/>
              <w:bottom w:val="nil"/>
              <w:right w:val="nil"/>
            </w:tcBorders>
          </w:tcPr>
          <w:p w14:paraId="434A7E93"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0</w:t>
            </w:r>
          </w:p>
        </w:tc>
        <w:tc>
          <w:tcPr>
            <w:tcW w:w="901" w:type="pct"/>
            <w:tcBorders>
              <w:top w:val="nil"/>
              <w:left w:val="nil"/>
              <w:bottom w:val="nil"/>
              <w:right w:val="nil"/>
            </w:tcBorders>
          </w:tcPr>
          <w:p w14:paraId="1BE6A2C0"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0</w:t>
            </w:r>
          </w:p>
        </w:tc>
      </w:tr>
      <w:tr w:rsidR="008E3F72" w:rsidRPr="00E70BBB" w14:paraId="4D6F376B" w14:textId="77777777" w:rsidTr="0010018A">
        <w:tc>
          <w:tcPr>
            <w:tcW w:w="1803" w:type="pct"/>
            <w:tcBorders>
              <w:top w:val="nil"/>
              <w:left w:val="nil"/>
              <w:bottom w:val="nil"/>
              <w:right w:val="nil"/>
            </w:tcBorders>
          </w:tcPr>
          <w:p w14:paraId="2C27D11E"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Transportieri ar ventilāciju; izvešana biežāk nekā divas reizes nedēļā</w:t>
            </w:r>
          </w:p>
        </w:tc>
        <w:tc>
          <w:tcPr>
            <w:tcW w:w="762" w:type="pct"/>
            <w:tcBorders>
              <w:top w:val="nil"/>
              <w:left w:val="nil"/>
              <w:bottom w:val="nil"/>
              <w:right w:val="nil"/>
            </w:tcBorders>
          </w:tcPr>
          <w:p w14:paraId="0E8E23B9"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67" w:type="pct"/>
            <w:tcBorders>
              <w:top w:val="nil"/>
              <w:left w:val="nil"/>
              <w:bottom w:val="nil"/>
              <w:right w:val="nil"/>
            </w:tcBorders>
          </w:tcPr>
          <w:p w14:paraId="7DFD300B"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35–45</w:t>
            </w:r>
          </w:p>
        </w:tc>
        <w:tc>
          <w:tcPr>
            <w:tcW w:w="768" w:type="pct"/>
            <w:tcBorders>
              <w:top w:val="nil"/>
              <w:left w:val="nil"/>
              <w:bottom w:val="nil"/>
              <w:right w:val="nil"/>
            </w:tcBorders>
          </w:tcPr>
          <w:p w14:paraId="75290CE8"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901" w:type="pct"/>
            <w:tcBorders>
              <w:top w:val="nil"/>
              <w:left w:val="nil"/>
              <w:bottom w:val="nil"/>
              <w:right w:val="nil"/>
            </w:tcBorders>
          </w:tcPr>
          <w:p w14:paraId="42E10450"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0–3</w:t>
            </w:r>
          </w:p>
        </w:tc>
      </w:tr>
      <w:tr w:rsidR="008E3F72" w:rsidRPr="00E70BBB" w14:paraId="257CF7A6" w14:textId="77777777" w:rsidTr="0010018A">
        <w:tc>
          <w:tcPr>
            <w:tcW w:w="1803" w:type="pct"/>
            <w:tcBorders>
              <w:top w:val="nil"/>
              <w:left w:val="nil"/>
              <w:bottom w:val="single" w:sz="12" w:space="0" w:color="000000"/>
              <w:right w:val="nil"/>
            </w:tcBorders>
          </w:tcPr>
          <w:p w14:paraId="3EADF337"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 xml:space="preserve">Izplūdes gaisa attīrīšana ar skruberi </w:t>
            </w:r>
            <w:r w:rsidRPr="00E70BBB">
              <w:rPr>
                <w:i/>
                <w:noProof/>
                <w:sz w:val="20"/>
                <w:szCs w:val="20"/>
                <w:vertAlign w:val="superscript"/>
              </w:rPr>
              <w:t>b)</w:t>
            </w:r>
          </w:p>
        </w:tc>
        <w:tc>
          <w:tcPr>
            <w:tcW w:w="762" w:type="pct"/>
            <w:tcBorders>
              <w:top w:val="nil"/>
              <w:left w:val="nil"/>
              <w:bottom w:val="single" w:sz="12" w:space="0" w:color="000000"/>
              <w:right w:val="nil"/>
            </w:tcBorders>
          </w:tcPr>
          <w:p w14:paraId="32585BAC"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67" w:type="pct"/>
            <w:tcBorders>
              <w:top w:val="nil"/>
              <w:left w:val="nil"/>
              <w:bottom w:val="single" w:sz="12" w:space="0" w:color="000000"/>
              <w:right w:val="nil"/>
            </w:tcBorders>
          </w:tcPr>
          <w:p w14:paraId="02C1B566"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70–90</w:t>
            </w:r>
          </w:p>
        </w:tc>
        <w:tc>
          <w:tcPr>
            <w:tcW w:w="768" w:type="pct"/>
            <w:tcBorders>
              <w:top w:val="nil"/>
              <w:left w:val="nil"/>
              <w:bottom w:val="single" w:sz="12" w:space="0" w:color="000000"/>
              <w:right w:val="nil"/>
            </w:tcBorders>
          </w:tcPr>
          <w:p w14:paraId="5C58AA59"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901" w:type="pct"/>
            <w:tcBorders>
              <w:top w:val="nil"/>
              <w:left w:val="nil"/>
              <w:bottom w:val="single" w:sz="12" w:space="0" w:color="000000"/>
              <w:right w:val="nil"/>
            </w:tcBorders>
          </w:tcPr>
          <w:p w14:paraId="508BFD30"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2–5</w:t>
            </w:r>
          </w:p>
        </w:tc>
      </w:tr>
    </w:tbl>
    <w:p w14:paraId="0BA260B4"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Piezīme. </w:t>
      </w:r>
      <w:r w:rsidRPr="00F35F4D">
        <w:rPr>
          <w:noProof/>
          <w:sz w:val="24"/>
        </w:rPr>
        <w:t xml:space="preserve">Informāciju par ekonomiskajām izmaksām saistībā ar paņēmieniem emisijas samazināšanai var atrast avotā </w:t>
      </w:r>
      <w:r w:rsidRPr="00F35F4D">
        <w:rPr>
          <w:i/>
          <w:noProof/>
          <w:sz w:val="24"/>
        </w:rPr>
        <w:t>Reis</w:t>
      </w:r>
      <w:r w:rsidRPr="00F35F4D">
        <w:rPr>
          <w:noProof/>
          <w:sz w:val="24"/>
        </w:rPr>
        <w:t xml:space="preserve"> (drīzumā).</w:t>
      </w:r>
    </w:p>
    <w:p w14:paraId="6F64921C" w14:textId="77777777" w:rsidR="008E3F72" w:rsidRPr="00E70BBB" w:rsidRDefault="008E3F72" w:rsidP="008E3F72">
      <w:pPr>
        <w:pStyle w:val="BodyText"/>
        <w:widowControl/>
        <w:kinsoku w:val="0"/>
        <w:overflowPunct w:val="0"/>
        <w:spacing w:before="0"/>
        <w:ind w:left="0"/>
        <w:jc w:val="both"/>
        <w:rPr>
          <w:noProof/>
          <w:sz w:val="24"/>
        </w:rPr>
      </w:pPr>
      <w:r w:rsidRPr="00F35F4D">
        <w:rPr>
          <w:i/>
          <w:noProof/>
          <w:sz w:val="24"/>
          <w:vertAlign w:val="superscript"/>
        </w:rPr>
        <w:t xml:space="preserve">a) </w:t>
      </w:r>
      <w:r w:rsidRPr="00F35F4D">
        <w:rPr>
          <w:noProof/>
          <w:sz w:val="24"/>
        </w:rPr>
        <w:t>Samazinājuma procentos izteiktais daudzums atkarībā no žāvēšanas ventilatora darbības ātruma.</w:t>
      </w:r>
    </w:p>
    <w:p w14:paraId="00462946" w14:textId="77777777" w:rsidR="008E3F72" w:rsidRPr="00E70BBB" w:rsidRDefault="008E3F72" w:rsidP="008E3F72">
      <w:pPr>
        <w:pStyle w:val="BodyText"/>
        <w:widowControl/>
        <w:kinsoku w:val="0"/>
        <w:overflowPunct w:val="0"/>
        <w:spacing w:before="0"/>
        <w:ind w:left="0"/>
        <w:jc w:val="both"/>
        <w:rPr>
          <w:noProof/>
          <w:sz w:val="24"/>
        </w:rPr>
      </w:pPr>
      <w:r w:rsidRPr="00E70BBB">
        <w:rPr>
          <w:noProof/>
          <w:sz w:val="24"/>
          <w:vertAlign w:val="superscript"/>
        </w:rPr>
        <w:t>b)</w:t>
      </w:r>
      <w:r w:rsidRPr="00E70BBB">
        <w:rPr>
          <w:noProof/>
          <w:sz w:val="24"/>
        </w:rPr>
        <w:t>Ar skābes skruberiem var panākt 70–90 % emisijas samazinājumu, turpretim bioloģiskie skruberi samazina to par 70 %; daži eksperti to uzskata par 2. kategorijas paņēmienu.</w:t>
      </w:r>
    </w:p>
    <w:p w14:paraId="1EAA0187" w14:textId="77777777" w:rsidR="008E3F72" w:rsidRPr="00F35F4D" w:rsidRDefault="008E3F72" w:rsidP="008E3F72">
      <w:pPr>
        <w:pStyle w:val="BodyText"/>
        <w:widowControl/>
        <w:kinsoku w:val="0"/>
        <w:overflowPunct w:val="0"/>
        <w:spacing w:before="0"/>
        <w:ind w:left="0"/>
        <w:jc w:val="both"/>
        <w:rPr>
          <w:noProof/>
          <w:sz w:val="24"/>
          <w:szCs w:val="24"/>
        </w:rPr>
      </w:pPr>
    </w:p>
    <w:p w14:paraId="7B095A21"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10. tabula</w:t>
      </w:r>
    </w:p>
    <w:p w14:paraId="30D39428" w14:textId="73031EFF" w:rsidR="008E3F72" w:rsidRPr="00F35F4D" w:rsidRDefault="00E501A1" w:rsidP="008E3F72">
      <w:pPr>
        <w:pStyle w:val="Heading9"/>
        <w:widowControl/>
        <w:kinsoku w:val="0"/>
        <w:overflowPunct w:val="0"/>
        <w:spacing w:before="0"/>
        <w:ind w:left="0"/>
        <w:jc w:val="both"/>
        <w:rPr>
          <w:noProof/>
          <w:sz w:val="24"/>
          <w:szCs w:val="24"/>
        </w:rPr>
      </w:pPr>
      <w:r>
        <w:rPr>
          <w:noProof/>
          <w:sz w:val="24"/>
        </w:rPr>
        <w:t>Bezbūru turēšanas</w:t>
      </w:r>
      <w:r w:rsidR="008E3F72" w:rsidRPr="00F35F4D">
        <w:rPr>
          <w:noProof/>
          <w:sz w:val="24"/>
        </w:rPr>
        <w:t xml:space="preserve"> sistēmas dējējvistām – emisijas samazināšanas paņēmieni un to NH3 emisijas samazināšanas potenciāls</w:t>
      </w:r>
    </w:p>
    <w:p w14:paraId="3FE79939"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2926"/>
        <w:gridCol w:w="1301"/>
        <w:gridCol w:w="1247"/>
        <w:gridCol w:w="1270"/>
        <w:gridCol w:w="1482"/>
      </w:tblGrid>
      <w:tr w:rsidR="008E3F72" w:rsidRPr="00E70BBB" w14:paraId="2DB793D6" w14:textId="77777777" w:rsidTr="0010018A">
        <w:tc>
          <w:tcPr>
            <w:tcW w:w="1778" w:type="pct"/>
            <w:tcBorders>
              <w:top w:val="single" w:sz="4" w:space="0" w:color="000000"/>
              <w:left w:val="nil"/>
              <w:bottom w:val="single" w:sz="12" w:space="0" w:color="000000"/>
              <w:right w:val="nil"/>
            </w:tcBorders>
          </w:tcPr>
          <w:p w14:paraId="32EDFF9E"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1. un 2. kategorijas paņēmieni</w:t>
            </w:r>
          </w:p>
        </w:tc>
        <w:tc>
          <w:tcPr>
            <w:tcW w:w="791" w:type="pct"/>
            <w:tcBorders>
              <w:top w:val="single" w:sz="4" w:space="0" w:color="000000"/>
              <w:left w:val="nil"/>
              <w:bottom w:val="single" w:sz="12" w:space="0" w:color="000000"/>
              <w:right w:val="nil"/>
            </w:tcBorders>
          </w:tcPr>
          <w:p w14:paraId="6F74170E"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kg NH3 gadā uz mājputna vietu</w:t>
            </w:r>
          </w:p>
        </w:tc>
        <w:tc>
          <w:tcPr>
            <w:tcW w:w="758" w:type="pct"/>
            <w:tcBorders>
              <w:top w:val="single" w:sz="4" w:space="0" w:color="000000"/>
              <w:left w:val="nil"/>
              <w:bottom w:val="single" w:sz="12" w:space="0" w:color="000000"/>
              <w:right w:val="nil"/>
            </w:tcBorders>
          </w:tcPr>
          <w:p w14:paraId="53A558F0"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NH3</w:t>
            </w:r>
          </w:p>
          <w:p w14:paraId="0951DBEA"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samazinājums (%)</w:t>
            </w:r>
          </w:p>
        </w:tc>
        <w:tc>
          <w:tcPr>
            <w:tcW w:w="772" w:type="pct"/>
            <w:tcBorders>
              <w:top w:val="single" w:sz="4" w:space="0" w:color="000000"/>
              <w:left w:val="nil"/>
              <w:bottom w:val="single" w:sz="12" w:space="0" w:color="000000"/>
              <w:right w:val="nil"/>
            </w:tcBorders>
          </w:tcPr>
          <w:p w14:paraId="246E42A0"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Papildu izmaksas (€ gadā par mājputna vietu)</w:t>
            </w:r>
          </w:p>
        </w:tc>
        <w:tc>
          <w:tcPr>
            <w:tcW w:w="901" w:type="pct"/>
            <w:tcBorders>
              <w:top w:val="single" w:sz="4" w:space="0" w:color="000000"/>
              <w:left w:val="nil"/>
              <w:bottom w:val="single" w:sz="12" w:space="0" w:color="000000"/>
              <w:right w:val="nil"/>
            </w:tcBorders>
          </w:tcPr>
          <w:p w14:paraId="34FECAD1" w14:textId="77777777" w:rsidR="008E3F72" w:rsidRPr="00E70BBB" w:rsidRDefault="008E3F72" w:rsidP="0010018A">
            <w:pPr>
              <w:pStyle w:val="TableParagraph"/>
              <w:widowControl/>
              <w:kinsoku w:val="0"/>
              <w:overflowPunct w:val="0"/>
              <w:jc w:val="both"/>
              <w:rPr>
                <w:i/>
                <w:iCs/>
                <w:noProof/>
                <w:sz w:val="20"/>
                <w:szCs w:val="20"/>
              </w:rPr>
            </w:pPr>
            <w:r w:rsidRPr="00E70BBB">
              <w:rPr>
                <w:i/>
                <w:noProof/>
                <w:sz w:val="20"/>
                <w:szCs w:val="20"/>
              </w:rPr>
              <w:t>Izmaksas (€ par NH3- N emisijas kg samazinājumu gadā)</w:t>
            </w:r>
          </w:p>
        </w:tc>
      </w:tr>
      <w:tr w:rsidR="008E3F72" w:rsidRPr="00E70BBB" w14:paraId="14EC8D4E" w14:textId="77777777" w:rsidTr="0010018A">
        <w:tc>
          <w:tcPr>
            <w:tcW w:w="1778" w:type="pct"/>
            <w:tcBorders>
              <w:top w:val="single" w:sz="12" w:space="0" w:color="000000"/>
              <w:left w:val="nil"/>
              <w:bottom w:val="nil"/>
              <w:right w:val="nil"/>
            </w:tcBorders>
          </w:tcPr>
          <w:p w14:paraId="76AF3F66"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 xml:space="preserve">Dziļie pakaiši vai dziļā zemgrīdas krātuve ar pakaišiem daļēji klātu grīdu </w:t>
            </w:r>
            <w:r w:rsidRPr="00E70BBB">
              <w:rPr>
                <w:i/>
                <w:sz w:val="20"/>
                <w:szCs w:val="20"/>
              </w:rPr>
              <w:t>(atsauces paņēmiens)</w:t>
            </w:r>
          </w:p>
        </w:tc>
        <w:tc>
          <w:tcPr>
            <w:tcW w:w="791" w:type="pct"/>
            <w:tcBorders>
              <w:top w:val="single" w:sz="12" w:space="0" w:color="000000"/>
              <w:left w:val="nil"/>
              <w:bottom w:val="nil"/>
              <w:right w:val="nil"/>
            </w:tcBorders>
          </w:tcPr>
          <w:p w14:paraId="3C2010E9"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0,3</w:t>
            </w:r>
          </w:p>
        </w:tc>
        <w:tc>
          <w:tcPr>
            <w:tcW w:w="758" w:type="pct"/>
            <w:tcBorders>
              <w:top w:val="single" w:sz="12" w:space="0" w:color="000000"/>
              <w:left w:val="nil"/>
              <w:bottom w:val="nil"/>
              <w:right w:val="nil"/>
            </w:tcBorders>
          </w:tcPr>
          <w:p w14:paraId="35358101"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72" w:type="pct"/>
            <w:tcBorders>
              <w:top w:val="single" w:sz="12" w:space="0" w:color="000000"/>
              <w:left w:val="nil"/>
              <w:bottom w:val="nil"/>
              <w:right w:val="nil"/>
            </w:tcBorders>
          </w:tcPr>
          <w:p w14:paraId="60A2CC57"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901" w:type="pct"/>
            <w:tcBorders>
              <w:top w:val="single" w:sz="12" w:space="0" w:color="000000"/>
              <w:left w:val="nil"/>
              <w:bottom w:val="nil"/>
              <w:right w:val="nil"/>
            </w:tcBorders>
          </w:tcPr>
          <w:p w14:paraId="608622A9"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r>
      <w:tr w:rsidR="008E3F72" w:rsidRPr="00E70BBB" w14:paraId="6889C99D" w14:textId="77777777" w:rsidTr="0010018A">
        <w:tc>
          <w:tcPr>
            <w:tcW w:w="1778" w:type="pct"/>
            <w:tcBorders>
              <w:top w:val="nil"/>
              <w:left w:val="nil"/>
              <w:bottom w:val="nil"/>
              <w:right w:val="nil"/>
            </w:tcBorders>
          </w:tcPr>
          <w:p w14:paraId="51F5AFFE"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Voljēri, ar laktām, mēslu transportieri bez ventilācijas (1. kat.)</w:t>
            </w:r>
          </w:p>
        </w:tc>
        <w:tc>
          <w:tcPr>
            <w:tcW w:w="791" w:type="pct"/>
            <w:tcBorders>
              <w:top w:val="nil"/>
              <w:left w:val="nil"/>
              <w:bottom w:val="nil"/>
              <w:right w:val="nil"/>
            </w:tcBorders>
          </w:tcPr>
          <w:p w14:paraId="596D8820"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58" w:type="pct"/>
            <w:tcBorders>
              <w:top w:val="nil"/>
              <w:left w:val="nil"/>
              <w:bottom w:val="nil"/>
              <w:right w:val="nil"/>
            </w:tcBorders>
          </w:tcPr>
          <w:p w14:paraId="5A0C2032"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70–85</w:t>
            </w:r>
          </w:p>
        </w:tc>
        <w:tc>
          <w:tcPr>
            <w:tcW w:w="772" w:type="pct"/>
            <w:tcBorders>
              <w:top w:val="nil"/>
              <w:left w:val="nil"/>
              <w:bottom w:val="nil"/>
              <w:right w:val="nil"/>
            </w:tcBorders>
          </w:tcPr>
          <w:p w14:paraId="1E3BFF93"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901" w:type="pct"/>
            <w:tcBorders>
              <w:top w:val="nil"/>
              <w:left w:val="nil"/>
              <w:bottom w:val="nil"/>
              <w:right w:val="nil"/>
            </w:tcBorders>
          </w:tcPr>
          <w:p w14:paraId="7EC862F8"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1–5</w:t>
            </w:r>
          </w:p>
        </w:tc>
      </w:tr>
      <w:tr w:rsidR="008E3F72" w:rsidRPr="00E70BBB" w14:paraId="0FCEC473" w14:textId="77777777" w:rsidTr="0010018A">
        <w:tc>
          <w:tcPr>
            <w:tcW w:w="1778" w:type="pct"/>
            <w:tcBorders>
              <w:top w:val="nil"/>
              <w:left w:val="nil"/>
              <w:bottom w:val="nil"/>
              <w:right w:val="nil"/>
            </w:tcBorders>
          </w:tcPr>
          <w:p w14:paraId="09088041"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Voljēri, mēslu transportieri bez ventilācijas (1. kat.)</w:t>
            </w:r>
          </w:p>
        </w:tc>
        <w:tc>
          <w:tcPr>
            <w:tcW w:w="791" w:type="pct"/>
            <w:tcBorders>
              <w:top w:val="nil"/>
              <w:left w:val="nil"/>
              <w:bottom w:val="nil"/>
              <w:right w:val="nil"/>
            </w:tcBorders>
          </w:tcPr>
          <w:p w14:paraId="262CE687"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58" w:type="pct"/>
            <w:tcBorders>
              <w:top w:val="nil"/>
              <w:left w:val="nil"/>
              <w:bottom w:val="nil"/>
              <w:right w:val="nil"/>
            </w:tcBorders>
          </w:tcPr>
          <w:p w14:paraId="23948344"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80–95</w:t>
            </w:r>
          </w:p>
        </w:tc>
        <w:tc>
          <w:tcPr>
            <w:tcW w:w="772" w:type="pct"/>
            <w:tcBorders>
              <w:top w:val="nil"/>
              <w:left w:val="nil"/>
              <w:bottom w:val="nil"/>
              <w:right w:val="nil"/>
            </w:tcBorders>
          </w:tcPr>
          <w:p w14:paraId="137C805A"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901" w:type="pct"/>
            <w:tcBorders>
              <w:top w:val="nil"/>
              <w:left w:val="nil"/>
              <w:bottom w:val="nil"/>
              <w:right w:val="nil"/>
            </w:tcBorders>
          </w:tcPr>
          <w:p w14:paraId="2A54BC76"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1–7</w:t>
            </w:r>
          </w:p>
        </w:tc>
      </w:tr>
      <w:tr w:rsidR="008E3F72" w:rsidRPr="00E70BBB" w14:paraId="2D4AFC68" w14:textId="77777777" w:rsidTr="0010018A">
        <w:tc>
          <w:tcPr>
            <w:tcW w:w="1778" w:type="pct"/>
            <w:tcBorders>
              <w:top w:val="nil"/>
              <w:left w:val="nil"/>
              <w:bottom w:val="nil"/>
              <w:right w:val="nil"/>
            </w:tcBorders>
          </w:tcPr>
          <w:p w14:paraId="0A53317E"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 xml:space="preserve">Izplūdes gaisa attīrīšana ar skruberi </w:t>
            </w:r>
            <w:r w:rsidRPr="00E70BBB">
              <w:rPr>
                <w:i/>
                <w:noProof/>
                <w:sz w:val="20"/>
                <w:szCs w:val="20"/>
                <w:vertAlign w:val="superscript"/>
              </w:rPr>
              <w:t>a)</w:t>
            </w:r>
          </w:p>
        </w:tc>
        <w:tc>
          <w:tcPr>
            <w:tcW w:w="791" w:type="pct"/>
            <w:tcBorders>
              <w:top w:val="nil"/>
              <w:left w:val="nil"/>
              <w:bottom w:val="nil"/>
              <w:right w:val="nil"/>
            </w:tcBorders>
          </w:tcPr>
          <w:p w14:paraId="349E6DB7"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58" w:type="pct"/>
            <w:tcBorders>
              <w:top w:val="nil"/>
              <w:left w:val="nil"/>
              <w:bottom w:val="nil"/>
              <w:right w:val="nil"/>
            </w:tcBorders>
          </w:tcPr>
          <w:p w14:paraId="3CE3CF23"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70–90</w:t>
            </w:r>
          </w:p>
        </w:tc>
        <w:tc>
          <w:tcPr>
            <w:tcW w:w="772" w:type="pct"/>
            <w:tcBorders>
              <w:top w:val="nil"/>
              <w:left w:val="nil"/>
              <w:bottom w:val="nil"/>
              <w:right w:val="nil"/>
            </w:tcBorders>
          </w:tcPr>
          <w:p w14:paraId="0A8E3A66"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901" w:type="pct"/>
            <w:tcBorders>
              <w:top w:val="nil"/>
              <w:left w:val="nil"/>
              <w:bottom w:val="nil"/>
              <w:right w:val="nil"/>
            </w:tcBorders>
          </w:tcPr>
          <w:p w14:paraId="0D6315E0"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6–9</w:t>
            </w:r>
          </w:p>
        </w:tc>
      </w:tr>
      <w:tr w:rsidR="008E3F72" w:rsidRPr="00E70BBB" w14:paraId="4C8C8907" w14:textId="77777777" w:rsidTr="0010018A">
        <w:tc>
          <w:tcPr>
            <w:tcW w:w="1778" w:type="pct"/>
            <w:tcBorders>
              <w:top w:val="nil"/>
              <w:left w:val="nil"/>
              <w:bottom w:val="nil"/>
              <w:right w:val="nil"/>
            </w:tcBorders>
          </w:tcPr>
          <w:p w14:paraId="30C1E6F1"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Pakaiši, redeles daļā no grīdas laukuma, mēslu transportieri (2. kat.)</w:t>
            </w:r>
          </w:p>
        </w:tc>
        <w:tc>
          <w:tcPr>
            <w:tcW w:w="791" w:type="pct"/>
            <w:tcBorders>
              <w:top w:val="nil"/>
              <w:left w:val="nil"/>
              <w:bottom w:val="nil"/>
              <w:right w:val="nil"/>
            </w:tcBorders>
          </w:tcPr>
          <w:p w14:paraId="19C57821"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58" w:type="pct"/>
            <w:tcBorders>
              <w:top w:val="nil"/>
              <w:left w:val="nil"/>
              <w:bottom w:val="nil"/>
              <w:right w:val="nil"/>
            </w:tcBorders>
          </w:tcPr>
          <w:p w14:paraId="479E55E4"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75</w:t>
            </w:r>
          </w:p>
        </w:tc>
        <w:tc>
          <w:tcPr>
            <w:tcW w:w="772" w:type="pct"/>
            <w:tcBorders>
              <w:top w:val="nil"/>
              <w:left w:val="nil"/>
              <w:bottom w:val="nil"/>
              <w:right w:val="nil"/>
            </w:tcBorders>
          </w:tcPr>
          <w:p w14:paraId="2051E5BF"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901" w:type="pct"/>
            <w:tcBorders>
              <w:top w:val="nil"/>
              <w:left w:val="nil"/>
              <w:bottom w:val="nil"/>
              <w:right w:val="nil"/>
            </w:tcBorders>
          </w:tcPr>
          <w:p w14:paraId="00E782AB"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3–5</w:t>
            </w:r>
          </w:p>
        </w:tc>
      </w:tr>
      <w:tr w:rsidR="008E3F72" w:rsidRPr="00E70BBB" w14:paraId="77451A38" w14:textId="77777777" w:rsidTr="0010018A">
        <w:tc>
          <w:tcPr>
            <w:tcW w:w="1778" w:type="pct"/>
            <w:tcBorders>
              <w:top w:val="nil"/>
              <w:left w:val="nil"/>
              <w:bottom w:val="nil"/>
              <w:right w:val="nil"/>
            </w:tcBorders>
          </w:tcPr>
          <w:p w14:paraId="4671A025"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Pakaiši ar mēslu piespiedu žāvēšanu (2. kat.)</w:t>
            </w:r>
          </w:p>
        </w:tc>
        <w:tc>
          <w:tcPr>
            <w:tcW w:w="791" w:type="pct"/>
            <w:tcBorders>
              <w:top w:val="nil"/>
              <w:left w:val="nil"/>
              <w:bottom w:val="nil"/>
              <w:right w:val="nil"/>
            </w:tcBorders>
          </w:tcPr>
          <w:p w14:paraId="10197F24"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58" w:type="pct"/>
            <w:tcBorders>
              <w:top w:val="nil"/>
              <w:left w:val="nil"/>
              <w:bottom w:val="nil"/>
              <w:right w:val="nil"/>
            </w:tcBorders>
          </w:tcPr>
          <w:p w14:paraId="3D2F376F"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40–60</w:t>
            </w:r>
          </w:p>
        </w:tc>
        <w:tc>
          <w:tcPr>
            <w:tcW w:w="772" w:type="pct"/>
            <w:tcBorders>
              <w:top w:val="nil"/>
              <w:left w:val="nil"/>
              <w:bottom w:val="nil"/>
              <w:right w:val="nil"/>
            </w:tcBorders>
          </w:tcPr>
          <w:p w14:paraId="576E6F5F"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901" w:type="pct"/>
            <w:tcBorders>
              <w:top w:val="nil"/>
              <w:left w:val="nil"/>
              <w:bottom w:val="nil"/>
              <w:right w:val="nil"/>
            </w:tcBorders>
          </w:tcPr>
          <w:p w14:paraId="42B36561"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1–5</w:t>
            </w:r>
          </w:p>
        </w:tc>
      </w:tr>
      <w:tr w:rsidR="008E3F72" w:rsidRPr="00E70BBB" w14:paraId="3CEBCADD" w14:textId="77777777" w:rsidTr="0010018A">
        <w:tc>
          <w:tcPr>
            <w:tcW w:w="1778" w:type="pct"/>
            <w:tcBorders>
              <w:top w:val="nil"/>
              <w:left w:val="nil"/>
              <w:bottom w:val="single" w:sz="12" w:space="0" w:color="000000"/>
              <w:right w:val="nil"/>
            </w:tcBorders>
          </w:tcPr>
          <w:p w14:paraId="310BCA55"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Pakaišiem regulāri pievieno alumīnija sulfātu (2. kat.)</w:t>
            </w:r>
          </w:p>
        </w:tc>
        <w:tc>
          <w:tcPr>
            <w:tcW w:w="791" w:type="pct"/>
            <w:tcBorders>
              <w:top w:val="nil"/>
              <w:left w:val="nil"/>
              <w:bottom w:val="single" w:sz="12" w:space="0" w:color="000000"/>
              <w:right w:val="nil"/>
            </w:tcBorders>
          </w:tcPr>
          <w:p w14:paraId="2C5DFF9D"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758" w:type="pct"/>
            <w:tcBorders>
              <w:top w:val="nil"/>
              <w:left w:val="nil"/>
              <w:bottom w:val="single" w:sz="12" w:space="0" w:color="000000"/>
              <w:right w:val="nil"/>
            </w:tcBorders>
          </w:tcPr>
          <w:p w14:paraId="2D23F09E"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70</w:t>
            </w:r>
          </w:p>
        </w:tc>
        <w:tc>
          <w:tcPr>
            <w:tcW w:w="772" w:type="pct"/>
            <w:tcBorders>
              <w:top w:val="nil"/>
              <w:left w:val="nil"/>
              <w:bottom w:val="single" w:sz="12" w:space="0" w:color="000000"/>
              <w:right w:val="nil"/>
            </w:tcBorders>
          </w:tcPr>
          <w:p w14:paraId="56D2BB48"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c>
          <w:tcPr>
            <w:tcW w:w="901" w:type="pct"/>
            <w:tcBorders>
              <w:top w:val="nil"/>
              <w:left w:val="nil"/>
              <w:bottom w:val="single" w:sz="12" w:space="0" w:color="000000"/>
              <w:right w:val="nil"/>
            </w:tcBorders>
          </w:tcPr>
          <w:p w14:paraId="6D67A9D9" w14:textId="77777777" w:rsidR="008E3F72" w:rsidRPr="00E70BBB" w:rsidRDefault="008E3F72" w:rsidP="0010018A">
            <w:pPr>
              <w:pStyle w:val="TableParagraph"/>
              <w:widowControl/>
              <w:kinsoku w:val="0"/>
              <w:overflowPunct w:val="0"/>
              <w:jc w:val="both"/>
              <w:rPr>
                <w:noProof/>
                <w:sz w:val="20"/>
                <w:szCs w:val="20"/>
              </w:rPr>
            </w:pPr>
            <w:r w:rsidRPr="00E70BBB">
              <w:rPr>
                <w:sz w:val="20"/>
                <w:szCs w:val="20"/>
              </w:rPr>
              <w:t>?</w:t>
            </w:r>
          </w:p>
        </w:tc>
      </w:tr>
    </w:tbl>
    <w:p w14:paraId="6E25C04B"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Piezīme. </w:t>
      </w:r>
      <w:r w:rsidRPr="00F35F4D">
        <w:rPr>
          <w:noProof/>
          <w:sz w:val="24"/>
        </w:rPr>
        <w:t xml:space="preserve">Informāciju par ekonomiskajām izmaksām saistībā ar paņēmieniem emisijas samazināšanai var atrast avotā </w:t>
      </w:r>
      <w:r w:rsidRPr="00F35F4D">
        <w:rPr>
          <w:i/>
          <w:noProof/>
          <w:sz w:val="24"/>
        </w:rPr>
        <w:t>Reis</w:t>
      </w:r>
      <w:r w:rsidRPr="00F35F4D">
        <w:rPr>
          <w:noProof/>
          <w:sz w:val="24"/>
        </w:rPr>
        <w:t xml:space="preserve"> (drīzumā).</w:t>
      </w:r>
    </w:p>
    <w:p w14:paraId="394EEB51"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vertAlign w:val="superscript"/>
        </w:rPr>
        <w:t>a</w:t>
      </w:r>
      <w:r w:rsidRPr="00F35F4D">
        <w:rPr>
          <w:vertAlign w:val="superscript"/>
        </w:rPr>
        <w:t>)</w:t>
      </w:r>
      <w:r w:rsidRPr="00F35F4D">
        <w:t>Ar skābes skruberiem var panākt 70–90 % emisijas samazinājumu, turpretim bioloģiskie skruberi samazina to par 70 %; daži eksperti to uzskata par 2. kategorijas paņēmienu.</w:t>
      </w:r>
    </w:p>
    <w:p w14:paraId="23A655D3" w14:textId="77777777" w:rsidR="008E3F72" w:rsidRPr="00F35F4D" w:rsidRDefault="008E3F72" w:rsidP="008E3F72">
      <w:pPr>
        <w:pStyle w:val="BodyText"/>
        <w:widowControl/>
        <w:kinsoku w:val="0"/>
        <w:overflowPunct w:val="0"/>
        <w:spacing w:before="0"/>
        <w:ind w:left="0"/>
        <w:jc w:val="both"/>
        <w:rPr>
          <w:noProof/>
          <w:sz w:val="24"/>
          <w:szCs w:val="24"/>
        </w:rPr>
      </w:pPr>
    </w:p>
    <w:p w14:paraId="3F37397F" w14:textId="4705B24F" w:rsidR="008E3F72" w:rsidRDefault="008E3F72" w:rsidP="00E70BBB">
      <w:pPr>
        <w:pStyle w:val="BodyText"/>
        <w:widowControl/>
        <w:numPr>
          <w:ilvl w:val="0"/>
          <w:numId w:val="19"/>
        </w:numPr>
        <w:kinsoku w:val="0"/>
        <w:overflowPunct w:val="0"/>
        <w:spacing w:before="0"/>
        <w:ind w:left="0" w:firstLine="0"/>
        <w:jc w:val="both"/>
        <w:rPr>
          <w:b/>
          <w:noProof/>
          <w:sz w:val="24"/>
        </w:rPr>
      </w:pPr>
      <w:r w:rsidRPr="00F35F4D">
        <w:rPr>
          <w:b/>
          <w:noProof/>
          <w:sz w:val="24"/>
        </w:rPr>
        <w:t>Novietņu sistēmas broileriem</w:t>
      </w:r>
    </w:p>
    <w:p w14:paraId="1315D986" w14:textId="77777777" w:rsidR="00E70BBB" w:rsidRPr="00F35F4D" w:rsidRDefault="00E70BBB" w:rsidP="00E70BBB">
      <w:pPr>
        <w:pStyle w:val="BodyText"/>
        <w:widowControl/>
        <w:tabs>
          <w:tab w:val="left" w:pos="860"/>
        </w:tabs>
        <w:kinsoku w:val="0"/>
        <w:overflowPunct w:val="0"/>
        <w:spacing w:before="0"/>
        <w:ind w:left="420"/>
        <w:jc w:val="both"/>
        <w:rPr>
          <w:b/>
          <w:bCs/>
          <w:noProof/>
          <w:sz w:val="24"/>
          <w:szCs w:val="24"/>
        </w:rPr>
      </w:pPr>
    </w:p>
    <w:p w14:paraId="44A59FAB" w14:textId="77777777" w:rsidR="008E3F72" w:rsidRPr="00F35F4D" w:rsidRDefault="008E3F72" w:rsidP="008E3F72">
      <w:pPr>
        <w:pStyle w:val="BodyText"/>
        <w:widowControl/>
        <w:numPr>
          <w:ilvl w:val="0"/>
          <w:numId w:val="13"/>
        </w:numPr>
        <w:tabs>
          <w:tab w:val="left" w:pos="861"/>
        </w:tabs>
        <w:kinsoku w:val="0"/>
        <w:overflowPunct w:val="0"/>
        <w:spacing w:before="0"/>
        <w:ind w:left="0" w:firstLine="0"/>
        <w:jc w:val="both"/>
        <w:rPr>
          <w:noProof/>
          <w:sz w:val="24"/>
          <w:szCs w:val="24"/>
        </w:rPr>
      </w:pPr>
      <w:r w:rsidRPr="00F35F4D">
        <w:rPr>
          <w:i/>
        </w:rPr>
        <w:t>Atsauces sistēmas broileru izmitināšanai.</w:t>
      </w:r>
      <w:r w:rsidRPr="00F35F4D">
        <w:rPr>
          <w:noProof/>
          <w:sz w:val="24"/>
        </w:rPr>
        <w:t xml:space="preserve"> Par atsauces sistēmu broileriem uzskata Eiropā izmantotās tradicionālās ēkas ar vienlaidu grīdu, ko pilnībā klāj pakaiši.</w:t>
      </w:r>
    </w:p>
    <w:p w14:paraId="20EB377E" w14:textId="77777777" w:rsidR="008E3F72" w:rsidRPr="00F35F4D" w:rsidRDefault="008E3F72" w:rsidP="008E3F72">
      <w:pPr>
        <w:pStyle w:val="BodyText"/>
        <w:widowControl/>
        <w:numPr>
          <w:ilvl w:val="0"/>
          <w:numId w:val="13"/>
        </w:numPr>
        <w:tabs>
          <w:tab w:val="left" w:pos="861"/>
        </w:tabs>
        <w:kinsoku w:val="0"/>
        <w:overflowPunct w:val="0"/>
        <w:spacing w:before="0"/>
        <w:ind w:left="0" w:firstLine="0"/>
        <w:jc w:val="both"/>
        <w:rPr>
          <w:noProof/>
          <w:sz w:val="24"/>
          <w:szCs w:val="24"/>
        </w:rPr>
      </w:pPr>
      <w:r w:rsidRPr="00F35F4D">
        <w:rPr>
          <w:noProof/>
          <w:sz w:val="24"/>
        </w:rPr>
        <w:t>Lai pēc iespējas samazinātu NH3 emisiju no broileru novietnēm, svarīgi, lai pakaiši būtu sausi. Pakaišu mitrumu un emisiju ietekmē šādi faktori:</w:t>
      </w:r>
    </w:p>
    <w:p w14:paraId="7ABCA47A" w14:textId="77777777" w:rsidR="008E3F72" w:rsidRPr="00F35F4D" w:rsidRDefault="008E3F72" w:rsidP="008E3F72">
      <w:pPr>
        <w:pStyle w:val="BodyText"/>
        <w:widowControl/>
        <w:numPr>
          <w:ilvl w:val="1"/>
          <w:numId w:val="13"/>
        </w:numPr>
        <w:tabs>
          <w:tab w:val="left" w:pos="1581"/>
        </w:tabs>
        <w:kinsoku w:val="0"/>
        <w:overflowPunct w:val="0"/>
        <w:spacing w:before="0"/>
        <w:ind w:left="0" w:firstLine="0"/>
        <w:jc w:val="both"/>
        <w:rPr>
          <w:noProof/>
          <w:sz w:val="24"/>
          <w:szCs w:val="24"/>
        </w:rPr>
      </w:pPr>
      <w:r w:rsidRPr="00F35F4D">
        <w:rPr>
          <w:noProof/>
          <w:sz w:val="24"/>
        </w:rPr>
        <w:t>dzirdināšanas sistēmas risinājums un darbība (tā var tecēt un izšļakstīties);</w:t>
      </w:r>
    </w:p>
    <w:p w14:paraId="31FED601" w14:textId="77777777" w:rsidR="008E3F72" w:rsidRPr="00F35F4D" w:rsidRDefault="008E3F72" w:rsidP="008E3F72">
      <w:pPr>
        <w:pStyle w:val="BodyText"/>
        <w:widowControl/>
        <w:numPr>
          <w:ilvl w:val="1"/>
          <w:numId w:val="13"/>
        </w:numPr>
        <w:tabs>
          <w:tab w:val="left" w:pos="1581"/>
        </w:tabs>
        <w:kinsoku w:val="0"/>
        <w:overflowPunct w:val="0"/>
        <w:spacing w:before="0"/>
        <w:ind w:left="0" w:firstLine="0"/>
        <w:jc w:val="both"/>
        <w:rPr>
          <w:noProof/>
          <w:sz w:val="24"/>
          <w:szCs w:val="24"/>
        </w:rPr>
      </w:pPr>
      <w:r w:rsidRPr="00F35F4D">
        <w:rPr>
          <w:noProof/>
          <w:sz w:val="24"/>
        </w:rPr>
        <w:t>putnu svars un blīvums, kā arī audzēšanas perioda ilgums;</w:t>
      </w:r>
    </w:p>
    <w:p w14:paraId="1864BD9B" w14:textId="77777777" w:rsidR="008E3F72" w:rsidRPr="00F35F4D" w:rsidRDefault="008E3F72" w:rsidP="008E3F72">
      <w:pPr>
        <w:pStyle w:val="BodyText"/>
        <w:widowControl/>
        <w:numPr>
          <w:ilvl w:val="1"/>
          <w:numId w:val="13"/>
        </w:numPr>
        <w:tabs>
          <w:tab w:val="left" w:pos="1581"/>
        </w:tabs>
        <w:kinsoku w:val="0"/>
        <w:overflowPunct w:val="0"/>
        <w:spacing w:before="0"/>
        <w:ind w:left="0" w:firstLine="0"/>
        <w:jc w:val="both"/>
        <w:rPr>
          <w:noProof/>
          <w:sz w:val="24"/>
          <w:szCs w:val="24"/>
        </w:rPr>
      </w:pPr>
      <w:r w:rsidRPr="00F35F4D">
        <w:rPr>
          <w:noProof/>
          <w:sz w:val="24"/>
        </w:rPr>
        <w:t xml:space="preserve"> gaisa kustības ātrums, iekštelpu gaisa attīrīšanas paņēmieni un mikroklimats;</w:t>
      </w:r>
    </w:p>
    <w:p w14:paraId="6BCAA398" w14:textId="77777777" w:rsidR="008E3F72" w:rsidRPr="00F35F4D" w:rsidRDefault="008E3F72" w:rsidP="008E3F72">
      <w:pPr>
        <w:pStyle w:val="BodyText"/>
        <w:widowControl/>
        <w:numPr>
          <w:ilvl w:val="1"/>
          <w:numId w:val="13"/>
        </w:numPr>
        <w:tabs>
          <w:tab w:val="left" w:pos="1581"/>
        </w:tabs>
        <w:kinsoku w:val="0"/>
        <w:overflowPunct w:val="0"/>
        <w:spacing w:before="0"/>
        <w:ind w:left="0" w:firstLine="0"/>
        <w:jc w:val="both"/>
        <w:rPr>
          <w:noProof/>
          <w:sz w:val="24"/>
          <w:szCs w:val="24"/>
        </w:rPr>
      </w:pPr>
      <w:r w:rsidRPr="00F35F4D">
        <w:rPr>
          <w:noProof/>
          <w:sz w:val="24"/>
        </w:rPr>
        <w:t>grīdas izolācijas izmantošana;</w:t>
      </w:r>
    </w:p>
    <w:p w14:paraId="57F2F893" w14:textId="77777777" w:rsidR="008E3F72" w:rsidRPr="00F35F4D" w:rsidRDefault="008E3F72" w:rsidP="008E3F72">
      <w:pPr>
        <w:pStyle w:val="BodyText"/>
        <w:widowControl/>
        <w:numPr>
          <w:ilvl w:val="1"/>
          <w:numId w:val="13"/>
        </w:numPr>
        <w:tabs>
          <w:tab w:val="left" w:pos="1581"/>
        </w:tabs>
        <w:kinsoku w:val="0"/>
        <w:overflowPunct w:val="0"/>
        <w:spacing w:before="0"/>
        <w:ind w:left="0" w:firstLine="0"/>
        <w:jc w:val="both"/>
        <w:rPr>
          <w:noProof/>
          <w:sz w:val="24"/>
          <w:szCs w:val="24"/>
        </w:rPr>
      </w:pPr>
      <w:r w:rsidRPr="00F35F4D">
        <w:rPr>
          <w:noProof/>
          <w:sz w:val="24"/>
        </w:rPr>
        <w:t>pakaišu veids un daudzums;</w:t>
      </w:r>
    </w:p>
    <w:p w14:paraId="1F371112" w14:textId="77777777" w:rsidR="008E3F72" w:rsidRPr="00F35F4D" w:rsidRDefault="008E3F72" w:rsidP="008E3F72">
      <w:pPr>
        <w:pStyle w:val="BodyText"/>
        <w:widowControl/>
        <w:numPr>
          <w:ilvl w:val="1"/>
          <w:numId w:val="13"/>
        </w:numPr>
        <w:tabs>
          <w:tab w:val="left" w:pos="1581"/>
        </w:tabs>
        <w:kinsoku w:val="0"/>
        <w:overflowPunct w:val="0"/>
        <w:spacing w:before="0"/>
        <w:ind w:left="0" w:firstLine="0"/>
        <w:jc w:val="both"/>
        <w:rPr>
          <w:noProof/>
          <w:sz w:val="24"/>
          <w:szCs w:val="24"/>
        </w:rPr>
      </w:pPr>
      <w:r w:rsidRPr="00F35F4D">
        <w:rPr>
          <w:noProof/>
          <w:sz w:val="24"/>
        </w:rPr>
        <w:t>barība.</w:t>
      </w:r>
    </w:p>
    <w:p w14:paraId="1E96A812" w14:textId="77777777" w:rsidR="008E3F72" w:rsidRPr="00F35F4D" w:rsidRDefault="008E3F72" w:rsidP="008E3F72">
      <w:pPr>
        <w:pStyle w:val="BodyText"/>
        <w:widowControl/>
        <w:kinsoku w:val="0"/>
        <w:overflowPunct w:val="0"/>
        <w:spacing w:before="0"/>
        <w:ind w:left="0"/>
        <w:jc w:val="both"/>
        <w:rPr>
          <w:noProof/>
          <w:sz w:val="24"/>
          <w:szCs w:val="24"/>
        </w:rPr>
      </w:pPr>
    </w:p>
    <w:p w14:paraId="14BA8DCA" w14:textId="77777777" w:rsidR="008E3F72" w:rsidRPr="00F35F4D" w:rsidRDefault="008E3F72" w:rsidP="008E3F72">
      <w:pPr>
        <w:pStyle w:val="Heading5"/>
        <w:widowControl/>
        <w:kinsoku w:val="0"/>
        <w:overflowPunct w:val="0"/>
        <w:ind w:left="0"/>
        <w:jc w:val="both"/>
        <w:rPr>
          <w:rFonts w:ascii="Times New Roman" w:hAnsi="Times New Roman" w:cs="Times New Roman"/>
          <w:noProof/>
          <w:color w:val="0D0D0D"/>
          <w:sz w:val="24"/>
          <w:szCs w:val="24"/>
        </w:rPr>
      </w:pPr>
      <w:r w:rsidRPr="00F35F4D">
        <w:rPr>
          <w:rFonts w:ascii="Times New Roman" w:hAnsi="Times New Roman" w:cs="Times New Roman"/>
          <w:noProof/>
          <w:color w:val="0D0D0D"/>
          <w:sz w:val="24"/>
        </w:rPr>
        <w:t>1. kategorijas paņēmieni</w:t>
      </w:r>
    </w:p>
    <w:p w14:paraId="53DE2A4A" w14:textId="77777777" w:rsidR="008E3F72" w:rsidRPr="00F35F4D" w:rsidRDefault="008E3F72" w:rsidP="008E3F72">
      <w:pPr>
        <w:pStyle w:val="BodyText"/>
        <w:widowControl/>
        <w:numPr>
          <w:ilvl w:val="0"/>
          <w:numId w:val="13"/>
        </w:numPr>
        <w:tabs>
          <w:tab w:val="left" w:pos="861"/>
        </w:tabs>
        <w:kinsoku w:val="0"/>
        <w:overflowPunct w:val="0"/>
        <w:spacing w:before="0"/>
        <w:ind w:left="0" w:firstLine="0"/>
        <w:jc w:val="both"/>
        <w:rPr>
          <w:noProof/>
          <w:sz w:val="24"/>
          <w:szCs w:val="24"/>
        </w:rPr>
      </w:pPr>
      <w:r w:rsidRPr="00F35F4D">
        <w:rPr>
          <w:i/>
        </w:rPr>
        <w:t>Izšļakstītā ūdens daudzuma samazināšana no dzirdināšanas sistēmas.</w:t>
      </w:r>
      <w:r w:rsidRPr="00F35F4D">
        <w:rPr>
          <w:noProof/>
          <w:sz w:val="24"/>
        </w:rPr>
        <w:t xml:space="preserve"> Vienkāršs veids, kā mazināt šļakstīšanos no dzirdināšanas sistēmas, ir kausiņu vietā izmantot nipeļa veida dzirdnes.</w:t>
      </w:r>
    </w:p>
    <w:p w14:paraId="0D0943A9" w14:textId="77777777" w:rsidR="008E3F72" w:rsidRPr="00F35F4D" w:rsidRDefault="008E3F72" w:rsidP="008E3F72">
      <w:pPr>
        <w:pStyle w:val="BodyText"/>
        <w:widowControl/>
        <w:numPr>
          <w:ilvl w:val="0"/>
          <w:numId w:val="13"/>
        </w:numPr>
        <w:tabs>
          <w:tab w:val="left" w:pos="861"/>
        </w:tabs>
        <w:kinsoku w:val="0"/>
        <w:overflowPunct w:val="0"/>
        <w:spacing w:before="0"/>
        <w:ind w:left="0" w:firstLine="0"/>
        <w:jc w:val="both"/>
        <w:rPr>
          <w:noProof/>
          <w:sz w:val="24"/>
          <w:szCs w:val="24"/>
        </w:rPr>
      </w:pPr>
      <w:r w:rsidRPr="00F35F4D">
        <w:rPr>
          <w:i/>
        </w:rPr>
        <w:t>Gaisa skruberu izmantošana</w:t>
      </w:r>
      <w:r w:rsidRPr="00F35F4D">
        <w:t xml:space="preserve"> ventilācijas gaisa attīrīšanai no NH3 ir ļoti efektīvs paņēmiens, bet izmaksu dēļ to plaši neizmanto.</w:t>
      </w:r>
      <w:r w:rsidRPr="00F35F4D">
        <w:rPr>
          <w:noProof/>
          <w:sz w:val="24"/>
        </w:rPr>
        <w:t xml:space="preserve"> Pašlaik Nīderlandē un Vācijā pieejamie uzgaļu filtri un skābes skruberi attīra izplūdes gaisu no 70–90 % tajā esošā NH3. Neskaidrības par to kalpošanas ilgumu lielās putekļu slodzes dēļ ir likušas dažām Konvencijas pusēm šo paņēmienu uzskatīt tikai par 2. kategorijas paņēmienu. Izstrādāti ir arī vairākiem </w:t>
      </w:r>
      <w:r w:rsidRPr="00F35F4D">
        <w:rPr>
          <w:noProof/>
          <w:sz w:val="24"/>
        </w:rPr>
        <w:lastRenderedPageBreak/>
        <w:t>piesārņotājiem paredzēti skruberi, kas atbrīvo izplūdes gaisu arī no smakām un daļiņām (</w:t>
      </w:r>
      <w:r w:rsidRPr="00F35F4D">
        <w:rPr>
          <w:i/>
          <w:noProof/>
          <w:sz w:val="24"/>
        </w:rPr>
        <w:t>PM</w:t>
      </w:r>
      <w:r w:rsidRPr="00F35F4D">
        <w:rPr>
          <w:noProof/>
          <w:sz w:val="24"/>
        </w:rPr>
        <w:t xml:space="preserve">10 un </w:t>
      </w:r>
      <w:r w:rsidRPr="00F35F4D">
        <w:rPr>
          <w:i/>
          <w:noProof/>
          <w:sz w:val="24"/>
        </w:rPr>
        <w:t>PM</w:t>
      </w:r>
      <w:r w:rsidRPr="00F35F4D">
        <w:rPr>
          <w:noProof/>
          <w:sz w:val="24"/>
        </w:rPr>
        <w:t>2,5) (</w:t>
      </w:r>
      <w:r w:rsidRPr="00F35F4D">
        <w:rPr>
          <w:i/>
          <w:noProof/>
          <w:sz w:val="24"/>
        </w:rPr>
        <w:t>Zhao et al.,</w:t>
      </w:r>
      <w:r w:rsidRPr="00F35F4D">
        <w:rPr>
          <w:noProof/>
          <w:sz w:val="24"/>
        </w:rPr>
        <w:t xml:space="preserve"> 2011; </w:t>
      </w:r>
      <w:r w:rsidRPr="00F35F4D">
        <w:rPr>
          <w:i/>
          <w:noProof/>
          <w:sz w:val="24"/>
        </w:rPr>
        <w:t>Ritz et al.,</w:t>
      </w:r>
      <w:r w:rsidRPr="00F35F4D">
        <w:rPr>
          <w:noProof/>
          <w:sz w:val="24"/>
        </w:rPr>
        <w:t xml:space="preserve"> 2006; </w:t>
      </w:r>
      <w:r w:rsidRPr="00F35F4D">
        <w:rPr>
          <w:i/>
          <w:noProof/>
          <w:sz w:val="24"/>
        </w:rPr>
        <w:t>Patterson, Adrizal</w:t>
      </w:r>
      <w:r w:rsidRPr="00F35F4D">
        <w:rPr>
          <w:noProof/>
          <w:sz w:val="24"/>
        </w:rPr>
        <w:t>, 2005).</w:t>
      </w:r>
    </w:p>
    <w:p w14:paraId="377557A7" w14:textId="77777777" w:rsidR="008E3F72" w:rsidRPr="00F35F4D" w:rsidRDefault="008E3F72" w:rsidP="008E3F72">
      <w:pPr>
        <w:pStyle w:val="BodyText"/>
        <w:widowControl/>
        <w:kinsoku w:val="0"/>
        <w:overflowPunct w:val="0"/>
        <w:spacing w:before="0"/>
        <w:ind w:left="0"/>
        <w:jc w:val="both"/>
        <w:rPr>
          <w:noProof/>
          <w:sz w:val="24"/>
          <w:szCs w:val="24"/>
        </w:rPr>
      </w:pPr>
    </w:p>
    <w:p w14:paraId="2BB0706B" w14:textId="77777777" w:rsidR="008E3F72" w:rsidRDefault="008E3F72" w:rsidP="008E3F72">
      <w:pPr>
        <w:pStyle w:val="Heading5"/>
        <w:widowControl/>
        <w:kinsoku w:val="0"/>
        <w:overflowPunct w:val="0"/>
        <w:ind w:left="0"/>
        <w:jc w:val="both"/>
        <w:rPr>
          <w:rFonts w:ascii="Times New Roman" w:hAnsi="Times New Roman" w:cs="Times New Roman"/>
          <w:noProof/>
          <w:color w:val="0D0D0D"/>
          <w:sz w:val="24"/>
        </w:rPr>
      </w:pPr>
      <w:r w:rsidRPr="00F35F4D">
        <w:rPr>
          <w:rFonts w:ascii="Times New Roman" w:hAnsi="Times New Roman" w:cs="Times New Roman"/>
          <w:noProof/>
          <w:color w:val="0D0D0D"/>
          <w:sz w:val="24"/>
        </w:rPr>
        <w:t>2. kategorijas paņēmieni</w:t>
      </w:r>
    </w:p>
    <w:p w14:paraId="1CBBB904" w14:textId="77777777" w:rsidR="00E70BBB" w:rsidRPr="00E70BBB" w:rsidRDefault="00E70BBB" w:rsidP="00E70BBB"/>
    <w:p w14:paraId="2AD58F0A" w14:textId="77777777" w:rsidR="008E3F72" w:rsidRDefault="008E3F72" w:rsidP="008E3F72">
      <w:pPr>
        <w:pStyle w:val="BodyText"/>
        <w:widowControl/>
        <w:numPr>
          <w:ilvl w:val="0"/>
          <w:numId w:val="13"/>
        </w:numPr>
        <w:tabs>
          <w:tab w:val="left" w:pos="861"/>
        </w:tabs>
        <w:kinsoku w:val="0"/>
        <w:overflowPunct w:val="0"/>
        <w:spacing w:before="0"/>
        <w:ind w:left="0" w:firstLine="0"/>
        <w:jc w:val="both"/>
        <w:rPr>
          <w:noProof/>
          <w:sz w:val="24"/>
          <w:szCs w:val="24"/>
        </w:rPr>
      </w:pPr>
      <w:r w:rsidRPr="00E70BBB">
        <w:rPr>
          <w:i/>
          <w:sz w:val="24"/>
          <w:szCs w:val="24"/>
        </w:rPr>
        <w:t>Piespiedu žāvēšana.</w:t>
      </w:r>
      <w:r w:rsidRPr="00E70BBB">
        <w:rPr>
          <w:noProof/>
          <w:sz w:val="24"/>
          <w:szCs w:val="24"/>
        </w:rPr>
        <w:t xml:space="preserve"> Emisiju var labi samazināt ar piespiedu žāvēšanu, bet esošās sistēmas patērē daudz enerģijas un var palielināt putekļu emisiju. Tomēr izmaksas par siltumu var ietaupīt, uzlabojot siltuma sadali.</w:t>
      </w:r>
    </w:p>
    <w:p w14:paraId="1F1F2FC9" w14:textId="77777777" w:rsidR="00E70BBB" w:rsidRPr="00E70BBB" w:rsidRDefault="00E70BBB" w:rsidP="00E70BBB">
      <w:pPr>
        <w:pStyle w:val="BodyText"/>
        <w:widowControl/>
        <w:tabs>
          <w:tab w:val="left" w:pos="861"/>
        </w:tabs>
        <w:kinsoku w:val="0"/>
        <w:overflowPunct w:val="0"/>
        <w:spacing w:before="0"/>
        <w:ind w:left="0"/>
        <w:jc w:val="both"/>
        <w:rPr>
          <w:noProof/>
          <w:sz w:val="24"/>
          <w:szCs w:val="24"/>
        </w:rPr>
      </w:pPr>
    </w:p>
    <w:p w14:paraId="5DDD4820" w14:textId="77777777" w:rsidR="008E3F72" w:rsidRDefault="008E3F72" w:rsidP="008E3F72">
      <w:pPr>
        <w:pStyle w:val="BodyText"/>
        <w:widowControl/>
        <w:numPr>
          <w:ilvl w:val="0"/>
          <w:numId w:val="13"/>
        </w:numPr>
        <w:tabs>
          <w:tab w:val="left" w:pos="861"/>
        </w:tabs>
        <w:kinsoku w:val="0"/>
        <w:overflowPunct w:val="0"/>
        <w:spacing w:before="0"/>
        <w:ind w:left="0" w:firstLine="0"/>
        <w:jc w:val="both"/>
        <w:rPr>
          <w:noProof/>
          <w:sz w:val="24"/>
          <w:szCs w:val="24"/>
        </w:rPr>
      </w:pPr>
      <w:r w:rsidRPr="00E70BBB">
        <w:rPr>
          <w:sz w:val="24"/>
          <w:szCs w:val="24"/>
        </w:rPr>
        <w:t>Kombinētā sildīšanas un dzesēšanas sistēma (</w:t>
      </w:r>
      <w:r w:rsidRPr="00E70BBB">
        <w:rPr>
          <w:i/>
          <w:sz w:val="24"/>
          <w:szCs w:val="24"/>
        </w:rPr>
        <w:t>„combideck”</w:t>
      </w:r>
      <w:r w:rsidRPr="00E70BBB">
        <w:rPr>
          <w:sz w:val="24"/>
          <w:szCs w:val="24"/>
        </w:rPr>
        <w:t xml:space="preserve"> sistēma).</w:t>
      </w:r>
      <w:r w:rsidRPr="00E70BBB">
        <w:rPr>
          <w:noProof/>
          <w:sz w:val="24"/>
          <w:szCs w:val="24"/>
        </w:rPr>
        <w:t xml:space="preserve"> Šo sistēmu veido siltummaiņi betona grīdā. Nobarošanas perioda sākumā grīdu apsilda, lai pakaišus izžāvētu, un vēlākā nobarošanas perioda posmā grīdu atvēsina, lai pazeminātu mikrobu aktivitāti, samazinot urīnskābes noārdīšanos. Tā kā šī paņēmiena efektivitāte ir atkarīga no vietējiem apstākļiem, to uzskata par 2. kategorijas paņēmienu.</w:t>
      </w:r>
    </w:p>
    <w:p w14:paraId="0A7903C5" w14:textId="77777777" w:rsidR="00E70BBB" w:rsidRPr="00E70BBB" w:rsidRDefault="00E70BBB" w:rsidP="00E70BBB">
      <w:pPr>
        <w:pStyle w:val="BodyText"/>
        <w:widowControl/>
        <w:tabs>
          <w:tab w:val="left" w:pos="861"/>
        </w:tabs>
        <w:kinsoku w:val="0"/>
        <w:overflowPunct w:val="0"/>
        <w:spacing w:before="0"/>
        <w:ind w:left="0"/>
        <w:jc w:val="both"/>
        <w:rPr>
          <w:noProof/>
          <w:sz w:val="24"/>
          <w:szCs w:val="24"/>
        </w:rPr>
      </w:pPr>
    </w:p>
    <w:p w14:paraId="0D24D722" w14:textId="77777777" w:rsidR="008E3F72" w:rsidRPr="00E70BBB" w:rsidRDefault="008E3F72" w:rsidP="008E3F72">
      <w:pPr>
        <w:pStyle w:val="BodyText"/>
        <w:widowControl/>
        <w:numPr>
          <w:ilvl w:val="0"/>
          <w:numId w:val="13"/>
        </w:numPr>
        <w:tabs>
          <w:tab w:val="left" w:pos="861"/>
        </w:tabs>
        <w:kinsoku w:val="0"/>
        <w:overflowPunct w:val="0"/>
        <w:spacing w:before="0"/>
        <w:ind w:left="0" w:firstLine="0"/>
        <w:jc w:val="both"/>
        <w:rPr>
          <w:noProof/>
          <w:sz w:val="24"/>
          <w:szCs w:val="24"/>
        </w:rPr>
      </w:pPr>
      <w:r w:rsidRPr="00E70BBB">
        <w:rPr>
          <w:noProof/>
          <w:sz w:val="24"/>
          <w:szCs w:val="24"/>
        </w:rPr>
        <w:t>Piedevu (alumīnija sulfāta, mikroorganismu) izmantošana var samazināt NH3 emisiju, palielināt sausnas saturu mēslos un samazināt putnu mirstību (</w:t>
      </w:r>
      <w:r w:rsidRPr="00E70BBB">
        <w:rPr>
          <w:i/>
          <w:noProof/>
          <w:sz w:val="24"/>
          <w:szCs w:val="24"/>
        </w:rPr>
        <w:t>Aubert et al.</w:t>
      </w:r>
      <w:r w:rsidRPr="00E70BBB">
        <w:rPr>
          <w:noProof/>
          <w:sz w:val="24"/>
          <w:szCs w:val="24"/>
        </w:rPr>
        <w:t xml:space="preserve">, 2011), bet rezultāti ir vai nu pretrunīgi (piemēram, </w:t>
      </w:r>
      <w:r w:rsidRPr="00E70BBB">
        <w:rPr>
          <w:i/>
          <w:noProof/>
          <w:sz w:val="24"/>
          <w:szCs w:val="24"/>
        </w:rPr>
        <w:t>McCrory, Hobbs</w:t>
      </w:r>
      <w:r w:rsidRPr="00E70BBB">
        <w:rPr>
          <w:noProof/>
          <w:sz w:val="24"/>
          <w:szCs w:val="24"/>
        </w:rPr>
        <w:t>, 2001), vai arī pārbaudīti tikai vienā valstī (alumīnija sulfāta pievienošanas gadījumā).</w:t>
      </w:r>
    </w:p>
    <w:p w14:paraId="595DEF38" w14:textId="77777777" w:rsidR="008E3F72" w:rsidRPr="00F35F4D" w:rsidRDefault="008E3F72" w:rsidP="008E3F72">
      <w:pPr>
        <w:pStyle w:val="BodyText"/>
        <w:widowControl/>
        <w:kinsoku w:val="0"/>
        <w:overflowPunct w:val="0"/>
        <w:spacing w:before="0"/>
        <w:ind w:left="0"/>
        <w:jc w:val="both"/>
        <w:rPr>
          <w:noProof/>
          <w:sz w:val="24"/>
          <w:szCs w:val="24"/>
        </w:rPr>
      </w:pPr>
    </w:p>
    <w:p w14:paraId="03AF1635" w14:textId="77777777" w:rsidR="008E3F72" w:rsidRPr="00F35F4D" w:rsidRDefault="008E3F72" w:rsidP="008E3F72">
      <w:pPr>
        <w:pStyle w:val="Heading6"/>
        <w:widowControl/>
        <w:kinsoku w:val="0"/>
        <w:overflowPunct w:val="0"/>
        <w:ind w:left="0"/>
        <w:jc w:val="both"/>
        <w:rPr>
          <w:rFonts w:ascii="Times New Roman" w:hAnsi="Times New Roman" w:cs="Times New Roman"/>
          <w:noProof/>
        </w:rPr>
      </w:pPr>
      <w:r w:rsidRPr="00F35F4D">
        <w:rPr>
          <w:rFonts w:ascii="Times New Roman" w:hAnsi="Times New Roman" w:cs="Times New Roman"/>
          <w:noProof/>
        </w:rPr>
        <w:t>3. Novietņu sistēmas tītariem un pīlēm</w:t>
      </w:r>
    </w:p>
    <w:p w14:paraId="6EF3A114" w14:textId="77777777" w:rsidR="008E3F72" w:rsidRPr="00F35F4D" w:rsidRDefault="008E3F72" w:rsidP="008E3F72">
      <w:pPr>
        <w:rPr>
          <w:noProof/>
        </w:rPr>
      </w:pPr>
    </w:p>
    <w:p w14:paraId="13777474" w14:textId="77777777" w:rsidR="008E3F72" w:rsidRPr="00E70BBB"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i/>
          <w:noProof/>
          <w:sz w:val="24"/>
        </w:rPr>
        <w:t xml:space="preserve">Atsauces sistēmas tītaru izmitināšanai. </w:t>
      </w:r>
      <w:r w:rsidRPr="00F35F4D">
        <w:rPr>
          <w:noProof/>
          <w:sz w:val="24"/>
        </w:rPr>
        <w:t>Par atsauces sistēmu nobarojamiem tītariem uzskata Eiropā izmantotās tradicionālās ēkas ar vienlaidu grīdu, ko pilnībā klāj pakaiši un kas atrodas ēkā ar siltumizolāciju un piespiedu ventilāciju (tāpat kā broileru gadījumā) vai arī ēkā ar dabisko ventilāciju un atvērtām sānu sienām. Mēslus izved katra audzēšanas perioda beigās. Amonjaka emisija, kad grīda ir pilnībā piemēslota, ir 0,680 kg NH3-N uz tītara vietu gadā. Vairumā EEK valstu tītaru radītā NH3 emisija nav ievērojama.</w:t>
      </w:r>
    </w:p>
    <w:p w14:paraId="0C0F9C6C" w14:textId="77777777" w:rsidR="00E70BBB" w:rsidRPr="00F35F4D" w:rsidRDefault="00E70BBB" w:rsidP="00E70BBB">
      <w:pPr>
        <w:pStyle w:val="BodyText"/>
        <w:widowControl/>
        <w:tabs>
          <w:tab w:val="left" w:pos="861"/>
        </w:tabs>
        <w:kinsoku w:val="0"/>
        <w:overflowPunct w:val="0"/>
        <w:spacing w:before="0"/>
        <w:ind w:left="0"/>
        <w:jc w:val="both"/>
        <w:rPr>
          <w:noProof/>
          <w:sz w:val="24"/>
          <w:szCs w:val="24"/>
        </w:rPr>
      </w:pPr>
    </w:p>
    <w:p w14:paraId="68BB471A" w14:textId="4E8FD3BF" w:rsidR="008E3F72" w:rsidRPr="00E70BBB"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i/>
          <w:noProof/>
          <w:sz w:val="24"/>
        </w:rPr>
        <w:t xml:space="preserve">Atsauces sistēmas pīļu izmitināšanai. </w:t>
      </w:r>
      <w:r w:rsidRPr="00F35F4D">
        <w:rPr>
          <w:noProof/>
          <w:sz w:val="24"/>
        </w:rPr>
        <w:t>Par atsauces sistēmu pīlēm izmanto tradicionālo ēku, kas līdzinās broileru novietnei. Pīles, ko audzē cepetim, ražo šķidros mēslus, un pīles, ko audzē „</w:t>
      </w:r>
      <w:r w:rsidRPr="00F35F4D">
        <w:rPr>
          <w:i/>
          <w:noProof/>
          <w:sz w:val="24"/>
        </w:rPr>
        <w:t>foie gras</w:t>
      </w:r>
      <w:r w:rsidR="00CC42D4">
        <w:rPr>
          <w:noProof/>
          <w:sz w:val="24"/>
        </w:rPr>
        <w:t>” vajadzībām, ražo</w:t>
      </w:r>
      <w:r w:rsidR="00E501A1">
        <w:rPr>
          <w:noProof/>
          <w:sz w:val="24"/>
        </w:rPr>
        <w:t xml:space="preserve"> pakaišu kūts</w:t>
      </w:r>
      <w:r w:rsidRPr="00F35F4D">
        <w:rPr>
          <w:noProof/>
          <w:sz w:val="24"/>
        </w:rPr>
        <w:t>mēslus. Citas novietņu sistēmas pīļu nobarošanai ir novietnes, kur daļā grīdas laukuma ierīkotas redeles un daļu klāj pakaiši, un novietnes, kur redeles aizņem visu grīdas laukumu. EEK reģionā pīļu, tāpat kā tītaru, radītā NH3 emisija nav ievērojama.</w:t>
      </w:r>
    </w:p>
    <w:p w14:paraId="279BCFF6" w14:textId="77777777" w:rsidR="00E70BBB" w:rsidRPr="00F35F4D" w:rsidRDefault="00E70BBB" w:rsidP="00E70BBB">
      <w:pPr>
        <w:pStyle w:val="BodyText"/>
        <w:widowControl/>
        <w:tabs>
          <w:tab w:val="left" w:pos="861"/>
        </w:tabs>
        <w:kinsoku w:val="0"/>
        <w:overflowPunct w:val="0"/>
        <w:spacing w:before="0"/>
        <w:ind w:left="0"/>
        <w:jc w:val="both"/>
        <w:rPr>
          <w:noProof/>
          <w:sz w:val="24"/>
          <w:szCs w:val="24"/>
        </w:rPr>
      </w:pPr>
    </w:p>
    <w:p w14:paraId="73A39CCA" w14:textId="77777777" w:rsidR="008E3F72" w:rsidRPr="00F35F4D"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noProof/>
          <w:sz w:val="24"/>
        </w:rPr>
        <w:t>Tos pašus amonjaka emisiju samazinošos pasākumus, ko izmanto broileru ražošanā, var izmantot tītaru un pīļu novietnēs. Tomēr, izņemot skruberus, paņēmieni būs mazāk efektīvi nekā broileru gadījumā, jo mēslu daudzums ir lielāks un tajos ir vairāk sausnas. Nīderlandē uzskata, ka to efektivitāte ir uz pusi mazāka nekā broileru novietņu gadījumā. Pīlēm, kurām nodrošina ūdens bļodas (ņemot vērā ūdensputnu labturības apsvērumus), efektivitāte var būt vēl zemāka. Tāpēc šos paņēmienus uzskata par 2. kategorijas paņēmieniem.</w:t>
      </w:r>
    </w:p>
    <w:p w14:paraId="66C2E43F" w14:textId="77777777" w:rsidR="008E3F72" w:rsidRPr="00F35F4D" w:rsidRDefault="008E3F72" w:rsidP="008E3F72">
      <w:pPr>
        <w:pStyle w:val="BodyText"/>
        <w:widowControl/>
        <w:kinsoku w:val="0"/>
        <w:overflowPunct w:val="0"/>
        <w:spacing w:before="0"/>
        <w:ind w:left="0"/>
        <w:jc w:val="both"/>
        <w:rPr>
          <w:noProof/>
          <w:sz w:val="24"/>
          <w:szCs w:val="24"/>
        </w:rPr>
      </w:pPr>
    </w:p>
    <w:p w14:paraId="5DBB3042"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11. tabula</w:t>
      </w:r>
    </w:p>
    <w:p w14:paraId="713738FA"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Novietņu sistēmas broileriem – emisijas samazināšanas paņēmieni un to NH3 emisijas samazināšanas potenciāls</w:t>
      </w:r>
    </w:p>
    <w:p w14:paraId="6E91C953"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3091"/>
        <w:gridCol w:w="1058"/>
        <w:gridCol w:w="1293"/>
        <w:gridCol w:w="1206"/>
        <w:gridCol w:w="1578"/>
      </w:tblGrid>
      <w:tr w:rsidR="008E3F72" w:rsidRPr="000960CE" w14:paraId="0B412E5F" w14:textId="77777777" w:rsidTr="0010018A">
        <w:tc>
          <w:tcPr>
            <w:tcW w:w="1879" w:type="pct"/>
            <w:tcBorders>
              <w:top w:val="single" w:sz="4" w:space="0" w:color="000000"/>
              <w:left w:val="nil"/>
              <w:bottom w:val="single" w:sz="12" w:space="0" w:color="000000"/>
              <w:right w:val="nil"/>
            </w:tcBorders>
          </w:tcPr>
          <w:p w14:paraId="69E574C1" w14:textId="77777777" w:rsidR="008E3F72" w:rsidRPr="000960CE" w:rsidRDefault="008E3F72" w:rsidP="0010018A">
            <w:pPr>
              <w:pStyle w:val="TableParagraph"/>
              <w:widowControl/>
              <w:kinsoku w:val="0"/>
              <w:overflowPunct w:val="0"/>
              <w:jc w:val="both"/>
              <w:rPr>
                <w:i/>
                <w:iCs/>
                <w:noProof/>
                <w:sz w:val="20"/>
                <w:szCs w:val="20"/>
              </w:rPr>
            </w:pPr>
            <w:r w:rsidRPr="000960CE">
              <w:rPr>
                <w:i/>
                <w:noProof/>
                <w:sz w:val="20"/>
                <w:szCs w:val="20"/>
              </w:rPr>
              <w:lastRenderedPageBreak/>
              <w:t>1. un 2. kategorijas paņēmieni</w:t>
            </w:r>
          </w:p>
        </w:tc>
        <w:tc>
          <w:tcPr>
            <w:tcW w:w="643" w:type="pct"/>
            <w:tcBorders>
              <w:top w:val="single" w:sz="4" w:space="0" w:color="000000"/>
              <w:left w:val="nil"/>
              <w:bottom w:val="single" w:sz="12" w:space="0" w:color="000000"/>
              <w:right w:val="nil"/>
            </w:tcBorders>
          </w:tcPr>
          <w:p w14:paraId="22BCF6D8" w14:textId="77777777" w:rsidR="008E3F72" w:rsidRPr="000960CE" w:rsidRDefault="008E3F72" w:rsidP="0010018A">
            <w:pPr>
              <w:pStyle w:val="TableParagraph"/>
              <w:widowControl/>
              <w:kinsoku w:val="0"/>
              <w:overflowPunct w:val="0"/>
              <w:jc w:val="both"/>
              <w:rPr>
                <w:i/>
                <w:iCs/>
                <w:noProof/>
                <w:sz w:val="20"/>
                <w:szCs w:val="20"/>
              </w:rPr>
            </w:pPr>
            <w:r w:rsidRPr="000960CE">
              <w:rPr>
                <w:i/>
                <w:noProof/>
                <w:sz w:val="20"/>
                <w:szCs w:val="20"/>
              </w:rPr>
              <w:t>kg NH3 gadā uz mājputna vietu</w:t>
            </w:r>
          </w:p>
        </w:tc>
        <w:tc>
          <w:tcPr>
            <w:tcW w:w="786" w:type="pct"/>
            <w:tcBorders>
              <w:top w:val="single" w:sz="4" w:space="0" w:color="000000"/>
              <w:left w:val="nil"/>
              <w:bottom w:val="single" w:sz="12" w:space="0" w:color="000000"/>
              <w:right w:val="nil"/>
            </w:tcBorders>
          </w:tcPr>
          <w:p w14:paraId="46567111" w14:textId="77777777" w:rsidR="008E3F72" w:rsidRPr="000960CE" w:rsidRDefault="008E3F72" w:rsidP="0010018A">
            <w:pPr>
              <w:pStyle w:val="TableParagraph"/>
              <w:widowControl/>
              <w:kinsoku w:val="0"/>
              <w:overflowPunct w:val="0"/>
              <w:jc w:val="both"/>
              <w:rPr>
                <w:i/>
                <w:iCs/>
                <w:noProof/>
                <w:sz w:val="20"/>
                <w:szCs w:val="20"/>
              </w:rPr>
            </w:pPr>
            <w:r w:rsidRPr="000960CE">
              <w:rPr>
                <w:i/>
                <w:noProof/>
                <w:sz w:val="20"/>
                <w:szCs w:val="20"/>
              </w:rPr>
              <w:t>NH3 emisijas samazinājums (%)</w:t>
            </w:r>
          </w:p>
        </w:tc>
        <w:tc>
          <w:tcPr>
            <w:tcW w:w="733" w:type="pct"/>
            <w:tcBorders>
              <w:top w:val="single" w:sz="4" w:space="0" w:color="000000"/>
              <w:left w:val="nil"/>
              <w:bottom w:val="single" w:sz="12" w:space="0" w:color="000000"/>
              <w:right w:val="nil"/>
            </w:tcBorders>
          </w:tcPr>
          <w:p w14:paraId="7D3C86A5" w14:textId="77777777" w:rsidR="008E3F72" w:rsidRPr="000960CE" w:rsidRDefault="008E3F72" w:rsidP="0010018A">
            <w:pPr>
              <w:pStyle w:val="TableParagraph"/>
              <w:widowControl/>
              <w:kinsoku w:val="0"/>
              <w:overflowPunct w:val="0"/>
              <w:jc w:val="both"/>
              <w:rPr>
                <w:i/>
                <w:iCs/>
                <w:noProof/>
                <w:sz w:val="20"/>
                <w:szCs w:val="20"/>
              </w:rPr>
            </w:pPr>
            <w:r w:rsidRPr="000960CE">
              <w:rPr>
                <w:i/>
                <w:noProof/>
                <w:sz w:val="20"/>
                <w:szCs w:val="20"/>
              </w:rPr>
              <w:t>Papildu izmaksas (€ par mājputna vietu gadā)</w:t>
            </w:r>
          </w:p>
        </w:tc>
        <w:tc>
          <w:tcPr>
            <w:tcW w:w="959" w:type="pct"/>
            <w:tcBorders>
              <w:top w:val="single" w:sz="4" w:space="0" w:color="000000"/>
              <w:left w:val="nil"/>
              <w:bottom w:val="single" w:sz="12" w:space="0" w:color="000000"/>
              <w:right w:val="nil"/>
            </w:tcBorders>
          </w:tcPr>
          <w:p w14:paraId="1606503F" w14:textId="77777777" w:rsidR="008E3F72" w:rsidRPr="000960CE" w:rsidRDefault="008E3F72" w:rsidP="0010018A">
            <w:pPr>
              <w:pStyle w:val="TableParagraph"/>
              <w:widowControl/>
              <w:kinsoku w:val="0"/>
              <w:overflowPunct w:val="0"/>
              <w:jc w:val="both"/>
              <w:rPr>
                <w:i/>
                <w:iCs/>
                <w:noProof/>
                <w:sz w:val="20"/>
                <w:szCs w:val="20"/>
              </w:rPr>
            </w:pPr>
            <w:r w:rsidRPr="000960CE">
              <w:rPr>
                <w:i/>
                <w:noProof/>
                <w:sz w:val="20"/>
                <w:szCs w:val="20"/>
              </w:rPr>
              <w:t>Izmaksas (€ par NH3-N- emisijas kg samazinājumu gadā)</w:t>
            </w:r>
          </w:p>
        </w:tc>
      </w:tr>
      <w:tr w:rsidR="008E3F72" w:rsidRPr="000960CE" w14:paraId="199488EB" w14:textId="77777777" w:rsidTr="0010018A">
        <w:tc>
          <w:tcPr>
            <w:tcW w:w="1879" w:type="pct"/>
            <w:tcBorders>
              <w:top w:val="single" w:sz="12" w:space="0" w:color="000000"/>
              <w:left w:val="nil"/>
              <w:bottom w:val="nil"/>
              <w:right w:val="nil"/>
            </w:tcBorders>
          </w:tcPr>
          <w:p w14:paraId="5E9CAFCD"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Dziļie pakaiši; ar ventilatoru aprīkota novietne (</w:t>
            </w:r>
            <w:r w:rsidRPr="000960CE">
              <w:rPr>
                <w:i/>
                <w:sz w:val="20"/>
                <w:szCs w:val="20"/>
              </w:rPr>
              <w:t>atsauces paņēmiens</w:t>
            </w:r>
            <w:r w:rsidRPr="000960CE">
              <w:rPr>
                <w:sz w:val="20"/>
                <w:szCs w:val="20"/>
              </w:rPr>
              <w:t>)</w:t>
            </w:r>
          </w:p>
        </w:tc>
        <w:tc>
          <w:tcPr>
            <w:tcW w:w="643" w:type="pct"/>
            <w:tcBorders>
              <w:top w:val="single" w:sz="12" w:space="0" w:color="000000"/>
              <w:left w:val="nil"/>
              <w:bottom w:val="nil"/>
              <w:right w:val="nil"/>
            </w:tcBorders>
          </w:tcPr>
          <w:p w14:paraId="3C113BA4"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0,080</w:t>
            </w:r>
          </w:p>
        </w:tc>
        <w:tc>
          <w:tcPr>
            <w:tcW w:w="786" w:type="pct"/>
            <w:tcBorders>
              <w:top w:val="single" w:sz="12" w:space="0" w:color="000000"/>
              <w:left w:val="nil"/>
              <w:bottom w:val="nil"/>
              <w:right w:val="nil"/>
            </w:tcBorders>
          </w:tcPr>
          <w:p w14:paraId="7C29D931"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733" w:type="pct"/>
            <w:tcBorders>
              <w:top w:val="single" w:sz="12" w:space="0" w:color="000000"/>
              <w:left w:val="nil"/>
              <w:bottom w:val="nil"/>
              <w:right w:val="nil"/>
            </w:tcBorders>
          </w:tcPr>
          <w:p w14:paraId="6C7E2C1A"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959" w:type="pct"/>
            <w:tcBorders>
              <w:top w:val="single" w:sz="12" w:space="0" w:color="000000"/>
              <w:left w:val="nil"/>
              <w:bottom w:val="nil"/>
              <w:right w:val="nil"/>
            </w:tcBorders>
          </w:tcPr>
          <w:p w14:paraId="3F6ED2AA"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r>
      <w:tr w:rsidR="008E3F72" w:rsidRPr="000960CE" w14:paraId="08CCE1C4" w14:textId="77777777" w:rsidTr="0010018A">
        <w:tc>
          <w:tcPr>
            <w:tcW w:w="1879" w:type="pct"/>
            <w:tcBorders>
              <w:top w:val="nil"/>
              <w:left w:val="nil"/>
              <w:bottom w:val="nil"/>
              <w:right w:val="nil"/>
            </w:tcBorders>
          </w:tcPr>
          <w:p w14:paraId="72556BF2"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Novietne ar dabisko ventilāciju vai novietne ar siltumizolāciju un ventilatoru; grīdu, ko pilnībā sedz pakaiši, un dzirdināšanas sistēmu, kas netek (1. kat.)</w:t>
            </w:r>
          </w:p>
        </w:tc>
        <w:tc>
          <w:tcPr>
            <w:tcW w:w="643" w:type="pct"/>
            <w:tcBorders>
              <w:top w:val="nil"/>
              <w:left w:val="nil"/>
              <w:bottom w:val="nil"/>
              <w:right w:val="nil"/>
            </w:tcBorders>
          </w:tcPr>
          <w:p w14:paraId="521B152E"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786" w:type="pct"/>
            <w:tcBorders>
              <w:top w:val="nil"/>
              <w:left w:val="nil"/>
              <w:bottom w:val="nil"/>
              <w:right w:val="nil"/>
            </w:tcBorders>
          </w:tcPr>
          <w:p w14:paraId="74085FB2"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20–30</w:t>
            </w:r>
          </w:p>
        </w:tc>
        <w:tc>
          <w:tcPr>
            <w:tcW w:w="733" w:type="pct"/>
            <w:tcBorders>
              <w:top w:val="nil"/>
              <w:left w:val="nil"/>
              <w:bottom w:val="nil"/>
              <w:right w:val="nil"/>
            </w:tcBorders>
          </w:tcPr>
          <w:p w14:paraId="004C35A4"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959" w:type="pct"/>
            <w:tcBorders>
              <w:top w:val="nil"/>
              <w:left w:val="nil"/>
              <w:bottom w:val="nil"/>
              <w:right w:val="nil"/>
            </w:tcBorders>
          </w:tcPr>
          <w:p w14:paraId="06B27F5E"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r>
      <w:tr w:rsidR="008E3F72" w:rsidRPr="000960CE" w14:paraId="34891D0B" w14:textId="77777777" w:rsidTr="0010018A">
        <w:tc>
          <w:tcPr>
            <w:tcW w:w="1879" w:type="pct"/>
            <w:tcBorders>
              <w:top w:val="nil"/>
              <w:left w:val="nil"/>
              <w:bottom w:val="nil"/>
              <w:right w:val="nil"/>
            </w:tcBorders>
          </w:tcPr>
          <w:p w14:paraId="36FDC8ED"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Pakaiši ar mēslu piespiedu žāvēšanu, izmantojot iekštelpās esošo gaisu (1. kat.)</w:t>
            </w:r>
          </w:p>
        </w:tc>
        <w:tc>
          <w:tcPr>
            <w:tcW w:w="643" w:type="pct"/>
            <w:tcBorders>
              <w:top w:val="nil"/>
              <w:left w:val="nil"/>
              <w:bottom w:val="nil"/>
              <w:right w:val="nil"/>
            </w:tcBorders>
          </w:tcPr>
          <w:p w14:paraId="4112078A"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786" w:type="pct"/>
            <w:tcBorders>
              <w:top w:val="nil"/>
              <w:left w:val="nil"/>
              <w:bottom w:val="nil"/>
              <w:right w:val="nil"/>
            </w:tcBorders>
          </w:tcPr>
          <w:p w14:paraId="6BB80B1A"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40–60</w:t>
            </w:r>
          </w:p>
        </w:tc>
        <w:tc>
          <w:tcPr>
            <w:tcW w:w="733" w:type="pct"/>
            <w:tcBorders>
              <w:top w:val="nil"/>
              <w:left w:val="nil"/>
              <w:bottom w:val="nil"/>
              <w:right w:val="nil"/>
            </w:tcBorders>
          </w:tcPr>
          <w:p w14:paraId="0E8ED9B6"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959" w:type="pct"/>
            <w:tcBorders>
              <w:top w:val="nil"/>
              <w:left w:val="nil"/>
              <w:bottom w:val="nil"/>
              <w:right w:val="nil"/>
            </w:tcBorders>
          </w:tcPr>
          <w:p w14:paraId="1942D8F0"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2–4</w:t>
            </w:r>
          </w:p>
        </w:tc>
      </w:tr>
      <w:tr w:rsidR="008E3F72" w:rsidRPr="000960CE" w14:paraId="249F3F44" w14:textId="77777777" w:rsidTr="0010018A">
        <w:tc>
          <w:tcPr>
            <w:tcW w:w="1879" w:type="pct"/>
            <w:tcBorders>
              <w:top w:val="nil"/>
              <w:left w:val="nil"/>
              <w:bottom w:val="nil"/>
              <w:right w:val="nil"/>
            </w:tcBorders>
          </w:tcPr>
          <w:p w14:paraId="0B2C0F22"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Izplūdes gaisa attīrīšana ar skruberi (1. kat.)</w:t>
            </w:r>
            <w:r w:rsidRPr="000960CE">
              <w:rPr>
                <w:i/>
                <w:noProof/>
                <w:sz w:val="20"/>
                <w:szCs w:val="20"/>
                <w:vertAlign w:val="superscript"/>
              </w:rPr>
              <w:t>a)</w:t>
            </w:r>
          </w:p>
        </w:tc>
        <w:tc>
          <w:tcPr>
            <w:tcW w:w="643" w:type="pct"/>
            <w:tcBorders>
              <w:top w:val="nil"/>
              <w:left w:val="nil"/>
              <w:bottom w:val="nil"/>
              <w:right w:val="nil"/>
            </w:tcBorders>
          </w:tcPr>
          <w:p w14:paraId="344D408D"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786" w:type="pct"/>
            <w:tcBorders>
              <w:top w:val="nil"/>
              <w:left w:val="nil"/>
              <w:bottom w:val="nil"/>
              <w:right w:val="nil"/>
            </w:tcBorders>
          </w:tcPr>
          <w:p w14:paraId="12B239B7"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70–90</w:t>
            </w:r>
          </w:p>
        </w:tc>
        <w:tc>
          <w:tcPr>
            <w:tcW w:w="733" w:type="pct"/>
            <w:tcBorders>
              <w:top w:val="nil"/>
              <w:left w:val="nil"/>
              <w:bottom w:val="nil"/>
              <w:right w:val="nil"/>
            </w:tcBorders>
          </w:tcPr>
          <w:p w14:paraId="5A5CE8D0"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959" w:type="pct"/>
            <w:tcBorders>
              <w:top w:val="nil"/>
              <w:left w:val="nil"/>
              <w:bottom w:val="nil"/>
              <w:right w:val="nil"/>
            </w:tcBorders>
          </w:tcPr>
          <w:p w14:paraId="395C4A68"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10–15</w:t>
            </w:r>
          </w:p>
        </w:tc>
      </w:tr>
      <w:tr w:rsidR="008E3F72" w:rsidRPr="000960CE" w14:paraId="02724AEF" w14:textId="77777777" w:rsidTr="0010018A">
        <w:tc>
          <w:tcPr>
            <w:tcW w:w="1879" w:type="pct"/>
            <w:tcBorders>
              <w:top w:val="nil"/>
              <w:left w:val="nil"/>
              <w:bottom w:val="nil"/>
              <w:right w:val="nil"/>
            </w:tcBorders>
          </w:tcPr>
          <w:p w14:paraId="0C4AD21F"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Grīda vairākos līmeņos un piespiedu žāvēšana ar gaisu (2. kat.)</w:t>
            </w:r>
          </w:p>
        </w:tc>
        <w:tc>
          <w:tcPr>
            <w:tcW w:w="643" w:type="pct"/>
            <w:tcBorders>
              <w:top w:val="nil"/>
              <w:left w:val="nil"/>
              <w:bottom w:val="nil"/>
              <w:right w:val="nil"/>
            </w:tcBorders>
          </w:tcPr>
          <w:p w14:paraId="2D6BAE81"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786" w:type="pct"/>
            <w:tcBorders>
              <w:top w:val="nil"/>
              <w:left w:val="nil"/>
              <w:bottom w:val="nil"/>
              <w:right w:val="nil"/>
            </w:tcBorders>
          </w:tcPr>
          <w:p w14:paraId="17124A08"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90</w:t>
            </w:r>
          </w:p>
        </w:tc>
        <w:tc>
          <w:tcPr>
            <w:tcW w:w="733" w:type="pct"/>
            <w:tcBorders>
              <w:top w:val="nil"/>
              <w:left w:val="nil"/>
              <w:bottom w:val="nil"/>
              <w:right w:val="nil"/>
            </w:tcBorders>
          </w:tcPr>
          <w:p w14:paraId="33AECD1B"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959" w:type="pct"/>
            <w:tcBorders>
              <w:top w:val="nil"/>
              <w:left w:val="nil"/>
              <w:bottom w:val="nil"/>
              <w:right w:val="nil"/>
            </w:tcBorders>
          </w:tcPr>
          <w:p w14:paraId="53FF4120"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r>
      <w:tr w:rsidR="008E3F72" w:rsidRPr="000960CE" w14:paraId="66C885C5" w14:textId="77777777" w:rsidTr="0010018A">
        <w:tc>
          <w:tcPr>
            <w:tcW w:w="1879" w:type="pct"/>
            <w:tcBorders>
              <w:top w:val="nil"/>
              <w:left w:val="nil"/>
              <w:bottom w:val="nil"/>
              <w:right w:val="nil"/>
            </w:tcBorders>
          </w:tcPr>
          <w:p w14:paraId="75B17249"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Noņemamas sienas vairākos līmeņos; piespiedu žāvēšana ar gaisu (2. kat.)</w:t>
            </w:r>
          </w:p>
        </w:tc>
        <w:tc>
          <w:tcPr>
            <w:tcW w:w="643" w:type="pct"/>
            <w:tcBorders>
              <w:top w:val="nil"/>
              <w:left w:val="nil"/>
              <w:bottom w:val="nil"/>
              <w:right w:val="nil"/>
            </w:tcBorders>
          </w:tcPr>
          <w:p w14:paraId="337A54F5"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786" w:type="pct"/>
            <w:tcBorders>
              <w:top w:val="nil"/>
              <w:left w:val="nil"/>
              <w:bottom w:val="nil"/>
              <w:right w:val="nil"/>
            </w:tcBorders>
          </w:tcPr>
          <w:p w14:paraId="7719FDE9"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90</w:t>
            </w:r>
          </w:p>
        </w:tc>
        <w:tc>
          <w:tcPr>
            <w:tcW w:w="733" w:type="pct"/>
            <w:tcBorders>
              <w:top w:val="nil"/>
              <w:left w:val="nil"/>
              <w:bottom w:val="nil"/>
              <w:right w:val="nil"/>
            </w:tcBorders>
          </w:tcPr>
          <w:p w14:paraId="3B2EDBB7"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959" w:type="pct"/>
            <w:tcBorders>
              <w:top w:val="nil"/>
              <w:left w:val="nil"/>
              <w:bottom w:val="nil"/>
              <w:right w:val="nil"/>
            </w:tcBorders>
          </w:tcPr>
          <w:p w14:paraId="0FAFCFEE"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r>
      <w:tr w:rsidR="008E3F72" w:rsidRPr="000960CE" w14:paraId="14C858BF" w14:textId="77777777" w:rsidTr="0010018A">
        <w:tc>
          <w:tcPr>
            <w:tcW w:w="1879" w:type="pct"/>
            <w:tcBorders>
              <w:top w:val="nil"/>
              <w:left w:val="nil"/>
              <w:bottom w:val="single" w:sz="12" w:space="0" w:color="000000"/>
              <w:right w:val="nil"/>
            </w:tcBorders>
          </w:tcPr>
          <w:p w14:paraId="35C0CC21"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Kombinētā sildīšanas un dzesēšanas sistēma (</w:t>
            </w:r>
            <w:r w:rsidRPr="000960CE">
              <w:rPr>
                <w:i/>
                <w:sz w:val="20"/>
                <w:szCs w:val="20"/>
              </w:rPr>
              <w:t xml:space="preserve">„combideck” </w:t>
            </w:r>
            <w:r w:rsidRPr="000960CE">
              <w:rPr>
                <w:sz w:val="20"/>
                <w:szCs w:val="20"/>
              </w:rPr>
              <w:t>sistēma) (2. kat.)</w:t>
            </w:r>
          </w:p>
        </w:tc>
        <w:tc>
          <w:tcPr>
            <w:tcW w:w="643" w:type="pct"/>
            <w:tcBorders>
              <w:top w:val="nil"/>
              <w:left w:val="nil"/>
              <w:bottom w:val="single" w:sz="12" w:space="0" w:color="000000"/>
              <w:right w:val="nil"/>
            </w:tcBorders>
          </w:tcPr>
          <w:p w14:paraId="4063E79A"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786" w:type="pct"/>
            <w:tcBorders>
              <w:top w:val="nil"/>
              <w:left w:val="nil"/>
              <w:bottom w:val="single" w:sz="12" w:space="0" w:color="000000"/>
              <w:right w:val="nil"/>
            </w:tcBorders>
          </w:tcPr>
          <w:p w14:paraId="53B8E213"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40</w:t>
            </w:r>
          </w:p>
        </w:tc>
        <w:tc>
          <w:tcPr>
            <w:tcW w:w="733" w:type="pct"/>
            <w:tcBorders>
              <w:top w:val="nil"/>
              <w:left w:val="nil"/>
              <w:bottom w:val="single" w:sz="12" w:space="0" w:color="000000"/>
              <w:right w:val="nil"/>
            </w:tcBorders>
          </w:tcPr>
          <w:p w14:paraId="76C5D8A7"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w:t>
            </w:r>
          </w:p>
        </w:tc>
        <w:tc>
          <w:tcPr>
            <w:tcW w:w="959" w:type="pct"/>
            <w:tcBorders>
              <w:top w:val="nil"/>
              <w:left w:val="nil"/>
              <w:bottom w:val="single" w:sz="12" w:space="0" w:color="000000"/>
              <w:right w:val="nil"/>
            </w:tcBorders>
          </w:tcPr>
          <w:p w14:paraId="1F157223" w14:textId="77777777" w:rsidR="008E3F72" w:rsidRPr="000960CE" w:rsidRDefault="008E3F72" w:rsidP="0010018A">
            <w:pPr>
              <w:pStyle w:val="TableParagraph"/>
              <w:widowControl/>
              <w:kinsoku w:val="0"/>
              <w:overflowPunct w:val="0"/>
              <w:jc w:val="both"/>
              <w:rPr>
                <w:noProof/>
                <w:sz w:val="20"/>
                <w:szCs w:val="20"/>
              </w:rPr>
            </w:pPr>
            <w:r w:rsidRPr="000960CE">
              <w:rPr>
                <w:sz w:val="20"/>
                <w:szCs w:val="20"/>
              </w:rPr>
              <w:t>6</w:t>
            </w:r>
          </w:p>
        </w:tc>
      </w:tr>
    </w:tbl>
    <w:p w14:paraId="001D1561" w14:textId="77777777" w:rsidR="008E3F72" w:rsidRPr="009E501B" w:rsidRDefault="008E3F72" w:rsidP="008E3F72">
      <w:pPr>
        <w:pStyle w:val="BodyText"/>
        <w:widowControl/>
        <w:kinsoku w:val="0"/>
        <w:overflowPunct w:val="0"/>
        <w:spacing w:before="0"/>
        <w:ind w:left="0"/>
        <w:jc w:val="both"/>
        <w:rPr>
          <w:noProof/>
          <w:sz w:val="24"/>
          <w:szCs w:val="24"/>
        </w:rPr>
      </w:pPr>
      <w:r w:rsidRPr="009E501B">
        <w:rPr>
          <w:i/>
          <w:noProof/>
          <w:sz w:val="24"/>
          <w:szCs w:val="24"/>
        </w:rPr>
        <w:t xml:space="preserve">Piezīme. </w:t>
      </w:r>
      <w:r w:rsidRPr="009E501B">
        <w:rPr>
          <w:noProof/>
          <w:sz w:val="24"/>
          <w:szCs w:val="24"/>
        </w:rPr>
        <w:t xml:space="preserve">Datu, kas raksturo ekonomiskās izmaksas par zema emisiju līmeņa novietņu sistēmām, ir maz, jo bieži vien praksē šādu sistēmu nav daudz. Informāciju par ekonomiskajām izmaksām saistībā ar paņēmieniem emisijas samazināšanai var atrast avotā </w:t>
      </w:r>
      <w:r w:rsidRPr="009E501B">
        <w:rPr>
          <w:i/>
          <w:noProof/>
          <w:sz w:val="24"/>
          <w:szCs w:val="24"/>
        </w:rPr>
        <w:t>Reis</w:t>
      </w:r>
      <w:r w:rsidRPr="009E501B">
        <w:rPr>
          <w:noProof/>
          <w:sz w:val="24"/>
          <w:szCs w:val="24"/>
        </w:rPr>
        <w:t xml:space="preserve"> (drīzumā).</w:t>
      </w:r>
    </w:p>
    <w:p w14:paraId="76C9E73A" w14:textId="77777777" w:rsidR="008E3F72" w:rsidRPr="009E501B" w:rsidRDefault="008E3F72" w:rsidP="008E3F72">
      <w:pPr>
        <w:pStyle w:val="BodyText"/>
        <w:widowControl/>
        <w:kinsoku w:val="0"/>
        <w:overflowPunct w:val="0"/>
        <w:spacing w:before="0"/>
        <w:ind w:left="0"/>
        <w:jc w:val="both"/>
        <w:rPr>
          <w:noProof/>
          <w:sz w:val="24"/>
          <w:szCs w:val="24"/>
        </w:rPr>
      </w:pPr>
      <w:r w:rsidRPr="009E501B">
        <w:rPr>
          <w:i/>
          <w:noProof/>
          <w:sz w:val="24"/>
          <w:szCs w:val="24"/>
          <w:vertAlign w:val="superscript"/>
        </w:rPr>
        <w:t>a</w:t>
      </w:r>
      <w:r w:rsidRPr="009E501B">
        <w:rPr>
          <w:sz w:val="24"/>
          <w:szCs w:val="24"/>
          <w:vertAlign w:val="superscript"/>
        </w:rPr>
        <w:t>)</w:t>
      </w:r>
      <w:r w:rsidRPr="009E501B">
        <w:rPr>
          <w:sz w:val="24"/>
          <w:szCs w:val="24"/>
        </w:rPr>
        <w:t xml:space="preserve"> Ar skābes skruberiem var panākt 70–90 % emisijas samazinājumu, turpretim bioloģiskie skruberi samazina to par 70 %;</w:t>
      </w:r>
    </w:p>
    <w:p w14:paraId="3AB896BB" w14:textId="77777777" w:rsidR="008E3F72" w:rsidRPr="009E501B" w:rsidRDefault="008E3F72" w:rsidP="008E3F72">
      <w:pPr>
        <w:pStyle w:val="BodyText"/>
        <w:widowControl/>
        <w:kinsoku w:val="0"/>
        <w:overflowPunct w:val="0"/>
        <w:spacing w:before="0"/>
        <w:ind w:left="0"/>
        <w:jc w:val="both"/>
        <w:rPr>
          <w:noProof/>
          <w:sz w:val="24"/>
          <w:szCs w:val="24"/>
        </w:rPr>
      </w:pPr>
      <w:r w:rsidRPr="009E501B">
        <w:rPr>
          <w:noProof/>
          <w:sz w:val="24"/>
          <w:szCs w:val="24"/>
        </w:rPr>
        <w:t>daži eksperti to uzskata par 2. kategorijas paņēmienu.</w:t>
      </w:r>
    </w:p>
    <w:p w14:paraId="567B5322" w14:textId="77777777" w:rsidR="008E3F72" w:rsidRPr="00F35F4D" w:rsidRDefault="008E3F72" w:rsidP="008E3F72">
      <w:pPr>
        <w:pStyle w:val="BodyText"/>
        <w:widowControl/>
        <w:kinsoku w:val="0"/>
        <w:overflowPunct w:val="0"/>
        <w:spacing w:before="0"/>
        <w:ind w:left="0"/>
        <w:jc w:val="both"/>
        <w:rPr>
          <w:noProof/>
          <w:sz w:val="24"/>
          <w:szCs w:val="24"/>
        </w:rPr>
      </w:pPr>
    </w:p>
    <w:p w14:paraId="558C36CC" w14:textId="77777777" w:rsidR="009E501B" w:rsidRDefault="008E3F72" w:rsidP="009E501B">
      <w:pPr>
        <w:pStyle w:val="Heading1"/>
      </w:pPr>
      <w:r w:rsidRPr="00F35F4D">
        <w:br w:type="page"/>
      </w:r>
    </w:p>
    <w:p w14:paraId="65DE94A9" w14:textId="51F319F5" w:rsidR="009E501B" w:rsidRPr="00A800B3" w:rsidRDefault="00A800B3" w:rsidP="00A800B3">
      <w:pPr>
        <w:pStyle w:val="Heading1"/>
        <w:numPr>
          <w:ilvl w:val="0"/>
          <w:numId w:val="21"/>
        </w:numPr>
        <w:jc w:val="right"/>
        <w:rPr>
          <w:sz w:val="40"/>
        </w:rPr>
      </w:pPr>
      <w:bookmarkStart w:id="11" w:name="_Toc426033263"/>
      <w:r w:rsidRPr="00A800B3">
        <w:rPr>
          <w:sz w:val="40"/>
        </w:rPr>
        <w:lastRenderedPageBreak/>
        <w:t>nodaļa</w:t>
      </w:r>
      <w:bookmarkEnd w:id="11"/>
    </w:p>
    <w:p w14:paraId="26FA0F5B" w14:textId="77777777" w:rsidR="009E501B" w:rsidRPr="009E501B" w:rsidRDefault="009E501B" w:rsidP="009E501B"/>
    <w:p w14:paraId="543118F7" w14:textId="7F1F1110" w:rsidR="008E3F72" w:rsidRPr="00F35F4D" w:rsidRDefault="008E3F72" w:rsidP="009E501B">
      <w:pPr>
        <w:pStyle w:val="Heading1"/>
        <w:rPr>
          <w:szCs w:val="24"/>
        </w:rPr>
      </w:pPr>
      <w:bookmarkStart w:id="12" w:name="_Toc426033264"/>
      <w:r w:rsidRPr="00F35F4D">
        <w:t>Kūtsmēslu uzglabāšanas paņēmieni</w:t>
      </w:r>
      <w:bookmarkEnd w:id="12"/>
    </w:p>
    <w:p w14:paraId="7A979EDB" w14:textId="77777777" w:rsidR="008E3F72" w:rsidRPr="00F35F4D" w:rsidRDefault="008E3F72" w:rsidP="008E3F72">
      <w:pPr>
        <w:rPr>
          <w:noProof/>
        </w:rPr>
      </w:pPr>
    </w:p>
    <w:p w14:paraId="25B643AD"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B. Amon, K. Smith, L. Valli, H. Döhler, M.N. Hansen, H. Menzi, S. Wulf, J. Webb, Z. Klimont, E. Fiani</w:t>
      </w:r>
    </w:p>
    <w:p w14:paraId="5C4F1119" w14:textId="77777777" w:rsidR="008E3F72" w:rsidRPr="00F35F4D" w:rsidRDefault="008E3F72" w:rsidP="008E3F72">
      <w:pPr>
        <w:pStyle w:val="BodyText"/>
        <w:widowControl/>
        <w:kinsoku w:val="0"/>
        <w:overflowPunct w:val="0"/>
        <w:spacing w:before="0"/>
        <w:ind w:left="0"/>
        <w:jc w:val="both"/>
        <w:rPr>
          <w:i/>
          <w:iCs/>
          <w:noProof/>
          <w:sz w:val="24"/>
          <w:szCs w:val="24"/>
        </w:rPr>
      </w:pPr>
    </w:p>
    <w:p w14:paraId="00E5ADFA" w14:textId="3B3AF9BC" w:rsidR="008E3F72" w:rsidRPr="00A800B3" w:rsidRDefault="008E3F72" w:rsidP="00CD1311">
      <w:pPr>
        <w:pStyle w:val="BodyText"/>
        <w:widowControl/>
        <w:numPr>
          <w:ilvl w:val="0"/>
          <w:numId w:val="12"/>
        </w:numPr>
        <w:tabs>
          <w:tab w:val="left" w:pos="861"/>
        </w:tabs>
        <w:kinsoku w:val="0"/>
        <w:overflowPunct w:val="0"/>
        <w:spacing w:before="0"/>
        <w:ind w:left="0" w:firstLine="0"/>
        <w:jc w:val="both"/>
        <w:rPr>
          <w:noProof/>
          <w:sz w:val="24"/>
          <w:szCs w:val="24"/>
        </w:rPr>
      </w:pPr>
      <w:r w:rsidRPr="00A800B3">
        <w:rPr>
          <w:i/>
          <w:noProof/>
          <w:sz w:val="24"/>
        </w:rPr>
        <w:t xml:space="preserve">Atsauces paņēmiens. </w:t>
      </w:r>
      <w:r w:rsidRPr="00A800B3">
        <w:rPr>
          <w:noProof/>
          <w:sz w:val="24"/>
        </w:rPr>
        <w:t>Bāze, ko izmanto emisijas samazināšanas pasākuma efektivitātes novērtēšanai, ir emisija no tāda paša veida krātuves ar nenosegtu virsmu. Par bāzes emisiju pieņem</w:t>
      </w:r>
      <w:r w:rsidR="00A800B3" w:rsidRPr="00A800B3">
        <w:rPr>
          <w:noProof/>
          <w:sz w:val="24"/>
        </w:rPr>
        <w:t xml:space="preserve"> </w:t>
      </w:r>
      <w:r w:rsidRPr="00A800B3">
        <w:rPr>
          <w:noProof/>
          <w:sz w:val="24"/>
        </w:rPr>
        <w:t>1,4 un 2,7 kg NH3-N no m2 gadā, pamatojoties uz Rietumeiropas valstīs iegūtajiem datiem;</w:t>
      </w:r>
      <w:r w:rsidR="00A800B3">
        <w:rPr>
          <w:noProof/>
          <w:sz w:val="24"/>
        </w:rPr>
        <w:t xml:space="preserve"> </w:t>
      </w:r>
      <w:r w:rsidRPr="00A800B3">
        <w:rPr>
          <w:noProof/>
          <w:sz w:val="24"/>
        </w:rPr>
        <w:t>tur, kur uzglabātie kūtsmēsli vairākus mēnešus gadā ir sasaluši, daudzums varētu būt mazāks, un siltākās zemēs tas varētu būt lielāks. Tā kā bāzes datu apjums ir ierobežots, Konvencijas parakstītājas valstis tiek rosinātas noteikt saviem apstākļiem atbilstošus bāzes lielumus. Dažādie pasākumi emisijas samazināšanai no šķidro kūtsmēslu krātuvēm un to efektivitāte NH3 emisijas mazināšanā ir apkopota 12. tabulā.</w:t>
      </w:r>
    </w:p>
    <w:p w14:paraId="608B74C4" w14:textId="77777777" w:rsidR="00A800B3" w:rsidRPr="00A800B3" w:rsidRDefault="00A800B3" w:rsidP="00A800B3">
      <w:pPr>
        <w:pStyle w:val="BodyText"/>
        <w:widowControl/>
        <w:tabs>
          <w:tab w:val="left" w:pos="861"/>
        </w:tabs>
        <w:kinsoku w:val="0"/>
        <w:overflowPunct w:val="0"/>
        <w:spacing w:before="0"/>
        <w:ind w:left="0"/>
        <w:jc w:val="both"/>
        <w:rPr>
          <w:noProof/>
          <w:sz w:val="24"/>
          <w:szCs w:val="24"/>
        </w:rPr>
      </w:pPr>
    </w:p>
    <w:p w14:paraId="06500566" w14:textId="50A6136B" w:rsidR="008E3F72" w:rsidRPr="00A800B3"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noProof/>
          <w:sz w:val="24"/>
        </w:rPr>
        <w:t>Pēc tam, kad šķidros kūtsmēslus izved no dzīvnieku novietnēm, tos parasti uzglabā betona vai tērauda tvertnēs vai torņos, vai arī lagūnās, kurām iekšpusē ir pārklājums un ārpusē – zemes valnis. Lagūnām parasti ir lielāks virsmas laukums uz tilpuma vienību nekā tvertnēm, un nesen ir gūti pierādījumi par intensīvu dabisku denitrifikāciju lielās lagūnās daļēji vēja ietekmē. Emisiju no šķidro kūtsmēslu krātuvēm var samazināt, ja samazina gaisa plūsmu virs tām, uzstādot cieta materiāla vāku vai peldošu segumu, ļau</w:t>
      </w:r>
      <w:r w:rsidR="00E501A1">
        <w:rPr>
          <w:noProof/>
          <w:sz w:val="24"/>
        </w:rPr>
        <w:t>jot uz virsmas veidoties segslānim</w:t>
      </w:r>
      <w:r w:rsidRPr="00F35F4D">
        <w:rPr>
          <w:noProof/>
          <w:sz w:val="24"/>
        </w:rPr>
        <w:t xml:space="preserve"> vai padziļinot krātuves tā, lai attiecība starp virsmas laukumu un krātuves tilpumu samazinātos. Virsmas laukuma samazināšanu vērts apsvērt tikai būvēm, ko ceļ no jauna. Papildu ieguvumi ir šādi: vāki no cieta materiāla (vai nojumes) neļauj lietus ūdenim iekļūt krātuvē, tāpēc var labāk prognozēt ietilpību, un, samazinoties ūdens daudzumam, samazinās pārvadāšanas izmaksas; vāki samazina smaku un lielākoties arī siltumnīcefekta gāzes emisiju, kaut arī konkrētos apstākļos salmu vāki var palielināt N2O emisiju. Samazinot attiecību starp virsmas laukumu un krātuves tilpumu, papildu guvumi mēdz būt tādi paši kā no vāka ierīkošanas.</w:t>
      </w:r>
    </w:p>
    <w:p w14:paraId="610B6A61" w14:textId="77777777" w:rsidR="00A800B3" w:rsidRPr="00F35F4D" w:rsidRDefault="00A800B3" w:rsidP="00A800B3">
      <w:pPr>
        <w:pStyle w:val="BodyText"/>
        <w:widowControl/>
        <w:tabs>
          <w:tab w:val="left" w:pos="861"/>
        </w:tabs>
        <w:kinsoku w:val="0"/>
        <w:overflowPunct w:val="0"/>
        <w:spacing w:before="0"/>
        <w:ind w:left="0"/>
        <w:jc w:val="both"/>
        <w:rPr>
          <w:noProof/>
          <w:sz w:val="24"/>
          <w:szCs w:val="24"/>
        </w:rPr>
      </w:pPr>
    </w:p>
    <w:p w14:paraId="46EBC8A9" w14:textId="77777777" w:rsidR="008E3F72" w:rsidRPr="00A800B3"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noProof/>
          <w:sz w:val="24"/>
        </w:rPr>
        <w:t>Mājputnu mēslu (piemēram, no broileru novietnes iegūtu mēslu) ilgtermiņa uzglabāšanai jāizmanto šķūnis vai ēka ar necaurlaidīgu grīdu un pietiekami labu ventilāciju, lai mēslus saglabātu sausus un pēc iespējas samazinātu turpmākos NH3 zudumus.</w:t>
      </w:r>
    </w:p>
    <w:p w14:paraId="0DFCE9A7" w14:textId="77777777" w:rsidR="00A800B3" w:rsidRPr="00F35F4D" w:rsidRDefault="00A800B3" w:rsidP="00A800B3">
      <w:pPr>
        <w:pStyle w:val="BodyText"/>
        <w:widowControl/>
        <w:tabs>
          <w:tab w:val="left" w:pos="861"/>
        </w:tabs>
        <w:kinsoku w:val="0"/>
        <w:overflowPunct w:val="0"/>
        <w:spacing w:before="0"/>
        <w:ind w:left="0"/>
        <w:jc w:val="both"/>
        <w:rPr>
          <w:noProof/>
          <w:sz w:val="24"/>
          <w:szCs w:val="24"/>
        </w:rPr>
      </w:pPr>
    </w:p>
    <w:p w14:paraId="5E7DDFFB" w14:textId="77777777" w:rsidR="008E3F72" w:rsidRPr="00F35F4D"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noProof/>
          <w:sz w:val="24"/>
        </w:rPr>
        <w:t>Svarīgi ir pēc iespējas samazināt NH3 zudumus arī tad, kad kūtsmēslus, tostarp šķidros kūtsmēslus no slēgtajām krātuvēm, izmanto zemes mēslošanai, jo citādi guvumi no slēgtajām krātuvēm zūd gaisā tāpat kā NH3.</w:t>
      </w:r>
    </w:p>
    <w:p w14:paraId="1E067FF2" w14:textId="77777777" w:rsidR="008E3F72" w:rsidRPr="00F35F4D" w:rsidRDefault="008E3F72" w:rsidP="008E3F72">
      <w:pPr>
        <w:pStyle w:val="BodyText"/>
        <w:widowControl/>
        <w:kinsoku w:val="0"/>
        <w:overflowPunct w:val="0"/>
        <w:spacing w:before="0"/>
        <w:ind w:left="0"/>
        <w:jc w:val="both"/>
        <w:rPr>
          <w:noProof/>
          <w:sz w:val="24"/>
          <w:szCs w:val="24"/>
        </w:rPr>
      </w:pPr>
    </w:p>
    <w:p w14:paraId="7A671FA2" w14:textId="77777777" w:rsidR="008E3F72" w:rsidRPr="00F35F4D" w:rsidRDefault="008E3F72" w:rsidP="008E3F72">
      <w:pPr>
        <w:pStyle w:val="Heading5"/>
        <w:widowControl/>
        <w:kinsoku w:val="0"/>
        <w:overflowPunct w:val="0"/>
        <w:ind w:left="0"/>
        <w:jc w:val="both"/>
        <w:rPr>
          <w:rFonts w:ascii="Times New Roman" w:hAnsi="Times New Roman" w:cs="Times New Roman"/>
          <w:noProof/>
          <w:color w:val="0D0D0D"/>
          <w:sz w:val="24"/>
          <w:szCs w:val="24"/>
        </w:rPr>
      </w:pPr>
      <w:r w:rsidRPr="00F35F4D">
        <w:rPr>
          <w:rFonts w:ascii="Times New Roman" w:hAnsi="Times New Roman" w:cs="Times New Roman"/>
          <w:noProof/>
          <w:color w:val="0D0D0D"/>
          <w:sz w:val="24"/>
        </w:rPr>
        <w:t>1. kategorijas paņēmieni</w:t>
      </w:r>
    </w:p>
    <w:p w14:paraId="613576F2" w14:textId="77777777" w:rsidR="008E3F72" w:rsidRPr="00F35F4D" w:rsidRDefault="008E3F72" w:rsidP="008E3F72">
      <w:pPr>
        <w:rPr>
          <w:noProof/>
        </w:rPr>
      </w:pPr>
    </w:p>
    <w:p w14:paraId="5B210DBC" w14:textId="2BDAE4B8" w:rsidR="008E3F72" w:rsidRPr="00A800B3"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i/>
        </w:rPr>
        <w:t>„Ciešs” vāks, no</w:t>
      </w:r>
      <w:r w:rsidR="00E501A1">
        <w:rPr>
          <w:i/>
        </w:rPr>
        <w:t>jume vai vieglas konstrukcijas (teltsveida) jumts.</w:t>
      </w:r>
      <w:r w:rsidRPr="00F35F4D">
        <w:rPr>
          <w:noProof/>
          <w:sz w:val="24"/>
        </w:rPr>
        <w:t xml:space="preserve"> Prakse ir pierādījusi, ka labākais veids, kā samazināt emisiju no tvertnēs uzglabātiem šķidrajiem kūtsmēsliem, ir tos noslēgt ar „ciešu” vāku, j</w:t>
      </w:r>
      <w:r w:rsidR="00665A78">
        <w:rPr>
          <w:noProof/>
          <w:sz w:val="24"/>
        </w:rPr>
        <w:t>umtu vai vieglas konstrukcijas (teltsveida) jumts</w:t>
      </w:r>
      <w:r w:rsidRPr="00F35F4D">
        <w:rPr>
          <w:noProof/>
          <w:sz w:val="24"/>
        </w:rPr>
        <w:t xml:space="preserve">. Kaut arī ir svarīgi, lai šādi vāki būtu hermētiski vai „cieši” noslēgti ar mērķi pēc iespējas samazināt gaisa apmaiņu, kaut kāda vēdināšana tomēr jānodrošina, jo pretējā gadījumā var uzkrāties viegli uzliesmojošas gāzes, jo īpaši metāns. Šādu elementu </w:t>
      </w:r>
      <w:r w:rsidRPr="00F35F4D">
        <w:rPr>
          <w:noProof/>
          <w:sz w:val="24"/>
        </w:rPr>
        <w:lastRenderedPageBreak/>
        <w:t>pielāgošanas iespējas jau esošajām krātuvēm ir atkarīgas no krātuves konstrukcijas un tā, vai šo konstrukciju var pārveidot, ņemot vērā papildu svara radīto slodzi.</w:t>
      </w:r>
    </w:p>
    <w:p w14:paraId="1B3768E9" w14:textId="77777777" w:rsidR="00A800B3" w:rsidRPr="00F35F4D" w:rsidRDefault="00A800B3" w:rsidP="00A800B3">
      <w:pPr>
        <w:pStyle w:val="BodyText"/>
        <w:widowControl/>
        <w:tabs>
          <w:tab w:val="left" w:pos="861"/>
        </w:tabs>
        <w:kinsoku w:val="0"/>
        <w:overflowPunct w:val="0"/>
        <w:spacing w:before="0"/>
        <w:ind w:left="0"/>
        <w:jc w:val="both"/>
        <w:rPr>
          <w:noProof/>
          <w:sz w:val="24"/>
          <w:szCs w:val="24"/>
        </w:rPr>
      </w:pPr>
    </w:p>
    <w:p w14:paraId="1E18CDC0" w14:textId="77777777" w:rsidR="008E3F72" w:rsidRPr="00A800B3"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i/>
          <w:noProof/>
          <w:sz w:val="24"/>
        </w:rPr>
        <w:t xml:space="preserve">Peldošs segums. </w:t>
      </w:r>
      <w:r w:rsidRPr="00F35F4D">
        <w:rPr>
          <w:noProof/>
          <w:sz w:val="24"/>
        </w:rPr>
        <w:t>Peldošam segumam var izmantot plastmasu, brezentu, ģeotekstilmateriālu vai citu piemērotu materiālu. To uzskata par 1. kategorijas paņēmienu tikai mazām, ar zemes valni nostiprinātām lagūnām. Tvertnēs peldošu segumu ir grūti izmantot, īpaši tad, ja sienas ir augstas, jo tvertnes piepildīšanas un iztukšošanas laikā notiek liela kustība pa vertikāli.</w:t>
      </w:r>
    </w:p>
    <w:p w14:paraId="37C0715C" w14:textId="77777777" w:rsidR="00A800B3" w:rsidRPr="00F35F4D" w:rsidRDefault="00A800B3" w:rsidP="00A800B3">
      <w:pPr>
        <w:pStyle w:val="BodyText"/>
        <w:widowControl/>
        <w:tabs>
          <w:tab w:val="left" w:pos="861"/>
        </w:tabs>
        <w:kinsoku w:val="0"/>
        <w:overflowPunct w:val="0"/>
        <w:spacing w:before="0"/>
        <w:ind w:left="0"/>
        <w:jc w:val="both"/>
        <w:rPr>
          <w:noProof/>
          <w:sz w:val="24"/>
          <w:szCs w:val="24"/>
        </w:rPr>
      </w:pPr>
    </w:p>
    <w:p w14:paraId="3899FA2B" w14:textId="77777777" w:rsidR="008E3F72" w:rsidRPr="00A800B3"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noProof/>
          <w:sz w:val="24"/>
        </w:rPr>
        <w:t xml:space="preserve"> </w:t>
      </w:r>
      <w:r w:rsidRPr="00F35F4D">
        <w:rPr>
          <w:i/>
          <w:noProof/>
          <w:sz w:val="24"/>
        </w:rPr>
        <w:t>Maisi kūtsmēslu uzglabāšanai</w:t>
      </w:r>
      <w:r w:rsidRPr="00F35F4D">
        <w:rPr>
          <w:noProof/>
          <w:sz w:val="24"/>
        </w:rPr>
        <w:t xml:space="preserve"> ir piemērots veids, kā samazināt emisiju no šķidrajiem kūtsmēsliem mazās saimniecībās (piemēram, kur ir mazāk par 150 nobarojamām cūkām); jāatzīmē, ka šī pasākuma izmaksas attiecināmas gan uz krātuves konstrukciju, gan segumu.</w:t>
      </w:r>
    </w:p>
    <w:p w14:paraId="6A0A6E65" w14:textId="77777777" w:rsidR="00A800B3" w:rsidRPr="00F35F4D" w:rsidRDefault="00A800B3" w:rsidP="00A800B3">
      <w:pPr>
        <w:pStyle w:val="BodyText"/>
        <w:widowControl/>
        <w:tabs>
          <w:tab w:val="left" w:pos="861"/>
        </w:tabs>
        <w:kinsoku w:val="0"/>
        <w:overflowPunct w:val="0"/>
        <w:spacing w:before="0"/>
        <w:ind w:left="0"/>
        <w:jc w:val="both"/>
        <w:rPr>
          <w:noProof/>
          <w:sz w:val="24"/>
          <w:szCs w:val="24"/>
        </w:rPr>
      </w:pPr>
    </w:p>
    <w:p w14:paraId="061F1F0A" w14:textId="45807E6F" w:rsidR="008E3F72" w:rsidRPr="00F35F4D" w:rsidRDefault="00665A78" w:rsidP="008E3F72">
      <w:pPr>
        <w:pStyle w:val="BodyText"/>
        <w:widowControl/>
        <w:numPr>
          <w:ilvl w:val="0"/>
          <w:numId w:val="12"/>
        </w:numPr>
        <w:tabs>
          <w:tab w:val="left" w:pos="861"/>
        </w:tabs>
        <w:kinsoku w:val="0"/>
        <w:overflowPunct w:val="0"/>
        <w:spacing w:before="0"/>
        <w:ind w:left="0" w:firstLine="0"/>
        <w:jc w:val="both"/>
        <w:rPr>
          <w:noProof/>
          <w:sz w:val="24"/>
          <w:szCs w:val="24"/>
        </w:rPr>
      </w:pPr>
      <w:r>
        <w:rPr>
          <w:i/>
        </w:rPr>
        <w:t>Dabiskā segslāņa</w:t>
      </w:r>
      <w:r w:rsidR="008E3F72" w:rsidRPr="00F35F4D">
        <w:rPr>
          <w:i/>
        </w:rPr>
        <w:t xml:space="preserve"> veidošanās.</w:t>
      </w:r>
      <w:r w:rsidR="008E3F72" w:rsidRPr="00F35F4D">
        <w:rPr>
          <w:noProof/>
          <w:sz w:val="24"/>
        </w:rPr>
        <w:t xml:space="preserve"> Pēc iespējas izvairoties no uzglabāto liellopu šķidro kūtsmēslu un dažu veidu cūku šķidro mē</w:t>
      </w:r>
      <w:r>
        <w:rPr>
          <w:noProof/>
          <w:sz w:val="24"/>
        </w:rPr>
        <w:t>slu (atkarībā no cūkām izēdinātās</w:t>
      </w:r>
      <w:r w:rsidR="008E3F72" w:rsidRPr="00F35F4D">
        <w:rPr>
          <w:noProof/>
          <w:sz w:val="24"/>
        </w:rPr>
        <w:t xml:space="preserve"> barības un šķidro kūtsmēslu </w:t>
      </w:r>
      <w:r w:rsidRPr="00665A78">
        <w:rPr>
          <w:i/>
          <w:noProof/>
          <w:sz w:val="24"/>
        </w:rPr>
        <w:t>DM</w:t>
      </w:r>
      <w:r w:rsidR="008E3F72" w:rsidRPr="00F35F4D">
        <w:rPr>
          <w:noProof/>
          <w:sz w:val="24"/>
        </w:rPr>
        <w:t xml:space="preserve"> satura) maisīšanas un ievadot šķidros kūtsmēslus krājuma papildināšanai zem to virsmas, var panākt dabi</w:t>
      </w:r>
      <w:r>
        <w:rPr>
          <w:noProof/>
          <w:sz w:val="24"/>
        </w:rPr>
        <w:t>skas garozas veidošanos. Segslānis</w:t>
      </w:r>
      <w:r w:rsidR="008E3F72" w:rsidRPr="00F35F4D">
        <w:rPr>
          <w:noProof/>
          <w:sz w:val="24"/>
        </w:rPr>
        <w:t xml:space="preserve"> var ievērojami samazināt NH3 emisiju ar niecīgām izmaksām vai bez jebkādām izmaksām tik ilgi, cik tās ir pietiekami biezas un pilnībā sedz šķidro kūtsmēslu virsmu. Emisijas samazināšanas efe</w:t>
      </w:r>
      <w:r>
        <w:rPr>
          <w:noProof/>
          <w:sz w:val="24"/>
        </w:rPr>
        <w:t>ktivitāte ir atkarīga no segslāņa</w:t>
      </w:r>
      <w:r w:rsidR="008E3F72" w:rsidRPr="00F35F4D">
        <w:rPr>
          <w:noProof/>
          <w:sz w:val="24"/>
        </w:rPr>
        <w:t xml:space="preserve"> veida un saglabāšanās ilguma (</w:t>
      </w:r>
      <w:r w:rsidR="008E3F72" w:rsidRPr="00F35F4D">
        <w:rPr>
          <w:i/>
          <w:noProof/>
          <w:sz w:val="24"/>
        </w:rPr>
        <w:t>Misselbrook, et al.</w:t>
      </w:r>
      <w:r w:rsidR="008E3F72" w:rsidRPr="00F35F4D">
        <w:rPr>
          <w:noProof/>
          <w:sz w:val="24"/>
        </w:rPr>
        <w:t xml:space="preserve">, 2005a; </w:t>
      </w:r>
      <w:r w:rsidR="008E3F72" w:rsidRPr="00F35F4D">
        <w:rPr>
          <w:i/>
          <w:noProof/>
          <w:sz w:val="24"/>
        </w:rPr>
        <w:t>Smith et al.</w:t>
      </w:r>
      <w:r w:rsidR="008E3F72" w:rsidRPr="00F35F4D">
        <w:rPr>
          <w:noProof/>
          <w:sz w:val="24"/>
        </w:rPr>
        <w:t>, 2007). Emisijas samazin</w:t>
      </w:r>
      <w:r>
        <w:rPr>
          <w:noProof/>
          <w:sz w:val="24"/>
        </w:rPr>
        <w:t>āšana, izmantojot dabisku segslāni</w:t>
      </w:r>
      <w:r w:rsidR="008E3F72" w:rsidRPr="00F35F4D">
        <w:rPr>
          <w:noProof/>
          <w:sz w:val="24"/>
        </w:rPr>
        <w:t>, ir iespējama tikai tajās saimniecībās, kur kūtsmēsli nav bieži jāmaisa, lai tos varētu izmantot mēslošanas vajadzībām, un kur ir tādi šķidrie kūts</w:t>
      </w:r>
      <w:r>
        <w:rPr>
          <w:noProof/>
          <w:sz w:val="24"/>
        </w:rPr>
        <w:t>mēsli, uz kuriem veidojas segslānis</w:t>
      </w:r>
      <w:r w:rsidR="008E3F72" w:rsidRPr="00F35F4D">
        <w:rPr>
          <w:noProof/>
          <w:sz w:val="24"/>
        </w:rPr>
        <w:t>.</w:t>
      </w:r>
    </w:p>
    <w:p w14:paraId="72F666D2" w14:textId="22D107B3" w:rsidR="008E3F72" w:rsidRPr="00F35F4D"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noProof/>
          <w:sz w:val="24"/>
        </w:rPr>
        <w:t>Keramzīta lodītes (</w:t>
      </w:r>
      <w:r w:rsidRPr="00F35F4D">
        <w:rPr>
          <w:i/>
          <w:noProof/>
          <w:sz w:val="24"/>
        </w:rPr>
        <w:t>LECA</w:t>
      </w:r>
      <w:r w:rsidRPr="00F35F4D">
        <w:rPr>
          <w:noProof/>
          <w:sz w:val="24"/>
        </w:rPr>
        <w:t xml:space="preserve">) un </w:t>
      </w:r>
      <w:r w:rsidRPr="00F35F4D">
        <w:rPr>
          <w:i/>
          <w:noProof/>
          <w:sz w:val="24"/>
        </w:rPr>
        <w:t xml:space="preserve">Hexa-Cover </w:t>
      </w:r>
      <w:r w:rsidRPr="00F35F4D">
        <w:rPr>
          <w:noProof/>
          <w:sz w:val="24"/>
        </w:rPr>
        <w:t>produktus var labi izmantot tādu cūku šķidro kūtsmēslu nosegš</w:t>
      </w:r>
      <w:r w:rsidR="00665A78">
        <w:rPr>
          <w:noProof/>
          <w:sz w:val="24"/>
        </w:rPr>
        <w:t>anai, kas neveido dabisku segslāni</w:t>
      </w:r>
      <w:r w:rsidRPr="00F35F4D">
        <w:rPr>
          <w:noProof/>
          <w:sz w:val="24"/>
        </w:rPr>
        <w:t>, vai hidrolizātam no anaerobajām iekārtām. Vienā no jaunākajiem emisijas samazināšanas metožu apskatiem (</w:t>
      </w:r>
      <w:r w:rsidRPr="00F35F4D">
        <w:rPr>
          <w:i/>
          <w:noProof/>
          <w:sz w:val="24"/>
        </w:rPr>
        <w:t>van der Zaag et al.</w:t>
      </w:r>
      <w:r w:rsidRPr="00F35F4D">
        <w:rPr>
          <w:noProof/>
          <w:sz w:val="24"/>
        </w:rPr>
        <w:t>, 2012) ir ierosināts to izmantošanu uzskatīt par 1. kategorijas paņēmienu, jo šiem materiāliem nepiemīt daudzas problēmas, kas saistās ar mīksto pārklājumu izmantošanu, piemēram, ūdens sakrāšanās uz pārklājuma un tā plīšana. Turklāt tos viegli piemērot.</w:t>
      </w:r>
    </w:p>
    <w:p w14:paraId="71D37C39" w14:textId="3B9A4624" w:rsidR="008E3F72" w:rsidRPr="00F35F4D"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i/>
          <w:noProof/>
          <w:sz w:val="24"/>
        </w:rPr>
        <w:t xml:space="preserve">Lagūnu aizstāšana ar tvertnēm/torņiem. </w:t>
      </w:r>
      <w:r w:rsidRPr="00F35F4D">
        <w:rPr>
          <w:noProof/>
          <w:sz w:val="24"/>
        </w:rPr>
        <w:t>Ja seklas, ar zemes valni nostiprinātas lagūnas aizstāj ar dziļākām tvertnēm vai torņiem, emisija proporcionāli samazinās atbilstīgi mazākam virsmas laukumam uz tilpuma vienību. Tā varētu būt efektīva (kaut arī dārga) NH3 emisijas samazināšanas iespēja, jo īpaši, tad ja tvertni sedz vāks, no</w:t>
      </w:r>
      <w:r w:rsidR="00665A78">
        <w:rPr>
          <w:noProof/>
          <w:sz w:val="24"/>
        </w:rPr>
        <w:t>jume vai vieglas konstrukcijas (teltsveida) jumts</w:t>
      </w:r>
      <w:r w:rsidRPr="00F35F4D">
        <w:rPr>
          <w:noProof/>
          <w:sz w:val="24"/>
        </w:rPr>
        <w:t xml:space="preserve"> (1. kategorijas paņēmieni). Šī varianta efektivitāti no izmaksu viedokļa ir grūti izmērīt, jo tā ļoti lielā mērā ir atkarīga no lagūnas un tvertnes parametriem. Maisīt kūtsmēslus konstrukcijās ar lielu augstumu ir sarežģīti.</w:t>
      </w:r>
    </w:p>
    <w:p w14:paraId="59519350" w14:textId="77777777" w:rsidR="008E3F72" w:rsidRPr="00F35F4D" w:rsidRDefault="008E3F72" w:rsidP="008E3F72">
      <w:pPr>
        <w:pStyle w:val="BodyText"/>
        <w:widowControl/>
        <w:kinsoku w:val="0"/>
        <w:overflowPunct w:val="0"/>
        <w:spacing w:before="0"/>
        <w:ind w:left="0"/>
        <w:jc w:val="both"/>
        <w:rPr>
          <w:noProof/>
          <w:sz w:val="24"/>
          <w:szCs w:val="24"/>
        </w:rPr>
      </w:pPr>
    </w:p>
    <w:p w14:paraId="298D409A" w14:textId="77777777" w:rsidR="008E3F72" w:rsidRPr="00F35F4D" w:rsidRDefault="008E3F72" w:rsidP="008E3F72">
      <w:pPr>
        <w:pStyle w:val="Heading5"/>
        <w:widowControl/>
        <w:kinsoku w:val="0"/>
        <w:overflowPunct w:val="0"/>
        <w:ind w:left="0"/>
        <w:jc w:val="both"/>
        <w:rPr>
          <w:rFonts w:ascii="Times New Roman" w:hAnsi="Times New Roman" w:cs="Times New Roman"/>
          <w:noProof/>
          <w:color w:val="0D0D0D"/>
          <w:sz w:val="24"/>
          <w:szCs w:val="24"/>
        </w:rPr>
      </w:pPr>
      <w:r w:rsidRPr="00F35F4D">
        <w:rPr>
          <w:rFonts w:ascii="Times New Roman" w:hAnsi="Times New Roman" w:cs="Times New Roman"/>
          <w:noProof/>
          <w:color w:val="0D0D0D"/>
          <w:sz w:val="24"/>
        </w:rPr>
        <w:t>2. kategorijas paņēmieni</w:t>
      </w:r>
    </w:p>
    <w:p w14:paraId="2AF413F0" w14:textId="77777777" w:rsidR="008E3F72" w:rsidRPr="00F35F4D" w:rsidRDefault="008E3F72" w:rsidP="008E3F72">
      <w:pPr>
        <w:rPr>
          <w:noProof/>
        </w:rPr>
      </w:pPr>
    </w:p>
    <w:p w14:paraId="70AD964E" w14:textId="7085CA87" w:rsidR="008E3F72" w:rsidRPr="00F24F59"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i/>
          <w:noProof/>
          <w:sz w:val="24"/>
        </w:rPr>
        <w:t xml:space="preserve">Peldošie segumi (krātuvēm, kas nav ar zemes valni aizsargātas mazas lagūnas). </w:t>
      </w:r>
      <w:r w:rsidRPr="00F35F4D">
        <w:rPr>
          <w:noProof/>
          <w:sz w:val="24"/>
        </w:rPr>
        <w:t>Ir daudzi dažādi peldošu segumu veidi, kas darināti no caurlaidīga vai necaurlaidīga materiāla un var samazināt NH3 emisiju no uzglabātiem šķidrajiem kūtsmēsliem, ierobežojot to saskari ar gaisu. Tomēr vēl nav īstas skaidrības par to, cik labi un praktiski šie segumi darbojas, izņemot plastmasas plēvi, kas ir labi pārbaudīta virs mazām, ar zemes valni aizsargātām lagūnām un kuras darbība, visdr</w:t>
      </w:r>
      <w:r w:rsidR="00665A78">
        <w:rPr>
          <w:noProof/>
          <w:sz w:val="24"/>
        </w:rPr>
        <w:t>īzāk, ir atkarīga no apsaimniekošanas</w:t>
      </w:r>
      <w:r w:rsidRPr="00F35F4D">
        <w:rPr>
          <w:noProof/>
          <w:sz w:val="24"/>
        </w:rPr>
        <w:t xml:space="preserve"> un citiem faktoriem. Piemēri ir plastmasas plēve, sasmalcināti salmi un kūdra. Necaurlaidīga peldoša seguma gadījumā vajadzīga </w:t>
      </w:r>
      <w:r w:rsidRPr="00F35F4D">
        <w:rPr>
          <w:noProof/>
          <w:sz w:val="24"/>
        </w:rPr>
        <w:lastRenderedPageBreak/>
        <w:t>vēdināšana un metode seguma atbrīvošanai no lietus ūdens. Caurlaidīgi peldoši segumi rūpīgi jānodrošina pret vēju, un abu veidu segumu gadījumā jāparedz vertikāla kustība tai laikā, kad tvertne tiek piepildīta un iztukšota. Peldošo segumu izturība nav pietiekami pārbaudīta. Peldošie segumi var traucēt homogenizēt šķidros kūtsmēslus pirms izkliedēšanas vai apgrūtināt pašu izkliedēšanas procesu. Šim aspektam jāpievērš uzmanība no tehniskā viedokļa, un tas jāoptimizē.</w:t>
      </w:r>
    </w:p>
    <w:p w14:paraId="45E1E3B9" w14:textId="77777777" w:rsidR="00F24F59" w:rsidRPr="00F35F4D" w:rsidRDefault="00F24F59" w:rsidP="00F24F59">
      <w:pPr>
        <w:pStyle w:val="BodyText"/>
        <w:widowControl/>
        <w:tabs>
          <w:tab w:val="left" w:pos="861"/>
        </w:tabs>
        <w:kinsoku w:val="0"/>
        <w:overflowPunct w:val="0"/>
        <w:spacing w:before="0"/>
        <w:ind w:left="0"/>
        <w:jc w:val="both"/>
        <w:rPr>
          <w:noProof/>
          <w:sz w:val="24"/>
          <w:szCs w:val="24"/>
        </w:rPr>
      </w:pPr>
    </w:p>
    <w:p w14:paraId="4E6C3069" w14:textId="77777777" w:rsidR="008E3F72" w:rsidRPr="00F35F4D"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i/>
        </w:rPr>
        <w:t>Kūtsmēslu kaudzes pārsegšana.</w:t>
      </w:r>
      <w:r w:rsidRPr="00F35F4D">
        <w:rPr>
          <w:noProof/>
          <w:sz w:val="24"/>
        </w:rPr>
        <w:t xml:space="preserve"> Ir vairākas iespējas samazināt NH3 emisiju no uzglabātajiem (cietajiem) liellopu un cūku kūtsmēsliem. Eksperimentāli ir pierādīts, ka, pārklājot kaudzēs sakrautos kūtsmēslus ar plastmasas plēvi, var ievērojami samazināt NH3 emisiju, pie tam ievērojami nepalielinot metāna un slāpekļa oksīda emisiju (</w:t>
      </w:r>
      <w:r w:rsidRPr="00F35F4D">
        <w:rPr>
          <w:i/>
          <w:noProof/>
          <w:sz w:val="24"/>
        </w:rPr>
        <w:t>Chadwick,</w:t>
      </w:r>
      <w:r w:rsidRPr="00F35F4D">
        <w:rPr>
          <w:noProof/>
          <w:sz w:val="24"/>
        </w:rPr>
        <w:t xml:space="preserve"> 2005; </w:t>
      </w:r>
      <w:r w:rsidRPr="00F35F4D">
        <w:rPr>
          <w:i/>
          <w:noProof/>
          <w:sz w:val="24"/>
        </w:rPr>
        <w:t>Hansen, Henriksen, Sommer</w:t>
      </w:r>
      <w:r w:rsidRPr="00F35F4D">
        <w:rPr>
          <w:noProof/>
          <w:sz w:val="24"/>
        </w:rPr>
        <w:t>, 2006). Pašlaik to uzskata par 2. kategorijas paņēmienu, jo emisijas samazināšanas efektivitāte un izmantošanas iespējas praksē vēl jāpārbauda plašākā mērogā.</w:t>
      </w:r>
    </w:p>
    <w:p w14:paraId="278A1293" w14:textId="77777777" w:rsidR="008E3F72" w:rsidRPr="00F35F4D" w:rsidRDefault="008E3F72" w:rsidP="008E3F72">
      <w:pPr>
        <w:pStyle w:val="BodyText"/>
        <w:widowControl/>
        <w:kinsoku w:val="0"/>
        <w:overflowPunct w:val="0"/>
        <w:spacing w:before="0"/>
        <w:ind w:left="0"/>
        <w:jc w:val="both"/>
        <w:rPr>
          <w:noProof/>
          <w:sz w:val="24"/>
          <w:szCs w:val="24"/>
        </w:rPr>
      </w:pPr>
    </w:p>
    <w:p w14:paraId="76F7507D"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12. tabula</w:t>
      </w:r>
    </w:p>
    <w:p w14:paraId="08D7C95E"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Amonjaka emisijas samazināšanas pasākumi liellopu un cūku šķidro kūtsmēslu krātuvēs</w:t>
      </w:r>
    </w:p>
    <w:p w14:paraId="5954DBA9"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2215"/>
        <w:gridCol w:w="1134"/>
        <w:gridCol w:w="2519"/>
        <w:gridCol w:w="1202"/>
        <w:gridCol w:w="1156"/>
      </w:tblGrid>
      <w:tr w:rsidR="008E3F72" w:rsidRPr="00F24F59" w14:paraId="6F7BE7DE" w14:textId="77777777" w:rsidTr="0010018A">
        <w:tc>
          <w:tcPr>
            <w:tcW w:w="1373" w:type="pct"/>
            <w:tcBorders>
              <w:top w:val="single" w:sz="4" w:space="0" w:color="000000"/>
              <w:left w:val="nil"/>
              <w:bottom w:val="single" w:sz="12" w:space="0" w:color="000000"/>
              <w:right w:val="nil"/>
            </w:tcBorders>
          </w:tcPr>
          <w:p w14:paraId="277BCB4C" w14:textId="77777777" w:rsidR="008E3F72" w:rsidRPr="00F24F59" w:rsidRDefault="008E3F72" w:rsidP="0010018A">
            <w:pPr>
              <w:pStyle w:val="TableParagraph"/>
              <w:widowControl/>
              <w:kinsoku w:val="0"/>
              <w:overflowPunct w:val="0"/>
              <w:jc w:val="both"/>
              <w:rPr>
                <w:i/>
                <w:iCs/>
                <w:noProof/>
                <w:sz w:val="20"/>
                <w:szCs w:val="20"/>
              </w:rPr>
            </w:pPr>
            <w:r w:rsidRPr="00F24F59">
              <w:rPr>
                <w:i/>
                <w:noProof/>
                <w:sz w:val="20"/>
                <w:szCs w:val="20"/>
              </w:rPr>
              <w:t>Emisijas samazināšanas pasākums</w:t>
            </w:r>
          </w:p>
        </w:tc>
        <w:tc>
          <w:tcPr>
            <w:tcW w:w="672" w:type="pct"/>
            <w:tcBorders>
              <w:top w:val="single" w:sz="4" w:space="0" w:color="000000"/>
              <w:left w:val="nil"/>
              <w:bottom w:val="single" w:sz="12" w:space="0" w:color="000000"/>
              <w:right w:val="nil"/>
            </w:tcBorders>
          </w:tcPr>
          <w:p w14:paraId="5332E179" w14:textId="77777777" w:rsidR="008E3F72" w:rsidRPr="00F24F59" w:rsidRDefault="008E3F72" w:rsidP="0010018A">
            <w:pPr>
              <w:pStyle w:val="TableParagraph"/>
              <w:widowControl/>
              <w:kinsoku w:val="0"/>
              <w:overflowPunct w:val="0"/>
              <w:jc w:val="both"/>
              <w:rPr>
                <w:i/>
                <w:iCs/>
                <w:noProof/>
                <w:sz w:val="20"/>
                <w:szCs w:val="20"/>
              </w:rPr>
            </w:pPr>
            <w:r w:rsidRPr="00F24F59">
              <w:rPr>
                <w:i/>
                <w:noProof/>
                <w:sz w:val="20"/>
                <w:szCs w:val="20"/>
              </w:rPr>
              <w:t>NH3</w:t>
            </w:r>
          </w:p>
          <w:p w14:paraId="6200C801" w14:textId="77777777" w:rsidR="008E3F72" w:rsidRPr="00F24F59" w:rsidRDefault="008E3F72" w:rsidP="0010018A">
            <w:pPr>
              <w:pStyle w:val="TableParagraph"/>
              <w:widowControl/>
              <w:kinsoku w:val="0"/>
              <w:overflowPunct w:val="0"/>
              <w:jc w:val="both"/>
              <w:rPr>
                <w:i/>
                <w:iCs/>
                <w:noProof/>
                <w:sz w:val="20"/>
                <w:szCs w:val="20"/>
              </w:rPr>
            </w:pPr>
            <w:r w:rsidRPr="00F24F59">
              <w:rPr>
                <w:i/>
                <w:noProof/>
                <w:sz w:val="20"/>
                <w:szCs w:val="20"/>
              </w:rPr>
              <w:t>emisijas samazinājums (%)</w:t>
            </w:r>
          </w:p>
        </w:tc>
        <w:tc>
          <w:tcPr>
            <w:tcW w:w="1558" w:type="pct"/>
            <w:tcBorders>
              <w:top w:val="single" w:sz="4" w:space="0" w:color="000000"/>
              <w:left w:val="nil"/>
              <w:bottom w:val="single" w:sz="12" w:space="0" w:color="000000"/>
              <w:right w:val="nil"/>
            </w:tcBorders>
          </w:tcPr>
          <w:p w14:paraId="5305C187" w14:textId="77777777" w:rsidR="008E3F72" w:rsidRPr="00F24F59" w:rsidRDefault="008E3F72" w:rsidP="0010018A">
            <w:pPr>
              <w:pStyle w:val="TableParagraph"/>
              <w:widowControl/>
              <w:kinsoku w:val="0"/>
              <w:overflowPunct w:val="0"/>
              <w:jc w:val="both"/>
              <w:rPr>
                <w:i/>
                <w:iCs/>
                <w:noProof/>
                <w:sz w:val="20"/>
                <w:szCs w:val="20"/>
              </w:rPr>
            </w:pPr>
            <w:r w:rsidRPr="00F24F59">
              <w:rPr>
                <w:i/>
                <w:noProof/>
                <w:sz w:val="20"/>
                <w:szCs w:val="20"/>
              </w:rPr>
              <w:t>Izmantojamība</w:t>
            </w:r>
          </w:p>
        </w:tc>
        <w:tc>
          <w:tcPr>
            <w:tcW w:w="757" w:type="pct"/>
            <w:tcBorders>
              <w:top w:val="single" w:sz="4" w:space="0" w:color="000000"/>
              <w:left w:val="nil"/>
              <w:bottom w:val="single" w:sz="12" w:space="0" w:color="000000"/>
              <w:right w:val="nil"/>
            </w:tcBorders>
          </w:tcPr>
          <w:p w14:paraId="1EDE38DA" w14:textId="77777777" w:rsidR="008E3F72" w:rsidRPr="00F24F59" w:rsidRDefault="008E3F72" w:rsidP="0010018A">
            <w:pPr>
              <w:pStyle w:val="TableParagraph"/>
              <w:widowControl/>
              <w:kinsoku w:val="0"/>
              <w:overflowPunct w:val="0"/>
              <w:jc w:val="both"/>
              <w:rPr>
                <w:i/>
                <w:iCs/>
                <w:noProof/>
                <w:sz w:val="20"/>
                <w:szCs w:val="20"/>
              </w:rPr>
            </w:pPr>
            <w:r w:rsidRPr="00F24F59">
              <w:rPr>
                <w:i/>
                <w:noProof/>
                <w:sz w:val="20"/>
                <w:szCs w:val="20"/>
              </w:rPr>
              <w:t>Izmaksas (darbības izmaksas)</w:t>
            </w:r>
          </w:p>
          <w:p w14:paraId="4E37D0BF" w14:textId="77777777" w:rsidR="008E3F72" w:rsidRPr="00F24F59" w:rsidRDefault="008E3F72" w:rsidP="0010018A">
            <w:pPr>
              <w:pStyle w:val="TableParagraph"/>
              <w:widowControl/>
              <w:kinsoku w:val="0"/>
              <w:overflowPunct w:val="0"/>
              <w:jc w:val="both"/>
              <w:rPr>
                <w:i/>
                <w:iCs/>
                <w:noProof/>
                <w:sz w:val="20"/>
                <w:szCs w:val="20"/>
              </w:rPr>
            </w:pPr>
            <w:r w:rsidRPr="00F24F59">
              <w:rPr>
                <w:i/>
                <w:noProof/>
                <w:sz w:val="20"/>
                <w:szCs w:val="20"/>
              </w:rPr>
              <w:t>(€ par m3 gadā)</w:t>
            </w:r>
            <w:r w:rsidRPr="00F24F59">
              <w:rPr>
                <w:i/>
                <w:noProof/>
                <w:sz w:val="20"/>
                <w:szCs w:val="20"/>
                <w:vertAlign w:val="superscript"/>
              </w:rPr>
              <w:t>a)</w:t>
            </w:r>
          </w:p>
        </w:tc>
        <w:tc>
          <w:tcPr>
            <w:tcW w:w="640" w:type="pct"/>
            <w:tcBorders>
              <w:top w:val="single" w:sz="4" w:space="0" w:color="000000"/>
              <w:left w:val="nil"/>
              <w:bottom w:val="single" w:sz="12" w:space="0" w:color="000000"/>
              <w:right w:val="nil"/>
            </w:tcBorders>
          </w:tcPr>
          <w:p w14:paraId="4E500926" w14:textId="77777777" w:rsidR="008E3F72" w:rsidRPr="00F24F59" w:rsidRDefault="008E3F72" w:rsidP="0010018A">
            <w:pPr>
              <w:pStyle w:val="TableParagraph"/>
              <w:widowControl/>
              <w:kinsoku w:val="0"/>
              <w:overflowPunct w:val="0"/>
              <w:jc w:val="both"/>
              <w:rPr>
                <w:noProof/>
                <w:sz w:val="20"/>
                <w:szCs w:val="20"/>
              </w:rPr>
            </w:pPr>
            <w:r w:rsidRPr="00F24F59">
              <w:rPr>
                <w:i/>
                <w:sz w:val="20"/>
                <w:szCs w:val="20"/>
              </w:rPr>
              <w:t>Papildu izmaksas (€ par NH3 - N samazinājuma kilogramu)</w:t>
            </w:r>
            <w:r w:rsidRPr="00F24F59">
              <w:rPr>
                <w:sz w:val="20"/>
                <w:szCs w:val="20"/>
                <w:vertAlign w:val="superscript"/>
              </w:rPr>
              <w:t>a)</w:t>
            </w:r>
          </w:p>
        </w:tc>
      </w:tr>
      <w:tr w:rsidR="008E3F72" w:rsidRPr="00F24F59" w14:paraId="189C3830" w14:textId="77777777" w:rsidTr="0010018A">
        <w:tc>
          <w:tcPr>
            <w:tcW w:w="1373" w:type="pct"/>
            <w:tcBorders>
              <w:top w:val="single" w:sz="12" w:space="0" w:color="000000"/>
              <w:left w:val="nil"/>
              <w:bottom w:val="nil"/>
              <w:right w:val="nil"/>
            </w:tcBorders>
          </w:tcPr>
          <w:p w14:paraId="7F7B3385" w14:textId="3C1A1B7B" w:rsidR="008E3F72" w:rsidRPr="00F24F59" w:rsidRDefault="00665A78" w:rsidP="0010018A">
            <w:pPr>
              <w:pStyle w:val="TableParagraph"/>
              <w:widowControl/>
              <w:kinsoku w:val="0"/>
              <w:overflowPunct w:val="0"/>
              <w:jc w:val="both"/>
              <w:rPr>
                <w:noProof/>
                <w:sz w:val="20"/>
                <w:szCs w:val="20"/>
              </w:rPr>
            </w:pPr>
            <w:r>
              <w:rPr>
                <w:sz w:val="20"/>
                <w:szCs w:val="20"/>
              </w:rPr>
              <w:t>Krātuve bez seguma vai segslāņa</w:t>
            </w:r>
            <w:r w:rsidR="008E3F72" w:rsidRPr="00F24F59">
              <w:rPr>
                <w:sz w:val="20"/>
                <w:szCs w:val="20"/>
              </w:rPr>
              <w:t xml:space="preserve"> (</w:t>
            </w:r>
            <w:r w:rsidR="008E3F72" w:rsidRPr="00F24F59">
              <w:rPr>
                <w:i/>
                <w:sz w:val="20"/>
                <w:szCs w:val="20"/>
              </w:rPr>
              <w:t>atsauces paņēmiens</w:t>
            </w:r>
            <w:r w:rsidR="008E3F72" w:rsidRPr="00F24F59">
              <w:rPr>
                <w:sz w:val="20"/>
                <w:szCs w:val="20"/>
              </w:rPr>
              <w:t>)</w:t>
            </w:r>
          </w:p>
        </w:tc>
        <w:tc>
          <w:tcPr>
            <w:tcW w:w="672" w:type="pct"/>
            <w:tcBorders>
              <w:top w:val="single" w:sz="12" w:space="0" w:color="000000"/>
              <w:left w:val="nil"/>
              <w:bottom w:val="nil"/>
              <w:right w:val="nil"/>
            </w:tcBorders>
          </w:tcPr>
          <w:p w14:paraId="34746988"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0</w:t>
            </w:r>
          </w:p>
        </w:tc>
        <w:tc>
          <w:tcPr>
            <w:tcW w:w="1558" w:type="pct"/>
            <w:tcBorders>
              <w:top w:val="single" w:sz="12" w:space="0" w:color="000000"/>
              <w:left w:val="nil"/>
              <w:bottom w:val="nil"/>
              <w:right w:val="nil"/>
            </w:tcBorders>
          </w:tcPr>
          <w:p w14:paraId="710155C1" w14:textId="77777777" w:rsidR="008E3F72" w:rsidRPr="00F24F59" w:rsidRDefault="008E3F72" w:rsidP="0010018A">
            <w:pPr>
              <w:widowControl/>
              <w:jc w:val="both"/>
              <w:rPr>
                <w:noProof/>
                <w:sz w:val="20"/>
                <w:szCs w:val="20"/>
              </w:rPr>
            </w:pPr>
          </w:p>
        </w:tc>
        <w:tc>
          <w:tcPr>
            <w:tcW w:w="757" w:type="pct"/>
            <w:tcBorders>
              <w:top w:val="single" w:sz="12" w:space="0" w:color="000000"/>
              <w:left w:val="nil"/>
              <w:bottom w:val="nil"/>
              <w:right w:val="nil"/>
            </w:tcBorders>
          </w:tcPr>
          <w:p w14:paraId="5B43B4AA"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w:t>
            </w:r>
          </w:p>
        </w:tc>
        <w:tc>
          <w:tcPr>
            <w:tcW w:w="640" w:type="pct"/>
            <w:tcBorders>
              <w:top w:val="single" w:sz="12" w:space="0" w:color="000000"/>
              <w:left w:val="nil"/>
              <w:bottom w:val="nil"/>
              <w:right w:val="nil"/>
            </w:tcBorders>
          </w:tcPr>
          <w:p w14:paraId="4F76B8CC"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w:t>
            </w:r>
          </w:p>
        </w:tc>
      </w:tr>
      <w:tr w:rsidR="008E3F72" w:rsidRPr="00F24F59" w14:paraId="7FD042B9" w14:textId="77777777" w:rsidTr="0010018A">
        <w:tc>
          <w:tcPr>
            <w:tcW w:w="1373" w:type="pct"/>
            <w:tcBorders>
              <w:top w:val="nil"/>
              <w:left w:val="nil"/>
              <w:bottom w:val="nil"/>
              <w:right w:val="nil"/>
            </w:tcBorders>
          </w:tcPr>
          <w:p w14:paraId="3C244741" w14:textId="3770CC46" w:rsidR="008E3F72" w:rsidRPr="00F24F59" w:rsidRDefault="008E3F72" w:rsidP="0010018A">
            <w:pPr>
              <w:pStyle w:val="TableParagraph"/>
              <w:widowControl/>
              <w:kinsoku w:val="0"/>
              <w:overflowPunct w:val="0"/>
              <w:jc w:val="both"/>
              <w:rPr>
                <w:noProof/>
                <w:sz w:val="20"/>
                <w:szCs w:val="20"/>
              </w:rPr>
            </w:pPr>
            <w:r w:rsidRPr="00F24F59">
              <w:rPr>
                <w:i/>
                <w:sz w:val="20"/>
                <w:szCs w:val="20"/>
              </w:rPr>
              <w:t>„Ciešs” vāks, no</w:t>
            </w:r>
            <w:r w:rsidR="00665A78">
              <w:rPr>
                <w:i/>
                <w:sz w:val="20"/>
                <w:szCs w:val="20"/>
              </w:rPr>
              <w:t>jume vai vieglas konstrukcijas (teltsveida) jumts</w:t>
            </w:r>
            <w:r w:rsidRPr="00F24F59">
              <w:rPr>
                <w:sz w:val="20"/>
                <w:szCs w:val="20"/>
              </w:rPr>
              <w:t xml:space="preserve"> (1. kat.)</w:t>
            </w:r>
          </w:p>
        </w:tc>
        <w:tc>
          <w:tcPr>
            <w:tcW w:w="672" w:type="pct"/>
            <w:tcBorders>
              <w:top w:val="nil"/>
              <w:left w:val="nil"/>
              <w:bottom w:val="nil"/>
              <w:right w:val="nil"/>
            </w:tcBorders>
          </w:tcPr>
          <w:p w14:paraId="56CE5CD5"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80</w:t>
            </w:r>
          </w:p>
        </w:tc>
        <w:tc>
          <w:tcPr>
            <w:tcW w:w="1558" w:type="pct"/>
            <w:tcBorders>
              <w:top w:val="nil"/>
              <w:left w:val="nil"/>
              <w:bottom w:val="nil"/>
              <w:right w:val="nil"/>
            </w:tcBorders>
          </w:tcPr>
          <w:p w14:paraId="45CC3783"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Betona vai tērauda tvertnes un torņi. Var nebūt piemērots paņēmiens esošajām krātuvēm.</w:t>
            </w:r>
          </w:p>
        </w:tc>
        <w:tc>
          <w:tcPr>
            <w:tcW w:w="757" w:type="pct"/>
            <w:tcBorders>
              <w:top w:val="nil"/>
              <w:left w:val="nil"/>
              <w:bottom w:val="nil"/>
              <w:right w:val="nil"/>
            </w:tcBorders>
          </w:tcPr>
          <w:p w14:paraId="467A7827"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2–4</w:t>
            </w:r>
          </w:p>
        </w:tc>
        <w:tc>
          <w:tcPr>
            <w:tcW w:w="640" w:type="pct"/>
            <w:tcBorders>
              <w:top w:val="nil"/>
              <w:left w:val="nil"/>
              <w:bottom w:val="nil"/>
              <w:right w:val="nil"/>
            </w:tcBorders>
          </w:tcPr>
          <w:p w14:paraId="636048A8"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1,0–2,5</w:t>
            </w:r>
          </w:p>
        </w:tc>
      </w:tr>
      <w:tr w:rsidR="008E3F72" w:rsidRPr="00F24F59" w14:paraId="4D859C44" w14:textId="77777777" w:rsidTr="0010018A">
        <w:tc>
          <w:tcPr>
            <w:tcW w:w="1373" w:type="pct"/>
            <w:tcBorders>
              <w:top w:val="nil"/>
              <w:left w:val="nil"/>
              <w:bottom w:val="nil"/>
              <w:right w:val="nil"/>
            </w:tcBorders>
          </w:tcPr>
          <w:p w14:paraId="739CB069"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Plastmasas plēve</w:t>
            </w:r>
            <w:r w:rsidRPr="00F24F59">
              <w:rPr>
                <w:sz w:val="20"/>
                <w:szCs w:val="20"/>
                <w:vertAlign w:val="superscript"/>
              </w:rPr>
              <w:t>b)</w:t>
            </w:r>
            <w:r w:rsidRPr="00F24F59">
              <w:rPr>
                <w:i/>
                <w:sz w:val="20"/>
                <w:szCs w:val="20"/>
              </w:rPr>
              <w:t xml:space="preserve"> </w:t>
            </w:r>
            <w:r w:rsidRPr="00F24F59">
              <w:rPr>
                <w:sz w:val="20"/>
                <w:szCs w:val="20"/>
              </w:rPr>
              <w:t>(peldošs pārsegums) (1. kat.)</w:t>
            </w:r>
          </w:p>
        </w:tc>
        <w:tc>
          <w:tcPr>
            <w:tcW w:w="672" w:type="pct"/>
            <w:tcBorders>
              <w:top w:val="nil"/>
              <w:left w:val="nil"/>
              <w:bottom w:val="nil"/>
              <w:right w:val="nil"/>
            </w:tcBorders>
          </w:tcPr>
          <w:p w14:paraId="5D289A10"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60</w:t>
            </w:r>
          </w:p>
        </w:tc>
        <w:tc>
          <w:tcPr>
            <w:tcW w:w="1558" w:type="pct"/>
            <w:tcBorders>
              <w:top w:val="nil"/>
              <w:left w:val="nil"/>
              <w:bottom w:val="nil"/>
              <w:right w:val="nil"/>
            </w:tcBorders>
          </w:tcPr>
          <w:p w14:paraId="79AB43A2"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Mazas, ar zemes valni nostiprinātas lagūnas.</w:t>
            </w:r>
          </w:p>
        </w:tc>
        <w:tc>
          <w:tcPr>
            <w:tcW w:w="757" w:type="pct"/>
            <w:tcBorders>
              <w:top w:val="nil"/>
              <w:left w:val="nil"/>
              <w:bottom w:val="nil"/>
              <w:right w:val="nil"/>
            </w:tcBorders>
          </w:tcPr>
          <w:p w14:paraId="3A4E864D"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1,5–3</w:t>
            </w:r>
          </w:p>
        </w:tc>
        <w:tc>
          <w:tcPr>
            <w:tcW w:w="640" w:type="pct"/>
            <w:tcBorders>
              <w:top w:val="nil"/>
              <w:left w:val="nil"/>
              <w:bottom w:val="nil"/>
              <w:right w:val="nil"/>
            </w:tcBorders>
          </w:tcPr>
          <w:p w14:paraId="718319E7"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0,6–1,3</w:t>
            </w:r>
          </w:p>
        </w:tc>
      </w:tr>
      <w:tr w:rsidR="008E3F72" w:rsidRPr="00F24F59" w14:paraId="0F994CFB" w14:textId="77777777" w:rsidTr="0010018A">
        <w:tc>
          <w:tcPr>
            <w:tcW w:w="1373" w:type="pct"/>
            <w:tcBorders>
              <w:top w:val="nil"/>
              <w:left w:val="nil"/>
              <w:bottom w:val="nil"/>
              <w:right w:val="nil"/>
            </w:tcBorders>
          </w:tcPr>
          <w:p w14:paraId="19C8C588" w14:textId="7B61F765" w:rsidR="008E3F72" w:rsidRPr="00F24F59" w:rsidRDefault="00665A78" w:rsidP="0010018A">
            <w:pPr>
              <w:pStyle w:val="TableParagraph"/>
              <w:widowControl/>
              <w:kinsoku w:val="0"/>
              <w:overflowPunct w:val="0"/>
              <w:jc w:val="both"/>
              <w:rPr>
                <w:noProof/>
                <w:sz w:val="20"/>
                <w:szCs w:val="20"/>
              </w:rPr>
            </w:pPr>
            <w:r>
              <w:rPr>
                <w:sz w:val="20"/>
                <w:szCs w:val="20"/>
              </w:rPr>
              <w:t>Ļauj veidoties dabiskam segslānim</w:t>
            </w:r>
            <w:r w:rsidR="008E3F72" w:rsidRPr="00F24F59">
              <w:rPr>
                <w:sz w:val="20"/>
                <w:szCs w:val="20"/>
              </w:rPr>
              <w:t>, mazāk maisot un papildinot kūtsmēslu krājumu zem virsmas (peldošais segums) (1. kat.)</w:t>
            </w:r>
          </w:p>
        </w:tc>
        <w:tc>
          <w:tcPr>
            <w:tcW w:w="672" w:type="pct"/>
            <w:tcBorders>
              <w:top w:val="nil"/>
              <w:left w:val="nil"/>
              <w:bottom w:val="nil"/>
              <w:right w:val="nil"/>
            </w:tcBorders>
          </w:tcPr>
          <w:p w14:paraId="464EAA4D"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40</w:t>
            </w:r>
          </w:p>
        </w:tc>
        <w:tc>
          <w:tcPr>
            <w:tcW w:w="1558" w:type="pct"/>
            <w:tcBorders>
              <w:top w:val="nil"/>
              <w:left w:val="nil"/>
              <w:bottom w:val="nil"/>
              <w:right w:val="nil"/>
            </w:tcBorders>
          </w:tcPr>
          <w:p w14:paraId="52E83924" w14:textId="70F98B4C" w:rsidR="008E3F72" w:rsidRPr="00F24F59" w:rsidRDefault="008E3F72" w:rsidP="0010018A">
            <w:pPr>
              <w:pStyle w:val="TableParagraph"/>
              <w:widowControl/>
              <w:kinsoku w:val="0"/>
              <w:overflowPunct w:val="0"/>
              <w:jc w:val="both"/>
              <w:rPr>
                <w:noProof/>
                <w:sz w:val="20"/>
                <w:szCs w:val="20"/>
              </w:rPr>
            </w:pPr>
            <w:r w:rsidRPr="00F24F59">
              <w:rPr>
                <w:sz w:val="20"/>
                <w:szCs w:val="20"/>
              </w:rPr>
              <w:t xml:space="preserve">Tikai šķidrajiem kūtsmēsliem ar lielāku šķiedrvielu saturu. Nav piemērots saimniecībām, kur paredzams, </w:t>
            </w:r>
            <w:r w:rsidR="009367E7">
              <w:rPr>
                <w:sz w:val="20"/>
                <w:szCs w:val="20"/>
              </w:rPr>
              <w:t>ka mēsli tiks maisīti un segslāņa</w:t>
            </w:r>
            <w:r w:rsidRPr="00F24F59">
              <w:rPr>
                <w:sz w:val="20"/>
                <w:szCs w:val="20"/>
              </w:rPr>
              <w:t xml:space="preserve"> veidošanās traucēta šķidro kūtsmēslu</w:t>
            </w:r>
            <w:r w:rsidR="009367E7">
              <w:rPr>
                <w:sz w:val="20"/>
                <w:szCs w:val="20"/>
              </w:rPr>
              <w:t xml:space="preserve"> biežas izmantošanas dēļ. Segslānis</w:t>
            </w:r>
            <w:r w:rsidRPr="00F24F59">
              <w:rPr>
                <w:sz w:val="20"/>
                <w:szCs w:val="20"/>
              </w:rPr>
              <w:t xml:space="preserve"> virs cūku mēsliem vēsos klimatiskajos apstākļos var neveidoties.</w:t>
            </w:r>
          </w:p>
        </w:tc>
        <w:tc>
          <w:tcPr>
            <w:tcW w:w="757" w:type="pct"/>
            <w:tcBorders>
              <w:top w:val="nil"/>
              <w:left w:val="nil"/>
              <w:bottom w:val="nil"/>
              <w:right w:val="nil"/>
            </w:tcBorders>
          </w:tcPr>
          <w:p w14:paraId="31E50CDF"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0</w:t>
            </w:r>
          </w:p>
        </w:tc>
        <w:tc>
          <w:tcPr>
            <w:tcW w:w="640" w:type="pct"/>
            <w:tcBorders>
              <w:top w:val="nil"/>
              <w:left w:val="nil"/>
              <w:bottom w:val="nil"/>
              <w:right w:val="nil"/>
            </w:tcBorders>
          </w:tcPr>
          <w:p w14:paraId="3B2B84FA"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0</w:t>
            </w:r>
          </w:p>
        </w:tc>
      </w:tr>
      <w:tr w:rsidR="008E3F72" w:rsidRPr="00F24F59" w14:paraId="6C0CBBD6" w14:textId="77777777" w:rsidTr="0010018A">
        <w:tc>
          <w:tcPr>
            <w:tcW w:w="1373" w:type="pct"/>
            <w:tcBorders>
              <w:top w:val="nil"/>
              <w:left w:val="nil"/>
              <w:bottom w:val="nil"/>
              <w:right w:val="nil"/>
            </w:tcBorders>
          </w:tcPr>
          <w:p w14:paraId="072AEAB7"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Lagūnas utt. aizstāšana ar segtām tvertnēm vai augstām vaļējām tvertnēm (dziļums</w:t>
            </w:r>
          </w:p>
          <w:p w14:paraId="147B246F"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&gt; 3 m) (1. kat.)</w:t>
            </w:r>
          </w:p>
        </w:tc>
        <w:tc>
          <w:tcPr>
            <w:tcW w:w="672" w:type="pct"/>
            <w:tcBorders>
              <w:top w:val="nil"/>
              <w:left w:val="nil"/>
              <w:bottom w:val="nil"/>
              <w:right w:val="nil"/>
            </w:tcBorders>
          </w:tcPr>
          <w:p w14:paraId="53316168"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30–60</w:t>
            </w:r>
          </w:p>
        </w:tc>
        <w:tc>
          <w:tcPr>
            <w:tcW w:w="1558" w:type="pct"/>
            <w:tcBorders>
              <w:top w:val="nil"/>
              <w:left w:val="nil"/>
              <w:bottom w:val="nil"/>
              <w:right w:val="nil"/>
            </w:tcBorders>
          </w:tcPr>
          <w:p w14:paraId="2872BDA1"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Tikai no jauna uzbūvētās krātuvēs, ievērojot ierobežojumus lielāka augstuma objektu plānošanai.</w:t>
            </w:r>
          </w:p>
        </w:tc>
        <w:tc>
          <w:tcPr>
            <w:tcW w:w="757" w:type="pct"/>
            <w:tcBorders>
              <w:top w:val="nil"/>
              <w:left w:val="nil"/>
              <w:bottom w:val="nil"/>
              <w:right w:val="nil"/>
            </w:tcBorders>
          </w:tcPr>
          <w:p w14:paraId="54E1A413"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15 (aptuveni</w:t>
            </w:r>
          </w:p>
          <w:p w14:paraId="6F605DE4"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50 % no tvertnes</w:t>
            </w:r>
          </w:p>
          <w:p w14:paraId="5EFEF0BB"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izmaksām)</w:t>
            </w:r>
          </w:p>
        </w:tc>
        <w:tc>
          <w:tcPr>
            <w:tcW w:w="640" w:type="pct"/>
            <w:tcBorders>
              <w:top w:val="nil"/>
              <w:left w:val="nil"/>
              <w:bottom w:val="nil"/>
              <w:right w:val="nil"/>
            </w:tcBorders>
          </w:tcPr>
          <w:p w14:paraId="75662E57"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w:t>
            </w:r>
          </w:p>
        </w:tc>
      </w:tr>
      <w:tr w:rsidR="008E3F72" w:rsidRPr="00F24F59" w14:paraId="68FDC0AD" w14:textId="77777777" w:rsidTr="0010018A">
        <w:tc>
          <w:tcPr>
            <w:tcW w:w="1373" w:type="pct"/>
            <w:tcBorders>
              <w:top w:val="nil"/>
              <w:left w:val="nil"/>
              <w:bottom w:val="nil"/>
              <w:right w:val="nil"/>
            </w:tcBorders>
          </w:tcPr>
          <w:p w14:paraId="3F8EE0E0"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Maisi kūtsmēslu uzglabāšanai (1. kat.)</w:t>
            </w:r>
          </w:p>
        </w:tc>
        <w:tc>
          <w:tcPr>
            <w:tcW w:w="672" w:type="pct"/>
            <w:tcBorders>
              <w:top w:val="nil"/>
              <w:left w:val="nil"/>
              <w:bottom w:val="nil"/>
              <w:right w:val="nil"/>
            </w:tcBorders>
          </w:tcPr>
          <w:p w14:paraId="6755CD03"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100</w:t>
            </w:r>
          </w:p>
        </w:tc>
        <w:tc>
          <w:tcPr>
            <w:tcW w:w="1558" w:type="pct"/>
            <w:tcBorders>
              <w:top w:val="nil"/>
              <w:left w:val="nil"/>
              <w:bottom w:val="nil"/>
              <w:right w:val="nil"/>
            </w:tcBorders>
          </w:tcPr>
          <w:p w14:paraId="61A6CB8C"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Maisu izmēri var ierobežot to izmantošanu lielākās lopkopības saimniecībās.</w:t>
            </w:r>
          </w:p>
        </w:tc>
        <w:tc>
          <w:tcPr>
            <w:tcW w:w="757" w:type="pct"/>
            <w:tcBorders>
              <w:top w:val="nil"/>
              <w:left w:val="nil"/>
              <w:bottom w:val="nil"/>
              <w:right w:val="nil"/>
            </w:tcBorders>
          </w:tcPr>
          <w:p w14:paraId="56DBA36F"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2,50</w:t>
            </w:r>
          </w:p>
          <w:p w14:paraId="4319B08A"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(ietver uzglabāšanas izmaksas)</w:t>
            </w:r>
          </w:p>
        </w:tc>
        <w:tc>
          <w:tcPr>
            <w:tcW w:w="640" w:type="pct"/>
            <w:tcBorders>
              <w:top w:val="nil"/>
              <w:left w:val="nil"/>
              <w:bottom w:val="nil"/>
              <w:right w:val="nil"/>
            </w:tcBorders>
          </w:tcPr>
          <w:p w14:paraId="4B968875"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w:t>
            </w:r>
          </w:p>
        </w:tc>
      </w:tr>
      <w:tr w:rsidR="008E3F72" w:rsidRPr="00F24F59" w14:paraId="5B4676EA" w14:textId="77777777" w:rsidTr="0010018A">
        <w:tc>
          <w:tcPr>
            <w:tcW w:w="1373" w:type="pct"/>
            <w:tcBorders>
              <w:top w:val="nil"/>
              <w:left w:val="nil"/>
              <w:bottom w:val="nil"/>
              <w:right w:val="nil"/>
            </w:tcBorders>
          </w:tcPr>
          <w:p w14:paraId="69D59452"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Peldošās</w:t>
            </w:r>
            <w:r w:rsidRPr="00F24F59">
              <w:rPr>
                <w:i/>
                <w:sz w:val="20"/>
                <w:szCs w:val="20"/>
              </w:rPr>
              <w:t xml:space="preserve"> LECA</w:t>
            </w:r>
            <w:r w:rsidRPr="00F24F59">
              <w:rPr>
                <w:sz w:val="20"/>
                <w:szCs w:val="20"/>
              </w:rPr>
              <w:t xml:space="preserve"> lodītes, </w:t>
            </w:r>
            <w:r w:rsidRPr="00F24F59">
              <w:rPr>
                <w:i/>
                <w:sz w:val="20"/>
                <w:szCs w:val="20"/>
              </w:rPr>
              <w:t>Hexa Cover</w:t>
            </w:r>
            <w:r w:rsidRPr="00F24F59">
              <w:rPr>
                <w:sz w:val="20"/>
                <w:szCs w:val="20"/>
              </w:rPr>
              <w:t xml:space="preserve"> produkti (1. kat.)</w:t>
            </w:r>
          </w:p>
        </w:tc>
        <w:tc>
          <w:tcPr>
            <w:tcW w:w="672" w:type="pct"/>
            <w:tcBorders>
              <w:top w:val="nil"/>
              <w:left w:val="nil"/>
              <w:bottom w:val="nil"/>
              <w:right w:val="nil"/>
            </w:tcBorders>
          </w:tcPr>
          <w:p w14:paraId="41A80812"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60</w:t>
            </w:r>
          </w:p>
        </w:tc>
        <w:tc>
          <w:tcPr>
            <w:tcW w:w="1558" w:type="pct"/>
            <w:tcBorders>
              <w:top w:val="nil"/>
              <w:left w:val="nil"/>
              <w:bottom w:val="nil"/>
              <w:right w:val="nil"/>
            </w:tcBorders>
          </w:tcPr>
          <w:p w14:paraId="664A8529" w14:textId="2DE9FF8B" w:rsidR="008E3F72" w:rsidRPr="00F24F59" w:rsidRDefault="008E3F72" w:rsidP="0010018A">
            <w:pPr>
              <w:pStyle w:val="TableParagraph"/>
              <w:widowControl/>
              <w:kinsoku w:val="0"/>
              <w:overflowPunct w:val="0"/>
              <w:jc w:val="both"/>
              <w:rPr>
                <w:noProof/>
                <w:sz w:val="20"/>
                <w:szCs w:val="20"/>
              </w:rPr>
            </w:pPr>
            <w:r w:rsidRPr="00F24F59">
              <w:rPr>
                <w:sz w:val="20"/>
                <w:szCs w:val="20"/>
              </w:rPr>
              <w:t>Nav piemēroti kūtsmē</w:t>
            </w:r>
            <w:r w:rsidR="009367E7">
              <w:rPr>
                <w:sz w:val="20"/>
                <w:szCs w:val="20"/>
              </w:rPr>
              <w:t>sliem, uz kuriem veidojas segslānis</w:t>
            </w:r>
          </w:p>
        </w:tc>
        <w:tc>
          <w:tcPr>
            <w:tcW w:w="757" w:type="pct"/>
            <w:tcBorders>
              <w:top w:val="nil"/>
              <w:left w:val="nil"/>
              <w:bottom w:val="nil"/>
              <w:right w:val="nil"/>
            </w:tcBorders>
          </w:tcPr>
          <w:p w14:paraId="53E361F1" w14:textId="048F4B0D" w:rsidR="008E3F72" w:rsidRPr="00F24F59" w:rsidRDefault="008E3F72" w:rsidP="0010018A">
            <w:pPr>
              <w:pStyle w:val="TableParagraph"/>
              <w:widowControl/>
              <w:kinsoku w:val="0"/>
              <w:overflowPunct w:val="0"/>
              <w:jc w:val="both"/>
              <w:rPr>
                <w:noProof/>
                <w:sz w:val="20"/>
                <w:szCs w:val="20"/>
              </w:rPr>
            </w:pPr>
            <w:r w:rsidRPr="00F24F59">
              <w:rPr>
                <w:sz w:val="20"/>
                <w:szCs w:val="20"/>
              </w:rPr>
              <w:t>1–4</w:t>
            </w:r>
          </w:p>
        </w:tc>
        <w:tc>
          <w:tcPr>
            <w:tcW w:w="640" w:type="pct"/>
            <w:tcBorders>
              <w:top w:val="nil"/>
              <w:left w:val="nil"/>
              <w:bottom w:val="nil"/>
              <w:right w:val="nil"/>
            </w:tcBorders>
          </w:tcPr>
          <w:p w14:paraId="5531318B"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1–5</w:t>
            </w:r>
          </w:p>
        </w:tc>
      </w:tr>
      <w:tr w:rsidR="008E3F72" w:rsidRPr="00F24F59" w14:paraId="17D0AA89" w14:textId="77777777" w:rsidTr="0010018A">
        <w:tc>
          <w:tcPr>
            <w:tcW w:w="1373" w:type="pct"/>
            <w:tcBorders>
              <w:top w:val="nil"/>
              <w:left w:val="nil"/>
              <w:bottom w:val="nil"/>
              <w:right w:val="nil"/>
            </w:tcBorders>
          </w:tcPr>
          <w:p w14:paraId="394CCB8C"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Plastmasas plēve</w:t>
            </w:r>
            <w:r w:rsidRPr="00F24F59">
              <w:rPr>
                <w:sz w:val="20"/>
                <w:szCs w:val="20"/>
                <w:vertAlign w:val="superscript"/>
              </w:rPr>
              <w:t>b)</w:t>
            </w:r>
            <w:r w:rsidRPr="00F24F59">
              <w:rPr>
                <w:i/>
                <w:sz w:val="20"/>
                <w:szCs w:val="20"/>
              </w:rPr>
              <w:t xml:space="preserve"> </w:t>
            </w:r>
            <w:r w:rsidRPr="00F24F59">
              <w:rPr>
                <w:sz w:val="20"/>
                <w:szCs w:val="20"/>
              </w:rPr>
              <w:t>(peldošs pārsegums) (2. kat.)</w:t>
            </w:r>
          </w:p>
        </w:tc>
        <w:tc>
          <w:tcPr>
            <w:tcW w:w="672" w:type="pct"/>
            <w:tcBorders>
              <w:top w:val="nil"/>
              <w:left w:val="nil"/>
              <w:bottom w:val="nil"/>
              <w:right w:val="nil"/>
            </w:tcBorders>
          </w:tcPr>
          <w:p w14:paraId="522979D9"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60</w:t>
            </w:r>
          </w:p>
        </w:tc>
        <w:tc>
          <w:tcPr>
            <w:tcW w:w="1558" w:type="pct"/>
            <w:tcBorders>
              <w:top w:val="nil"/>
              <w:left w:val="nil"/>
              <w:bottom w:val="nil"/>
              <w:right w:val="nil"/>
            </w:tcBorders>
          </w:tcPr>
          <w:p w14:paraId="1C345852" w14:textId="645FCDDB" w:rsidR="008E3F72" w:rsidRPr="00F24F59" w:rsidRDefault="008E3F72" w:rsidP="0010018A">
            <w:pPr>
              <w:pStyle w:val="TableParagraph"/>
              <w:widowControl/>
              <w:kinsoku w:val="0"/>
              <w:overflowPunct w:val="0"/>
              <w:jc w:val="both"/>
              <w:rPr>
                <w:noProof/>
                <w:sz w:val="20"/>
                <w:szCs w:val="20"/>
              </w:rPr>
            </w:pPr>
            <w:r w:rsidRPr="00F24F59">
              <w:rPr>
                <w:sz w:val="20"/>
                <w:szCs w:val="20"/>
              </w:rPr>
              <w:t xml:space="preserve">Lielas, ar zemes valni nostiprinātas lagūnas un betona vai tērauda tvertnes. Šī </w:t>
            </w:r>
            <w:r w:rsidRPr="00F24F59">
              <w:rPr>
                <w:sz w:val="20"/>
                <w:szCs w:val="20"/>
              </w:rPr>
              <w:lastRenderedPageBreak/>
              <w:t>paņēmiena izmanto</w:t>
            </w:r>
            <w:r w:rsidR="009367E7">
              <w:rPr>
                <w:sz w:val="20"/>
                <w:szCs w:val="20"/>
              </w:rPr>
              <w:t>šanu var ierobežot ar apsaimniekošanu</w:t>
            </w:r>
            <w:r w:rsidRPr="00F24F59">
              <w:rPr>
                <w:sz w:val="20"/>
                <w:szCs w:val="20"/>
              </w:rPr>
              <w:t xml:space="preserve"> saistīti faktori un citi faktori</w:t>
            </w:r>
          </w:p>
        </w:tc>
        <w:tc>
          <w:tcPr>
            <w:tcW w:w="757" w:type="pct"/>
            <w:tcBorders>
              <w:top w:val="nil"/>
              <w:left w:val="nil"/>
              <w:bottom w:val="nil"/>
              <w:right w:val="nil"/>
            </w:tcBorders>
          </w:tcPr>
          <w:p w14:paraId="1F2CF724"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lastRenderedPageBreak/>
              <w:t>1,50–3</w:t>
            </w:r>
          </w:p>
        </w:tc>
        <w:tc>
          <w:tcPr>
            <w:tcW w:w="640" w:type="pct"/>
            <w:tcBorders>
              <w:top w:val="nil"/>
              <w:left w:val="nil"/>
              <w:bottom w:val="nil"/>
              <w:right w:val="nil"/>
            </w:tcBorders>
          </w:tcPr>
          <w:p w14:paraId="1B11E025"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0,5–1,3</w:t>
            </w:r>
          </w:p>
        </w:tc>
      </w:tr>
      <w:tr w:rsidR="008E3F72" w:rsidRPr="00F24F59" w14:paraId="483F3F07" w14:textId="77777777" w:rsidTr="0010018A">
        <w:tc>
          <w:tcPr>
            <w:tcW w:w="1373" w:type="pct"/>
            <w:tcBorders>
              <w:top w:val="nil"/>
              <w:left w:val="nil"/>
              <w:bottom w:val="single" w:sz="12" w:space="0" w:color="000000"/>
              <w:right w:val="nil"/>
            </w:tcBorders>
          </w:tcPr>
          <w:p w14:paraId="3B2AFAFF"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lastRenderedPageBreak/>
              <w:t>„Zemas tehnoloģijas” peldošie segumi (piemēram, kapāti salmi, kūdra, miza utt.) (2. kat.)</w:t>
            </w:r>
          </w:p>
        </w:tc>
        <w:tc>
          <w:tcPr>
            <w:tcW w:w="672" w:type="pct"/>
            <w:tcBorders>
              <w:top w:val="nil"/>
              <w:left w:val="nil"/>
              <w:bottom w:val="single" w:sz="12" w:space="0" w:color="000000"/>
              <w:right w:val="nil"/>
            </w:tcBorders>
          </w:tcPr>
          <w:p w14:paraId="7AEBEF6F"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40</w:t>
            </w:r>
          </w:p>
        </w:tc>
        <w:tc>
          <w:tcPr>
            <w:tcW w:w="1558" w:type="pct"/>
            <w:tcBorders>
              <w:top w:val="nil"/>
              <w:left w:val="nil"/>
              <w:bottom w:val="single" w:sz="12" w:space="0" w:color="000000"/>
              <w:right w:val="nil"/>
            </w:tcBorders>
          </w:tcPr>
          <w:p w14:paraId="484D7D9E"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Betona vai tērauda tvertnes un torņi. Iespējams, nav derīgi lielām, ar zemes valni nostiprinātām lagūnām no praktiska viedokļa. Nav piemērots paņēmiens, ja izmantotais materiāls var traucēt rīkoties ar kūtsmēsliem.</w:t>
            </w:r>
          </w:p>
        </w:tc>
        <w:tc>
          <w:tcPr>
            <w:tcW w:w="757" w:type="pct"/>
            <w:tcBorders>
              <w:top w:val="nil"/>
              <w:left w:val="nil"/>
              <w:bottom w:val="single" w:sz="12" w:space="0" w:color="000000"/>
              <w:right w:val="nil"/>
            </w:tcBorders>
          </w:tcPr>
          <w:p w14:paraId="5FD8FFD2"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1,50–2,50</w:t>
            </w:r>
          </w:p>
        </w:tc>
        <w:tc>
          <w:tcPr>
            <w:tcW w:w="640" w:type="pct"/>
            <w:tcBorders>
              <w:top w:val="nil"/>
              <w:left w:val="nil"/>
              <w:bottom w:val="single" w:sz="12" w:space="0" w:color="000000"/>
              <w:right w:val="nil"/>
            </w:tcBorders>
          </w:tcPr>
          <w:p w14:paraId="22DB0AEF" w14:textId="77777777" w:rsidR="008E3F72" w:rsidRPr="00F24F59" w:rsidRDefault="008E3F72" w:rsidP="0010018A">
            <w:pPr>
              <w:pStyle w:val="TableParagraph"/>
              <w:widowControl/>
              <w:kinsoku w:val="0"/>
              <w:overflowPunct w:val="0"/>
              <w:jc w:val="both"/>
              <w:rPr>
                <w:noProof/>
                <w:sz w:val="20"/>
                <w:szCs w:val="20"/>
              </w:rPr>
            </w:pPr>
            <w:r w:rsidRPr="00F24F59">
              <w:rPr>
                <w:sz w:val="20"/>
                <w:szCs w:val="20"/>
              </w:rPr>
              <w:t>0,3–0,9</w:t>
            </w:r>
          </w:p>
        </w:tc>
      </w:tr>
    </w:tbl>
    <w:p w14:paraId="69E7F83F"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Piezīme. </w:t>
      </w:r>
      <w:r w:rsidRPr="00F35F4D">
        <w:rPr>
          <w:noProof/>
          <w:sz w:val="24"/>
        </w:rPr>
        <w:t xml:space="preserve">Informāciju par ekonomiskajām izmaksām saistībā ar paņēmieniem emisijas samazināšanai var atrast avotā </w:t>
      </w:r>
      <w:r w:rsidRPr="00F35F4D">
        <w:rPr>
          <w:i/>
          <w:noProof/>
          <w:sz w:val="24"/>
        </w:rPr>
        <w:t>Reis</w:t>
      </w:r>
      <w:r w:rsidRPr="00F35F4D">
        <w:rPr>
          <w:noProof/>
          <w:sz w:val="24"/>
        </w:rPr>
        <w:t xml:space="preserve"> (drīzumā).</w:t>
      </w:r>
    </w:p>
    <w:p w14:paraId="032B8605" w14:textId="292730B3" w:rsidR="008E3F72" w:rsidRPr="00F35F4D" w:rsidRDefault="008E3F72" w:rsidP="008E3F72">
      <w:pPr>
        <w:pStyle w:val="BodyText"/>
        <w:widowControl/>
        <w:kinsoku w:val="0"/>
        <w:overflowPunct w:val="0"/>
        <w:spacing w:before="0"/>
        <w:ind w:left="0"/>
        <w:jc w:val="both"/>
        <w:rPr>
          <w:noProof/>
          <w:sz w:val="24"/>
          <w:szCs w:val="24"/>
        </w:rPr>
      </w:pPr>
      <w:r w:rsidRPr="00F35F4D">
        <w:rPr>
          <w:vertAlign w:val="superscript"/>
        </w:rPr>
        <w:t>a)</w:t>
      </w:r>
      <w:r w:rsidRPr="00F35F4D">
        <w:t xml:space="preserve"> Aprēķins veikts par cūku šķidro kūtsmēslu uzglabāšanu krātuvēs, kuru ietilpība ir no 500 līdz 5000 m³, Centrāleiropas mērenā klimata zonā.</w:t>
      </w:r>
      <w:r w:rsidRPr="00F35F4D">
        <w:rPr>
          <w:noProof/>
          <w:sz w:val="24"/>
        </w:rPr>
        <w:t xml:space="preserve"> Atsaucei izmant</w:t>
      </w:r>
      <w:r w:rsidR="009367E7">
        <w:rPr>
          <w:noProof/>
          <w:sz w:val="24"/>
        </w:rPr>
        <w:t>o šķidros kūtsmēslus bez segslāņa</w:t>
      </w:r>
      <w:r w:rsidRPr="00F35F4D">
        <w:rPr>
          <w:noProof/>
          <w:sz w:val="24"/>
        </w:rPr>
        <w:t>.</w:t>
      </w:r>
    </w:p>
    <w:p w14:paraId="37C12E55"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vertAlign w:val="superscript"/>
        </w:rPr>
        <w:t>b)</w:t>
      </w:r>
      <w:r w:rsidRPr="00F35F4D">
        <w:t xml:space="preserve"> Segumam var izmantot plastmasu, brezentu vai citu piemērotu materiālu.</w:t>
      </w:r>
    </w:p>
    <w:p w14:paraId="091B356C" w14:textId="77777777" w:rsidR="008E3F72" w:rsidRPr="00F35F4D" w:rsidRDefault="008E3F72" w:rsidP="008E3F72">
      <w:pPr>
        <w:pStyle w:val="BodyText"/>
        <w:widowControl/>
        <w:kinsoku w:val="0"/>
        <w:overflowPunct w:val="0"/>
        <w:spacing w:before="0"/>
        <w:ind w:left="0"/>
        <w:jc w:val="both"/>
        <w:rPr>
          <w:noProof/>
          <w:sz w:val="24"/>
          <w:szCs w:val="24"/>
        </w:rPr>
      </w:pPr>
      <w:r w:rsidRPr="00F35F4D">
        <w:br w:type="page"/>
      </w:r>
    </w:p>
    <w:p w14:paraId="464C76E4" w14:textId="3C97B2B6" w:rsidR="00F24F59" w:rsidRPr="00F24F59" w:rsidRDefault="00F24F59" w:rsidP="00F24F59">
      <w:pPr>
        <w:pStyle w:val="Heading2"/>
        <w:widowControl/>
        <w:kinsoku w:val="0"/>
        <w:overflowPunct w:val="0"/>
        <w:ind w:left="360"/>
        <w:jc w:val="right"/>
        <w:rPr>
          <w:rFonts w:ascii="Times New Roman" w:hAnsi="Times New Roman" w:cs="Times New Roman"/>
          <w:noProof/>
          <w:color w:val="0D0D0D"/>
          <w:sz w:val="40"/>
        </w:rPr>
      </w:pPr>
      <w:bookmarkStart w:id="13" w:name="_Toc426033265"/>
      <w:r w:rsidRPr="00F24F59">
        <w:rPr>
          <w:rFonts w:ascii="Times New Roman" w:hAnsi="Times New Roman" w:cs="Times New Roman"/>
          <w:noProof/>
          <w:color w:val="0D0D0D"/>
          <w:sz w:val="40"/>
        </w:rPr>
        <w:lastRenderedPageBreak/>
        <w:t>7. nodaļa</w:t>
      </w:r>
      <w:bookmarkEnd w:id="13"/>
    </w:p>
    <w:p w14:paraId="7E79E80F" w14:textId="77777777" w:rsidR="00F24F59" w:rsidRDefault="00F24F59" w:rsidP="008E3F72">
      <w:pPr>
        <w:pStyle w:val="Heading2"/>
        <w:widowControl/>
        <w:kinsoku w:val="0"/>
        <w:overflowPunct w:val="0"/>
        <w:ind w:left="0"/>
        <w:jc w:val="both"/>
        <w:rPr>
          <w:rFonts w:ascii="Times New Roman" w:hAnsi="Times New Roman" w:cs="Times New Roman"/>
          <w:noProof/>
          <w:color w:val="0D0D0D"/>
          <w:sz w:val="24"/>
        </w:rPr>
      </w:pPr>
    </w:p>
    <w:p w14:paraId="73DD1FBC" w14:textId="41F5E396" w:rsidR="008E3F72" w:rsidRPr="00F35F4D" w:rsidRDefault="008E3F72" w:rsidP="00F24F59">
      <w:pPr>
        <w:pStyle w:val="Heading1"/>
        <w:rPr>
          <w:szCs w:val="24"/>
        </w:rPr>
      </w:pPr>
      <w:bookmarkStart w:id="14" w:name="_Toc426033266"/>
      <w:r w:rsidRPr="00F35F4D">
        <w:t xml:space="preserve">Kūtsmēslu </w:t>
      </w:r>
      <w:bookmarkEnd w:id="14"/>
      <w:r w:rsidR="009367E7">
        <w:t>lietošanas metodes</w:t>
      </w:r>
    </w:p>
    <w:p w14:paraId="051775A6" w14:textId="77777777" w:rsidR="008E3F72" w:rsidRPr="00F35F4D" w:rsidRDefault="008E3F72" w:rsidP="008E3F72">
      <w:pPr>
        <w:rPr>
          <w:noProof/>
        </w:rPr>
      </w:pPr>
    </w:p>
    <w:p w14:paraId="700908A4"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J. Webb, S.T.J. Lalor, S. Bittman, T. Misselbrook, M.A. Sutton, H. Menzi, H. Döhler, K. Smith, S. Gyldenkaerne, N.J. Hutchings, K. van der Hoek, E. Fiani, S. Lukin, Z. Klimont</w:t>
      </w:r>
    </w:p>
    <w:p w14:paraId="259D6348" w14:textId="77777777" w:rsidR="008E3F72" w:rsidRPr="00F35F4D" w:rsidRDefault="008E3F72" w:rsidP="008E3F72">
      <w:pPr>
        <w:pStyle w:val="BodyText"/>
        <w:widowControl/>
        <w:kinsoku w:val="0"/>
        <w:overflowPunct w:val="0"/>
        <w:spacing w:before="0"/>
        <w:ind w:left="0"/>
        <w:jc w:val="both"/>
        <w:rPr>
          <w:i/>
          <w:iCs/>
          <w:noProof/>
          <w:sz w:val="24"/>
          <w:szCs w:val="24"/>
        </w:rPr>
      </w:pPr>
    </w:p>
    <w:p w14:paraId="21F6839F" w14:textId="521F9B16" w:rsidR="008E3F72" w:rsidRPr="00CD1311"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i/>
        </w:rPr>
        <w:t>Atsauces paņēmiens.</w:t>
      </w:r>
      <w:r w:rsidRPr="00F35F4D">
        <w:rPr>
          <w:noProof/>
          <w:sz w:val="24"/>
        </w:rPr>
        <w:t xml:space="preserve"> Par atsauces paņēmienu kūtsmēslu lietošanai pieņ</w:t>
      </w:r>
      <w:r w:rsidR="00CC42D4">
        <w:rPr>
          <w:noProof/>
          <w:sz w:val="24"/>
        </w:rPr>
        <w:t>em neapstrādātu šķidro vai</w:t>
      </w:r>
      <w:r w:rsidR="00C7060E">
        <w:rPr>
          <w:noProof/>
          <w:sz w:val="24"/>
        </w:rPr>
        <w:t xml:space="preserve"> pakaišu kūtsmēslu izkliedēšanu („izplatīšanu</w:t>
      </w:r>
      <w:r w:rsidRPr="00F35F4D">
        <w:rPr>
          <w:noProof/>
          <w:sz w:val="24"/>
        </w:rPr>
        <w:t>”) pa visu augsnes virsmu bez sekojošas iestrādes un tādu laika apstākļu izvēles, kas samazinātu NH3 zudumus. Piemēram, šķidro kūtsmēslu gadījumā parasti tiktu izmantota cisterna, kas aprīkota ar izplūdes sprauslu</w:t>
      </w:r>
      <w:r w:rsidR="00CC42D4">
        <w:rPr>
          <w:noProof/>
          <w:sz w:val="24"/>
        </w:rPr>
        <w:t xml:space="preserve"> un pretšļakstes aizsargu. Pakaišu</w:t>
      </w:r>
      <w:r w:rsidRPr="00F35F4D">
        <w:rPr>
          <w:noProof/>
          <w:sz w:val="24"/>
        </w:rPr>
        <w:t xml:space="preserve"> kūtsmēslu gadījumā par atsauci varētu pieņemt kūtsmēslu atstāšanu uz augsnes virskārtas bez tālākas iestrādes augsnē.</w:t>
      </w:r>
    </w:p>
    <w:p w14:paraId="36EAD4AF"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092422A9" w14:textId="4ADEE004" w:rsidR="008E3F72" w:rsidRPr="00CD1311"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noProof/>
          <w:sz w:val="24"/>
        </w:rPr>
        <w:t>NH3 emisija no atsauces paņēmiena, kas izteikta procentos no mēslošanai izmantotā amonjaka slāpekļa kopējā daudzums (N-NH3</w:t>
      </w:r>
      <w:r w:rsidRPr="00F35F4D">
        <w:rPr>
          <w:noProof/>
          <w:sz w:val="24"/>
          <w:vertAlign w:val="subscript"/>
        </w:rPr>
        <w:t>kop.</w:t>
      </w:r>
      <w:r w:rsidRPr="00F35F4D">
        <w:rPr>
          <w:noProof/>
          <w:sz w:val="24"/>
        </w:rPr>
        <w:t>), parasti ir 40–60 % diapazonā (kaut arī nereti emisija ir ārpus šī diapazona). Emisija</w:t>
      </w:r>
      <w:r w:rsidR="00CC42D4">
        <w:rPr>
          <w:noProof/>
          <w:sz w:val="24"/>
        </w:rPr>
        <w:t xml:space="preserve"> ir atkarīga no šķidro vai</w:t>
      </w:r>
      <w:r w:rsidR="00C7060E">
        <w:rPr>
          <w:noProof/>
          <w:sz w:val="24"/>
        </w:rPr>
        <w:t xml:space="preserve"> pakaišu</w:t>
      </w:r>
      <w:r w:rsidRPr="00F35F4D">
        <w:rPr>
          <w:noProof/>
          <w:sz w:val="24"/>
        </w:rPr>
        <w:t xml:space="preserve"> kūtsmēslu sastāva un valdošajiem klimatiskajiem un augsnes apstākļiem. NH3 emisiju, kas izteikta procentos no mēslošanai izmantotā N-NH3</w:t>
      </w:r>
      <w:r w:rsidRPr="00F35F4D">
        <w:rPr>
          <w:noProof/>
          <w:sz w:val="24"/>
          <w:vertAlign w:val="subscript"/>
        </w:rPr>
        <w:t>kop.</w:t>
      </w:r>
      <w:r w:rsidRPr="00F35F4D">
        <w:rPr>
          <w:noProof/>
          <w:sz w:val="24"/>
        </w:rPr>
        <w:t>, parasti samazina mazāka evapotranspirācija (gaisa temperatūra, vēj</w:t>
      </w:r>
      <w:r w:rsidR="00C7060E">
        <w:rPr>
          <w:noProof/>
          <w:sz w:val="24"/>
        </w:rPr>
        <w:t xml:space="preserve">a ātrums, saules radiācija) un </w:t>
      </w:r>
      <w:r w:rsidR="00C7060E" w:rsidRPr="00C7060E">
        <w:rPr>
          <w:i/>
          <w:noProof/>
          <w:sz w:val="24"/>
        </w:rPr>
        <w:t>DM</w:t>
      </w:r>
      <w:r w:rsidRPr="00F35F4D">
        <w:rPr>
          <w:noProof/>
          <w:sz w:val="24"/>
        </w:rPr>
        <w:t xml:space="preserve"> koncentrācija šķidrajos kūtsmēslos. NH3 emisiju, kas izteikta procentos no mēslošanai izmantotā N-NH3</w:t>
      </w:r>
      <w:r w:rsidRPr="00F35F4D">
        <w:rPr>
          <w:noProof/>
          <w:sz w:val="24"/>
          <w:vertAlign w:val="subscript"/>
        </w:rPr>
        <w:t>kop.</w:t>
      </w:r>
      <w:r w:rsidRPr="00F35F4D">
        <w:rPr>
          <w:noProof/>
          <w:sz w:val="24"/>
        </w:rPr>
        <w:t>, parasti samazina lielāka N-NH3</w:t>
      </w:r>
      <w:r w:rsidRPr="00F35F4D">
        <w:rPr>
          <w:noProof/>
          <w:sz w:val="24"/>
          <w:vertAlign w:val="subscript"/>
        </w:rPr>
        <w:t>kop.</w:t>
      </w:r>
      <w:r w:rsidRPr="00F35F4D">
        <w:rPr>
          <w:noProof/>
          <w:sz w:val="24"/>
        </w:rPr>
        <w:t xml:space="preserve"> koncentrācija un lielāks mēslošanai izmantotais daudzums. Emisija ir atkarīga arī no kūtsmēslu veida. Emisija vēl ir atkarīga no augsnes apstākļiem, kas ietekmē infiltrācijas ātrumu. Piemēram, rupjas struktūras sausas augsnes, kas labi drenējas un ļauj kūtsmēsliem ātrāk iesūkties, izraisa mazāku emisiju nekā slapjas un kompaktas augsnes ar mazāku iesūkšanās ātrumu (</w:t>
      </w:r>
      <w:r w:rsidRPr="00F35F4D">
        <w:rPr>
          <w:i/>
          <w:noProof/>
          <w:sz w:val="24"/>
        </w:rPr>
        <w:t>Søgaard et al.,</w:t>
      </w:r>
      <w:r w:rsidRPr="00F35F4D">
        <w:rPr>
          <w:noProof/>
          <w:sz w:val="24"/>
        </w:rPr>
        <w:t xml:space="preserve"> 2002). Tomēr ļoti sausos apstākļos dažas augsnes var kļūt hidrofobas, un tas arī samazina iesūkšanos un attiecīgi palielina emisiju.</w:t>
      </w:r>
    </w:p>
    <w:p w14:paraId="69EE1636"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4A527434" w14:textId="63286D61" w:rsidR="008E3F72" w:rsidRPr="00CD1311"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i/>
          <w:noProof/>
          <w:sz w:val="24"/>
        </w:rPr>
        <w:t xml:space="preserve">Apstākļi, kas nodrošina emisijas samazināšanas paņēmienu efektivitāti. </w:t>
      </w:r>
      <w:r w:rsidRPr="00F35F4D">
        <w:rPr>
          <w:noProof/>
          <w:sz w:val="24"/>
        </w:rPr>
        <w:t>Emisij</w:t>
      </w:r>
      <w:r w:rsidR="00CC42D4">
        <w:rPr>
          <w:noProof/>
          <w:sz w:val="24"/>
        </w:rPr>
        <w:t>a ir atkarīga no šķidro un</w:t>
      </w:r>
      <w:r w:rsidR="00C7060E">
        <w:rPr>
          <w:noProof/>
          <w:sz w:val="24"/>
        </w:rPr>
        <w:t xml:space="preserve"> pakaišu</w:t>
      </w:r>
      <w:r w:rsidRPr="00F35F4D">
        <w:rPr>
          <w:noProof/>
          <w:sz w:val="24"/>
        </w:rPr>
        <w:t xml:space="preserve"> kūtsmēslu sastāva un valdošajiem klimatiskajiem un augsnes apstākļiem. Emisijas </w:t>
      </w:r>
      <w:r w:rsidR="00C7060E">
        <w:rPr>
          <w:noProof/>
          <w:sz w:val="24"/>
        </w:rPr>
        <w:t>sa</w:t>
      </w:r>
      <w:r w:rsidRPr="00F35F4D">
        <w:rPr>
          <w:noProof/>
          <w:sz w:val="24"/>
        </w:rPr>
        <w:t>mazināšanas efektivitāte, ko salīdzina ar atsauces emisiju, mēdz būt dažāda atkarībā no minētajiem faktoriem. Tāpēc 14. tabulā norādītie skaitļi ir vidējās vērtības, kas iegūtas, apkopojot daudzus pētījumus dažādās valstīs, kas veikti visdažādākajos apstākļos. Atsauces paņēmiena gadījumā izraisītās NH3 emisijas lielums absolūtos skaitļos ir mainīgs laika un reģionālajā griezumā atkarībā no mainīgajiem vides apstākļiem. Tā kā šie faktori arī ietekmē absolūtos skaitļos izteikto NH3 emisiju zema emisiju līmeņa metožu izmantošanas gadījumā, relatīvos emisijas līmeņus var salīdzināt; tāpēc guvumi no zema emisiju līmeņa metožu izmantošanas ir norādīti kā procentos izteikts samazinājums salīdzinājumā ar atsauci.</w:t>
      </w:r>
    </w:p>
    <w:p w14:paraId="6DD7113F"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5840BB51" w14:textId="2195E544" w:rsidR="008E3F72" w:rsidRPr="00CD1311"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noProof/>
          <w:sz w:val="24"/>
        </w:rPr>
        <w:t>1. kategorijas paņēmieni iekļauj aprīkojumu, kas ievērojami samazina mēslošanai izmantoto šķidro kūtsmēslu atklāto virsmas laukumu uz augsnes virskārtas v</w:t>
      </w:r>
      <w:r w:rsidR="00CC42D4">
        <w:rPr>
          <w:noProof/>
          <w:sz w:val="24"/>
        </w:rPr>
        <w:t>ai arī ievada šķidros vai</w:t>
      </w:r>
      <w:r w:rsidR="00C7060E">
        <w:rPr>
          <w:noProof/>
          <w:sz w:val="24"/>
        </w:rPr>
        <w:t xml:space="preserve"> pakaišu</w:t>
      </w:r>
      <w:r w:rsidRPr="00F35F4D">
        <w:rPr>
          <w:noProof/>
          <w:sz w:val="24"/>
        </w:rPr>
        <w:t xml:space="preserve"> kūtsmēslus zem augsnes virskārtas, inžektējot vai iestrādājot tos augsnē. Šo paņēmienu ekonomiskās izmaksas ir no 0,1 līdz 5 € par ietaupītā NH3-N kg, turklāt zemākās izma</w:t>
      </w:r>
      <w:r w:rsidR="00CC42D4">
        <w:rPr>
          <w:noProof/>
          <w:sz w:val="24"/>
        </w:rPr>
        <w:t>ksas attiecas uz šķidro un</w:t>
      </w:r>
      <w:r w:rsidR="00C7060E">
        <w:rPr>
          <w:noProof/>
          <w:sz w:val="24"/>
        </w:rPr>
        <w:t xml:space="preserve"> pakaišu</w:t>
      </w:r>
      <w:r w:rsidRPr="00F35F4D">
        <w:rPr>
          <w:noProof/>
          <w:sz w:val="24"/>
        </w:rPr>
        <w:t xml:space="preserve"> kūtsmēslu tūlītēju iestrādi tajos gadījumos, kad tas ir iespējams (t. i., neapsētā aramzemē). </w:t>
      </w:r>
      <w:r w:rsidRPr="00F35F4D">
        <w:rPr>
          <w:noProof/>
          <w:sz w:val="24"/>
        </w:rPr>
        <w:lastRenderedPageBreak/>
        <w:t>Aplēses ir ļoti atkarīgas no pieņēmuma par saimniecības lielumu, un lielākās saimniecībās zema emisiju līmeņa aprīkojuma kopīgas izmantošanas gadījumā vai specializētu apakšuzņēmēju pieaicināšanas gadījumā var panākt ievērojamus apjomradītus ietaupījumus. Paņēmieni, ko iekļauj 1. kategorijā, ir šādi:</w:t>
      </w:r>
    </w:p>
    <w:p w14:paraId="79B77D7F"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465EF6C1" w14:textId="23E6F2BB" w:rsidR="008E3F72" w:rsidRPr="00F35F4D" w:rsidRDefault="008E3F72" w:rsidP="00CD1311">
      <w:pPr>
        <w:pStyle w:val="BodyText"/>
        <w:widowControl/>
        <w:numPr>
          <w:ilvl w:val="1"/>
          <w:numId w:val="12"/>
        </w:numPr>
        <w:kinsoku w:val="0"/>
        <w:overflowPunct w:val="0"/>
        <w:spacing w:before="0"/>
        <w:ind w:left="0" w:firstLine="0"/>
        <w:jc w:val="both"/>
        <w:rPr>
          <w:noProof/>
          <w:sz w:val="24"/>
          <w:szCs w:val="24"/>
        </w:rPr>
      </w:pPr>
      <w:r w:rsidRPr="00F35F4D">
        <w:rPr>
          <w:noProof/>
          <w:sz w:val="24"/>
        </w:rPr>
        <w:t>šķidro kūtsmēslu izkliede joslās uz augsnes virsmas, izmantojot lokano šļūt</w:t>
      </w:r>
      <w:r w:rsidR="00C7060E">
        <w:rPr>
          <w:noProof/>
          <w:sz w:val="24"/>
        </w:rPr>
        <w:t>eni vai virsaugsnes lemesi</w:t>
      </w:r>
      <w:r w:rsidRPr="00F35F4D">
        <w:rPr>
          <w:noProof/>
          <w:sz w:val="24"/>
        </w:rPr>
        <w:t>;</w:t>
      </w:r>
    </w:p>
    <w:p w14:paraId="442D2C45" w14:textId="77777777" w:rsidR="008E3F72" w:rsidRPr="00F35F4D" w:rsidRDefault="008E3F72" w:rsidP="00CD1311">
      <w:pPr>
        <w:pStyle w:val="BodyText"/>
        <w:widowControl/>
        <w:numPr>
          <w:ilvl w:val="1"/>
          <w:numId w:val="12"/>
        </w:numPr>
        <w:kinsoku w:val="0"/>
        <w:overflowPunct w:val="0"/>
        <w:spacing w:before="0"/>
        <w:ind w:left="0" w:firstLine="0"/>
        <w:jc w:val="both"/>
        <w:rPr>
          <w:noProof/>
          <w:sz w:val="24"/>
          <w:szCs w:val="24"/>
        </w:rPr>
      </w:pPr>
      <w:r w:rsidRPr="00F35F4D">
        <w:rPr>
          <w:noProof/>
          <w:sz w:val="24"/>
        </w:rPr>
        <w:t>šķidro kūtsmēslu inžekcija atklātās vagās;</w:t>
      </w:r>
    </w:p>
    <w:p w14:paraId="14082AF6" w14:textId="77777777" w:rsidR="008E3F72" w:rsidRPr="00F35F4D" w:rsidRDefault="008E3F72" w:rsidP="00CD1311">
      <w:pPr>
        <w:pStyle w:val="BodyText"/>
        <w:widowControl/>
        <w:numPr>
          <w:ilvl w:val="1"/>
          <w:numId w:val="12"/>
        </w:numPr>
        <w:kinsoku w:val="0"/>
        <w:overflowPunct w:val="0"/>
        <w:spacing w:before="0"/>
        <w:ind w:left="0" w:firstLine="0"/>
        <w:jc w:val="both"/>
        <w:rPr>
          <w:noProof/>
          <w:sz w:val="24"/>
          <w:szCs w:val="24"/>
        </w:rPr>
      </w:pPr>
      <w:r w:rsidRPr="00F35F4D">
        <w:rPr>
          <w:noProof/>
          <w:sz w:val="24"/>
        </w:rPr>
        <w:t>šķidro kūtsmēslu inžekcija slēgtās vagās;</w:t>
      </w:r>
    </w:p>
    <w:p w14:paraId="1864D551" w14:textId="3E543C7C" w:rsidR="008E3F72" w:rsidRPr="00F35F4D" w:rsidRDefault="008E3F72" w:rsidP="00CD1311">
      <w:pPr>
        <w:pStyle w:val="BodyText"/>
        <w:widowControl/>
        <w:numPr>
          <w:ilvl w:val="1"/>
          <w:numId w:val="12"/>
        </w:numPr>
        <w:kinsoku w:val="0"/>
        <w:overflowPunct w:val="0"/>
        <w:spacing w:before="0"/>
        <w:ind w:left="0" w:firstLine="0"/>
        <w:jc w:val="both"/>
        <w:rPr>
          <w:noProof/>
          <w:sz w:val="24"/>
          <w:szCs w:val="24"/>
        </w:rPr>
      </w:pPr>
      <w:r w:rsidRPr="00F35F4D">
        <w:rPr>
          <w:noProof/>
          <w:sz w:val="24"/>
        </w:rPr>
        <w:t xml:space="preserve">uz </w:t>
      </w:r>
      <w:r w:rsidR="00CC42D4">
        <w:rPr>
          <w:noProof/>
          <w:sz w:val="24"/>
        </w:rPr>
        <w:t>augsnes virsmas izkliedēto</w:t>
      </w:r>
      <w:r w:rsidR="00C7060E">
        <w:rPr>
          <w:noProof/>
          <w:sz w:val="24"/>
        </w:rPr>
        <w:t xml:space="preserve"> pakaišu</w:t>
      </w:r>
      <w:r w:rsidRPr="00F35F4D">
        <w:rPr>
          <w:noProof/>
          <w:sz w:val="24"/>
        </w:rPr>
        <w:t xml:space="preserve"> un šķidro kūtsmēslu iestrāde augsnē;</w:t>
      </w:r>
    </w:p>
    <w:p w14:paraId="6F5855DF" w14:textId="77777777" w:rsidR="008E3F72" w:rsidRPr="00F35F4D" w:rsidRDefault="008E3F72" w:rsidP="00CD1311">
      <w:pPr>
        <w:pStyle w:val="BodyText"/>
        <w:widowControl/>
        <w:numPr>
          <w:ilvl w:val="1"/>
          <w:numId w:val="12"/>
        </w:numPr>
        <w:kinsoku w:val="0"/>
        <w:overflowPunct w:val="0"/>
        <w:spacing w:before="0"/>
        <w:ind w:left="0" w:firstLine="0"/>
        <w:jc w:val="both"/>
        <w:rPr>
          <w:noProof/>
          <w:sz w:val="24"/>
          <w:szCs w:val="24"/>
        </w:rPr>
      </w:pPr>
      <w:r w:rsidRPr="00F35F4D">
        <w:rPr>
          <w:noProof/>
          <w:sz w:val="24"/>
        </w:rPr>
        <w:t xml:space="preserve"> šķidro kūtsmēslu atšķaidīšana par vismaz 50 %, ja mēslošanu veic ar zemspiediena apūdeņošanas sistēmu.</w:t>
      </w:r>
    </w:p>
    <w:p w14:paraId="2AE336DC" w14:textId="15331802" w:rsidR="008E3F72" w:rsidRPr="00F35F4D" w:rsidRDefault="008E3F72" w:rsidP="00CD1311">
      <w:pPr>
        <w:pStyle w:val="BodyText"/>
        <w:widowControl/>
        <w:numPr>
          <w:ilvl w:val="0"/>
          <w:numId w:val="12"/>
        </w:numPr>
        <w:kinsoku w:val="0"/>
        <w:overflowPunct w:val="0"/>
        <w:spacing w:before="0"/>
        <w:ind w:left="0" w:firstLine="0"/>
        <w:jc w:val="both"/>
        <w:rPr>
          <w:noProof/>
          <w:sz w:val="24"/>
          <w:szCs w:val="24"/>
        </w:rPr>
      </w:pPr>
      <w:r w:rsidRPr="00F35F4D">
        <w:rPr>
          <w:noProof/>
          <w:sz w:val="24"/>
        </w:rPr>
        <w:t>1. kategorijas paņēmienu NH3 emisijas samazināšanas vidējā efektivitāte salīdzinājumā ar atsauci, kā arī katra paņēmiena orientējošās izmaksas salīdzinājumā ar atsauci ir norādītas 13. tabulā (šķidrajiem kūtsm</w:t>
      </w:r>
      <w:r w:rsidR="00CC42D4">
        <w:rPr>
          <w:noProof/>
          <w:sz w:val="24"/>
        </w:rPr>
        <w:t>ēsliem) un 15. tabulā (</w:t>
      </w:r>
      <w:r w:rsidR="00C7060E">
        <w:rPr>
          <w:noProof/>
          <w:sz w:val="24"/>
        </w:rPr>
        <w:t>pakaišu</w:t>
      </w:r>
      <w:r w:rsidRPr="00F35F4D">
        <w:rPr>
          <w:noProof/>
          <w:sz w:val="24"/>
        </w:rPr>
        <w:t xml:space="preserve"> kūtsmēsliem).</w:t>
      </w:r>
    </w:p>
    <w:p w14:paraId="69BC70A8" w14:textId="77777777" w:rsidR="008E3F72" w:rsidRPr="00F35F4D" w:rsidRDefault="008E3F72" w:rsidP="008E3F72">
      <w:pPr>
        <w:pStyle w:val="BodyText"/>
        <w:widowControl/>
        <w:kinsoku w:val="0"/>
        <w:overflowPunct w:val="0"/>
        <w:spacing w:before="0"/>
        <w:ind w:left="0"/>
        <w:jc w:val="both"/>
        <w:rPr>
          <w:noProof/>
          <w:sz w:val="24"/>
          <w:szCs w:val="24"/>
        </w:rPr>
      </w:pPr>
    </w:p>
    <w:p w14:paraId="7D3ADBF5" w14:textId="77777777" w:rsidR="008E3F72" w:rsidRPr="00CD1311" w:rsidRDefault="008E3F72" w:rsidP="00CD1311">
      <w:pPr>
        <w:pStyle w:val="BodyText"/>
        <w:widowControl/>
        <w:numPr>
          <w:ilvl w:val="0"/>
          <w:numId w:val="12"/>
        </w:numPr>
        <w:kinsoku w:val="0"/>
        <w:overflowPunct w:val="0"/>
        <w:spacing w:before="0"/>
        <w:ind w:left="0" w:firstLine="0"/>
        <w:jc w:val="both"/>
        <w:rPr>
          <w:noProof/>
          <w:sz w:val="24"/>
          <w:szCs w:val="24"/>
        </w:rPr>
      </w:pPr>
      <w:r w:rsidRPr="00F35F4D">
        <w:rPr>
          <w:noProof/>
          <w:sz w:val="24"/>
        </w:rPr>
        <w:t>Paņēmienu a)–c) efektivitāte ir attiecināma uz tiem augsnes veidiem un nosacījumiem, kas ļauj šķidrumam iesūkties augsnē un nodrošina apmierinošus apstākļus, lai tehnika varētu pārvietoties.</w:t>
      </w:r>
    </w:p>
    <w:p w14:paraId="47DF121C" w14:textId="77777777" w:rsidR="00CD1311" w:rsidRPr="00F35F4D" w:rsidRDefault="00CD1311" w:rsidP="00CD1311">
      <w:pPr>
        <w:pStyle w:val="BodyText"/>
        <w:widowControl/>
        <w:kinsoku w:val="0"/>
        <w:overflowPunct w:val="0"/>
        <w:spacing w:before="0"/>
        <w:ind w:left="0"/>
        <w:jc w:val="both"/>
        <w:rPr>
          <w:noProof/>
          <w:sz w:val="24"/>
          <w:szCs w:val="24"/>
        </w:rPr>
      </w:pPr>
    </w:p>
    <w:p w14:paraId="56153AAB" w14:textId="222DB0DF" w:rsidR="008E3F72" w:rsidRPr="00CD1311" w:rsidRDefault="008E3F72" w:rsidP="00CD1311">
      <w:pPr>
        <w:pStyle w:val="BodyText"/>
        <w:widowControl/>
        <w:numPr>
          <w:ilvl w:val="0"/>
          <w:numId w:val="12"/>
        </w:numPr>
        <w:kinsoku w:val="0"/>
        <w:overflowPunct w:val="0"/>
        <w:spacing w:before="0"/>
        <w:ind w:left="0" w:firstLine="0"/>
        <w:jc w:val="both"/>
        <w:rPr>
          <w:noProof/>
          <w:sz w:val="24"/>
          <w:szCs w:val="24"/>
        </w:rPr>
      </w:pPr>
      <w:r w:rsidRPr="00F35F4D">
        <w:rPr>
          <w:noProof/>
          <w:sz w:val="24"/>
        </w:rPr>
        <w:t>Dokumenta 13. un 14. tabulā ir apkopoti arī ierobežojumi, ar kuriem jārēķinās, apsverot konkrētu paņēmienu izmantošanas iespējas. Šie faktori iekļauj augsnes veidu un stāvokli (augsnes dziļumu, akmeņainību, mitrumu, pārvietošanās apstākļus pa augsni); topogrāfisko raksturojumu (slīpumu, lauka lielumu, zemes līdzenumu) un kūtsmēslu veid</w:t>
      </w:r>
      <w:r w:rsidR="00CC42D4">
        <w:rPr>
          <w:noProof/>
          <w:sz w:val="24"/>
        </w:rPr>
        <w:t>u un sastāvu (šķidrie vai</w:t>
      </w:r>
      <w:r w:rsidR="00C7060E">
        <w:rPr>
          <w:noProof/>
          <w:sz w:val="24"/>
        </w:rPr>
        <w:t xml:space="preserve"> pakaišu</w:t>
      </w:r>
      <w:r w:rsidRPr="00F35F4D">
        <w:rPr>
          <w:noProof/>
          <w:sz w:val="24"/>
        </w:rPr>
        <w:t xml:space="preserve"> kūtsmēsli). Dažus paņēmienus piemēro plašāk nekā citus. Papildizmaksas ir neievērojamas, ja aršanas un kultivēšanas darbi jādara jebkurā gadījumā; bet emisijas mazināšanai tie jādara tūlīt pēc mēslošanas, kā dēļ var nākt piesaistīt papildu resursus.</w:t>
      </w:r>
    </w:p>
    <w:p w14:paraId="064D2D8E" w14:textId="77777777" w:rsidR="00CD1311" w:rsidRPr="00F35F4D" w:rsidRDefault="00CD1311" w:rsidP="00CD1311">
      <w:pPr>
        <w:pStyle w:val="BodyText"/>
        <w:widowControl/>
        <w:kinsoku w:val="0"/>
        <w:overflowPunct w:val="0"/>
        <w:spacing w:before="0"/>
        <w:ind w:left="0"/>
        <w:jc w:val="both"/>
        <w:rPr>
          <w:noProof/>
          <w:sz w:val="24"/>
          <w:szCs w:val="24"/>
        </w:rPr>
      </w:pPr>
    </w:p>
    <w:p w14:paraId="077884EC" w14:textId="64C9786A" w:rsidR="008E3F72" w:rsidRPr="00CD1311"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noProof/>
          <w:sz w:val="24"/>
        </w:rPr>
        <w:t>Paņēmieni a)–c) pamatojas uz principu, ka, izplatot šķidros kūtsmēslus joslās, kas viena no otras ir 250 (+/- 100) milimetru (mm) attālumā, virsmas laukums, kas pakļauts laika apstākļu ietekmei, tiek samazināts par vismaz 75 %. Šķidros kūtsmēslus izplata caur vairākām diezgan šaurām caurulēm (parasti 40–50 mm diametrā). Šajos mehānismos parasti ir sistēmas šķidro kūtsmēslu filtrēšanai, smalcināšanai un homogenizēšanai, kas mazina šauro cauruļu aizsprostošanos, ko izraisa ļoti viskozi šķidrie kūtsmēsli vai tādi, kuros ir liels šķiedrvielu daudzums vai svešķermeņi, piemēram, akmeņi. Sistēmas kūtsmēslu izkliedēšanai un inžekcijai joslās parasti uzstāda šķid</w:t>
      </w:r>
      <w:r w:rsidR="00C7060E">
        <w:rPr>
          <w:noProof/>
          <w:sz w:val="24"/>
        </w:rPr>
        <w:t>ro kūtsmēslu cisternas aizmugurē</w:t>
      </w:r>
      <w:r w:rsidRPr="00F35F4D">
        <w:rPr>
          <w:noProof/>
          <w:sz w:val="24"/>
        </w:rPr>
        <w:t>, un pašas cisternas parasti velk traktors vai arī tās veido daļu no pašgājējas mašīnas. Cits veids ir mēslošanas sistēmu tieši nostiprināt pie traktora mugurdaļas un uzpildīt to ar saistītu šļūteni no stacionāras cisternas vai krātuves. Šādas saistītas sistēmas var samazināt augsnes sablīvēšanu, ko izraisa smagas šķidro kūtsmēslu sistēmas.</w:t>
      </w:r>
    </w:p>
    <w:p w14:paraId="039CE2EB"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358FFA32" w14:textId="645FC113" w:rsidR="008E3F72" w:rsidRPr="00CD1311" w:rsidRDefault="00C7060E" w:rsidP="008E3F72">
      <w:pPr>
        <w:pStyle w:val="BodyText"/>
        <w:widowControl/>
        <w:numPr>
          <w:ilvl w:val="0"/>
          <w:numId w:val="12"/>
        </w:numPr>
        <w:tabs>
          <w:tab w:val="left" w:pos="861"/>
        </w:tabs>
        <w:kinsoku w:val="0"/>
        <w:overflowPunct w:val="0"/>
        <w:spacing w:before="0"/>
        <w:ind w:left="0" w:firstLine="0"/>
        <w:jc w:val="both"/>
        <w:rPr>
          <w:noProof/>
          <w:sz w:val="24"/>
          <w:szCs w:val="24"/>
        </w:rPr>
      </w:pPr>
      <w:r>
        <w:rPr>
          <w:b/>
          <w:noProof/>
          <w:sz w:val="24"/>
        </w:rPr>
        <w:t>Šķidro kūtsmēslu izkliedēšana</w:t>
      </w:r>
      <w:r w:rsidR="008E3F72" w:rsidRPr="00F35F4D">
        <w:rPr>
          <w:b/>
          <w:noProof/>
          <w:sz w:val="24"/>
        </w:rPr>
        <w:t xml:space="preserve"> joslās uz augsnes virskārtas vai virs tās. </w:t>
      </w:r>
      <w:r w:rsidR="008E3F72" w:rsidRPr="00F35F4D">
        <w:rPr>
          <w:noProof/>
          <w:sz w:val="24"/>
        </w:rPr>
        <w:t>Šķ</w:t>
      </w:r>
      <w:r>
        <w:rPr>
          <w:noProof/>
          <w:sz w:val="24"/>
        </w:rPr>
        <w:t>idros kūtsmēslus var izkliedēt</w:t>
      </w:r>
      <w:r w:rsidR="008E3F72" w:rsidRPr="00F35F4D">
        <w:rPr>
          <w:noProof/>
          <w:sz w:val="24"/>
        </w:rPr>
        <w:t xml:space="preserve"> joslās uz augsnes virskārtas vai virs tās ar ierīcēm, ko parasti dēvē par „lokanām šļūtenēm” (angļu valodā to dēvē arī par „</w:t>
      </w:r>
      <w:r w:rsidR="008E3F72" w:rsidRPr="00F35F4D">
        <w:rPr>
          <w:i/>
          <w:noProof/>
          <w:sz w:val="24"/>
        </w:rPr>
        <w:t>drag hose</w:t>
      </w:r>
      <w:r w:rsidR="008E3F72" w:rsidRPr="00F35F4D">
        <w:rPr>
          <w:noProof/>
          <w:sz w:val="24"/>
        </w:rPr>
        <w:t>” un „</w:t>
      </w:r>
      <w:r w:rsidR="008E3F72" w:rsidRPr="00F35F4D">
        <w:rPr>
          <w:i/>
          <w:noProof/>
          <w:sz w:val="24"/>
        </w:rPr>
        <w:t>drop hose</w:t>
      </w:r>
      <w:r>
        <w:rPr>
          <w:noProof/>
          <w:sz w:val="24"/>
        </w:rPr>
        <w:t>”) un virsaugsnes lemesi</w:t>
      </w:r>
      <w:r w:rsidR="008E3F72" w:rsidRPr="00F35F4D">
        <w:rPr>
          <w:noProof/>
          <w:sz w:val="24"/>
        </w:rPr>
        <w:t xml:space="preserve"> (angļu valodā to dēvē arī par „</w:t>
      </w:r>
      <w:r w:rsidR="008E3F72" w:rsidRPr="00F35F4D">
        <w:rPr>
          <w:i/>
          <w:noProof/>
          <w:sz w:val="24"/>
        </w:rPr>
        <w:t>drag shoe</w:t>
      </w:r>
      <w:r w:rsidR="008E3F72" w:rsidRPr="00F35F4D">
        <w:rPr>
          <w:noProof/>
          <w:sz w:val="24"/>
        </w:rPr>
        <w:t>” un „</w:t>
      </w:r>
      <w:r w:rsidR="008E3F72" w:rsidRPr="00F35F4D">
        <w:rPr>
          <w:i/>
          <w:noProof/>
          <w:sz w:val="24"/>
        </w:rPr>
        <w:t>sleighfoot</w:t>
      </w:r>
      <w:r>
        <w:rPr>
          <w:noProof/>
          <w:sz w:val="24"/>
        </w:rPr>
        <w:t>”). Virsaugsnes lemeša</w:t>
      </w:r>
      <w:r w:rsidR="008E3F72" w:rsidRPr="00F35F4D">
        <w:rPr>
          <w:noProof/>
          <w:sz w:val="24"/>
        </w:rPr>
        <w:t xml:space="preserve"> un lokanās šļūtenes sistēmas viena no otras atšķiras ar to, ka pirmajā gadījumā katras šķidro kūtsmēslu</w:t>
      </w:r>
      <w:r>
        <w:rPr>
          <w:noProof/>
          <w:sz w:val="24"/>
        </w:rPr>
        <w:t xml:space="preserve"> sadales šļūtenes galā ir lemesis</w:t>
      </w:r>
      <w:r w:rsidR="008E3F72" w:rsidRPr="00F35F4D">
        <w:rPr>
          <w:noProof/>
          <w:sz w:val="24"/>
        </w:rPr>
        <w:t xml:space="preserve"> („kurpe”) mēslu sadalei, kas slīd (vai „peld”) pa zemes virsu, pavisam mazliet </w:t>
      </w:r>
      <w:r w:rsidR="008E3F72" w:rsidRPr="00F35F4D">
        <w:rPr>
          <w:noProof/>
          <w:sz w:val="24"/>
        </w:rPr>
        <w:lastRenderedPageBreak/>
        <w:t>iespiežoties zemē vai neiespiežoties tajā vispār, b</w:t>
      </w:r>
      <w:r w:rsidR="0090465E">
        <w:rPr>
          <w:noProof/>
          <w:sz w:val="24"/>
        </w:rPr>
        <w:t>et otrajā gadījumā tāda lemeša</w:t>
      </w:r>
      <w:r w:rsidR="008E3F72" w:rsidRPr="00F35F4D">
        <w:rPr>
          <w:noProof/>
          <w:sz w:val="24"/>
        </w:rPr>
        <w:t xml:space="preserve"> nav. </w:t>
      </w:r>
      <w:r w:rsidR="0090465E">
        <w:rPr>
          <w:noProof/>
          <w:sz w:val="24"/>
        </w:rPr>
        <w:t>Šļūtene vai lemesis ir paredzēta zāles vai augu atlieku</w:t>
      </w:r>
      <w:r w:rsidR="008E3F72" w:rsidRPr="00F35F4D">
        <w:rPr>
          <w:noProof/>
          <w:sz w:val="24"/>
        </w:rPr>
        <w:t xml:space="preserve"> pašķiršanai, lai šķidrie kūtsmēsli nonāktu tieši uz augsnes virskārtas. Augstāka efektivi</w:t>
      </w:r>
      <w:r w:rsidR="0090465E">
        <w:rPr>
          <w:noProof/>
          <w:sz w:val="24"/>
        </w:rPr>
        <w:t>tāte, ko parasti atzīmē slīdošā lemeša</w:t>
      </w:r>
      <w:r w:rsidR="008E3F72" w:rsidRPr="00F35F4D">
        <w:rPr>
          <w:noProof/>
          <w:sz w:val="24"/>
        </w:rPr>
        <w:t xml:space="preserve"> gadījumā (</w:t>
      </w:r>
      <w:r w:rsidR="008E3F72" w:rsidRPr="00F35F4D">
        <w:rPr>
          <w:i/>
          <w:noProof/>
          <w:sz w:val="24"/>
        </w:rPr>
        <w:t>J. Webb et al.</w:t>
      </w:r>
      <w:r w:rsidR="008E3F72" w:rsidRPr="00F35F4D">
        <w:rPr>
          <w:noProof/>
          <w:sz w:val="24"/>
        </w:rPr>
        <w:t>, 2010), saistāma ar to, ka kūtsmēsli tiek izplatīti šaurākās joslās, nonākot ciešākā saskarē ar augsni un mazākā saskarē ar dzīvo vai nok</w:t>
      </w:r>
      <w:r w:rsidR="0090465E">
        <w:rPr>
          <w:noProof/>
          <w:sz w:val="24"/>
        </w:rPr>
        <w:t>altušo augu materiālu, ko lemesis</w:t>
      </w:r>
      <w:r w:rsidR="008E3F72" w:rsidRPr="00F35F4D">
        <w:rPr>
          <w:noProof/>
          <w:sz w:val="24"/>
        </w:rPr>
        <w:t xml:space="preserve"> pašķir vairāk nekā šļūtene pat tad, ja šļūtene atrodas ļo</w:t>
      </w:r>
      <w:r w:rsidR="0090465E">
        <w:rPr>
          <w:noProof/>
          <w:sz w:val="24"/>
        </w:rPr>
        <w:t>ti tuvu zemei. Guvums no lemeša</w:t>
      </w:r>
      <w:r w:rsidR="008E3F72" w:rsidRPr="00F35F4D">
        <w:rPr>
          <w:noProof/>
          <w:sz w:val="24"/>
        </w:rPr>
        <w:t xml:space="preserve"> salīdzinājumā ar šļūteni ir vislielākais augstas lapotnes gadījumā, jo lapotne tiek mazāk piesārņota. Abas sistēmas var izmantot daudzās dažādās kultūraugu attīstības stadijās, kaut arī starp abām sistēmām mazāk ierobežojumu ir tieši šļūtenēm, jo tās var plašāk izmantot augošās kultūrās, nenodarot tām bojājumus, un sliežu sistēmās. Abas sistēmas palīdz kūtsmēslus izplatīt viendabīgāk un ir mazāk jutīgas pret vēju, salīdzinot ar atsauces sistēmu. Tās nodrošina vairāk laika kūtsmēslu izkliedēšanai un ļauj izplatīt tos tuvāk lauka malai, īpaši nepalielinot risku, ka tiks piesārņotas blakusesošās teritorijas.</w:t>
      </w:r>
    </w:p>
    <w:p w14:paraId="5CEBE670"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6F7E2D4C" w14:textId="59348F74" w:rsidR="008E3F72" w:rsidRPr="00F35F4D" w:rsidRDefault="008E3F72" w:rsidP="008E3F72">
      <w:pPr>
        <w:pStyle w:val="BodyText"/>
        <w:widowControl/>
        <w:numPr>
          <w:ilvl w:val="0"/>
          <w:numId w:val="12"/>
        </w:numPr>
        <w:tabs>
          <w:tab w:val="left" w:pos="861"/>
        </w:tabs>
        <w:kinsoku w:val="0"/>
        <w:overflowPunct w:val="0"/>
        <w:spacing w:before="0"/>
        <w:ind w:left="0" w:firstLine="0"/>
        <w:jc w:val="both"/>
        <w:rPr>
          <w:noProof/>
          <w:sz w:val="24"/>
          <w:szCs w:val="24"/>
        </w:rPr>
      </w:pPr>
      <w:r w:rsidRPr="00F35F4D">
        <w:rPr>
          <w:b/>
          <w:noProof/>
          <w:sz w:val="24"/>
        </w:rPr>
        <w:t xml:space="preserve">Lokanā šļūtene. </w:t>
      </w:r>
      <w:r w:rsidRPr="00F35F4D">
        <w:rPr>
          <w:noProof/>
          <w:sz w:val="24"/>
        </w:rPr>
        <w:t>Ar šo paņēmienu kūtsmēsli tiek izšļākti uz zemes vai mazliet virs tās no vairākām caurulēm, kas brīvi karājas vai velkas pa zemi, vai lokanām šļūtenēm, kas vai nu karājas mazliet (&lt; 150 mm) virs augsnes, vai arī tiek vilktas pa augsnes virskārtu. Darba platums parasti ir no 6 līdz 12 metriem (m), kaut arī komerctirgū ir pieejamas arī lielākas vienības ar platumu līdz 24 m. Potenciālais darba platums (kura dēļ pārvadāšanai ir vajadzīgi manuāli vai elektriski darbināmi pagrieziena kronšteini) ir daudz lielāks nekā atsauces sistēmai ar pretšļakstes aizsargu (6–9 m), un tā noteikti ir lokano šļūteņu metodes priekšrocība. Attālums starp joslām (to centrālajiem punktiem) parasti ir 250–350 mm. Paņēmienu var piemērot zālei un laukaugiem, un to var izmantot sliežu sistēmās. Ja</w:t>
      </w:r>
      <w:r w:rsidR="0090465E">
        <w:rPr>
          <w:noProof/>
          <w:sz w:val="24"/>
        </w:rPr>
        <w:t xml:space="preserve"> šķidrajos kūtsmēslos ir liels </w:t>
      </w:r>
      <w:r w:rsidR="0090465E" w:rsidRPr="0090465E">
        <w:rPr>
          <w:i/>
          <w:noProof/>
          <w:sz w:val="24"/>
        </w:rPr>
        <w:t>DM</w:t>
      </w:r>
      <w:r w:rsidRPr="00F35F4D">
        <w:rPr>
          <w:noProof/>
          <w:sz w:val="24"/>
        </w:rPr>
        <w:t xml:space="preserve"> saturs (&gt; 7–10 %) vai tajos ir lielas cietas daļiņas, caurules var aizsprostoties. Tomēr no cauruļu aizsprostošanās parasti var izvairīties, paredzot smalcināšanas un sadales sistēmu. Šī sistēma ļauj izkliedēt šķidros kūtsmēslus vien</w:t>
      </w:r>
      <w:r w:rsidR="0090465E">
        <w:rPr>
          <w:noProof/>
          <w:sz w:val="24"/>
        </w:rPr>
        <w:t>dabīgāk, uzlabojot barības elementu</w:t>
      </w:r>
      <w:r w:rsidRPr="00F35F4D">
        <w:rPr>
          <w:noProof/>
          <w:sz w:val="24"/>
        </w:rPr>
        <w:t xml:space="preserve"> izmantošanu, bet ievērojami palielina sistēmas izmaksas un tehniskās apkopes vajadzības. Smalcinātāju/sadalītāju bieži vien var projektēt un izgatavot uz vietas, tāpēc izmaksas var būt diezgan zemas.</w:t>
      </w:r>
    </w:p>
    <w:p w14:paraId="569CB458" w14:textId="77777777" w:rsidR="008E3F72" w:rsidRPr="00F35F4D" w:rsidRDefault="008E3F72" w:rsidP="008E3F72">
      <w:pPr>
        <w:pStyle w:val="BodyText"/>
        <w:widowControl/>
        <w:tabs>
          <w:tab w:val="left" w:pos="861"/>
        </w:tabs>
        <w:kinsoku w:val="0"/>
        <w:overflowPunct w:val="0"/>
        <w:spacing w:before="0"/>
        <w:ind w:left="0"/>
        <w:jc w:val="both"/>
        <w:rPr>
          <w:noProof/>
          <w:sz w:val="24"/>
          <w:szCs w:val="24"/>
        </w:rPr>
      </w:pPr>
    </w:p>
    <w:p w14:paraId="54BF77FF"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13. tabula</w:t>
      </w:r>
    </w:p>
    <w:p w14:paraId="506B5E48" w14:textId="215586A6" w:rsidR="008E3F72" w:rsidRPr="00F35F4D" w:rsidRDefault="008E3F72" w:rsidP="008E3F72">
      <w:pPr>
        <w:pStyle w:val="Heading9"/>
        <w:widowControl/>
        <w:kinsoku w:val="0"/>
        <w:overflowPunct w:val="0"/>
        <w:spacing w:before="0"/>
        <w:ind w:left="0"/>
        <w:jc w:val="both"/>
        <w:rPr>
          <w:b w:val="0"/>
          <w:bCs w:val="0"/>
          <w:noProof/>
          <w:sz w:val="24"/>
          <w:szCs w:val="24"/>
        </w:rPr>
      </w:pPr>
      <w:r w:rsidRPr="00F35F4D">
        <w:rPr>
          <w:noProof/>
          <w:sz w:val="24"/>
        </w:rPr>
        <w:t>1. kategorijas emisijas sa</w:t>
      </w:r>
      <w:r w:rsidR="00F56792">
        <w:rPr>
          <w:noProof/>
          <w:sz w:val="24"/>
        </w:rPr>
        <w:t>mazināšanas paņēmieni šķidro kūtsmēslu iestrādāšanai augsnē</w:t>
      </w:r>
      <w:r w:rsidR="00CD1311">
        <w:rPr>
          <w:rStyle w:val="FootnoteReference"/>
          <w:noProof/>
          <w:sz w:val="24"/>
        </w:rPr>
        <w:footnoteReference w:id="11"/>
      </w:r>
    </w:p>
    <w:p w14:paraId="420CD888"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jc w:val="center"/>
        <w:tblCellMar>
          <w:left w:w="0" w:type="dxa"/>
          <w:right w:w="0" w:type="dxa"/>
        </w:tblCellMar>
        <w:tblLook w:val="0000" w:firstRow="0" w:lastRow="0" w:firstColumn="0" w:lastColumn="0" w:noHBand="0" w:noVBand="0"/>
      </w:tblPr>
      <w:tblGrid>
        <w:gridCol w:w="1636"/>
        <w:gridCol w:w="1333"/>
        <w:gridCol w:w="1134"/>
        <w:gridCol w:w="1488"/>
        <w:gridCol w:w="1479"/>
        <w:gridCol w:w="1156"/>
      </w:tblGrid>
      <w:tr w:rsidR="008E3F72" w:rsidRPr="00CD1311" w14:paraId="6437A9A7" w14:textId="77777777" w:rsidTr="0010018A">
        <w:trPr>
          <w:jc w:val="center"/>
        </w:trPr>
        <w:tc>
          <w:tcPr>
            <w:tcW w:w="1095" w:type="pct"/>
            <w:tcBorders>
              <w:top w:val="single" w:sz="4" w:space="0" w:color="000000"/>
              <w:left w:val="nil"/>
              <w:bottom w:val="single" w:sz="12" w:space="0" w:color="000000"/>
              <w:right w:val="nil"/>
            </w:tcBorders>
          </w:tcPr>
          <w:p w14:paraId="01DBB439"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Emisijas samazināšanas pasākums</w:t>
            </w:r>
          </w:p>
        </w:tc>
        <w:tc>
          <w:tcPr>
            <w:tcW w:w="545" w:type="pct"/>
            <w:tcBorders>
              <w:top w:val="single" w:sz="4" w:space="0" w:color="000000"/>
              <w:left w:val="nil"/>
              <w:bottom w:val="single" w:sz="12" w:space="0" w:color="000000"/>
              <w:right w:val="nil"/>
            </w:tcBorders>
          </w:tcPr>
          <w:p w14:paraId="649DA7E0"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Zemes lietošanas veids</w:t>
            </w:r>
          </w:p>
        </w:tc>
        <w:tc>
          <w:tcPr>
            <w:tcW w:w="659" w:type="pct"/>
            <w:tcBorders>
              <w:top w:val="single" w:sz="4" w:space="0" w:color="000000"/>
              <w:left w:val="nil"/>
              <w:bottom w:val="single" w:sz="12" w:space="0" w:color="000000"/>
              <w:right w:val="nil"/>
            </w:tcBorders>
          </w:tcPr>
          <w:p w14:paraId="0F3E2CEC" w14:textId="77777777" w:rsidR="008E3F72" w:rsidRPr="00CD1311" w:rsidRDefault="008E3F72" w:rsidP="0010018A">
            <w:pPr>
              <w:pStyle w:val="TableParagraph"/>
              <w:widowControl/>
              <w:kinsoku w:val="0"/>
              <w:overflowPunct w:val="0"/>
              <w:jc w:val="center"/>
              <w:rPr>
                <w:noProof/>
                <w:sz w:val="20"/>
                <w:szCs w:val="20"/>
              </w:rPr>
            </w:pPr>
            <w:r w:rsidRPr="00CD1311">
              <w:rPr>
                <w:i/>
                <w:sz w:val="20"/>
                <w:szCs w:val="20"/>
              </w:rPr>
              <w:t>Emisijas samazinājums (%)</w:t>
            </w:r>
            <w:r w:rsidRPr="00CD1311">
              <w:rPr>
                <w:sz w:val="20"/>
                <w:szCs w:val="20"/>
                <w:vertAlign w:val="superscript"/>
              </w:rPr>
              <w:t>a</w:t>
            </w:r>
          </w:p>
        </w:tc>
        <w:tc>
          <w:tcPr>
            <w:tcW w:w="1005" w:type="pct"/>
            <w:tcBorders>
              <w:top w:val="single" w:sz="4" w:space="0" w:color="000000"/>
              <w:left w:val="nil"/>
              <w:bottom w:val="single" w:sz="12" w:space="0" w:color="000000"/>
              <w:right w:val="nil"/>
            </w:tcBorders>
          </w:tcPr>
          <w:p w14:paraId="5F4E1D78"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Emisijas samazinājumu ietekmējošie faktori</w:t>
            </w:r>
          </w:p>
        </w:tc>
        <w:tc>
          <w:tcPr>
            <w:tcW w:w="999" w:type="pct"/>
            <w:tcBorders>
              <w:top w:val="single" w:sz="4" w:space="0" w:color="000000"/>
              <w:left w:val="nil"/>
              <w:bottom w:val="single" w:sz="12" w:space="0" w:color="000000"/>
              <w:right w:val="nil"/>
            </w:tcBorders>
          </w:tcPr>
          <w:p w14:paraId="52CD6639"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Izmantošanas iespējas salīdzinājumā ar atsauci</w:t>
            </w:r>
          </w:p>
        </w:tc>
        <w:tc>
          <w:tcPr>
            <w:tcW w:w="697" w:type="pct"/>
            <w:tcBorders>
              <w:top w:val="single" w:sz="4" w:space="0" w:color="000000"/>
              <w:left w:val="nil"/>
              <w:bottom w:val="single" w:sz="12" w:space="0" w:color="000000"/>
              <w:right w:val="nil"/>
            </w:tcBorders>
          </w:tcPr>
          <w:p w14:paraId="2CD78C8C"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Izmaksas (€ par NH3 emisijas kg samazinājumu gadā)</w:t>
            </w:r>
          </w:p>
        </w:tc>
      </w:tr>
      <w:tr w:rsidR="008E3F72" w:rsidRPr="00CD1311" w14:paraId="10B4CD81" w14:textId="77777777" w:rsidTr="0010018A">
        <w:trPr>
          <w:jc w:val="center"/>
        </w:trPr>
        <w:tc>
          <w:tcPr>
            <w:tcW w:w="1095" w:type="pct"/>
            <w:tcBorders>
              <w:top w:val="single" w:sz="12" w:space="0" w:color="000000"/>
              <w:left w:val="nil"/>
              <w:bottom w:val="nil"/>
              <w:right w:val="nil"/>
            </w:tcBorders>
          </w:tcPr>
          <w:p w14:paraId="467460DB"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a) i)</w:t>
            </w:r>
          </w:p>
          <w:p w14:paraId="79B48EB1" w14:textId="77777777" w:rsidR="008E3F72" w:rsidRPr="00CD1311" w:rsidRDefault="008E3F72" w:rsidP="0010018A">
            <w:pPr>
              <w:pStyle w:val="TableParagraph"/>
              <w:widowControl/>
              <w:kinsoku w:val="0"/>
              <w:overflowPunct w:val="0"/>
              <w:jc w:val="center"/>
              <w:rPr>
                <w:b/>
                <w:bCs/>
                <w:noProof/>
                <w:sz w:val="20"/>
                <w:szCs w:val="20"/>
              </w:rPr>
            </w:pPr>
          </w:p>
          <w:p w14:paraId="1ED3140A" w14:textId="73874633" w:rsidR="008E3F72" w:rsidRPr="00CD1311" w:rsidRDefault="00F56792" w:rsidP="0010018A">
            <w:pPr>
              <w:pStyle w:val="TableParagraph"/>
              <w:widowControl/>
              <w:kinsoku w:val="0"/>
              <w:overflowPunct w:val="0"/>
              <w:jc w:val="center"/>
              <w:rPr>
                <w:noProof/>
                <w:sz w:val="20"/>
                <w:szCs w:val="20"/>
              </w:rPr>
            </w:pPr>
            <w:r>
              <w:rPr>
                <w:sz w:val="20"/>
                <w:szCs w:val="20"/>
              </w:rPr>
              <w:t>Šķidro kūtsmēslu izkliedēšana</w:t>
            </w:r>
            <w:r w:rsidR="008E3F72" w:rsidRPr="00CD1311">
              <w:rPr>
                <w:sz w:val="20"/>
                <w:szCs w:val="20"/>
              </w:rPr>
              <w:t xml:space="preserve"> joslās ar lokano šļūteni</w:t>
            </w:r>
          </w:p>
        </w:tc>
        <w:tc>
          <w:tcPr>
            <w:tcW w:w="545" w:type="pct"/>
            <w:tcBorders>
              <w:top w:val="single" w:sz="12" w:space="0" w:color="000000"/>
              <w:left w:val="nil"/>
              <w:bottom w:val="nil"/>
              <w:right w:val="nil"/>
            </w:tcBorders>
          </w:tcPr>
          <w:p w14:paraId="22B4814D"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Aramzeme/zāles platības</w:t>
            </w:r>
          </w:p>
        </w:tc>
        <w:tc>
          <w:tcPr>
            <w:tcW w:w="659" w:type="pct"/>
            <w:tcBorders>
              <w:top w:val="single" w:sz="12" w:space="0" w:color="000000"/>
              <w:left w:val="nil"/>
              <w:bottom w:val="nil"/>
              <w:right w:val="nil"/>
            </w:tcBorders>
          </w:tcPr>
          <w:p w14:paraId="01D12D42"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30–35</w:t>
            </w:r>
          </w:p>
        </w:tc>
        <w:tc>
          <w:tcPr>
            <w:tcW w:w="1005" w:type="pct"/>
            <w:tcBorders>
              <w:top w:val="single" w:sz="12" w:space="0" w:color="000000"/>
              <w:left w:val="nil"/>
              <w:bottom w:val="nil"/>
              <w:right w:val="nil"/>
            </w:tcBorders>
          </w:tcPr>
          <w:p w14:paraId="50C1FEFD"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 xml:space="preserve">Jo biezāka lapotne, jo lielāks samazinājums atkarībā no izvietojuma precizitātes un </w:t>
            </w:r>
            <w:r w:rsidRPr="00CD1311">
              <w:rPr>
                <w:sz w:val="20"/>
                <w:szCs w:val="20"/>
              </w:rPr>
              <w:lastRenderedPageBreak/>
              <w:t>zelmeņa piesārņojuma pakāpes.</w:t>
            </w:r>
          </w:p>
        </w:tc>
        <w:tc>
          <w:tcPr>
            <w:tcW w:w="999" w:type="pct"/>
            <w:tcBorders>
              <w:top w:val="single" w:sz="12" w:space="0" w:color="000000"/>
              <w:left w:val="nil"/>
              <w:bottom w:val="nil"/>
              <w:right w:val="nil"/>
            </w:tcBorders>
          </w:tcPr>
          <w:p w14:paraId="3D600ABA"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lastRenderedPageBreak/>
              <w:t xml:space="preserve">Mazāk piemērots pasākums, ja nogāzes slīpums &gt; 15 %. Var izmantot parastā rindsējā sētiem </w:t>
            </w:r>
            <w:r w:rsidRPr="00CD1311">
              <w:rPr>
                <w:sz w:val="20"/>
                <w:szCs w:val="20"/>
              </w:rPr>
              <w:lastRenderedPageBreak/>
              <w:t>augiem, un platāki agregāti var pārvietoties pa iebrauktām sliedēm.</w:t>
            </w:r>
          </w:p>
        </w:tc>
        <w:tc>
          <w:tcPr>
            <w:tcW w:w="697" w:type="pct"/>
            <w:tcBorders>
              <w:top w:val="single" w:sz="12" w:space="0" w:color="000000"/>
              <w:left w:val="nil"/>
              <w:bottom w:val="nil"/>
              <w:right w:val="nil"/>
            </w:tcBorders>
          </w:tcPr>
          <w:p w14:paraId="288851BF"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lastRenderedPageBreak/>
              <w:t xml:space="preserve">-0,5–1,5 (ievērot, ka izmaksas var samazināt, ja aprīkojumu projektē un </w:t>
            </w:r>
            <w:r w:rsidRPr="00CD1311">
              <w:rPr>
                <w:sz w:val="20"/>
                <w:szCs w:val="20"/>
              </w:rPr>
              <w:lastRenderedPageBreak/>
              <w:t>ražo uz vietas)</w:t>
            </w:r>
          </w:p>
        </w:tc>
      </w:tr>
      <w:tr w:rsidR="008E3F72" w:rsidRPr="00CD1311" w14:paraId="25223BCA" w14:textId="77777777" w:rsidTr="0010018A">
        <w:trPr>
          <w:jc w:val="center"/>
        </w:trPr>
        <w:tc>
          <w:tcPr>
            <w:tcW w:w="1095" w:type="pct"/>
            <w:tcBorders>
              <w:top w:val="nil"/>
              <w:left w:val="nil"/>
              <w:bottom w:val="nil"/>
              <w:right w:val="nil"/>
            </w:tcBorders>
          </w:tcPr>
          <w:p w14:paraId="033C7B6C" w14:textId="49E3D4BC" w:rsidR="008E3F72" w:rsidRPr="00CD1311" w:rsidRDefault="008E3F72" w:rsidP="0010018A">
            <w:pPr>
              <w:pStyle w:val="TableParagraph"/>
              <w:widowControl/>
              <w:kinsoku w:val="0"/>
              <w:overflowPunct w:val="0"/>
              <w:jc w:val="center"/>
              <w:rPr>
                <w:noProof/>
                <w:sz w:val="20"/>
                <w:szCs w:val="20"/>
              </w:rPr>
            </w:pPr>
            <w:r w:rsidRPr="00CD1311">
              <w:rPr>
                <w:sz w:val="20"/>
                <w:szCs w:val="20"/>
              </w:rPr>
              <w:lastRenderedPageBreak/>
              <w:t xml:space="preserve">a) </w:t>
            </w:r>
            <w:r w:rsidR="00F56792">
              <w:rPr>
                <w:sz w:val="20"/>
                <w:szCs w:val="20"/>
              </w:rPr>
              <w:t>ii) Šķidro kūtsmēslu izkliedēšana</w:t>
            </w:r>
            <w:r w:rsidRPr="00CD1311">
              <w:rPr>
                <w:sz w:val="20"/>
                <w:szCs w:val="20"/>
              </w:rPr>
              <w:t xml:space="preserve"> jo</w:t>
            </w:r>
            <w:r w:rsidR="00F56792">
              <w:rPr>
                <w:sz w:val="20"/>
                <w:szCs w:val="20"/>
              </w:rPr>
              <w:t>slās ar virsaugsnes lemesi</w:t>
            </w:r>
          </w:p>
        </w:tc>
        <w:tc>
          <w:tcPr>
            <w:tcW w:w="545" w:type="pct"/>
            <w:tcBorders>
              <w:top w:val="nil"/>
              <w:left w:val="nil"/>
              <w:bottom w:val="nil"/>
              <w:right w:val="nil"/>
            </w:tcBorders>
          </w:tcPr>
          <w:p w14:paraId="4257A27F"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Aramzeme/zāles platības (pirms apsēšanas) un rušināmkultūras</w:t>
            </w:r>
          </w:p>
        </w:tc>
        <w:tc>
          <w:tcPr>
            <w:tcW w:w="659" w:type="pct"/>
            <w:tcBorders>
              <w:top w:val="nil"/>
              <w:left w:val="nil"/>
              <w:bottom w:val="nil"/>
              <w:right w:val="nil"/>
            </w:tcBorders>
          </w:tcPr>
          <w:p w14:paraId="3701A7D3"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30–60</w:t>
            </w:r>
          </w:p>
        </w:tc>
        <w:tc>
          <w:tcPr>
            <w:tcW w:w="1005" w:type="pct"/>
            <w:tcBorders>
              <w:top w:val="nil"/>
              <w:left w:val="nil"/>
              <w:bottom w:val="nil"/>
              <w:right w:val="nil"/>
            </w:tcBorders>
          </w:tcPr>
          <w:p w14:paraId="55901148"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Jo biezāka lapotne, jo lielāks samazinājums atkarībā no izvietojuma precizitātes un zelmeņa piesārņojuma pakāpes.</w:t>
            </w:r>
          </w:p>
        </w:tc>
        <w:tc>
          <w:tcPr>
            <w:tcW w:w="999" w:type="pct"/>
            <w:tcBorders>
              <w:top w:val="nil"/>
              <w:left w:val="nil"/>
              <w:bottom w:val="nil"/>
              <w:right w:val="nil"/>
            </w:tcBorders>
          </w:tcPr>
          <w:p w14:paraId="12F3E9E0"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Nav piemērots paņēmiens augošiem, parastā rindsējā sētiem augiem, bet var izmantot rozetes attīstības stadijā un rušināmkultūrām.</w:t>
            </w:r>
          </w:p>
        </w:tc>
        <w:tc>
          <w:tcPr>
            <w:tcW w:w="697" w:type="pct"/>
            <w:tcBorders>
              <w:top w:val="nil"/>
              <w:left w:val="nil"/>
              <w:bottom w:val="nil"/>
              <w:right w:val="nil"/>
            </w:tcBorders>
          </w:tcPr>
          <w:p w14:paraId="325FED60"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-0,5–1,5</w:t>
            </w:r>
          </w:p>
        </w:tc>
      </w:tr>
      <w:tr w:rsidR="008E3F72" w:rsidRPr="00CD1311" w14:paraId="49057E77" w14:textId="77777777" w:rsidTr="0010018A">
        <w:trPr>
          <w:jc w:val="center"/>
        </w:trPr>
        <w:tc>
          <w:tcPr>
            <w:tcW w:w="1095" w:type="pct"/>
            <w:tcBorders>
              <w:top w:val="nil"/>
              <w:left w:val="nil"/>
              <w:bottom w:val="nil"/>
              <w:right w:val="nil"/>
            </w:tcBorders>
          </w:tcPr>
          <w:p w14:paraId="2D5C8BE7"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b) Šķidro kūtsmēslu inžekcija (atklātās vagās)</w:t>
            </w:r>
          </w:p>
        </w:tc>
        <w:tc>
          <w:tcPr>
            <w:tcW w:w="545" w:type="pct"/>
            <w:tcBorders>
              <w:top w:val="nil"/>
              <w:left w:val="nil"/>
              <w:bottom w:val="nil"/>
              <w:right w:val="nil"/>
            </w:tcBorders>
          </w:tcPr>
          <w:p w14:paraId="526FD663"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Zāles platības</w:t>
            </w:r>
          </w:p>
        </w:tc>
        <w:tc>
          <w:tcPr>
            <w:tcW w:w="659" w:type="pct"/>
            <w:tcBorders>
              <w:top w:val="nil"/>
              <w:left w:val="nil"/>
              <w:bottom w:val="nil"/>
              <w:right w:val="nil"/>
            </w:tcBorders>
          </w:tcPr>
          <w:p w14:paraId="27807A05"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70</w:t>
            </w:r>
          </w:p>
        </w:tc>
        <w:tc>
          <w:tcPr>
            <w:tcW w:w="1005" w:type="pct"/>
            <w:tcBorders>
              <w:top w:val="nil"/>
              <w:left w:val="nil"/>
              <w:bottom w:val="nil"/>
              <w:right w:val="nil"/>
            </w:tcBorders>
          </w:tcPr>
          <w:p w14:paraId="06D5D46E"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Inžekcijas dziļums ≤ 5 cm</w:t>
            </w:r>
          </w:p>
        </w:tc>
        <w:tc>
          <w:tcPr>
            <w:tcW w:w="999" w:type="pct"/>
            <w:tcBorders>
              <w:top w:val="nil"/>
              <w:left w:val="nil"/>
              <w:bottom w:val="nil"/>
              <w:right w:val="nil"/>
            </w:tcBorders>
          </w:tcPr>
          <w:p w14:paraId="544345CB"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Pasākums nav piemērots, ja nogāzes slīpums</w:t>
            </w:r>
          </w:p>
          <w:p w14:paraId="33D961AD"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&gt; 15%; daudz akmeņu; augsne ir sekla; augsne ir ļoti mālaina (&gt; 35%); apstākļi ir ļoti sausi; augsne ir kūdraina (organisko vielu saturs &gt; 25 %); augsne nosusināta ar slēgto drenāžas sistēmu, un tajā var notikt izskalošanās.</w:t>
            </w:r>
          </w:p>
        </w:tc>
        <w:tc>
          <w:tcPr>
            <w:tcW w:w="697" w:type="pct"/>
            <w:tcBorders>
              <w:top w:val="nil"/>
              <w:left w:val="nil"/>
              <w:bottom w:val="nil"/>
              <w:right w:val="nil"/>
            </w:tcBorders>
          </w:tcPr>
          <w:p w14:paraId="3584F706"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-0,5–1,5</w:t>
            </w:r>
          </w:p>
        </w:tc>
      </w:tr>
      <w:tr w:rsidR="008E3F72" w:rsidRPr="00CD1311" w14:paraId="305F4508" w14:textId="77777777" w:rsidTr="0010018A">
        <w:trPr>
          <w:jc w:val="center"/>
        </w:trPr>
        <w:tc>
          <w:tcPr>
            <w:tcW w:w="1095" w:type="pct"/>
            <w:tcBorders>
              <w:top w:val="nil"/>
              <w:left w:val="nil"/>
              <w:bottom w:val="nil"/>
              <w:right w:val="nil"/>
            </w:tcBorders>
          </w:tcPr>
          <w:p w14:paraId="72D17A89"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c) Šķidro kūtsmēslu inžekcija</w:t>
            </w:r>
          </w:p>
          <w:p w14:paraId="6956DBC5"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(slēgtās vagās)</w:t>
            </w:r>
          </w:p>
        </w:tc>
        <w:tc>
          <w:tcPr>
            <w:tcW w:w="545" w:type="pct"/>
            <w:tcBorders>
              <w:top w:val="nil"/>
              <w:left w:val="nil"/>
              <w:bottom w:val="nil"/>
              <w:right w:val="nil"/>
            </w:tcBorders>
          </w:tcPr>
          <w:p w14:paraId="4439F41A"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Aramzeme/zāles platības</w:t>
            </w:r>
          </w:p>
        </w:tc>
        <w:tc>
          <w:tcPr>
            <w:tcW w:w="659" w:type="pct"/>
            <w:tcBorders>
              <w:top w:val="nil"/>
              <w:left w:val="nil"/>
              <w:bottom w:val="nil"/>
              <w:right w:val="nil"/>
            </w:tcBorders>
          </w:tcPr>
          <w:p w14:paraId="7E56539F"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80 (sekla vaga,</w:t>
            </w:r>
          </w:p>
          <w:p w14:paraId="50D2F438"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5–10 cm)</w:t>
            </w:r>
          </w:p>
          <w:p w14:paraId="47EFF31E" w14:textId="77777777" w:rsidR="008E3F72" w:rsidRPr="00CD1311" w:rsidRDefault="008E3F72" w:rsidP="0010018A">
            <w:pPr>
              <w:pStyle w:val="TableParagraph"/>
              <w:widowControl/>
              <w:kinsoku w:val="0"/>
              <w:overflowPunct w:val="0"/>
              <w:jc w:val="center"/>
              <w:rPr>
                <w:b/>
                <w:bCs/>
                <w:noProof/>
                <w:sz w:val="20"/>
                <w:szCs w:val="20"/>
              </w:rPr>
            </w:pPr>
          </w:p>
          <w:p w14:paraId="5B4E9984"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90 (dziļā</w:t>
            </w:r>
          </w:p>
          <w:p w14:paraId="71645210"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inžekcija &gt; 15 cm)</w:t>
            </w:r>
          </w:p>
        </w:tc>
        <w:tc>
          <w:tcPr>
            <w:tcW w:w="1005" w:type="pct"/>
            <w:tcBorders>
              <w:top w:val="nil"/>
              <w:left w:val="nil"/>
              <w:bottom w:val="nil"/>
              <w:right w:val="nil"/>
            </w:tcBorders>
          </w:tcPr>
          <w:p w14:paraId="30AD2C58"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Ātra vagu aizdarīšana</w:t>
            </w:r>
          </w:p>
        </w:tc>
        <w:tc>
          <w:tcPr>
            <w:tcW w:w="999" w:type="pct"/>
            <w:tcBorders>
              <w:top w:val="nil"/>
              <w:left w:val="nil"/>
              <w:bottom w:val="nil"/>
              <w:right w:val="nil"/>
            </w:tcBorders>
          </w:tcPr>
          <w:p w14:paraId="7E8B019C"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Pasākums nav piemērots, ja nogāzes slīpums</w:t>
            </w:r>
          </w:p>
          <w:p w14:paraId="35C9AF1D"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&gt; 15%; daudz akmeņu; sekla augsne, ļoti mālaina augsne (&gt; 35%) apstākļi ir ļoti sausi; augsne ir kūdraina (organisko vielu saturs &gt; 25 % ); augsne nosusināta ar slēgto drenāžas sistēmu, un tajā var notikt izskalošanās.</w:t>
            </w:r>
          </w:p>
        </w:tc>
        <w:tc>
          <w:tcPr>
            <w:tcW w:w="697" w:type="pct"/>
            <w:tcBorders>
              <w:top w:val="nil"/>
              <w:left w:val="nil"/>
              <w:bottom w:val="nil"/>
              <w:right w:val="nil"/>
            </w:tcBorders>
          </w:tcPr>
          <w:p w14:paraId="154FC5AD"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-0,5–1,2</w:t>
            </w:r>
          </w:p>
        </w:tc>
      </w:tr>
      <w:tr w:rsidR="008E3F72" w:rsidRPr="00CD1311" w14:paraId="637387FD" w14:textId="77777777" w:rsidTr="0010018A">
        <w:trPr>
          <w:jc w:val="center"/>
        </w:trPr>
        <w:tc>
          <w:tcPr>
            <w:tcW w:w="1095" w:type="pct"/>
            <w:tcBorders>
              <w:top w:val="nil"/>
              <w:left w:val="nil"/>
              <w:bottom w:val="nil"/>
              <w:right w:val="nil"/>
            </w:tcBorders>
          </w:tcPr>
          <w:p w14:paraId="236A0C05" w14:textId="77777777" w:rsidR="00946FBE" w:rsidRPr="00CD1311" w:rsidRDefault="008E3F72" w:rsidP="0010018A">
            <w:pPr>
              <w:pStyle w:val="Default"/>
              <w:jc w:val="center"/>
              <w:rPr>
                <w:sz w:val="20"/>
                <w:szCs w:val="20"/>
              </w:rPr>
            </w:pPr>
            <w:r w:rsidRPr="00CD1311">
              <w:rPr>
                <w:sz w:val="20"/>
                <w:szCs w:val="20"/>
              </w:rPr>
              <w:t>d)</w:t>
            </w:r>
          </w:p>
          <w:p w14:paraId="4E405749" w14:textId="6C0553BB" w:rsidR="008E3F72" w:rsidRPr="00CD1311" w:rsidRDefault="008E3F72" w:rsidP="0010018A">
            <w:pPr>
              <w:pStyle w:val="TableParagraph"/>
              <w:widowControl/>
              <w:kinsoku w:val="0"/>
              <w:overflowPunct w:val="0"/>
              <w:jc w:val="center"/>
              <w:rPr>
                <w:noProof/>
                <w:sz w:val="20"/>
                <w:szCs w:val="20"/>
              </w:rPr>
            </w:pPr>
            <w:r w:rsidRPr="00CD1311">
              <w:rPr>
                <w:sz w:val="20"/>
                <w:szCs w:val="20"/>
              </w:rPr>
              <w:t xml:space="preserve">Uz virsmas izkliedēto šķidro kūtsmēslu iestrāde </w:t>
            </w:r>
          </w:p>
        </w:tc>
        <w:tc>
          <w:tcPr>
            <w:tcW w:w="545" w:type="pct"/>
            <w:tcBorders>
              <w:top w:val="nil"/>
              <w:left w:val="nil"/>
              <w:bottom w:val="nil"/>
              <w:right w:val="nil"/>
            </w:tcBorders>
          </w:tcPr>
          <w:p w14:paraId="7E11E08C" w14:textId="77777777" w:rsidR="00946FBE" w:rsidRPr="00CD1311" w:rsidRDefault="008E3F72" w:rsidP="0010018A">
            <w:pPr>
              <w:pStyle w:val="Default"/>
              <w:jc w:val="center"/>
              <w:rPr>
                <w:sz w:val="20"/>
                <w:szCs w:val="20"/>
              </w:rPr>
            </w:pPr>
            <w:r w:rsidRPr="00CD1311">
              <w:rPr>
                <w:sz w:val="20"/>
                <w:szCs w:val="20"/>
              </w:rPr>
              <w:t>Aramzeme</w:t>
            </w:r>
          </w:p>
          <w:p w14:paraId="56013A81" w14:textId="365BE2A0" w:rsidR="008E3F72" w:rsidRPr="00CD1311" w:rsidRDefault="008E3F72" w:rsidP="0010018A">
            <w:pPr>
              <w:pStyle w:val="TableParagraph"/>
              <w:widowControl/>
              <w:kinsoku w:val="0"/>
              <w:overflowPunct w:val="0"/>
              <w:jc w:val="center"/>
              <w:rPr>
                <w:noProof/>
                <w:sz w:val="20"/>
                <w:szCs w:val="20"/>
              </w:rPr>
            </w:pPr>
          </w:p>
        </w:tc>
        <w:tc>
          <w:tcPr>
            <w:tcW w:w="659" w:type="pct"/>
            <w:tcBorders>
              <w:top w:val="nil"/>
              <w:left w:val="nil"/>
              <w:bottom w:val="nil"/>
              <w:right w:val="nil"/>
            </w:tcBorders>
          </w:tcPr>
          <w:p w14:paraId="51A4B474" w14:textId="77777777" w:rsidR="00946FBE" w:rsidRPr="00CD1311" w:rsidRDefault="008E3F72" w:rsidP="0010018A">
            <w:pPr>
              <w:pStyle w:val="Default"/>
              <w:jc w:val="center"/>
              <w:rPr>
                <w:sz w:val="20"/>
                <w:szCs w:val="20"/>
              </w:rPr>
            </w:pPr>
            <w:r w:rsidRPr="00CD1311">
              <w:rPr>
                <w:sz w:val="20"/>
                <w:szCs w:val="20"/>
              </w:rPr>
              <w:t>Tūlītēja iestrāde ar iearšanu = 90</w:t>
            </w:r>
          </w:p>
          <w:p w14:paraId="73A2B1F8" w14:textId="0EE0658E" w:rsidR="008E3F72" w:rsidRPr="00CD1311" w:rsidRDefault="008E3F72" w:rsidP="0010018A">
            <w:pPr>
              <w:pStyle w:val="TableParagraph"/>
              <w:widowControl/>
              <w:kinsoku w:val="0"/>
              <w:overflowPunct w:val="0"/>
              <w:jc w:val="center"/>
              <w:rPr>
                <w:noProof/>
                <w:sz w:val="20"/>
                <w:szCs w:val="20"/>
              </w:rPr>
            </w:pPr>
          </w:p>
        </w:tc>
        <w:tc>
          <w:tcPr>
            <w:tcW w:w="1005" w:type="pct"/>
            <w:tcBorders>
              <w:top w:val="nil"/>
              <w:left w:val="nil"/>
              <w:bottom w:val="nil"/>
              <w:right w:val="nil"/>
            </w:tcBorders>
          </w:tcPr>
          <w:p w14:paraId="43927CFE" w14:textId="77777777" w:rsidR="008E3F72" w:rsidRPr="00CD1311" w:rsidRDefault="008E3F72" w:rsidP="0010018A">
            <w:pPr>
              <w:pStyle w:val="TableParagraph"/>
              <w:widowControl/>
              <w:kinsoku w:val="0"/>
              <w:overflowPunct w:val="0"/>
              <w:jc w:val="center"/>
              <w:rPr>
                <w:noProof/>
                <w:sz w:val="20"/>
                <w:szCs w:val="20"/>
              </w:rPr>
            </w:pPr>
          </w:p>
        </w:tc>
        <w:tc>
          <w:tcPr>
            <w:tcW w:w="999" w:type="pct"/>
            <w:tcBorders>
              <w:top w:val="nil"/>
              <w:left w:val="nil"/>
              <w:bottom w:val="nil"/>
              <w:right w:val="nil"/>
            </w:tcBorders>
          </w:tcPr>
          <w:p w14:paraId="65D1E687" w14:textId="77777777" w:rsidR="008E3F72" w:rsidRPr="00CD1311" w:rsidRDefault="008E3F72" w:rsidP="0010018A">
            <w:pPr>
              <w:pStyle w:val="TableParagraph"/>
              <w:widowControl/>
              <w:kinsoku w:val="0"/>
              <w:overflowPunct w:val="0"/>
              <w:jc w:val="center"/>
              <w:rPr>
                <w:noProof/>
                <w:sz w:val="20"/>
                <w:szCs w:val="20"/>
              </w:rPr>
            </w:pPr>
          </w:p>
        </w:tc>
        <w:tc>
          <w:tcPr>
            <w:tcW w:w="697" w:type="pct"/>
            <w:tcBorders>
              <w:top w:val="nil"/>
              <w:left w:val="nil"/>
              <w:bottom w:val="nil"/>
              <w:right w:val="nil"/>
            </w:tcBorders>
          </w:tcPr>
          <w:p w14:paraId="71E5C930" w14:textId="77777777" w:rsidR="00946FBE" w:rsidRPr="00CD1311" w:rsidRDefault="008E3F72" w:rsidP="0010018A">
            <w:pPr>
              <w:pStyle w:val="Default"/>
              <w:jc w:val="center"/>
              <w:rPr>
                <w:sz w:val="20"/>
                <w:szCs w:val="20"/>
              </w:rPr>
            </w:pPr>
            <w:r w:rsidRPr="00CD1311">
              <w:rPr>
                <w:sz w:val="20"/>
                <w:szCs w:val="20"/>
              </w:rPr>
              <w:t>-0,5–1,0</w:t>
            </w:r>
          </w:p>
          <w:p w14:paraId="61CF2962" w14:textId="36ABA500" w:rsidR="008E3F72" w:rsidRPr="00CD1311" w:rsidRDefault="008E3F72" w:rsidP="0010018A">
            <w:pPr>
              <w:pStyle w:val="TableParagraph"/>
              <w:widowControl/>
              <w:kinsoku w:val="0"/>
              <w:overflowPunct w:val="0"/>
              <w:jc w:val="center"/>
              <w:rPr>
                <w:noProof/>
                <w:sz w:val="20"/>
                <w:szCs w:val="20"/>
              </w:rPr>
            </w:pPr>
          </w:p>
        </w:tc>
      </w:tr>
      <w:tr w:rsidR="008E3F72" w:rsidRPr="00CD1311" w14:paraId="4770B7F7" w14:textId="77777777" w:rsidTr="0010018A">
        <w:trPr>
          <w:jc w:val="center"/>
        </w:trPr>
        <w:tc>
          <w:tcPr>
            <w:tcW w:w="1095" w:type="pct"/>
            <w:tcBorders>
              <w:top w:val="nil"/>
              <w:left w:val="nil"/>
              <w:bottom w:val="nil"/>
              <w:right w:val="nil"/>
            </w:tcBorders>
          </w:tcPr>
          <w:p w14:paraId="6234EA9F" w14:textId="77777777" w:rsidR="008E3F72" w:rsidRPr="00CD1311" w:rsidRDefault="008E3F72" w:rsidP="0010018A">
            <w:pPr>
              <w:pStyle w:val="TableParagraph"/>
              <w:widowControl/>
              <w:kinsoku w:val="0"/>
              <w:overflowPunct w:val="0"/>
              <w:jc w:val="center"/>
              <w:rPr>
                <w:noProof/>
                <w:sz w:val="20"/>
                <w:szCs w:val="20"/>
              </w:rPr>
            </w:pPr>
          </w:p>
        </w:tc>
        <w:tc>
          <w:tcPr>
            <w:tcW w:w="545" w:type="pct"/>
            <w:tcBorders>
              <w:top w:val="nil"/>
              <w:left w:val="nil"/>
              <w:bottom w:val="nil"/>
              <w:right w:val="nil"/>
            </w:tcBorders>
          </w:tcPr>
          <w:p w14:paraId="2319BD51" w14:textId="77777777" w:rsidR="008E3F72" w:rsidRPr="00CD1311" w:rsidRDefault="008E3F72" w:rsidP="0010018A">
            <w:pPr>
              <w:pStyle w:val="TableParagraph"/>
              <w:widowControl/>
              <w:kinsoku w:val="0"/>
              <w:overflowPunct w:val="0"/>
              <w:jc w:val="center"/>
              <w:rPr>
                <w:noProof/>
                <w:sz w:val="20"/>
                <w:szCs w:val="20"/>
              </w:rPr>
            </w:pPr>
          </w:p>
        </w:tc>
        <w:tc>
          <w:tcPr>
            <w:tcW w:w="659" w:type="pct"/>
            <w:tcBorders>
              <w:top w:val="nil"/>
              <w:left w:val="nil"/>
              <w:bottom w:val="nil"/>
              <w:right w:val="nil"/>
            </w:tcBorders>
          </w:tcPr>
          <w:p w14:paraId="795D7116" w14:textId="77777777" w:rsidR="00946FBE" w:rsidRPr="00CD1311" w:rsidRDefault="008E3F72" w:rsidP="0010018A">
            <w:pPr>
              <w:pStyle w:val="Default"/>
              <w:jc w:val="center"/>
              <w:rPr>
                <w:sz w:val="20"/>
                <w:szCs w:val="20"/>
              </w:rPr>
            </w:pPr>
            <w:r w:rsidRPr="00CD1311">
              <w:rPr>
                <w:sz w:val="20"/>
                <w:szCs w:val="20"/>
              </w:rPr>
              <w:t>Tūlītēja iestrāde ar kultivatoru bez velēnas apvēršanas (piemēram, ar diska kultivatoru) = 70</w:t>
            </w:r>
          </w:p>
          <w:p w14:paraId="35DFD0C8" w14:textId="17642EA0" w:rsidR="008E3F72" w:rsidRPr="00CD1311" w:rsidRDefault="008E3F72" w:rsidP="0010018A">
            <w:pPr>
              <w:pStyle w:val="TableParagraph"/>
              <w:widowControl/>
              <w:kinsoku w:val="0"/>
              <w:overflowPunct w:val="0"/>
              <w:jc w:val="center"/>
              <w:rPr>
                <w:noProof/>
                <w:sz w:val="20"/>
                <w:szCs w:val="20"/>
              </w:rPr>
            </w:pPr>
          </w:p>
        </w:tc>
        <w:tc>
          <w:tcPr>
            <w:tcW w:w="1005" w:type="pct"/>
            <w:tcBorders>
              <w:top w:val="nil"/>
              <w:left w:val="nil"/>
              <w:bottom w:val="nil"/>
              <w:right w:val="nil"/>
            </w:tcBorders>
          </w:tcPr>
          <w:p w14:paraId="66594EB6" w14:textId="77777777" w:rsidR="008E3F72" w:rsidRPr="00CD1311" w:rsidRDefault="008E3F72" w:rsidP="0010018A">
            <w:pPr>
              <w:pStyle w:val="TableParagraph"/>
              <w:widowControl/>
              <w:kinsoku w:val="0"/>
              <w:overflowPunct w:val="0"/>
              <w:jc w:val="center"/>
              <w:rPr>
                <w:noProof/>
                <w:sz w:val="20"/>
                <w:szCs w:val="20"/>
              </w:rPr>
            </w:pPr>
          </w:p>
        </w:tc>
        <w:tc>
          <w:tcPr>
            <w:tcW w:w="999" w:type="pct"/>
            <w:tcBorders>
              <w:top w:val="nil"/>
              <w:left w:val="nil"/>
              <w:bottom w:val="nil"/>
              <w:right w:val="nil"/>
            </w:tcBorders>
          </w:tcPr>
          <w:p w14:paraId="0B2D95F4" w14:textId="77777777" w:rsidR="008E3F72" w:rsidRPr="00CD1311" w:rsidRDefault="008E3F72" w:rsidP="0010018A">
            <w:pPr>
              <w:pStyle w:val="TableParagraph"/>
              <w:widowControl/>
              <w:kinsoku w:val="0"/>
              <w:overflowPunct w:val="0"/>
              <w:jc w:val="center"/>
              <w:rPr>
                <w:noProof/>
                <w:sz w:val="20"/>
                <w:szCs w:val="20"/>
              </w:rPr>
            </w:pPr>
          </w:p>
        </w:tc>
        <w:tc>
          <w:tcPr>
            <w:tcW w:w="697" w:type="pct"/>
            <w:tcBorders>
              <w:top w:val="nil"/>
              <w:left w:val="nil"/>
              <w:bottom w:val="nil"/>
              <w:right w:val="nil"/>
            </w:tcBorders>
          </w:tcPr>
          <w:p w14:paraId="6E18E741" w14:textId="77777777" w:rsidR="00946FBE" w:rsidRPr="00CD1311" w:rsidRDefault="008E3F72" w:rsidP="0010018A">
            <w:pPr>
              <w:pStyle w:val="Default"/>
              <w:jc w:val="center"/>
              <w:rPr>
                <w:sz w:val="20"/>
                <w:szCs w:val="20"/>
              </w:rPr>
            </w:pPr>
            <w:r w:rsidRPr="00CD1311">
              <w:rPr>
                <w:sz w:val="20"/>
                <w:szCs w:val="20"/>
              </w:rPr>
              <w:t>-0,5–1,0</w:t>
            </w:r>
          </w:p>
          <w:p w14:paraId="66D9AA8C" w14:textId="10C84557" w:rsidR="008E3F72" w:rsidRPr="00CD1311" w:rsidRDefault="008E3F72" w:rsidP="0010018A">
            <w:pPr>
              <w:pStyle w:val="TableParagraph"/>
              <w:widowControl/>
              <w:kinsoku w:val="0"/>
              <w:overflowPunct w:val="0"/>
              <w:jc w:val="center"/>
              <w:rPr>
                <w:noProof/>
                <w:sz w:val="20"/>
                <w:szCs w:val="20"/>
              </w:rPr>
            </w:pPr>
          </w:p>
        </w:tc>
      </w:tr>
      <w:tr w:rsidR="008E3F72" w:rsidRPr="00CD1311" w14:paraId="21E7D93D" w14:textId="77777777" w:rsidTr="0010018A">
        <w:trPr>
          <w:jc w:val="center"/>
        </w:trPr>
        <w:tc>
          <w:tcPr>
            <w:tcW w:w="1095" w:type="pct"/>
            <w:tcBorders>
              <w:top w:val="nil"/>
              <w:left w:val="nil"/>
              <w:bottom w:val="nil"/>
              <w:right w:val="nil"/>
            </w:tcBorders>
          </w:tcPr>
          <w:p w14:paraId="4A4E6947" w14:textId="77777777" w:rsidR="008E3F72" w:rsidRPr="00CD1311" w:rsidRDefault="008E3F72" w:rsidP="0010018A">
            <w:pPr>
              <w:pStyle w:val="TableParagraph"/>
              <w:widowControl/>
              <w:kinsoku w:val="0"/>
              <w:overflowPunct w:val="0"/>
              <w:jc w:val="center"/>
              <w:rPr>
                <w:noProof/>
                <w:sz w:val="20"/>
                <w:szCs w:val="20"/>
              </w:rPr>
            </w:pPr>
          </w:p>
        </w:tc>
        <w:tc>
          <w:tcPr>
            <w:tcW w:w="545" w:type="pct"/>
            <w:tcBorders>
              <w:top w:val="nil"/>
              <w:left w:val="nil"/>
              <w:bottom w:val="nil"/>
              <w:right w:val="nil"/>
            </w:tcBorders>
          </w:tcPr>
          <w:p w14:paraId="3D29ADDF" w14:textId="77777777" w:rsidR="008E3F72" w:rsidRPr="00CD1311" w:rsidRDefault="008E3F72" w:rsidP="0010018A">
            <w:pPr>
              <w:pStyle w:val="TableParagraph"/>
              <w:widowControl/>
              <w:kinsoku w:val="0"/>
              <w:overflowPunct w:val="0"/>
              <w:jc w:val="center"/>
              <w:rPr>
                <w:noProof/>
                <w:sz w:val="20"/>
                <w:szCs w:val="20"/>
              </w:rPr>
            </w:pPr>
          </w:p>
        </w:tc>
        <w:tc>
          <w:tcPr>
            <w:tcW w:w="659" w:type="pct"/>
            <w:tcBorders>
              <w:top w:val="nil"/>
              <w:left w:val="nil"/>
              <w:bottom w:val="nil"/>
              <w:right w:val="nil"/>
            </w:tcBorders>
          </w:tcPr>
          <w:p w14:paraId="7E89D7C5" w14:textId="77777777" w:rsidR="00946FBE" w:rsidRPr="00CD1311" w:rsidRDefault="008E3F72" w:rsidP="0010018A">
            <w:pPr>
              <w:pStyle w:val="Default"/>
              <w:jc w:val="center"/>
              <w:rPr>
                <w:sz w:val="20"/>
                <w:szCs w:val="20"/>
              </w:rPr>
            </w:pPr>
            <w:r w:rsidRPr="00CD1311">
              <w:rPr>
                <w:sz w:val="20"/>
                <w:szCs w:val="20"/>
              </w:rPr>
              <w:t>Iestrāde 4 stundu laikā = 45–65</w:t>
            </w:r>
          </w:p>
          <w:p w14:paraId="36B6E3AB" w14:textId="4C6CA1D9" w:rsidR="008E3F72" w:rsidRPr="00CD1311" w:rsidRDefault="008E3F72" w:rsidP="0010018A">
            <w:pPr>
              <w:pStyle w:val="TableParagraph"/>
              <w:widowControl/>
              <w:kinsoku w:val="0"/>
              <w:overflowPunct w:val="0"/>
              <w:jc w:val="center"/>
              <w:rPr>
                <w:noProof/>
                <w:sz w:val="20"/>
                <w:szCs w:val="20"/>
              </w:rPr>
            </w:pPr>
          </w:p>
        </w:tc>
        <w:tc>
          <w:tcPr>
            <w:tcW w:w="1005" w:type="pct"/>
            <w:tcBorders>
              <w:top w:val="nil"/>
              <w:left w:val="nil"/>
              <w:bottom w:val="nil"/>
              <w:right w:val="nil"/>
            </w:tcBorders>
          </w:tcPr>
          <w:p w14:paraId="524680C1" w14:textId="77777777" w:rsidR="00946FBE" w:rsidRPr="00CD1311" w:rsidRDefault="008E3F72" w:rsidP="0010018A">
            <w:pPr>
              <w:pStyle w:val="Default"/>
              <w:jc w:val="center"/>
              <w:rPr>
                <w:sz w:val="20"/>
                <w:szCs w:val="20"/>
              </w:rPr>
            </w:pPr>
            <w:r w:rsidRPr="00CD1311">
              <w:rPr>
                <w:sz w:val="20"/>
                <w:szCs w:val="20"/>
              </w:rPr>
              <w:t>Efektivitāte ir atkarīga no mēslošanas metodes un klimatiskajiem apstākļiem laikā no mēslošanas līdz iestrādei.</w:t>
            </w:r>
          </w:p>
          <w:p w14:paraId="073F8B50" w14:textId="0927ADE3" w:rsidR="008E3F72" w:rsidRPr="00CD1311" w:rsidRDefault="008E3F72" w:rsidP="0010018A">
            <w:pPr>
              <w:pStyle w:val="TableParagraph"/>
              <w:widowControl/>
              <w:kinsoku w:val="0"/>
              <w:overflowPunct w:val="0"/>
              <w:jc w:val="center"/>
              <w:rPr>
                <w:noProof/>
                <w:sz w:val="20"/>
                <w:szCs w:val="20"/>
              </w:rPr>
            </w:pPr>
          </w:p>
        </w:tc>
        <w:tc>
          <w:tcPr>
            <w:tcW w:w="999" w:type="pct"/>
            <w:tcBorders>
              <w:top w:val="nil"/>
              <w:left w:val="nil"/>
              <w:bottom w:val="nil"/>
              <w:right w:val="nil"/>
            </w:tcBorders>
          </w:tcPr>
          <w:p w14:paraId="55A3EEB6" w14:textId="77777777" w:rsidR="00946FBE" w:rsidRPr="00CD1311" w:rsidRDefault="008E3F72" w:rsidP="0010018A">
            <w:pPr>
              <w:pStyle w:val="Default"/>
              <w:jc w:val="center"/>
              <w:rPr>
                <w:sz w:val="20"/>
                <w:szCs w:val="20"/>
              </w:rPr>
            </w:pPr>
            <w:r w:rsidRPr="00CD1311">
              <w:rPr>
                <w:sz w:val="20"/>
                <w:szCs w:val="20"/>
              </w:rPr>
              <w:t>Efektivitāte ir atkarīga no mēslošanas metodes un klimatiskajiem apstākļiem laikā no mēslošanas līdz iestrādei.</w:t>
            </w:r>
          </w:p>
          <w:p w14:paraId="6BCB1DAA" w14:textId="75C65B27" w:rsidR="008E3F72" w:rsidRPr="00CD1311" w:rsidRDefault="008E3F72" w:rsidP="0010018A">
            <w:pPr>
              <w:pStyle w:val="TableParagraph"/>
              <w:widowControl/>
              <w:kinsoku w:val="0"/>
              <w:overflowPunct w:val="0"/>
              <w:jc w:val="center"/>
              <w:rPr>
                <w:noProof/>
                <w:sz w:val="20"/>
                <w:szCs w:val="20"/>
              </w:rPr>
            </w:pPr>
          </w:p>
        </w:tc>
        <w:tc>
          <w:tcPr>
            <w:tcW w:w="697" w:type="pct"/>
            <w:tcBorders>
              <w:top w:val="nil"/>
              <w:left w:val="nil"/>
              <w:bottom w:val="nil"/>
              <w:right w:val="nil"/>
            </w:tcBorders>
          </w:tcPr>
          <w:p w14:paraId="472EC29F" w14:textId="77777777" w:rsidR="00946FBE" w:rsidRPr="00CD1311" w:rsidRDefault="008E3F72" w:rsidP="0010018A">
            <w:pPr>
              <w:pStyle w:val="Default"/>
              <w:jc w:val="center"/>
              <w:rPr>
                <w:sz w:val="20"/>
                <w:szCs w:val="20"/>
              </w:rPr>
            </w:pPr>
            <w:r w:rsidRPr="00CD1311">
              <w:rPr>
                <w:sz w:val="20"/>
                <w:szCs w:val="20"/>
              </w:rPr>
              <w:t>-0,5–1,0</w:t>
            </w:r>
          </w:p>
          <w:p w14:paraId="6815A856" w14:textId="0D09AC97" w:rsidR="008E3F72" w:rsidRPr="00CD1311" w:rsidRDefault="008E3F72" w:rsidP="0010018A">
            <w:pPr>
              <w:pStyle w:val="TableParagraph"/>
              <w:widowControl/>
              <w:kinsoku w:val="0"/>
              <w:overflowPunct w:val="0"/>
              <w:jc w:val="center"/>
              <w:rPr>
                <w:noProof/>
                <w:sz w:val="20"/>
                <w:szCs w:val="20"/>
              </w:rPr>
            </w:pPr>
          </w:p>
        </w:tc>
      </w:tr>
      <w:tr w:rsidR="008E3F72" w:rsidRPr="00CD1311" w14:paraId="18B820AE" w14:textId="77777777" w:rsidTr="0010018A">
        <w:trPr>
          <w:jc w:val="center"/>
        </w:trPr>
        <w:tc>
          <w:tcPr>
            <w:tcW w:w="1095" w:type="pct"/>
            <w:tcBorders>
              <w:top w:val="nil"/>
              <w:left w:val="nil"/>
              <w:right w:val="nil"/>
            </w:tcBorders>
          </w:tcPr>
          <w:p w14:paraId="5685C583" w14:textId="77777777" w:rsidR="008E3F72" w:rsidRPr="00CD1311" w:rsidRDefault="008E3F72" w:rsidP="0010018A">
            <w:pPr>
              <w:pStyle w:val="TableParagraph"/>
              <w:widowControl/>
              <w:kinsoku w:val="0"/>
              <w:overflowPunct w:val="0"/>
              <w:jc w:val="center"/>
              <w:rPr>
                <w:noProof/>
                <w:sz w:val="20"/>
                <w:szCs w:val="20"/>
              </w:rPr>
            </w:pPr>
          </w:p>
        </w:tc>
        <w:tc>
          <w:tcPr>
            <w:tcW w:w="545" w:type="pct"/>
            <w:tcBorders>
              <w:top w:val="nil"/>
              <w:left w:val="nil"/>
              <w:right w:val="nil"/>
            </w:tcBorders>
          </w:tcPr>
          <w:p w14:paraId="64F70FF3" w14:textId="77777777" w:rsidR="008E3F72" w:rsidRPr="00CD1311" w:rsidRDefault="008E3F72" w:rsidP="0010018A">
            <w:pPr>
              <w:pStyle w:val="TableParagraph"/>
              <w:widowControl/>
              <w:kinsoku w:val="0"/>
              <w:overflowPunct w:val="0"/>
              <w:jc w:val="center"/>
              <w:rPr>
                <w:noProof/>
                <w:sz w:val="20"/>
                <w:szCs w:val="20"/>
              </w:rPr>
            </w:pPr>
          </w:p>
        </w:tc>
        <w:tc>
          <w:tcPr>
            <w:tcW w:w="659" w:type="pct"/>
            <w:tcBorders>
              <w:top w:val="nil"/>
              <w:left w:val="nil"/>
              <w:right w:val="nil"/>
            </w:tcBorders>
          </w:tcPr>
          <w:p w14:paraId="0D7A2EA0" w14:textId="77777777" w:rsidR="00946FBE" w:rsidRPr="00CD1311" w:rsidRDefault="008E3F72" w:rsidP="0010018A">
            <w:pPr>
              <w:pStyle w:val="Default"/>
              <w:jc w:val="center"/>
              <w:rPr>
                <w:sz w:val="20"/>
                <w:szCs w:val="20"/>
              </w:rPr>
            </w:pPr>
            <w:r w:rsidRPr="00CD1311">
              <w:rPr>
                <w:sz w:val="20"/>
                <w:szCs w:val="20"/>
              </w:rPr>
              <w:t>Iestrāde 24 stundu laikā = 30</w:t>
            </w:r>
          </w:p>
          <w:p w14:paraId="2AF9F61B" w14:textId="67ED1637" w:rsidR="008E3F72" w:rsidRPr="00CD1311" w:rsidRDefault="008E3F72" w:rsidP="0010018A">
            <w:pPr>
              <w:pStyle w:val="TableParagraph"/>
              <w:widowControl/>
              <w:kinsoku w:val="0"/>
              <w:overflowPunct w:val="0"/>
              <w:jc w:val="center"/>
              <w:rPr>
                <w:noProof/>
                <w:sz w:val="20"/>
                <w:szCs w:val="20"/>
              </w:rPr>
            </w:pPr>
          </w:p>
        </w:tc>
        <w:tc>
          <w:tcPr>
            <w:tcW w:w="1005" w:type="pct"/>
            <w:tcBorders>
              <w:top w:val="nil"/>
              <w:left w:val="nil"/>
              <w:right w:val="nil"/>
            </w:tcBorders>
          </w:tcPr>
          <w:p w14:paraId="0384A292" w14:textId="77777777" w:rsidR="00946FBE" w:rsidRPr="00CD1311" w:rsidRDefault="008E3F72" w:rsidP="0010018A">
            <w:pPr>
              <w:pStyle w:val="Default"/>
              <w:jc w:val="center"/>
              <w:rPr>
                <w:sz w:val="20"/>
                <w:szCs w:val="20"/>
              </w:rPr>
            </w:pPr>
            <w:r w:rsidRPr="00CD1311">
              <w:rPr>
                <w:sz w:val="20"/>
                <w:szCs w:val="20"/>
              </w:rPr>
              <w:t>Efektivitāte ir atkarīga no mēslošanas metodes un klimatiskajiem apstākļiem laikā no mēslošanas līdz iestrādei.</w:t>
            </w:r>
          </w:p>
          <w:p w14:paraId="404D40D8" w14:textId="235B6028" w:rsidR="008E3F72" w:rsidRPr="00CD1311" w:rsidRDefault="008E3F72" w:rsidP="0010018A">
            <w:pPr>
              <w:pStyle w:val="TableParagraph"/>
              <w:widowControl/>
              <w:kinsoku w:val="0"/>
              <w:overflowPunct w:val="0"/>
              <w:jc w:val="center"/>
              <w:rPr>
                <w:noProof/>
                <w:sz w:val="20"/>
                <w:szCs w:val="20"/>
              </w:rPr>
            </w:pPr>
          </w:p>
        </w:tc>
        <w:tc>
          <w:tcPr>
            <w:tcW w:w="999" w:type="pct"/>
            <w:tcBorders>
              <w:top w:val="nil"/>
              <w:left w:val="nil"/>
              <w:right w:val="nil"/>
            </w:tcBorders>
          </w:tcPr>
          <w:p w14:paraId="24FE1448" w14:textId="77777777" w:rsidR="00946FBE" w:rsidRPr="00CD1311" w:rsidRDefault="008E3F72" w:rsidP="0010018A">
            <w:pPr>
              <w:pStyle w:val="Default"/>
              <w:jc w:val="center"/>
              <w:rPr>
                <w:sz w:val="20"/>
                <w:szCs w:val="20"/>
              </w:rPr>
            </w:pPr>
            <w:r w:rsidRPr="00CD1311">
              <w:rPr>
                <w:sz w:val="20"/>
                <w:szCs w:val="20"/>
              </w:rPr>
              <w:t>Efektivitāte ir atkarīga no mēslošanas metodes un klimatiskajiem apstākļiem laikā no mēslošanas līdz iestrādei.</w:t>
            </w:r>
          </w:p>
          <w:p w14:paraId="7801E63E" w14:textId="125D6BD2" w:rsidR="008E3F72" w:rsidRPr="00CD1311" w:rsidRDefault="008E3F72" w:rsidP="0010018A">
            <w:pPr>
              <w:pStyle w:val="TableParagraph"/>
              <w:widowControl/>
              <w:kinsoku w:val="0"/>
              <w:overflowPunct w:val="0"/>
              <w:jc w:val="center"/>
              <w:rPr>
                <w:noProof/>
                <w:sz w:val="20"/>
                <w:szCs w:val="20"/>
              </w:rPr>
            </w:pPr>
          </w:p>
        </w:tc>
        <w:tc>
          <w:tcPr>
            <w:tcW w:w="697" w:type="pct"/>
            <w:tcBorders>
              <w:top w:val="nil"/>
              <w:left w:val="nil"/>
              <w:right w:val="nil"/>
            </w:tcBorders>
          </w:tcPr>
          <w:p w14:paraId="00683CE2" w14:textId="77777777" w:rsidR="00946FBE" w:rsidRPr="00CD1311" w:rsidRDefault="008E3F72" w:rsidP="0010018A">
            <w:pPr>
              <w:pStyle w:val="Default"/>
              <w:jc w:val="center"/>
              <w:rPr>
                <w:sz w:val="20"/>
                <w:szCs w:val="20"/>
              </w:rPr>
            </w:pPr>
            <w:r w:rsidRPr="00CD1311">
              <w:rPr>
                <w:sz w:val="20"/>
                <w:szCs w:val="20"/>
              </w:rPr>
              <w:t>0–2,0</w:t>
            </w:r>
          </w:p>
          <w:p w14:paraId="7D32962C" w14:textId="425CE273" w:rsidR="008E3F72" w:rsidRPr="00CD1311" w:rsidRDefault="008E3F72" w:rsidP="0010018A">
            <w:pPr>
              <w:pStyle w:val="TableParagraph"/>
              <w:widowControl/>
              <w:kinsoku w:val="0"/>
              <w:overflowPunct w:val="0"/>
              <w:jc w:val="center"/>
              <w:rPr>
                <w:noProof/>
                <w:sz w:val="20"/>
                <w:szCs w:val="20"/>
              </w:rPr>
            </w:pPr>
          </w:p>
        </w:tc>
      </w:tr>
      <w:tr w:rsidR="008E3F72" w:rsidRPr="00CD1311" w14:paraId="0AEF0B00" w14:textId="77777777" w:rsidTr="0010018A">
        <w:trPr>
          <w:jc w:val="center"/>
        </w:trPr>
        <w:tc>
          <w:tcPr>
            <w:tcW w:w="1095" w:type="pct"/>
            <w:tcBorders>
              <w:top w:val="nil"/>
              <w:left w:val="nil"/>
              <w:bottom w:val="single" w:sz="4" w:space="0" w:color="auto"/>
              <w:right w:val="nil"/>
            </w:tcBorders>
          </w:tcPr>
          <w:p w14:paraId="6E5ACC93" w14:textId="72C43813" w:rsidR="00946FBE" w:rsidRPr="00CD1311" w:rsidRDefault="008E3F72" w:rsidP="0010018A">
            <w:pPr>
              <w:pStyle w:val="Default"/>
              <w:jc w:val="center"/>
              <w:rPr>
                <w:sz w:val="20"/>
                <w:szCs w:val="20"/>
              </w:rPr>
            </w:pPr>
            <w:r w:rsidRPr="00CD1311">
              <w:rPr>
                <w:sz w:val="20"/>
                <w:szCs w:val="20"/>
              </w:rPr>
              <w:t xml:space="preserve">e) Aktīva šķidro kūtsmēslu </w:t>
            </w:r>
            <w:r w:rsidR="00F56792">
              <w:rPr>
                <w:sz w:val="20"/>
                <w:szCs w:val="20"/>
              </w:rPr>
              <w:t xml:space="preserve">atšķaidīšana, samazinot </w:t>
            </w:r>
            <w:r w:rsidR="00F56792" w:rsidRPr="00F56792">
              <w:rPr>
                <w:i/>
                <w:sz w:val="20"/>
                <w:szCs w:val="20"/>
              </w:rPr>
              <w:t>DM</w:t>
            </w:r>
            <w:r w:rsidRPr="00CD1311">
              <w:rPr>
                <w:sz w:val="20"/>
                <w:szCs w:val="20"/>
              </w:rPr>
              <w:t xml:space="preserve"> daudzumu, kas lielāks par 4 %, līdz daudzumam, kas mazāks par 2 %, izmantošanai apūdeņošanas sistēmās.</w:t>
            </w:r>
          </w:p>
          <w:p w14:paraId="7314311F" w14:textId="39F45B2E" w:rsidR="008E3F72" w:rsidRPr="00CD1311" w:rsidRDefault="008E3F72" w:rsidP="0010018A">
            <w:pPr>
              <w:pStyle w:val="TableParagraph"/>
              <w:widowControl/>
              <w:kinsoku w:val="0"/>
              <w:overflowPunct w:val="0"/>
              <w:jc w:val="center"/>
              <w:rPr>
                <w:noProof/>
                <w:sz w:val="20"/>
                <w:szCs w:val="20"/>
              </w:rPr>
            </w:pPr>
          </w:p>
        </w:tc>
        <w:tc>
          <w:tcPr>
            <w:tcW w:w="545" w:type="pct"/>
            <w:tcBorders>
              <w:top w:val="nil"/>
              <w:left w:val="nil"/>
              <w:bottom w:val="single" w:sz="4" w:space="0" w:color="auto"/>
              <w:right w:val="nil"/>
            </w:tcBorders>
          </w:tcPr>
          <w:p w14:paraId="0AA89040" w14:textId="77777777" w:rsidR="00946FBE" w:rsidRPr="00CD1311" w:rsidRDefault="008E3F72" w:rsidP="0010018A">
            <w:pPr>
              <w:pStyle w:val="Default"/>
              <w:jc w:val="center"/>
              <w:rPr>
                <w:sz w:val="20"/>
                <w:szCs w:val="20"/>
              </w:rPr>
            </w:pPr>
            <w:r w:rsidRPr="00CD1311">
              <w:rPr>
                <w:sz w:val="20"/>
                <w:szCs w:val="20"/>
              </w:rPr>
              <w:t>Aramzeme/zāles platības</w:t>
            </w:r>
          </w:p>
          <w:p w14:paraId="60D39390" w14:textId="2C671BF7" w:rsidR="008E3F72" w:rsidRPr="00CD1311" w:rsidRDefault="008E3F72" w:rsidP="0010018A">
            <w:pPr>
              <w:pStyle w:val="TableParagraph"/>
              <w:widowControl/>
              <w:kinsoku w:val="0"/>
              <w:overflowPunct w:val="0"/>
              <w:jc w:val="center"/>
              <w:rPr>
                <w:noProof/>
                <w:sz w:val="20"/>
                <w:szCs w:val="20"/>
              </w:rPr>
            </w:pPr>
          </w:p>
        </w:tc>
        <w:tc>
          <w:tcPr>
            <w:tcW w:w="659" w:type="pct"/>
            <w:tcBorders>
              <w:top w:val="nil"/>
              <w:left w:val="nil"/>
              <w:bottom w:val="single" w:sz="4" w:space="0" w:color="auto"/>
              <w:right w:val="nil"/>
            </w:tcBorders>
          </w:tcPr>
          <w:p w14:paraId="02A17AD7" w14:textId="77777777" w:rsidR="00946FBE" w:rsidRPr="00CD1311" w:rsidRDefault="008E3F72" w:rsidP="0010018A">
            <w:pPr>
              <w:pStyle w:val="Default"/>
              <w:jc w:val="center"/>
              <w:rPr>
                <w:sz w:val="20"/>
                <w:szCs w:val="20"/>
              </w:rPr>
            </w:pPr>
            <w:r w:rsidRPr="00CD1311">
              <w:rPr>
                <w:sz w:val="20"/>
                <w:szCs w:val="20"/>
              </w:rPr>
              <w:t>30</w:t>
            </w:r>
          </w:p>
          <w:p w14:paraId="7B6295C2" w14:textId="7FB29F98" w:rsidR="008E3F72" w:rsidRPr="00CD1311" w:rsidRDefault="008E3F72" w:rsidP="0010018A">
            <w:pPr>
              <w:pStyle w:val="TableParagraph"/>
              <w:widowControl/>
              <w:kinsoku w:val="0"/>
              <w:overflowPunct w:val="0"/>
              <w:jc w:val="center"/>
              <w:rPr>
                <w:noProof/>
                <w:sz w:val="20"/>
                <w:szCs w:val="20"/>
              </w:rPr>
            </w:pPr>
          </w:p>
        </w:tc>
        <w:tc>
          <w:tcPr>
            <w:tcW w:w="1005" w:type="pct"/>
            <w:tcBorders>
              <w:top w:val="nil"/>
              <w:left w:val="nil"/>
              <w:bottom w:val="single" w:sz="4" w:space="0" w:color="auto"/>
              <w:right w:val="nil"/>
            </w:tcBorders>
          </w:tcPr>
          <w:p w14:paraId="733CCE48" w14:textId="09CCFD71" w:rsidR="00946FBE" w:rsidRPr="00CD1311" w:rsidRDefault="008E3F72" w:rsidP="0010018A">
            <w:pPr>
              <w:pStyle w:val="Default"/>
              <w:jc w:val="center"/>
              <w:rPr>
                <w:sz w:val="20"/>
                <w:szCs w:val="20"/>
              </w:rPr>
            </w:pPr>
            <w:r w:rsidRPr="00CD1311">
              <w:rPr>
                <w:sz w:val="20"/>
                <w:szCs w:val="20"/>
              </w:rPr>
              <w:t>Emisijas samazinājums ir proporcionāls atšķaidīšanai. E</w:t>
            </w:r>
            <w:r w:rsidR="00F56792">
              <w:rPr>
                <w:sz w:val="20"/>
                <w:szCs w:val="20"/>
              </w:rPr>
              <w:t xml:space="preserve">misijas samazināšanai par 30 % </w:t>
            </w:r>
            <w:r w:rsidR="00F56792" w:rsidRPr="00F56792">
              <w:rPr>
                <w:i/>
                <w:sz w:val="20"/>
                <w:szCs w:val="20"/>
              </w:rPr>
              <w:t>DM</w:t>
            </w:r>
            <w:r w:rsidRPr="00CD1311">
              <w:rPr>
                <w:sz w:val="20"/>
                <w:szCs w:val="20"/>
              </w:rPr>
              <w:t xml:space="preserve"> saturs jāsamazina par 50 %.</w:t>
            </w:r>
          </w:p>
          <w:p w14:paraId="0883EE6B" w14:textId="07F23DE2" w:rsidR="008E3F72" w:rsidRPr="00CD1311" w:rsidRDefault="008E3F72" w:rsidP="0010018A">
            <w:pPr>
              <w:pStyle w:val="TableParagraph"/>
              <w:widowControl/>
              <w:kinsoku w:val="0"/>
              <w:overflowPunct w:val="0"/>
              <w:jc w:val="center"/>
              <w:rPr>
                <w:noProof/>
                <w:sz w:val="20"/>
                <w:szCs w:val="20"/>
              </w:rPr>
            </w:pPr>
          </w:p>
        </w:tc>
        <w:tc>
          <w:tcPr>
            <w:tcW w:w="999" w:type="pct"/>
            <w:tcBorders>
              <w:top w:val="nil"/>
              <w:left w:val="nil"/>
              <w:bottom w:val="single" w:sz="4" w:space="0" w:color="auto"/>
              <w:right w:val="nil"/>
            </w:tcBorders>
          </w:tcPr>
          <w:p w14:paraId="0C7734C2" w14:textId="77777777" w:rsidR="00946FBE" w:rsidRPr="00CD1311" w:rsidRDefault="008E3F72" w:rsidP="0010018A">
            <w:pPr>
              <w:pStyle w:val="Default"/>
              <w:jc w:val="center"/>
              <w:rPr>
                <w:sz w:val="20"/>
                <w:szCs w:val="20"/>
              </w:rPr>
            </w:pPr>
            <w:r w:rsidRPr="00CD1311">
              <w:rPr>
                <w:sz w:val="20"/>
                <w:szCs w:val="20"/>
              </w:rPr>
              <w:t>Paņēmienu var piemērot tikai zemspiediena apūdeņošanas sistēmām (nevis „pistolēm”). Paņēmiens nav piemērots, ja apūdeņošana nav vajadzīga.</w:t>
            </w:r>
          </w:p>
          <w:p w14:paraId="5ED887DC" w14:textId="7EC2A66A" w:rsidR="008E3F72" w:rsidRPr="00CD1311" w:rsidRDefault="008E3F72" w:rsidP="0010018A">
            <w:pPr>
              <w:pStyle w:val="TableParagraph"/>
              <w:widowControl/>
              <w:kinsoku w:val="0"/>
              <w:overflowPunct w:val="0"/>
              <w:jc w:val="center"/>
              <w:rPr>
                <w:noProof/>
                <w:sz w:val="20"/>
                <w:szCs w:val="20"/>
              </w:rPr>
            </w:pPr>
          </w:p>
        </w:tc>
        <w:tc>
          <w:tcPr>
            <w:tcW w:w="697" w:type="pct"/>
            <w:tcBorders>
              <w:top w:val="nil"/>
              <w:left w:val="nil"/>
              <w:bottom w:val="single" w:sz="4" w:space="0" w:color="auto"/>
              <w:right w:val="nil"/>
            </w:tcBorders>
          </w:tcPr>
          <w:p w14:paraId="47075FBD" w14:textId="77777777" w:rsidR="00946FBE" w:rsidRPr="00CD1311" w:rsidRDefault="008E3F72" w:rsidP="0010018A">
            <w:pPr>
              <w:pStyle w:val="Default"/>
              <w:jc w:val="center"/>
              <w:rPr>
                <w:sz w:val="20"/>
                <w:szCs w:val="20"/>
              </w:rPr>
            </w:pPr>
            <w:r w:rsidRPr="00CD1311">
              <w:rPr>
                <w:sz w:val="20"/>
                <w:szCs w:val="20"/>
              </w:rPr>
              <w:t>-0,5–1,0</w:t>
            </w:r>
          </w:p>
          <w:p w14:paraId="5553CD12" w14:textId="542FC0E1" w:rsidR="008E3F72" w:rsidRPr="00CD1311" w:rsidRDefault="008E3F72" w:rsidP="0010018A">
            <w:pPr>
              <w:pStyle w:val="TableParagraph"/>
              <w:widowControl/>
              <w:kinsoku w:val="0"/>
              <w:overflowPunct w:val="0"/>
              <w:jc w:val="center"/>
              <w:rPr>
                <w:noProof/>
                <w:sz w:val="20"/>
                <w:szCs w:val="20"/>
              </w:rPr>
            </w:pPr>
          </w:p>
        </w:tc>
      </w:tr>
    </w:tbl>
    <w:p w14:paraId="2D360B6A" w14:textId="77777777" w:rsidR="00946FBE" w:rsidRPr="00F35F4D" w:rsidRDefault="008E3F72" w:rsidP="008E3F72">
      <w:pPr>
        <w:pStyle w:val="Default"/>
      </w:pPr>
      <w:r w:rsidRPr="00F35F4D">
        <w:rPr>
          <w:i/>
          <w:noProof/>
        </w:rPr>
        <w:t xml:space="preserve">Piezīme. </w:t>
      </w:r>
      <w:r w:rsidRPr="00F35F4D">
        <w:t>Emisijas samazināšanas pasākumi uzskatāmi par 1. kategorijas paņēmieniem, kas uzskaitīti 133. punktā.</w:t>
      </w:r>
    </w:p>
    <w:p w14:paraId="197868D6" w14:textId="182385FC" w:rsidR="008E3F72" w:rsidRPr="00F35F4D" w:rsidRDefault="008E3F72" w:rsidP="008E3F72">
      <w:pPr>
        <w:pStyle w:val="BodyText"/>
        <w:widowControl/>
        <w:kinsoku w:val="0"/>
        <w:overflowPunct w:val="0"/>
        <w:spacing w:before="0"/>
        <w:ind w:left="0"/>
        <w:jc w:val="both"/>
        <w:rPr>
          <w:noProof/>
          <w:sz w:val="24"/>
          <w:szCs w:val="24"/>
        </w:rPr>
      </w:pPr>
      <w:r w:rsidRPr="00F35F4D">
        <w:rPr>
          <w:vertAlign w:val="superscript"/>
        </w:rPr>
        <w:t>a</w:t>
      </w:r>
      <w:r w:rsidRPr="00F35F4D">
        <w:rPr>
          <w:i/>
          <w:noProof/>
          <w:sz w:val="24"/>
        </w:rPr>
        <w:t xml:space="preserve"> </w:t>
      </w:r>
      <w:r w:rsidRPr="00F35F4D">
        <w:rPr>
          <w:noProof/>
          <w:sz w:val="24"/>
        </w:rPr>
        <w:t xml:space="preserve">Vidējais emisijas samazinājums, ko saskaņā ar vienošanos ir iespējams panākt EEK reģionā. Plašais diapazons atspoguļo atšķirības paņēmienos, </w:t>
      </w:r>
      <w:r w:rsidR="00F56792">
        <w:rPr>
          <w:noProof/>
          <w:sz w:val="24"/>
        </w:rPr>
        <w:t>ap</w:t>
      </w:r>
      <w:r w:rsidRPr="00F35F4D">
        <w:rPr>
          <w:noProof/>
          <w:sz w:val="24"/>
        </w:rPr>
        <w:t>saimniekošanā, klimatiskajos apstākļos utt.</w:t>
      </w:r>
    </w:p>
    <w:p w14:paraId="1802AA4E" w14:textId="77777777" w:rsidR="008E3F72" w:rsidRPr="00F35F4D" w:rsidRDefault="008E3F72" w:rsidP="008E3F72">
      <w:pPr>
        <w:pStyle w:val="BodyText"/>
        <w:widowControl/>
        <w:tabs>
          <w:tab w:val="left" w:pos="1600"/>
        </w:tabs>
        <w:kinsoku w:val="0"/>
        <w:overflowPunct w:val="0"/>
        <w:spacing w:before="0"/>
        <w:ind w:left="0"/>
        <w:jc w:val="both"/>
        <w:rPr>
          <w:noProof/>
          <w:sz w:val="24"/>
          <w:szCs w:val="24"/>
        </w:rPr>
      </w:pPr>
    </w:p>
    <w:p w14:paraId="394C3699"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14. tabula</w:t>
      </w:r>
    </w:p>
    <w:p w14:paraId="3BD75144" w14:textId="092EBB46" w:rsidR="008E3F72" w:rsidRPr="00F35F4D" w:rsidRDefault="008E3F72" w:rsidP="008E3F72">
      <w:pPr>
        <w:pStyle w:val="Heading9"/>
        <w:widowControl/>
        <w:kinsoku w:val="0"/>
        <w:overflowPunct w:val="0"/>
        <w:spacing w:before="0"/>
        <w:ind w:left="0"/>
        <w:jc w:val="both"/>
        <w:rPr>
          <w:b w:val="0"/>
          <w:bCs w:val="0"/>
          <w:noProof/>
          <w:sz w:val="24"/>
          <w:szCs w:val="24"/>
        </w:rPr>
      </w:pPr>
      <w:r w:rsidRPr="00F35F4D">
        <w:rPr>
          <w:noProof/>
          <w:sz w:val="24"/>
        </w:rPr>
        <w:t>1. kategorijas emisijas samazin</w:t>
      </w:r>
      <w:r w:rsidR="00CC42D4">
        <w:rPr>
          <w:noProof/>
          <w:sz w:val="24"/>
        </w:rPr>
        <w:t>āšanas paņēmieni</w:t>
      </w:r>
      <w:r w:rsidR="00F56792">
        <w:rPr>
          <w:noProof/>
          <w:sz w:val="24"/>
        </w:rPr>
        <w:t xml:space="preserve"> pakaišu kūtsmēslu iestrādāšanai augsnē</w:t>
      </w:r>
      <w:r w:rsidR="00CD1311">
        <w:rPr>
          <w:rStyle w:val="FootnoteReference"/>
          <w:noProof/>
          <w:sz w:val="24"/>
        </w:rPr>
        <w:footnoteReference w:id="12"/>
      </w:r>
    </w:p>
    <w:p w14:paraId="4E5574B2"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1212"/>
        <w:gridCol w:w="878"/>
        <w:gridCol w:w="1254"/>
        <w:gridCol w:w="1466"/>
        <w:gridCol w:w="2260"/>
        <w:gridCol w:w="1156"/>
      </w:tblGrid>
      <w:tr w:rsidR="008E3F72" w:rsidRPr="00CD1311" w14:paraId="119BD637" w14:textId="77777777" w:rsidTr="0010018A">
        <w:tc>
          <w:tcPr>
            <w:tcW w:w="666" w:type="pct"/>
            <w:tcBorders>
              <w:top w:val="single" w:sz="4" w:space="0" w:color="000000"/>
              <w:left w:val="nil"/>
              <w:bottom w:val="single" w:sz="12" w:space="0" w:color="000000"/>
              <w:right w:val="nil"/>
            </w:tcBorders>
          </w:tcPr>
          <w:p w14:paraId="3F6AA615"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Emisijas samazināšanas pasākums</w:t>
            </w:r>
          </w:p>
        </w:tc>
        <w:tc>
          <w:tcPr>
            <w:tcW w:w="447" w:type="pct"/>
            <w:tcBorders>
              <w:top w:val="single" w:sz="4" w:space="0" w:color="000000"/>
              <w:left w:val="nil"/>
              <w:bottom w:val="single" w:sz="12" w:space="0" w:color="000000"/>
              <w:right w:val="nil"/>
            </w:tcBorders>
          </w:tcPr>
          <w:p w14:paraId="7972502A"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Zemes lietošanas veids</w:t>
            </w:r>
          </w:p>
        </w:tc>
        <w:tc>
          <w:tcPr>
            <w:tcW w:w="817" w:type="pct"/>
            <w:tcBorders>
              <w:top w:val="single" w:sz="4" w:space="0" w:color="000000"/>
              <w:left w:val="nil"/>
              <w:bottom w:val="single" w:sz="12" w:space="0" w:color="000000"/>
              <w:right w:val="nil"/>
            </w:tcBorders>
          </w:tcPr>
          <w:p w14:paraId="317A419C" w14:textId="77777777" w:rsidR="008E3F72" w:rsidRPr="00CD1311" w:rsidRDefault="008E3F72" w:rsidP="0010018A">
            <w:pPr>
              <w:pStyle w:val="TableParagraph"/>
              <w:widowControl/>
              <w:kinsoku w:val="0"/>
              <w:overflowPunct w:val="0"/>
              <w:jc w:val="center"/>
              <w:rPr>
                <w:noProof/>
                <w:sz w:val="20"/>
                <w:szCs w:val="20"/>
              </w:rPr>
            </w:pPr>
            <w:r w:rsidRPr="00CD1311">
              <w:rPr>
                <w:i/>
                <w:sz w:val="20"/>
                <w:szCs w:val="20"/>
              </w:rPr>
              <w:t>Emisijas samazinājums (%)</w:t>
            </w:r>
            <w:r w:rsidRPr="00CD1311">
              <w:rPr>
                <w:sz w:val="20"/>
                <w:szCs w:val="20"/>
                <w:vertAlign w:val="superscript"/>
              </w:rPr>
              <w:t>a</w:t>
            </w:r>
          </w:p>
        </w:tc>
        <w:tc>
          <w:tcPr>
            <w:tcW w:w="946" w:type="pct"/>
            <w:tcBorders>
              <w:top w:val="single" w:sz="4" w:space="0" w:color="000000"/>
              <w:left w:val="nil"/>
              <w:bottom w:val="single" w:sz="12" w:space="0" w:color="000000"/>
              <w:right w:val="nil"/>
            </w:tcBorders>
          </w:tcPr>
          <w:p w14:paraId="3A33DC4F"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Emisijas samazinājumu ietekmējošie faktori</w:t>
            </w:r>
          </w:p>
        </w:tc>
        <w:tc>
          <w:tcPr>
            <w:tcW w:w="1428" w:type="pct"/>
            <w:tcBorders>
              <w:top w:val="single" w:sz="4" w:space="0" w:color="000000"/>
              <w:left w:val="nil"/>
              <w:bottom w:val="single" w:sz="12" w:space="0" w:color="000000"/>
              <w:right w:val="nil"/>
            </w:tcBorders>
          </w:tcPr>
          <w:p w14:paraId="729785FB"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Izmantošanas iespēju ierobežojumi salīdzinājumā ar atsauci</w:t>
            </w:r>
          </w:p>
        </w:tc>
        <w:tc>
          <w:tcPr>
            <w:tcW w:w="696" w:type="pct"/>
            <w:tcBorders>
              <w:top w:val="single" w:sz="4" w:space="0" w:color="000000"/>
              <w:left w:val="nil"/>
              <w:bottom w:val="single" w:sz="12" w:space="0" w:color="000000"/>
              <w:right w:val="nil"/>
            </w:tcBorders>
          </w:tcPr>
          <w:p w14:paraId="39FBF2BC"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Izmaksas (€ par NH3 emisijas kg samazinājumu gadā)</w:t>
            </w:r>
          </w:p>
        </w:tc>
      </w:tr>
      <w:tr w:rsidR="008E3F72" w:rsidRPr="00CD1311" w14:paraId="7B8E1BCF" w14:textId="77777777" w:rsidTr="0010018A">
        <w:tc>
          <w:tcPr>
            <w:tcW w:w="666" w:type="pct"/>
            <w:tcBorders>
              <w:top w:val="single" w:sz="12" w:space="0" w:color="000000"/>
              <w:left w:val="nil"/>
              <w:bottom w:val="nil"/>
              <w:right w:val="nil"/>
            </w:tcBorders>
          </w:tcPr>
          <w:p w14:paraId="2275AD23" w14:textId="77777777" w:rsidR="008E3F72" w:rsidRPr="00CD1311" w:rsidRDefault="008E3F72" w:rsidP="0010018A">
            <w:pPr>
              <w:pStyle w:val="TableParagraph"/>
              <w:widowControl/>
              <w:kinsoku w:val="0"/>
              <w:overflowPunct w:val="0"/>
              <w:jc w:val="center"/>
              <w:rPr>
                <w:b/>
                <w:bCs/>
                <w:noProof/>
                <w:sz w:val="20"/>
                <w:szCs w:val="20"/>
              </w:rPr>
            </w:pPr>
          </w:p>
          <w:p w14:paraId="177FD130"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Uz virsmas izkliedēto kūtsmēslu iestrāde</w:t>
            </w:r>
          </w:p>
        </w:tc>
        <w:tc>
          <w:tcPr>
            <w:tcW w:w="447" w:type="pct"/>
            <w:tcBorders>
              <w:top w:val="single" w:sz="12" w:space="0" w:color="000000"/>
              <w:left w:val="nil"/>
              <w:bottom w:val="nil"/>
              <w:right w:val="nil"/>
            </w:tcBorders>
          </w:tcPr>
          <w:p w14:paraId="1D88DE21" w14:textId="77777777" w:rsidR="008E3F72" w:rsidRPr="00CD1311" w:rsidRDefault="008E3F72" w:rsidP="0010018A">
            <w:pPr>
              <w:pStyle w:val="TableParagraph"/>
              <w:widowControl/>
              <w:kinsoku w:val="0"/>
              <w:overflowPunct w:val="0"/>
              <w:jc w:val="center"/>
              <w:rPr>
                <w:b/>
                <w:bCs/>
                <w:noProof/>
                <w:sz w:val="20"/>
                <w:szCs w:val="20"/>
              </w:rPr>
            </w:pPr>
          </w:p>
          <w:p w14:paraId="26BE5A9A"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Aramzeme</w:t>
            </w:r>
          </w:p>
        </w:tc>
        <w:tc>
          <w:tcPr>
            <w:tcW w:w="817" w:type="pct"/>
            <w:tcBorders>
              <w:top w:val="single" w:sz="12" w:space="0" w:color="000000"/>
              <w:left w:val="nil"/>
              <w:bottom w:val="nil"/>
              <w:right w:val="nil"/>
            </w:tcBorders>
          </w:tcPr>
          <w:p w14:paraId="6FA68BC7" w14:textId="77777777" w:rsidR="008E3F72" w:rsidRPr="00CD1311" w:rsidRDefault="008E3F72" w:rsidP="0010018A">
            <w:pPr>
              <w:pStyle w:val="TableParagraph"/>
              <w:widowControl/>
              <w:kinsoku w:val="0"/>
              <w:overflowPunct w:val="0"/>
              <w:jc w:val="center"/>
              <w:rPr>
                <w:b/>
                <w:bCs/>
                <w:noProof/>
                <w:sz w:val="20"/>
                <w:szCs w:val="20"/>
              </w:rPr>
            </w:pPr>
          </w:p>
          <w:p w14:paraId="634D3638"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Tūlītēja iestrāde ar iearšanu = 90</w:t>
            </w:r>
          </w:p>
        </w:tc>
        <w:tc>
          <w:tcPr>
            <w:tcW w:w="946" w:type="pct"/>
            <w:tcBorders>
              <w:top w:val="single" w:sz="12" w:space="0" w:color="000000"/>
              <w:left w:val="nil"/>
              <w:bottom w:val="nil"/>
              <w:right w:val="nil"/>
            </w:tcBorders>
          </w:tcPr>
          <w:p w14:paraId="2425F5F6" w14:textId="77777777" w:rsidR="008E3F72" w:rsidRPr="00CD1311" w:rsidRDefault="008E3F72" w:rsidP="0010018A">
            <w:pPr>
              <w:pStyle w:val="TableParagraph"/>
              <w:widowControl/>
              <w:kinsoku w:val="0"/>
              <w:overflowPunct w:val="0"/>
              <w:jc w:val="center"/>
              <w:rPr>
                <w:b/>
                <w:bCs/>
                <w:noProof/>
                <w:sz w:val="20"/>
                <w:szCs w:val="20"/>
              </w:rPr>
            </w:pPr>
          </w:p>
          <w:p w14:paraId="5F599C42"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Kūtsmēslu iestrādes pakāpe</w:t>
            </w:r>
          </w:p>
        </w:tc>
        <w:tc>
          <w:tcPr>
            <w:tcW w:w="1428" w:type="pct"/>
            <w:tcBorders>
              <w:top w:val="single" w:sz="12" w:space="0" w:color="000000"/>
              <w:left w:val="nil"/>
              <w:bottom w:val="nil"/>
              <w:right w:val="nil"/>
            </w:tcBorders>
          </w:tcPr>
          <w:p w14:paraId="0BCC6B2B" w14:textId="77777777" w:rsidR="008E3F72" w:rsidRPr="00CD1311" w:rsidRDefault="008E3F72" w:rsidP="0010018A">
            <w:pPr>
              <w:pStyle w:val="TableParagraph"/>
              <w:widowControl/>
              <w:kinsoku w:val="0"/>
              <w:overflowPunct w:val="0"/>
              <w:jc w:val="center"/>
              <w:rPr>
                <w:b/>
                <w:bCs/>
                <w:noProof/>
                <w:sz w:val="20"/>
                <w:szCs w:val="20"/>
              </w:rPr>
            </w:pPr>
          </w:p>
          <w:p w14:paraId="3C380645" w14:textId="77777777" w:rsidR="008E3F72" w:rsidRPr="00CD1311" w:rsidRDefault="008E3F72" w:rsidP="0010018A">
            <w:pPr>
              <w:pStyle w:val="TableParagraph"/>
              <w:widowControl/>
              <w:kinsoku w:val="0"/>
              <w:overflowPunct w:val="0"/>
              <w:jc w:val="center"/>
              <w:rPr>
                <w:b/>
                <w:bCs/>
                <w:noProof/>
                <w:sz w:val="20"/>
                <w:szCs w:val="20"/>
              </w:rPr>
            </w:pPr>
          </w:p>
          <w:p w14:paraId="4C556101"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w:t>
            </w:r>
          </w:p>
        </w:tc>
        <w:tc>
          <w:tcPr>
            <w:tcW w:w="696" w:type="pct"/>
            <w:tcBorders>
              <w:top w:val="single" w:sz="12" w:space="0" w:color="000000"/>
              <w:left w:val="nil"/>
              <w:bottom w:val="nil"/>
              <w:right w:val="nil"/>
            </w:tcBorders>
          </w:tcPr>
          <w:p w14:paraId="02773856" w14:textId="77777777" w:rsidR="008E3F72" w:rsidRPr="00CD1311" w:rsidRDefault="008E3F72" w:rsidP="0010018A">
            <w:pPr>
              <w:pStyle w:val="TableParagraph"/>
              <w:widowControl/>
              <w:kinsoku w:val="0"/>
              <w:overflowPunct w:val="0"/>
              <w:jc w:val="center"/>
              <w:rPr>
                <w:b/>
                <w:bCs/>
                <w:noProof/>
                <w:sz w:val="20"/>
                <w:szCs w:val="20"/>
              </w:rPr>
            </w:pPr>
          </w:p>
          <w:p w14:paraId="32B8EDF8"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-0,5–1,0</w:t>
            </w:r>
          </w:p>
        </w:tc>
      </w:tr>
      <w:tr w:rsidR="008E3F72" w:rsidRPr="00CD1311" w14:paraId="17700778" w14:textId="77777777" w:rsidTr="0010018A">
        <w:tc>
          <w:tcPr>
            <w:tcW w:w="666" w:type="pct"/>
            <w:tcBorders>
              <w:top w:val="nil"/>
              <w:left w:val="nil"/>
              <w:bottom w:val="nil"/>
              <w:right w:val="nil"/>
            </w:tcBorders>
          </w:tcPr>
          <w:p w14:paraId="15CDC771" w14:textId="77777777" w:rsidR="008E3F72" w:rsidRPr="00CD1311" w:rsidRDefault="008E3F72" w:rsidP="0010018A">
            <w:pPr>
              <w:widowControl/>
              <w:jc w:val="center"/>
              <w:rPr>
                <w:noProof/>
                <w:sz w:val="20"/>
                <w:szCs w:val="20"/>
              </w:rPr>
            </w:pPr>
          </w:p>
        </w:tc>
        <w:tc>
          <w:tcPr>
            <w:tcW w:w="447" w:type="pct"/>
            <w:tcBorders>
              <w:top w:val="nil"/>
              <w:left w:val="nil"/>
              <w:bottom w:val="nil"/>
              <w:right w:val="nil"/>
            </w:tcBorders>
          </w:tcPr>
          <w:p w14:paraId="1268FB9E" w14:textId="77777777" w:rsidR="008E3F72" w:rsidRPr="00CD1311" w:rsidRDefault="008E3F72" w:rsidP="0010018A">
            <w:pPr>
              <w:widowControl/>
              <w:jc w:val="center"/>
              <w:rPr>
                <w:noProof/>
                <w:sz w:val="20"/>
                <w:szCs w:val="20"/>
              </w:rPr>
            </w:pPr>
          </w:p>
        </w:tc>
        <w:tc>
          <w:tcPr>
            <w:tcW w:w="817" w:type="pct"/>
            <w:tcBorders>
              <w:top w:val="nil"/>
              <w:left w:val="nil"/>
              <w:bottom w:val="nil"/>
              <w:right w:val="nil"/>
            </w:tcBorders>
          </w:tcPr>
          <w:p w14:paraId="60898D66"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Tūlītēja iestrāde ar kultivatoru bez velēnas apvēršanas = 60</w:t>
            </w:r>
          </w:p>
        </w:tc>
        <w:tc>
          <w:tcPr>
            <w:tcW w:w="946" w:type="pct"/>
            <w:tcBorders>
              <w:top w:val="nil"/>
              <w:left w:val="nil"/>
              <w:bottom w:val="nil"/>
              <w:right w:val="nil"/>
            </w:tcBorders>
          </w:tcPr>
          <w:p w14:paraId="18027A51"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Kūtsmēslu iestrādes pakāpe</w:t>
            </w:r>
          </w:p>
        </w:tc>
        <w:tc>
          <w:tcPr>
            <w:tcW w:w="1428" w:type="pct"/>
            <w:tcBorders>
              <w:top w:val="nil"/>
              <w:left w:val="nil"/>
              <w:bottom w:val="nil"/>
              <w:right w:val="nil"/>
            </w:tcBorders>
          </w:tcPr>
          <w:p w14:paraId="321B3D5C" w14:textId="77777777" w:rsidR="008E3F72" w:rsidRPr="00CD1311" w:rsidRDefault="008E3F72" w:rsidP="0010018A">
            <w:pPr>
              <w:pStyle w:val="TableParagraph"/>
              <w:widowControl/>
              <w:kinsoku w:val="0"/>
              <w:overflowPunct w:val="0"/>
              <w:jc w:val="center"/>
              <w:rPr>
                <w:b/>
                <w:bCs/>
                <w:noProof/>
                <w:sz w:val="20"/>
                <w:szCs w:val="20"/>
              </w:rPr>
            </w:pPr>
          </w:p>
          <w:p w14:paraId="5A0DB448"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w:t>
            </w:r>
          </w:p>
        </w:tc>
        <w:tc>
          <w:tcPr>
            <w:tcW w:w="696" w:type="pct"/>
            <w:tcBorders>
              <w:top w:val="nil"/>
              <w:left w:val="nil"/>
              <w:bottom w:val="nil"/>
              <w:right w:val="nil"/>
            </w:tcBorders>
          </w:tcPr>
          <w:p w14:paraId="5ACA2165"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0–1,5</w:t>
            </w:r>
          </w:p>
        </w:tc>
      </w:tr>
      <w:tr w:rsidR="008E3F72" w:rsidRPr="00CD1311" w14:paraId="507E7C82" w14:textId="77777777" w:rsidTr="0010018A">
        <w:tc>
          <w:tcPr>
            <w:tcW w:w="666" w:type="pct"/>
            <w:tcBorders>
              <w:top w:val="nil"/>
              <w:left w:val="nil"/>
              <w:bottom w:val="nil"/>
              <w:right w:val="nil"/>
            </w:tcBorders>
          </w:tcPr>
          <w:p w14:paraId="3FDB5006" w14:textId="77777777" w:rsidR="008E3F72" w:rsidRPr="00CD1311" w:rsidRDefault="008E3F72" w:rsidP="0010018A">
            <w:pPr>
              <w:widowControl/>
              <w:jc w:val="center"/>
              <w:rPr>
                <w:noProof/>
                <w:sz w:val="20"/>
                <w:szCs w:val="20"/>
              </w:rPr>
            </w:pPr>
          </w:p>
        </w:tc>
        <w:tc>
          <w:tcPr>
            <w:tcW w:w="447" w:type="pct"/>
            <w:tcBorders>
              <w:top w:val="nil"/>
              <w:left w:val="nil"/>
              <w:bottom w:val="nil"/>
              <w:right w:val="nil"/>
            </w:tcBorders>
          </w:tcPr>
          <w:p w14:paraId="5B99D051" w14:textId="77777777" w:rsidR="008E3F72" w:rsidRPr="00CD1311" w:rsidRDefault="008E3F72" w:rsidP="0010018A">
            <w:pPr>
              <w:widowControl/>
              <w:jc w:val="center"/>
              <w:rPr>
                <w:noProof/>
                <w:sz w:val="20"/>
                <w:szCs w:val="20"/>
              </w:rPr>
            </w:pPr>
          </w:p>
        </w:tc>
        <w:tc>
          <w:tcPr>
            <w:tcW w:w="817" w:type="pct"/>
            <w:tcBorders>
              <w:top w:val="nil"/>
              <w:left w:val="nil"/>
              <w:bottom w:val="nil"/>
              <w:right w:val="nil"/>
            </w:tcBorders>
          </w:tcPr>
          <w:p w14:paraId="36D9A0F9"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Iestrāde 4 stundu laikā = 45–</w:t>
            </w:r>
          </w:p>
          <w:p w14:paraId="5601395C"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65</w:t>
            </w:r>
          </w:p>
        </w:tc>
        <w:tc>
          <w:tcPr>
            <w:tcW w:w="946" w:type="pct"/>
            <w:tcBorders>
              <w:top w:val="nil"/>
              <w:left w:val="nil"/>
              <w:bottom w:val="nil"/>
              <w:right w:val="nil"/>
            </w:tcBorders>
          </w:tcPr>
          <w:p w14:paraId="08027483"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Kūtsmēslu iestrādes pakāpe.</w:t>
            </w:r>
          </w:p>
          <w:p w14:paraId="613C8341"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Efektivitāte ir atkarīga no diennakts laika, kurā veic mēslošanu, un klimatiskajiem apstākļiem laikā no mēslošanas līdz iestrādei.</w:t>
            </w:r>
          </w:p>
        </w:tc>
        <w:tc>
          <w:tcPr>
            <w:tcW w:w="1428" w:type="pct"/>
            <w:tcBorders>
              <w:top w:val="nil"/>
              <w:left w:val="nil"/>
              <w:bottom w:val="nil"/>
              <w:right w:val="nil"/>
            </w:tcBorders>
          </w:tcPr>
          <w:p w14:paraId="69844142"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Kūtsmēslu iestrādes pakāpe. Efektivitāte ir atkarīga no diennakts laika, kurā veic mēslošanu, un klimatiskajiem apstākļiem laikā no mēslošanas līdz iestrādei.</w:t>
            </w:r>
          </w:p>
        </w:tc>
        <w:tc>
          <w:tcPr>
            <w:tcW w:w="696" w:type="pct"/>
            <w:tcBorders>
              <w:top w:val="nil"/>
              <w:left w:val="nil"/>
              <w:bottom w:val="nil"/>
              <w:right w:val="nil"/>
            </w:tcBorders>
          </w:tcPr>
          <w:p w14:paraId="11C8695B"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0–1,5</w:t>
            </w:r>
          </w:p>
        </w:tc>
      </w:tr>
      <w:tr w:rsidR="008E3F72" w:rsidRPr="00CD1311" w14:paraId="5E0660C0" w14:textId="77777777" w:rsidTr="0010018A">
        <w:tc>
          <w:tcPr>
            <w:tcW w:w="666" w:type="pct"/>
            <w:tcBorders>
              <w:top w:val="nil"/>
              <w:left w:val="nil"/>
              <w:bottom w:val="nil"/>
              <w:right w:val="nil"/>
            </w:tcBorders>
          </w:tcPr>
          <w:p w14:paraId="1F7B66C3" w14:textId="77777777" w:rsidR="008E3F72" w:rsidRPr="00CD1311" w:rsidRDefault="008E3F72" w:rsidP="0010018A">
            <w:pPr>
              <w:widowControl/>
              <w:jc w:val="center"/>
              <w:rPr>
                <w:noProof/>
                <w:sz w:val="20"/>
                <w:szCs w:val="20"/>
              </w:rPr>
            </w:pPr>
          </w:p>
        </w:tc>
        <w:tc>
          <w:tcPr>
            <w:tcW w:w="447" w:type="pct"/>
            <w:tcBorders>
              <w:top w:val="nil"/>
              <w:left w:val="nil"/>
              <w:bottom w:val="nil"/>
              <w:right w:val="nil"/>
            </w:tcBorders>
          </w:tcPr>
          <w:p w14:paraId="5C221104" w14:textId="77777777" w:rsidR="008E3F72" w:rsidRPr="00CD1311" w:rsidRDefault="008E3F72" w:rsidP="0010018A">
            <w:pPr>
              <w:widowControl/>
              <w:jc w:val="center"/>
              <w:rPr>
                <w:noProof/>
                <w:sz w:val="20"/>
                <w:szCs w:val="20"/>
              </w:rPr>
            </w:pPr>
          </w:p>
        </w:tc>
        <w:tc>
          <w:tcPr>
            <w:tcW w:w="817" w:type="pct"/>
            <w:tcBorders>
              <w:top w:val="nil"/>
              <w:left w:val="nil"/>
              <w:bottom w:val="nil"/>
              <w:right w:val="nil"/>
            </w:tcBorders>
          </w:tcPr>
          <w:p w14:paraId="21F3BFEA"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Iestrāde 12 stundu laikā.</w:t>
            </w:r>
          </w:p>
          <w:p w14:paraId="1F163858"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 50</w:t>
            </w:r>
          </w:p>
        </w:tc>
        <w:tc>
          <w:tcPr>
            <w:tcW w:w="946" w:type="pct"/>
            <w:tcBorders>
              <w:top w:val="nil"/>
              <w:left w:val="nil"/>
              <w:bottom w:val="nil"/>
              <w:right w:val="nil"/>
            </w:tcBorders>
          </w:tcPr>
          <w:p w14:paraId="327C549F"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Kūtsmēslu iestrādes pakāpe.</w:t>
            </w:r>
          </w:p>
          <w:p w14:paraId="66C72AA1"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Efektivitāte ir atkarīga no diennakts laika, kurā veic mēslošanu, un klimatiskajiem apstākļiem laikā no mēslošanas līdz iestrādei.</w:t>
            </w:r>
          </w:p>
        </w:tc>
        <w:tc>
          <w:tcPr>
            <w:tcW w:w="1428" w:type="pct"/>
            <w:tcBorders>
              <w:top w:val="nil"/>
              <w:left w:val="nil"/>
              <w:bottom w:val="nil"/>
              <w:right w:val="nil"/>
            </w:tcBorders>
          </w:tcPr>
          <w:p w14:paraId="01BB5EA6"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Kūtsmēslu iestrādes pakāpe. Efektivitāte ir atkarīga no diennakts laika, kurā veic mēslošanu, un klimatiskajiem apstākļiem laikā no mēslošanas līdz iestrādei.</w:t>
            </w:r>
          </w:p>
        </w:tc>
        <w:tc>
          <w:tcPr>
            <w:tcW w:w="696" w:type="pct"/>
            <w:tcBorders>
              <w:top w:val="nil"/>
              <w:left w:val="nil"/>
              <w:bottom w:val="nil"/>
              <w:right w:val="nil"/>
            </w:tcBorders>
          </w:tcPr>
          <w:p w14:paraId="0C2AB8F6"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0,5–2,0</w:t>
            </w:r>
          </w:p>
        </w:tc>
      </w:tr>
      <w:tr w:rsidR="008E3F72" w:rsidRPr="00CD1311" w14:paraId="2B8FE95E" w14:textId="77777777" w:rsidTr="0010018A">
        <w:tc>
          <w:tcPr>
            <w:tcW w:w="666" w:type="pct"/>
            <w:tcBorders>
              <w:top w:val="nil"/>
              <w:left w:val="nil"/>
              <w:bottom w:val="single" w:sz="12" w:space="0" w:color="000000"/>
              <w:right w:val="nil"/>
            </w:tcBorders>
          </w:tcPr>
          <w:p w14:paraId="35BA9D1A" w14:textId="77777777" w:rsidR="008E3F72" w:rsidRPr="00CD1311" w:rsidRDefault="008E3F72" w:rsidP="0010018A">
            <w:pPr>
              <w:widowControl/>
              <w:jc w:val="center"/>
              <w:rPr>
                <w:noProof/>
                <w:sz w:val="20"/>
                <w:szCs w:val="20"/>
              </w:rPr>
            </w:pPr>
          </w:p>
        </w:tc>
        <w:tc>
          <w:tcPr>
            <w:tcW w:w="447" w:type="pct"/>
            <w:tcBorders>
              <w:top w:val="nil"/>
              <w:left w:val="nil"/>
              <w:bottom w:val="single" w:sz="12" w:space="0" w:color="000000"/>
              <w:right w:val="nil"/>
            </w:tcBorders>
          </w:tcPr>
          <w:p w14:paraId="5329C68F" w14:textId="77777777" w:rsidR="008E3F72" w:rsidRPr="00CD1311" w:rsidRDefault="008E3F72" w:rsidP="0010018A">
            <w:pPr>
              <w:widowControl/>
              <w:jc w:val="center"/>
              <w:rPr>
                <w:noProof/>
                <w:sz w:val="20"/>
                <w:szCs w:val="20"/>
              </w:rPr>
            </w:pPr>
          </w:p>
        </w:tc>
        <w:tc>
          <w:tcPr>
            <w:tcW w:w="817" w:type="pct"/>
            <w:tcBorders>
              <w:top w:val="nil"/>
              <w:left w:val="nil"/>
              <w:bottom w:val="single" w:sz="12" w:space="0" w:color="000000"/>
              <w:right w:val="nil"/>
            </w:tcBorders>
          </w:tcPr>
          <w:p w14:paraId="04B34D2B"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Iestrāde 24 stundu laikā</w:t>
            </w:r>
          </w:p>
          <w:p w14:paraId="6DA42FB4"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 30</w:t>
            </w:r>
          </w:p>
        </w:tc>
        <w:tc>
          <w:tcPr>
            <w:tcW w:w="946" w:type="pct"/>
            <w:tcBorders>
              <w:top w:val="nil"/>
              <w:left w:val="nil"/>
              <w:bottom w:val="single" w:sz="12" w:space="0" w:color="000000"/>
              <w:right w:val="nil"/>
            </w:tcBorders>
          </w:tcPr>
          <w:p w14:paraId="4EC6F85D"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Kūtsmēslu iestrādes pakāpe.</w:t>
            </w:r>
          </w:p>
          <w:p w14:paraId="4232D7E2"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Efektivitāte ir atkarīga no diennakts laika, kurā veic mēslošanu, un klimatiskajiem apstākļiem laikā no mēslošanas līdz iestrādei.</w:t>
            </w:r>
          </w:p>
        </w:tc>
        <w:tc>
          <w:tcPr>
            <w:tcW w:w="1428" w:type="pct"/>
            <w:tcBorders>
              <w:top w:val="nil"/>
              <w:left w:val="nil"/>
              <w:bottom w:val="single" w:sz="12" w:space="0" w:color="000000"/>
              <w:right w:val="nil"/>
            </w:tcBorders>
          </w:tcPr>
          <w:p w14:paraId="3390D99C"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Kūtsmēslu iestrādes pakāpe. Efektivitāte ir atkarīga no diennakts laika, kurā veic mēslošanu, un klimatiskajiem apstākļiem laikā no mēslošanas līdz iestrādei.</w:t>
            </w:r>
          </w:p>
        </w:tc>
        <w:tc>
          <w:tcPr>
            <w:tcW w:w="696" w:type="pct"/>
            <w:tcBorders>
              <w:top w:val="nil"/>
              <w:left w:val="nil"/>
              <w:bottom w:val="single" w:sz="12" w:space="0" w:color="000000"/>
              <w:right w:val="nil"/>
            </w:tcBorders>
          </w:tcPr>
          <w:p w14:paraId="56F90DB6"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0,5–2,0</w:t>
            </w:r>
          </w:p>
        </w:tc>
      </w:tr>
    </w:tbl>
    <w:p w14:paraId="4AF8845A"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vertAlign w:val="superscript"/>
        </w:rPr>
        <w:t>a</w:t>
      </w:r>
      <w:r w:rsidRPr="00F35F4D">
        <w:rPr>
          <w:i/>
          <w:noProof/>
          <w:sz w:val="24"/>
        </w:rPr>
        <w:t xml:space="preserve"> </w:t>
      </w:r>
      <w:r w:rsidRPr="00F35F4D">
        <w:rPr>
          <w:noProof/>
          <w:sz w:val="24"/>
        </w:rPr>
        <w:t>Vidējais emisijas samazinājums, par kura sasniegšanas iespējām ir vienošanās EEK reģionā.</w:t>
      </w:r>
    </w:p>
    <w:p w14:paraId="3AFA5C4B" w14:textId="77777777" w:rsidR="008E3F72" w:rsidRPr="00F35F4D" w:rsidRDefault="008E3F72" w:rsidP="008E3F72">
      <w:pPr>
        <w:pStyle w:val="BodyText"/>
        <w:widowControl/>
        <w:kinsoku w:val="0"/>
        <w:overflowPunct w:val="0"/>
        <w:spacing w:before="0"/>
        <w:ind w:left="0"/>
        <w:jc w:val="both"/>
        <w:rPr>
          <w:noProof/>
          <w:sz w:val="24"/>
          <w:szCs w:val="24"/>
        </w:rPr>
      </w:pPr>
    </w:p>
    <w:p w14:paraId="5140F434" w14:textId="7851E11C" w:rsidR="00CD1311" w:rsidRPr="00CD1311" w:rsidRDefault="008E3F72" w:rsidP="00CD1311">
      <w:pPr>
        <w:pStyle w:val="BodyText"/>
        <w:widowControl/>
        <w:numPr>
          <w:ilvl w:val="0"/>
          <w:numId w:val="11"/>
        </w:numPr>
        <w:tabs>
          <w:tab w:val="left" w:pos="881"/>
        </w:tabs>
        <w:kinsoku w:val="0"/>
        <w:overflowPunct w:val="0"/>
        <w:spacing w:before="0"/>
        <w:ind w:left="0" w:firstLine="0"/>
        <w:jc w:val="both"/>
        <w:rPr>
          <w:noProof/>
          <w:sz w:val="24"/>
          <w:szCs w:val="24"/>
        </w:rPr>
      </w:pPr>
      <w:r w:rsidRPr="00CD1311">
        <w:rPr>
          <w:noProof/>
          <w:sz w:val="24"/>
        </w:rPr>
        <w:t>Ar lokano šļūt</w:t>
      </w:r>
      <w:r w:rsidR="00F56792">
        <w:rPr>
          <w:noProof/>
          <w:sz w:val="24"/>
        </w:rPr>
        <w:t>eni vai virsaugsnes lemesi</w:t>
      </w:r>
      <w:r w:rsidRPr="00CD1311">
        <w:rPr>
          <w:noProof/>
          <w:sz w:val="24"/>
        </w:rPr>
        <w:t xml:space="preserve"> aprīkoto agregātu NH3 emisijas samazināšanas potenciāls ir lielāks, ja mēslošanu veic zem labi attīstītas augu lapotnes nevis uz kailas augsnes, jo lapotne palielina rezistenci pret gaisa kustību un noēno šķidros kūtsmēslus pret saules radiācijas ietekmi. Kopumā parasti konstatē, ka NH3 emisijas samazinājums, ir lielāks, izm</w:t>
      </w:r>
      <w:r w:rsidR="00F56792">
        <w:rPr>
          <w:noProof/>
          <w:sz w:val="24"/>
        </w:rPr>
        <w:t>antojot virsaugsnes lemesi</w:t>
      </w:r>
      <w:r w:rsidRPr="00CD1311">
        <w:rPr>
          <w:noProof/>
          <w:sz w:val="24"/>
        </w:rPr>
        <w:t xml:space="preserve"> nekā lokano šļūteni, un tā iemesls, visdrīzāk, ir augsta lapotnes piesārņošanās pakāpe, ko rada konkrēti lokanās šļūtenes veidi un izmantošanas paņēmieni. Tāpēc, izmantojot jebkuru metodi, jāuzsver nepieciešamība izvairīties no lapotnes piesārņošanas ar šķidrajiem kūtsmēsliem; tas nā</w:t>
      </w:r>
      <w:r w:rsidR="00CD1311" w:rsidRPr="00CD1311">
        <w:rPr>
          <w:noProof/>
          <w:sz w:val="24"/>
        </w:rPr>
        <w:t>k par labu arī zāles kvalitātei.</w:t>
      </w:r>
    </w:p>
    <w:p w14:paraId="04EE3B4E" w14:textId="77777777" w:rsidR="00CD1311" w:rsidRPr="00CD1311" w:rsidRDefault="00CD1311" w:rsidP="00CD1311">
      <w:pPr>
        <w:pStyle w:val="BodyText"/>
        <w:widowControl/>
        <w:tabs>
          <w:tab w:val="left" w:pos="881"/>
        </w:tabs>
        <w:kinsoku w:val="0"/>
        <w:overflowPunct w:val="0"/>
        <w:spacing w:before="0"/>
        <w:ind w:left="0"/>
        <w:jc w:val="both"/>
        <w:rPr>
          <w:noProof/>
          <w:sz w:val="24"/>
          <w:szCs w:val="24"/>
        </w:rPr>
      </w:pPr>
    </w:p>
    <w:p w14:paraId="4DC73F87" w14:textId="6F2ADF1A" w:rsidR="008E3F72" w:rsidRPr="00CD1311" w:rsidRDefault="008E3F72" w:rsidP="00CD1311">
      <w:pPr>
        <w:pStyle w:val="BodyText"/>
        <w:widowControl/>
        <w:numPr>
          <w:ilvl w:val="0"/>
          <w:numId w:val="11"/>
        </w:numPr>
        <w:tabs>
          <w:tab w:val="left" w:pos="881"/>
        </w:tabs>
        <w:kinsoku w:val="0"/>
        <w:overflowPunct w:val="0"/>
        <w:spacing w:before="0"/>
        <w:ind w:left="0" w:firstLine="0"/>
        <w:jc w:val="both"/>
        <w:rPr>
          <w:noProof/>
          <w:sz w:val="24"/>
          <w:szCs w:val="24"/>
        </w:rPr>
      </w:pPr>
      <w:r w:rsidRPr="00CD1311">
        <w:rPr>
          <w:b/>
          <w:noProof/>
          <w:sz w:val="24"/>
        </w:rPr>
        <w:t>Inžekcija atklātās vagās.</w:t>
      </w:r>
      <w:r w:rsidRPr="00CD1311">
        <w:rPr>
          <w:b/>
          <w:i/>
          <w:noProof/>
          <w:sz w:val="24"/>
        </w:rPr>
        <w:t xml:space="preserve"> </w:t>
      </w:r>
      <w:r w:rsidRPr="00CD1311">
        <w:rPr>
          <w:noProof/>
          <w:sz w:val="24"/>
        </w:rPr>
        <w:t>Šo paņēmienu izmanto galvenokārt zāles platībās vai minimāli aps</w:t>
      </w:r>
      <w:r w:rsidR="00F56792">
        <w:rPr>
          <w:noProof/>
          <w:sz w:val="24"/>
        </w:rPr>
        <w:t>trādātā aramzemē pirms sējas</w:t>
      </w:r>
      <w:r w:rsidRPr="00CD1311">
        <w:rPr>
          <w:noProof/>
          <w:sz w:val="24"/>
        </w:rPr>
        <w:t xml:space="preserve">. Ar dažādas formas nažiem vai diskveida kultivatoriem augsnē iegriež līdz pat 50 mm dziļas vertikālas vagas, kurās iepilda šķidros kūtsmēslus. Attālums starp vagām parasti ir 200–400 mm, un agregāta darba platums parasti ir ≤6 m. Lai spētu samazināt NH3 emisiju un augi vienlaicīgi varētu vieglāk uzņemt slāpekli, un tie arī tiktu pēc iespējas mazāk traumēti, inžekcija jāveic aptuveni 50 mm dziļumā, un attālumam starp inžektora ecēšu tapām jābūt ≤ 300 mm. Turklāt izplūdes ātrums jānoregulē tā, lai pārmērīgi šķidro kūtsmēslu daudzumi nepārplūdinātu atklātās vagas un nenonāktu uz zemes virskārtas. Šo paņēmienu nevar izmantot ļoti akmeņainās augsnēs vai ļoti seklās vai sablīvētās </w:t>
      </w:r>
      <w:r w:rsidRPr="00CD1311">
        <w:rPr>
          <w:noProof/>
          <w:sz w:val="24"/>
        </w:rPr>
        <w:lastRenderedPageBreak/>
        <w:t>augsnēs, kur visās vietās nevar panākt vienādu vajadzīgo darba dziļumu. Metodi ne vienmēr var piemērot ļoti stāvās nogāzēs, jo šķidrie kūtsmēsli var notecēt pa inžekcijas vagām uz leju. Šķidro kūtsmēslu inžekcijas sistēmām ir vajadzīgs lielāks vilcējspēks nekā aprīkojumam, ar kuru mēslus izkliedē vai izkliedē joslās.</w:t>
      </w:r>
    </w:p>
    <w:p w14:paraId="2236843C" w14:textId="77777777" w:rsidR="008E3F72" w:rsidRPr="00F35F4D" w:rsidRDefault="008E3F72" w:rsidP="008E3F72">
      <w:pPr>
        <w:pStyle w:val="BodyText"/>
        <w:widowControl/>
        <w:kinsoku w:val="0"/>
        <w:overflowPunct w:val="0"/>
        <w:spacing w:before="0"/>
        <w:ind w:left="0"/>
        <w:jc w:val="both"/>
        <w:rPr>
          <w:noProof/>
          <w:sz w:val="24"/>
          <w:szCs w:val="24"/>
        </w:rPr>
      </w:pPr>
    </w:p>
    <w:p w14:paraId="207BA86C" w14:textId="7848F638"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 xml:space="preserve">Inžekcija slēgtās vagās. </w:t>
      </w:r>
      <w:r w:rsidRPr="00F35F4D">
        <w:rPr>
          <w:noProof/>
          <w:sz w:val="24"/>
        </w:rPr>
        <w:t xml:space="preserve">Šo paņēmienu var piemērot relatīvi nelielā dziļumā (50–100 mm) vai dziļi (150–200 mm). Pēc inžekcijas šķidrie kūtsmēsli tiek pilnībā nosegti, vagas noslēdzot ar veltni vai cilindriem, kas atrodas aiz inžektora ecēšu tapām. Inžekcijai jābūt dziļākai, lai izvairītos no mēslu izsūkšanās augsnes virskārtā, ja </w:t>
      </w:r>
      <w:r w:rsidRPr="00CD1311">
        <w:rPr>
          <w:noProof/>
          <w:sz w:val="24"/>
          <w:szCs w:val="24"/>
        </w:rPr>
        <w:t xml:space="preserve">inžektēts lielāks kūtsmēslu apjoms. Sekla inžekcija slēgtās vagās labāk samazina NH3 emisiju nekā inžekcija atklātās vagās. Lai iegūtu šo papildu labumu, augsnes veidam un apstākļiem jābūt tādiem, lai vagu varētu pienācīgi noslēgt. Tāpēc šo paņēmienu izmanto mazāk nekā inžekciju atklātās vagās. Dažiem dziļajiem inžektoriem ir vairākas tapas </w:t>
      </w:r>
      <w:r w:rsidR="00F56792">
        <w:rPr>
          <w:noProof/>
          <w:sz w:val="24"/>
          <w:szCs w:val="24"/>
        </w:rPr>
        <w:t>ar sānu spārniem vai tā saucamajiem „pleznu veida lemesīšiem</w:t>
      </w:r>
      <w:r w:rsidRPr="00CD1311">
        <w:rPr>
          <w:noProof/>
          <w:sz w:val="24"/>
          <w:szCs w:val="24"/>
        </w:rPr>
        <w:t>”, kas a</w:t>
      </w:r>
      <w:r w:rsidR="00F56792">
        <w:rPr>
          <w:noProof/>
          <w:sz w:val="24"/>
          <w:szCs w:val="24"/>
        </w:rPr>
        <w:t xml:space="preserve">tvieglo iekļūšanu augsnē un šķidro </w:t>
      </w:r>
      <w:r w:rsidRPr="00CD1311">
        <w:rPr>
          <w:noProof/>
          <w:sz w:val="24"/>
          <w:szCs w:val="24"/>
        </w:rPr>
        <w:t>mēslu sadali sānu virzienā tā, lai varētu ievadīt relatīvi lielus daudzumus. Tapas parasti atrodas 250–500 mm attālumā, un darba platums ir ≤ 4 m. Kaut arī šis paņēmiens ļoti efektīvi samazina NH3 emisiju, tā piemērošana galvenokārt aprobežojas ar aramzemes mēslošanu pirms sējas un kultūraugiem, ko audzē rindās ievērojamā attālumā vienu no otras (piemēram, kukurūzu), jo mehāniskie bojājumi var samazināt zāles ražu zāles platībās vai parastā rindsējā sēto laukaugu ražu. Citu ierobežojumu starpā ir augsnes dziļums, māla un akmeņu daudzums un nogāžu stāvums, kā arī vajadzība pēc jaudīgākas traktortehnikas un lielāks izskalošanās risks, īpaši ar slēgto sistēmu nosusinātās augsnēs.</w:t>
      </w:r>
    </w:p>
    <w:p w14:paraId="4265CAA5" w14:textId="77777777" w:rsidR="00CD1311" w:rsidRPr="00CD1311" w:rsidRDefault="00CD1311" w:rsidP="00CD1311">
      <w:pPr>
        <w:pStyle w:val="BodyText"/>
        <w:widowControl/>
        <w:tabs>
          <w:tab w:val="left" w:pos="861"/>
        </w:tabs>
        <w:kinsoku w:val="0"/>
        <w:overflowPunct w:val="0"/>
        <w:spacing w:before="0"/>
        <w:ind w:left="0"/>
        <w:jc w:val="both"/>
        <w:rPr>
          <w:noProof/>
          <w:sz w:val="24"/>
          <w:szCs w:val="24"/>
        </w:rPr>
      </w:pPr>
    </w:p>
    <w:p w14:paraId="42F8FAAC" w14:textId="7E584B62"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D1311">
        <w:rPr>
          <w:b/>
          <w:sz w:val="24"/>
          <w:szCs w:val="24"/>
        </w:rPr>
        <w:t xml:space="preserve">Uz </w:t>
      </w:r>
      <w:r w:rsidR="00CC42D4">
        <w:rPr>
          <w:b/>
          <w:sz w:val="24"/>
          <w:szCs w:val="24"/>
        </w:rPr>
        <w:t>augsnes virsmas izkliedēto</w:t>
      </w:r>
      <w:r w:rsidR="00F56792">
        <w:rPr>
          <w:b/>
          <w:sz w:val="24"/>
          <w:szCs w:val="24"/>
        </w:rPr>
        <w:t xml:space="preserve"> pakaišu</w:t>
      </w:r>
      <w:r w:rsidRPr="00CD1311">
        <w:rPr>
          <w:b/>
          <w:sz w:val="24"/>
          <w:szCs w:val="24"/>
        </w:rPr>
        <w:t xml:space="preserve"> un šķidro kūtsmēslu iestrāde augsnē.</w:t>
      </w:r>
      <w:r w:rsidRPr="00CD1311">
        <w:rPr>
          <w:noProof/>
          <w:sz w:val="24"/>
          <w:szCs w:val="24"/>
        </w:rPr>
        <w:t xml:space="preserve"> Uz </w:t>
      </w:r>
      <w:r w:rsidR="00CC42D4">
        <w:rPr>
          <w:noProof/>
          <w:sz w:val="24"/>
          <w:szCs w:val="24"/>
        </w:rPr>
        <w:t>augsnes virsmas izkliedēto</w:t>
      </w:r>
      <w:r w:rsidR="00F56792">
        <w:rPr>
          <w:noProof/>
          <w:sz w:val="24"/>
          <w:szCs w:val="24"/>
        </w:rPr>
        <w:t xml:space="preserve"> pakaišu</w:t>
      </w:r>
      <w:r w:rsidRPr="00CD1311">
        <w:rPr>
          <w:noProof/>
          <w:sz w:val="24"/>
          <w:szCs w:val="24"/>
        </w:rPr>
        <w:t xml:space="preserve"> un šķidro kūtsmēslu iestrāde, vai nu iearot, vai iestrādājot ar seklo kultivāciju, ir efektīvs NH3 emisijas samazināšanas veids. Emisija tiek samazināta visvairāk, ja kūt</w:t>
      </w:r>
      <w:r w:rsidR="00F56792">
        <w:rPr>
          <w:noProof/>
          <w:sz w:val="24"/>
          <w:szCs w:val="24"/>
        </w:rPr>
        <w:t>smēsli tiek pilnīgi aprakti augsnē</w:t>
      </w:r>
      <w:r w:rsidRPr="00CD1311">
        <w:rPr>
          <w:noProof/>
          <w:sz w:val="24"/>
          <w:szCs w:val="24"/>
        </w:rPr>
        <w:t xml:space="preserve"> (14. tabula). Iearšanas gadījumā emisija samazinās vairāk, nekā izmantojot cita veida agregātus seklajai kultivācijai. Šo paņēmienu var piemērot tikai aramzemē. Iestrāde nav piemērota daudzgadu ganībām, kaut arī to var izmantot, pārveidojot ganības par aramzemi (piemēram, veicot rotāciju) vai apsējot ganības no jauna, kaut </w:t>
      </w:r>
      <w:r w:rsidR="00841D83">
        <w:rPr>
          <w:noProof/>
          <w:sz w:val="24"/>
          <w:szCs w:val="24"/>
        </w:rPr>
        <w:t>arī vajadzība pēc barības elementiem</w:t>
      </w:r>
      <w:r w:rsidRPr="00CD1311">
        <w:rPr>
          <w:noProof/>
          <w:sz w:val="24"/>
          <w:szCs w:val="24"/>
        </w:rPr>
        <w:t xml:space="preserve"> abos šajos gadījumos varētu būt zema. Tā ir arī mazāk piemērota laukaugiem, ko audzē ar paņēmieniem, kas paredz minimālu zemes apstrādi salīdzinājumā ar augiem, ko audzē, piemērojot dziļākas augsnes apstrādes metodes. Iestrādi var veikt tikai pirms augu iesēšanas. Šis ir galvenais paņēmiens, kuru var piemērot emi</w:t>
      </w:r>
      <w:r w:rsidR="00CC42D4">
        <w:rPr>
          <w:noProof/>
          <w:sz w:val="24"/>
          <w:szCs w:val="24"/>
        </w:rPr>
        <w:t>sijas samazināšanai no</w:t>
      </w:r>
      <w:r w:rsidR="00841D83">
        <w:rPr>
          <w:noProof/>
          <w:sz w:val="24"/>
          <w:szCs w:val="24"/>
        </w:rPr>
        <w:t xml:space="preserve"> pakaišu</w:t>
      </w:r>
      <w:r w:rsidRPr="00CD1311">
        <w:rPr>
          <w:noProof/>
          <w:sz w:val="24"/>
          <w:szCs w:val="24"/>
        </w:rPr>
        <w:t xml:space="preserve"> kūtsmēsliem, ko izmanto aramzemes mēslošanai, kaut arī Ziemeļamerikā pašlaik izmēģina jaunus aplikatorus mājputnu pakaišu inžekcijai velēnā. To var labi izmantot arī šķidro kūtsmēslu iestrādei tur, kur inžekcija slēgtas</w:t>
      </w:r>
      <w:r w:rsidRPr="00F35F4D">
        <w:rPr>
          <w:noProof/>
          <w:sz w:val="24"/>
        </w:rPr>
        <w:t xml:space="preserve"> vagās nav iespējama vai nav attiecīgo tehnisko iespēju tās veikšanai, vai arī tā saistīta ar izskalošanās risku. Kultivācija arī samazina makroporas, un tas var veicināt izskalošanos. Šīs pieejas veiksmīgums ir pierādīts daudzos pētījumos, tostarp Krievijas Federācijā (</w:t>
      </w:r>
      <w:r w:rsidRPr="00F35F4D">
        <w:rPr>
          <w:i/>
          <w:noProof/>
          <w:sz w:val="24"/>
        </w:rPr>
        <w:t>Eskov et al.</w:t>
      </w:r>
      <w:r w:rsidRPr="00F35F4D">
        <w:rPr>
          <w:noProof/>
          <w:sz w:val="24"/>
        </w:rPr>
        <w:t>, 2001).</w:t>
      </w:r>
    </w:p>
    <w:p w14:paraId="624662C3"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64B55E3E"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 xml:space="preserve">Amonjaks zūd strauji (pāris stundu un dienu laikā) pēc tam, kad kūtsmēsli ir izkliedēti uz zemes virskārtas, tāpēc emisijas samazinājums ir lielāks tad, ja iestrādi veic tūlīt pēc izkliedēšanas. Tūlītējai iestrādei bieži ir vajadzīgs otrs traktors kopā ar iestrādes agregātu, kam jāseko cieši aiz kūtsmēslu kliedētāja. Ja šādu iespēju nevar realizēt darbaspēka vai mehānismu trūkuma dēļ, piemēram, mazās saimniecībās, tad kūtsmēslu iestrāde jāveic četru stundu laika pēc izkliedēšanas, bet emisijas samazinājums tad ir mazāks (14. tabula). Iestrāde 24 stundu laikā pēc izkliedēšanas </w:t>
      </w:r>
      <w:r w:rsidRPr="00F35F4D">
        <w:rPr>
          <w:noProof/>
          <w:sz w:val="24"/>
        </w:rPr>
        <w:lastRenderedPageBreak/>
        <w:t>vēl mazākā mērā samazina emisiju, bet paaugstina agronomisko elastību, un mazās saimniecībās tam var būt īpaša nozīme. Ātru iestrādi veikt ir vissvarīgāk, ja zemi ar kūtsmēsliem mēslo ap pusdienlaiku augstā temperatūrā. Dažreiz izkliedēšanu un iestrādi var veikt ar vienu un to pašu mehānismu. Rezultāti var būt labi, ja uz augsnes virskārtas saskarē ar gaisu paliek mazāk nekā 25 % kūtsmēslu.</w:t>
      </w:r>
    </w:p>
    <w:p w14:paraId="4147CDB9"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1CED4E7C" w14:textId="11B54149"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Šķidro kūtsmēslu atšķaidīšana izmantošanai apūdeņošanas sistēmā.</w:t>
      </w:r>
      <w:r w:rsidRPr="00F35F4D">
        <w:rPr>
          <w:b/>
          <w:i/>
          <w:noProof/>
          <w:sz w:val="24"/>
        </w:rPr>
        <w:t xml:space="preserve"> </w:t>
      </w:r>
      <w:r w:rsidRPr="00F35F4D">
        <w:rPr>
          <w:noProof/>
          <w:sz w:val="24"/>
        </w:rPr>
        <w:t xml:space="preserve">Amonjaka emisija no atšķaidītiem </w:t>
      </w:r>
      <w:r w:rsidR="00841D83">
        <w:rPr>
          <w:noProof/>
          <w:sz w:val="24"/>
        </w:rPr>
        <w:t xml:space="preserve">šķidrajiem kūtsmēsliem ar mazu </w:t>
      </w:r>
      <w:r w:rsidR="00841D83" w:rsidRPr="00841D83">
        <w:rPr>
          <w:i/>
          <w:noProof/>
          <w:sz w:val="24"/>
        </w:rPr>
        <w:t>DM</w:t>
      </w:r>
      <w:r w:rsidRPr="00F35F4D">
        <w:rPr>
          <w:noProof/>
          <w:sz w:val="24"/>
        </w:rPr>
        <w:t xml:space="preserve"> saturu parasti ir mazāka nekā no neatšķaidītiem šķidrajiem kūtsmēsliem, jo tie ātrāk iesūcas augsnē (piemēram, </w:t>
      </w:r>
      <w:r w:rsidRPr="00F35F4D">
        <w:rPr>
          <w:i/>
          <w:noProof/>
          <w:sz w:val="24"/>
        </w:rPr>
        <w:t>Stevens, Laughlin</w:t>
      </w:r>
      <w:r w:rsidRPr="00F35F4D">
        <w:rPr>
          <w:noProof/>
          <w:sz w:val="24"/>
        </w:rPr>
        <w:t xml:space="preserve">, 1997; </w:t>
      </w:r>
      <w:r w:rsidRPr="00F35F4D">
        <w:rPr>
          <w:i/>
          <w:noProof/>
          <w:sz w:val="24"/>
        </w:rPr>
        <w:t>Misselbrook et al</w:t>
      </w:r>
      <w:r w:rsidRPr="00F35F4D">
        <w:rPr>
          <w:noProof/>
          <w:sz w:val="24"/>
        </w:rPr>
        <w:t>., 2004). Tāpēc šķidro kūtsmēslu devu, kas aprēķināta atbilstīgi au</w:t>
      </w:r>
      <w:r w:rsidR="00841D83">
        <w:rPr>
          <w:noProof/>
          <w:sz w:val="24"/>
        </w:rPr>
        <w:t>gu vajadzībām pēc barības elementiem</w:t>
      </w:r>
      <w:r w:rsidRPr="00F35F4D">
        <w:rPr>
          <w:noProof/>
          <w:sz w:val="24"/>
        </w:rPr>
        <w:t xml:space="preserve">, var pievienot apūdeņošanas ūdenim, ko izmanto zāles platībās vai aramzemē augošo augu laistīšanai. Šķidros kūtsmēslus izsūknē no krātuvēm, inžektē apūdeņošanai paredzētajā ūdens caurulē un aizvada līdz zemspiediena smidzinātājam vai mobilajam laistītājam (ne augstspiediena pistolei), kas maisījumu izsmidzina pa zemi. Atšķaidīt var līdz ūdens un kūtsmēslu attiecībai 50:1. Šo metodi uzskata par 1. kategorijas metodi, ciktāl runa ir par aktīvu atšķaidīšanu vismaz par 50 % izmantošanai apūdeņošanas sistēmā (1 daļa ūdens un 1 daļa šķidro kūtsmēslu), kas ir pietiekami, lai samazinātu emisiju vismaz par 30 %, ja vien ir vajadzība </w:t>
      </w:r>
      <w:r w:rsidR="00841D83">
        <w:rPr>
          <w:noProof/>
          <w:sz w:val="24"/>
        </w:rPr>
        <w:t xml:space="preserve">pēc apūdeņošanas. Ja kūtsmēslu </w:t>
      </w:r>
      <w:r w:rsidR="00841D83" w:rsidRPr="00841D83">
        <w:rPr>
          <w:i/>
          <w:noProof/>
          <w:sz w:val="24"/>
        </w:rPr>
        <w:t>DM</w:t>
      </w:r>
      <w:r w:rsidRPr="00F35F4D">
        <w:rPr>
          <w:noProof/>
          <w:sz w:val="24"/>
        </w:rPr>
        <w:t xml:space="preserve"> saturs ir 4 %,</w:t>
      </w:r>
      <w:r w:rsidR="00841D83">
        <w:rPr>
          <w:noProof/>
          <w:sz w:val="24"/>
        </w:rPr>
        <w:t xml:space="preserve"> tad tie jāatšķaida līdz ≤ 2 % </w:t>
      </w:r>
      <w:r w:rsidR="00841D83" w:rsidRPr="00841D83">
        <w:rPr>
          <w:i/>
          <w:noProof/>
          <w:sz w:val="24"/>
        </w:rPr>
        <w:t>DM</w:t>
      </w:r>
      <w:r w:rsidRPr="00F35F4D">
        <w:rPr>
          <w:noProof/>
          <w:sz w:val="24"/>
        </w:rPr>
        <w:t xml:space="preserve"> saturam (skatīt 1. attēlu). Lai paņēmienu uzskatītu par 1. kategorijas metodi, jābūt turpmāk minētajiem nosacījumiem.</w:t>
      </w:r>
    </w:p>
    <w:p w14:paraId="34B60146"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56E8BC58" w14:textId="77777777" w:rsidR="008E3F72" w:rsidRPr="00F35F4D" w:rsidRDefault="008E3F72" w:rsidP="00CD1311">
      <w:pPr>
        <w:pStyle w:val="BodyText"/>
        <w:widowControl/>
        <w:numPr>
          <w:ilvl w:val="1"/>
          <w:numId w:val="11"/>
        </w:numPr>
        <w:kinsoku w:val="0"/>
        <w:overflowPunct w:val="0"/>
        <w:spacing w:before="0"/>
        <w:ind w:left="0" w:firstLine="0"/>
        <w:jc w:val="both"/>
        <w:rPr>
          <w:noProof/>
          <w:sz w:val="24"/>
          <w:szCs w:val="24"/>
        </w:rPr>
      </w:pPr>
      <w:r w:rsidRPr="00F35F4D">
        <w:rPr>
          <w:noProof/>
          <w:sz w:val="24"/>
        </w:rPr>
        <w:t>Šķidrie kūtsmēsli aktīvi jāatšķaida izmantošanai apūdeņošanas sistēmā, līdz viena daļa no vajadzīgā daudzuma ir atšķaidīta vismaz ar vienu daļu ūdens. Pretēji tam, kūtsmēsli nedrīkst būt vienkārši atšķaidīti nepietiekami rūpīgas apiešanās dēļ, piemēram, uzkrājot tos seklās, nenosegtas lagūnās, kur ieplūst</w:t>
      </w:r>
    </w:p>
    <w:p w14:paraId="398E58E1"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 xml:space="preserve"> liels lietusūdens daudzums. Šādas krātuves nav ieteicamas, jo tās pašas par sevi ir nozīmīgs emisijas avots, ko grūti kontrolēt ar segumu.</w:t>
      </w:r>
    </w:p>
    <w:p w14:paraId="24F49292" w14:textId="77777777" w:rsidR="008E3F72" w:rsidRPr="00F35F4D" w:rsidRDefault="008E3F72" w:rsidP="00CD1311">
      <w:pPr>
        <w:pStyle w:val="BodyText"/>
        <w:widowControl/>
        <w:numPr>
          <w:ilvl w:val="1"/>
          <w:numId w:val="11"/>
        </w:numPr>
        <w:kinsoku w:val="0"/>
        <w:overflowPunct w:val="0"/>
        <w:spacing w:before="0"/>
        <w:ind w:left="0" w:firstLine="0"/>
        <w:jc w:val="both"/>
        <w:rPr>
          <w:noProof/>
          <w:sz w:val="24"/>
          <w:szCs w:val="24"/>
        </w:rPr>
      </w:pPr>
      <w:r w:rsidRPr="00F35F4D">
        <w:rPr>
          <w:noProof/>
          <w:sz w:val="24"/>
        </w:rPr>
        <w:t>Apstākļi ir piemēroti apūdeņošanai, lai apmierinātu augu vajadzību pēc ūdens. Šķidro kūtsmēslu atšķaidīšana apstākļos, kad ūdens nav vajadzīgs, palielina pārvadāšanas izmaksas un var pastiprināt nitrātu izskalošanos.</w:t>
      </w:r>
    </w:p>
    <w:p w14:paraId="55A7B4EB" w14:textId="2E8CEE30" w:rsidR="008E3F72" w:rsidRPr="00F35F4D" w:rsidRDefault="008E3F72" w:rsidP="00CD1311">
      <w:pPr>
        <w:pStyle w:val="BodyText"/>
        <w:widowControl/>
        <w:numPr>
          <w:ilvl w:val="1"/>
          <w:numId w:val="11"/>
        </w:numPr>
        <w:kinsoku w:val="0"/>
        <w:overflowPunct w:val="0"/>
        <w:spacing w:before="0"/>
        <w:ind w:left="0" w:firstLine="0"/>
        <w:jc w:val="both"/>
        <w:rPr>
          <w:noProof/>
          <w:sz w:val="24"/>
          <w:szCs w:val="24"/>
        </w:rPr>
      </w:pPr>
      <w:r w:rsidRPr="00F35F4D">
        <w:rPr>
          <w:noProof/>
          <w:sz w:val="24"/>
        </w:rPr>
        <w:t>Mēslošanai izmantojamo šķidro kūtsmēslu daudzumus aprēķina, ņemot vērā vajadzību pēc barī</w:t>
      </w:r>
      <w:r w:rsidR="00841D83">
        <w:rPr>
          <w:noProof/>
          <w:sz w:val="24"/>
        </w:rPr>
        <w:t>bas elementiem</w:t>
      </w:r>
      <w:r w:rsidRPr="00F35F4D">
        <w:rPr>
          <w:noProof/>
          <w:sz w:val="24"/>
        </w:rPr>
        <w:t>. Šo metodi nedrīkstētu uzskatīt par veidu, kā viegli atbrīvoties no kūtsmēsliem, jo mēslošana var izrādīties pārmērīga un nitrāti var potenciāli izskaloties vai kūtsmēsli var notecēt, jo īpaši nogāzēs.</w:t>
      </w:r>
    </w:p>
    <w:p w14:paraId="1DD478F5" w14:textId="77777777" w:rsidR="008E3F72" w:rsidRPr="00CD1311" w:rsidRDefault="008E3F72" w:rsidP="00CD1311">
      <w:pPr>
        <w:pStyle w:val="BodyText"/>
        <w:widowControl/>
        <w:numPr>
          <w:ilvl w:val="1"/>
          <w:numId w:val="11"/>
        </w:numPr>
        <w:kinsoku w:val="0"/>
        <w:overflowPunct w:val="0"/>
        <w:spacing w:before="0"/>
        <w:ind w:left="0" w:firstLine="0"/>
        <w:jc w:val="both"/>
        <w:rPr>
          <w:noProof/>
          <w:sz w:val="24"/>
          <w:szCs w:val="24"/>
        </w:rPr>
      </w:pPr>
      <w:r w:rsidRPr="00F35F4D">
        <w:rPr>
          <w:noProof/>
          <w:sz w:val="24"/>
        </w:rPr>
        <w:t>Augsnes stāvoklis ļauj atšķaidītajiem šķidrajiem kūtsmēsliem ātri iesūkties, jo nav fizisku šķēršļu, kas kavētu iesūkšanos, piemēram, liela ūdens daudzuma augsnē, nabadzīgas augsnes struktūras, pārāk smalkas augsnes struktūras vai citu augsnes īpatnību, kas mazinātu šķidrumu iesūkšanās ātrumu augsnē, un iesūkšanās ātrums liela šķidruma daudzuma dēļ nesamazinās.</w:t>
      </w:r>
    </w:p>
    <w:p w14:paraId="455BB492" w14:textId="77777777" w:rsidR="00CD1311" w:rsidRPr="00F35F4D" w:rsidRDefault="00CD1311" w:rsidP="00CD1311">
      <w:pPr>
        <w:pStyle w:val="BodyText"/>
        <w:widowControl/>
        <w:kinsoku w:val="0"/>
        <w:overflowPunct w:val="0"/>
        <w:spacing w:before="0"/>
        <w:ind w:left="0"/>
        <w:jc w:val="both"/>
        <w:rPr>
          <w:noProof/>
          <w:sz w:val="24"/>
          <w:szCs w:val="24"/>
        </w:rPr>
      </w:pPr>
    </w:p>
    <w:p w14:paraId="7B3123D2" w14:textId="08845709"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Papildus kūtsmēslu īpašai atšķaidīšanai apūdeņošanas sistē</w:t>
      </w:r>
      <w:r w:rsidR="00841D83">
        <w:rPr>
          <w:noProof/>
          <w:sz w:val="24"/>
        </w:rPr>
        <w:t xml:space="preserve">mās arī citas šķidro kūtsmēslu </w:t>
      </w:r>
      <w:r w:rsidR="00841D83" w:rsidRPr="00841D83">
        <w:rPr>
          <w:i/>
          <w:noProof/>
          <w:sz w:val="24"/>
        </w:rPr>
        <w:t>DM</w:t>
      </w:r>
      <w:r w:rsidRPr="00F35F4D">
        <w:rPr>
          <w:noProof/>
          <w:sz w:val="24"/>
        </w:rPr>
        <w:t xml:space="preserve"> satura samazināšanas metodes var būt vērtīgs paņēmiens NH3 emisij</w:t>
      </w:r>
      <w:r w:rsidR="00841D83">
        <w:rPr>
          <w:noProof/>
          <w:sz w:val="24"/>
        </w:rPr>
        <w:t xml:space="preserve">as samazināšanai. To starpā ir </w:t>
      </w:r>
      <w:r w:rsidR="00841D83" w:rsidRPr="00841D83">
        <w:rPr>
          <w:i/>
          <w:noProof/>
          <w:sz w:val="24"/>
        </w:rPr>
        <w:t>DM</w:t>
      </w:r>
      <w:r w:rsidRPr="00F35F4D">
        <w:rPr>
          <w:noProof/>
          <w:sz w:val="24"/>
        </w:rPr>
        <w:t xml:space="preserve"> līmeņa samazināšana anaerobās hidrolīzes rezultātā un cietās un šķidrās frakcijas nošķiršana. Tā kā šīs metodes mēdz palieli</w:t>
      </w:r>
      <w:r w:rsidR="00841D83">
        <w:rPr>
          <w:noProof/>
          <w:sz w:val="24"/>
        </w:rPr>
        <w:t xml:space="preserve">nāt pH līmeni frakcijā ar zemu </w:t>
      </w:r>
      <w:r w:rsidR="00841D83" w:rsidRPr="00841D83">
        <w:rPr>
          <w:i/>
          <w:noProof/>
          <w:sz w:val="24"/>
        </w:rPr>
        <w:t>DM</w:t>
      </w:r>
      <w:r w:rsidRPr="00F35F4D">
        <w:rPr>
          <w:noProof/>
          <w:sz w:val="24"/>
        </w:rPr>
        <w:t xml:space="preserve"> saturu</w:t>
      </w:r>
      <w:r w:rsidR="00841D83">
        <w:rPr>
          <w:noProof/>
          <w:sz w:val="24"/>
        </w:rPr>
        <w:t xml:space="preserve"> un arī rada dūņas ar augstāku </w:t>
      </w:r>
      <w:r w:rsidR="00841D83" w:rsidRPr="00841D83">
        <w:rPr>
          <w:i/>
          <w:noProof/>
          <w:sz w:val="24"/>
        </w:rPr>
        <w:t>DM</w:t>
      </w:r>
      <w:r w:rsidRPr="00F35F4D">
        <w:rPr>
          <w:noProof/>
          <w:sz w:val="24"/>
        </w:rPr>
        <w:t xml:space="preserve"> saturu, tās neiekļauj 1. kategorijā. Tomēr šādas metodes var izmantot kā 2. kategorijas metodes, kuru efektivitāte emisijas samazināšanā jāapstiprina ar pierādījumiem.</w:t>
      </w:r>
    </w:p>
    <w:p w14:paraId="273820CF" w14:textId="77777777" w:rsidR="008E3F72" w:rsidRPr="00F35F4D" w:rsidRDefault="008E3F72" w:rsidP="008E3F72">
      <w:pPr>
        <w:pStyle w:val="BodyText"/>
        <w:widowControl/>
        <w:kinsoku w:val="0"/>
        <w:overflowPunct w:val="0"/>
        <w:spacing w:before="0"/>
        <w:ind w:left="0"/>
        <w:jc w:val="both"/>
        <w:rPr>
          <w:noProof/>
          <w:sz w:val="24"/>
          <w:szCs w:val="24"/>
        </w:rPr>
      </w:pPr>
    </w:p>
    <w:p w14:paraId="2F4F5FDF" w14:textId="77777777" w:rsidR="008E3F72" w:rsidRPr="00F35F4D" w:rsidRDefault="008E3F72" w:rsidP="00CD1311">
      <w:pPr>
        <w:pStyle w:val="BodyText"/>
        <w:keepNext/>
        <w:widowControl/>
        <w:kinsoku w:val="0"/>
        <w:overflowPunct w:val="0"/>
        <w:spacing w:before="0"/>
        <w:ind w:left="0"/>
        <w:jc w:val="both"/>
        <w:rPr>
          <w:noProof/>
          <w:sz w:val="24"/>
          <w:szCs w:val="24"/>
        </w:rPr>
      </w:pPr>
      <w:r w:rsidRPr="00F35F4D">
        <w:rPr>
          <w:noProof/>
          <w:sz w:val="24"/>
        </w:rPr>
        <w:lastRenderedPageBreak/>
        <w:t>1. attēls.</w:t>
      </w:r>
    </w:p>
    <w:p w14:paraId="131DAA1B" w14:textId="55373924" w:rsidR="008E3F72" w:rsidRPr="00F35F4D" w:rsidRDefault="008E3F72" w:rsidP="00CD1311">
      <w:pPr>
        <w:pStyle w:val="Heading9"/>
        <w:keepNext/>
        <w:widowControl/>
        <w:kinsoku w:val="0"/>
        <w:overflowPunct w:val="0"/>
        <w:spacing w:before="0"/>
        <w:ind w:left="0"/>
        <w:jc w:val="both"/>
        <w:rPr>
          <w:noProof/>
          <w:sz w:val="24"/>
          <w:szCs w:val="24"/>
        </w:rPr>
      </w:pPr>
      <w:r w:rsidRPr="00F35F4D">
        <w:rPr>
          <w:noProof/>
          <w:sz w:val="24"/>
        </w:rPr>
        <w:t>Attiecība starp procentos izteikto N-NH3</w:t>
      </w:r>
      <w:r w:rsidRPr="00F35F4D">
        <w:rPr>
          <w:noProof/>
          <w:sz w:val="24"/>
          <w:vertAlign w:val="subscript"/>
        </w:rPr>
        <w:t>kop.</w:t>
      </w:r>
      <w:r w:rsidRPr="00F35F4D">
        <w:rPr>
          <w:noProof/>
          <w:sz w:val="24"/>
        </w:rPr>
        <w:t xml:space="preserve"> daudzumu, kas tiek zaudēts NH3 emisijas veidā, mēslojot zemi</w:t>
      </w:r>
      <w:r w:rsidR="00841D83">
        <w:rPr>
          <w:noProof/>
          <w:sz w:val="24"/>
        </w:rPr>
        <w:t xml:space="preserve"> ar šķidrajiem kūtsmēsliem, un </w:t>
      </w:r>
      <w:r w:rsidR="00841D83" w:rsidRPr="00841D83">
        <w:rPr>
          <w:i/>
          <w:noProof/>
          <w:sz w:val="24"/>
        </w:rPr>
        <w:t>DM</w:t>
      </w:r>
      <w:r w:rsidRPr="00F35F4D">
        <w:rPr>
          <w:noProof/>
          <w:sz w:val="24"/>
        </w:rPr>
        <w:t xml:space="preserve"> saturu kūtsmēslos (procentos no svara) saskaņā ar sešiem vērtējumiem</w:t>
      </w:r>
    </w:p>
    <w:p w14:paraId="74139B35" w14:textId="77777777" w:rsidR="008E3F72" w:rsidRPr="00F35F4D" w:rsidRDefault="008E3F72" w:rsidP="008E3F72">
      <w:pPr>
        <w:pStyle w:val="BodyText"/>
        <w:widowControl/>
        <w:kinsoku w:val="0"/>
        <w:overflowPunct w:val="0"/>
        <w:spacing w:before="0"/>
        <w:ind w:left="0"/>
        <w:jc w:val="both"/>
        <w:rPr>
          <w:b/>
          <w:bCs/>
          <w:noProof/>
          <w:sz w:val="24"/>
          <w:szCs w:val="24"/>
        </w:rPr>
      </w:pPr>
    </w:p>
    <w:p w14:paraId="2F363272" w14:textId="366B9680" w:rsidR="008E3F72" w:rsidRPr="00F35F4D" w:rsidRDefault="00841D83" w:rsidP="008E3F72">
      <w:pPr>
        <w:pStyle w:val="BodyText"/>
        <w:widowControl/>
        <w:kinsoku w:val="0"/>
        <w:overflowPunct w:val="0"/>
        <w:spacing w:before="0"/>
        <w:ind w:left="0"/>
        <w:jc w:val="both"/>
        <w:rPr>
          <w:noProof/>
          <w:sz w:val="24"/>
          <w:szCs w:val="24"/>
        </w:rPr>
      </w:pPr>
      <w:r>
        <w:rPr>
          <w:noProof/>
          <w:sz w:val="24"/>
          <w:szCs w:val="24"/>
          <w:lang w:bidi="ar-SA"/>
        </w:rPr>
        <w:drawing>
          <wp:inline distT="0" distB="0" distL="0" distR="0" wp14:anchorId="568F5CEC" wp14:editId="52739017">
            <wp:extent cx="5149850" cy="36315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9850" cy="3631565"/>
                    </a:xfrm>
                    <a:prstGeom prst="rect">
                      <a:avLst/>
                    </a:prstGeom>
                    <a:noFill/>
                    <a:ln>
                      <a:noFill/>
                    </a:ln>
                  </pic:spPr>
                </pic:pic>
              </a:graphicData>
            </a:graphic>
          </wp:inline>
        </w:drawing>
      </w:r>
    </w:p>
    <w:p w14:paraId="4D3A125C" w14:textId="174AFD37" w:rsidR="008E3F72" w:rsidRDefault="00CD1311" w:rsidP="008E3F72">
      <w:pPr>
        <w:pStyle w:val="BodyText"/>
        <w:widowControl/>
        <w:kinsoku w:val="0"/>
        <w:overflowPunct w:val="0"/>
        <w:spacing w:before="0"/>
        <w:ind w:left="0"/>
        <w:jc w:val="both"/>
        <w:rPr>
          <w:noProof/>
          <w:sz w:val="24"/>
          <w:szCs w:val="24"/>
        </w:rPr>
      </w:pPr>
      <w:r w:rsidRPr="00CD1311">
        <w:rPr>
          <w:noProof/>
          <w:sz w:val="24"/>
          <w:szCs w:val="24"/>
          <w:lang w:bidi="ar-SA"/>
        </w:rPr>
        <w:drawing>
          <wp:inline distT="0" distB="0" distL="0" distR="0" wp14:anchorId="4CB83765" wp14:editId="06FFCFAB">
            <wp:extent cx="5223510" cy="51242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3510" cy="512420"/>
                    </a:xfrm>
                    <a:prstGeom prst="rect">
                      <a:avLst/>
                    </a:prstGeom>
                    <a:noFill/>
                    <a:ln>
                      <a:noFill/>
                    </a:ln>
                  </pic:spPr>
                </pic:pic>
              </a:graphicData>
            </a:graphic>
          </wp:inline>
        </w:drawing>
      </w:r>
    </w:p>
    <w:p w14:paraId="1ECE9330" w14:textId="77777777" w:rsidR="00CD1311" w:rsidRPr="00F35F4D" w:rsidRDefault="00CD1311" w:rsidP="008E3F72">
      <w:pPr>
        <w:pStyle w:val="BodyText"/>
        <w:widowControl/>
        <w:kinsoku w:val="0"/>
        <w:overflowPunct w:val="0"/>
        <w:spacing w:before="0"/>
        <w:ind w:left="0"/>
        <w:jc w:val="both"/>
        <w:rPr>
          <w:noProof/>
          <w:sz w:val="24"/>
          <w:szCs w:val="24"/>
        </w:rPr>
      </w:pPr>
    </w:p>
    <w:p w14:paraId="18EA70D1" w14:textId="4909AA71" w:rsidR="008E3F72" w:rsidRPr="00F35F4D" w:rsidRDefault="008E3F72" w:rsidP="008E3F72">
      <w:pPr>
        <w:pStyle w:val="BodyText"/>
        <w:widowControl/>
        <w:kinsoku w:val="0"/>
        <w:overflowPunct w:val="0"/>
        <w:spacing w:before="0"/>
        <w:ind w:left="0"/>
        <w:jc w:val="both"/>
        <w:rPr>
          <w:noProof/>
          <w:sz w:val="24"/>
          <w:szCs w:val="24"/>
        </w:rPr>
      </w:pPr>
      <w:r w:rsidRPr="00F35F4D">
        <w:rPr>
          <w:i/>
        </w:rPr>
        <w:t>Piezīme.</w:t>
      </w:r>
      <w:r w:rsidRPr="00F35F4D">
        <w:rPr>
          <w:noProof/>
          <w:sz w:val="24"/>
        </w:rPr>
        <w:t xml:space="preserve"> Pat ja NH3 emisija pie 1 % liela sausnas satura vēl aizvien ir nozīmīga (10–30 % N-NH3</w:t>
      </w:r>
      <w:r w:rsidRPr="00F35F4D">
        <w:rPr>
          <w:noProof/>
          <w:sz w:val="24"/>
          <w:vertAlign w:val="subscript"/>
        </w:rPr>
        <w:t>kop.</w:t>
      </w:r>
      <w:r w:rsidRPr="00F35F4D">
        <w:rPr>
          <w:noProof/>
          <w:sz w:val="24"/>
        </w:rPr>
        <w:t xml:space="preserve"> zuduma iztva</w:t>
      </w:r>
      <w:r w:rsidR="00841D83">
        <w:rPr>
          <w:noProof/>
          <w:sz w:val="24"/>
        </w:rPr>
        <w:t xml:space="preserve">ikošanas rezultātā), samazinot </w:t>
      </w:r>
      <w:r w:rsidR="00841D83" w:rsidRPr="00841D83">
        <w:rPr>
          <w:i/>
          <w:noProof/>
          <w:sz w:val="24"/>
        </w:rPr>
        <w:t>DM</w:t>
      </w:r>
      <w:r w:rsidRPr="00F35F4D">
        <w:rPr>
          <w:noProof/>
          <w:sz w:val="24"/>
        </w:rPr>
        <w:t xml:space="preserve"> saturu par 50 %, vidējo NH3 emisiju var samazināt par aptuveni 30 %.</w:t>
      </w:r>
    </w:p>
    <w:p w14:paraId="74F6AFB4" w14:textId="77777777" w:rsidR="008E3F72" w:rsidRPr="00F35F4D" w:rsidRDefault="008E3F72" w:rsidP="008E3F72">
      <w:pPr>
        <w:pStyle w:val="BodyText"/>
        <w:widowControl/>
        <w:kinsoku w:val="0"/>
        <w:overflowPunct w:val="0"/>
        <w:spacing w:before="0"/>
        <w:ind w:left="0"/>
        <w:jc w:val="both"/>
        <w:rPr>
          <w:noProof/>
          <w:sz w:val="24"/>
          <w:szCs w:val="24"/>
        </w:rPr>
      </w:pPr>
    </w:p>
    <w:p w14:paraId="0F8D06BB" w14:textId="69FFB9DC" w:rsidR="00CD1311" w:rsidRDefault="008E3F72" w:rsidP="00CD1311">
      <w:pPr>
        <w:pStyle w:val="BodyText"/>
        <w:widowControl/>
        <w:numPr>
          <w:ilvl w:val="0"/>
          <w:numId w:val="11"/>
        </w:numPr>
        <w:tabs>
          <w:tab w:val="left" w:pos="861"/>
        </w:tabs>
        <w:kinsoku w:val="0"/>
        <w:overflowPunct w:val="0"/>
        <w:spacing w:before="0"/>
        <w:ind w:left="0" w:firstLine="0"/>
        <w:jc w:val="both"/>
        <w:rPr>
          <w:noProof/>
          <w:sz w:val="24"/>
        </w:rPr>
      </w:pPr>
      <w:r w:rsidRPr="00CD1311">
        <w:rPr>
          <w:b/>
        </w:rPr>
        <w:t>Papildu guvumi no paņēmieniem NH3 emisijas samazināšan</w:t>
      </w:r>
      <w:r w:rsidR="00CC42D4">
        <w:rPr>
          <w:b/>
        </w:rPr>
        <w:t>ai, izmantojot šķidros un</w:t>
      </w:r>
      <w:r w:rsidR="00841D83">
        <w:rPr>
          <w:b/>
        </w:rPr>
        <w:t xml:space="preserve"> pakaišu</w:t>
      </w:r>
      <w:r w:rsidRPr="00CD1311">
        <w:rPr>
          <w:b/>
        </w:rPr>
        <w:t xml:space="preserve"> kūtsmēslus zemes mēslošanai.</w:t>
      </w:r>
      <w:r w:rsidRPr="00CD1311">
        <w:rPr>
          <w:noProof/>
          <w:sz w:val="24"/>
        </w:rPr>
        <w:t xml:space="preserve"> Eksperimentālajos aprēķinos par lielāku kūtsmēslos esošā N izmantošanas efektivitāti saistībā ar mazāku NH3 emisiju ir gūti dažādi rezultāti (</w:t>
      </w:r>
      <w:r w:rsidRPr="00CD1311">
        <w:rPr>
          <w:i/>
          <w:noProof/>
          <w:sz w:val="24"/>
        </w:rPr>
        <w:t>J. Webb et al.</w:t>
      </w:r>
      <w:r w:rsidRPr="00CD1311">
        <w:rPr>
          <w:noProof/>
          <w:sz w:val="24"/>
        </w:rPr>
        <w:t xml:space="preserve"> 2010). To var daļēji skaidrot ar grūtībām, ko rada katrs mēģinājums noteikt kultūraugu neapšaubāmu reakciju uz mazāku N mēslojuma piedevu pie relatīvi augsta slāpekļa mineralizācijas līmeņa augsnē. Praksē NH3 emisijas samazinājums pamato pievienotā papildu slāpekļa samazināšanu. Kaut arī dažādi augi atšķirīgi uzņem amonjaka slāpekli, to N-NH3</w:t>
      </w:r>
      <w:r w:rsidRPr="00CD1311">
        <w:rPr>
          <w:noProof/>
          <w:sz w:val="24"/>
          <w:vertAlign w:val="subscript"/>
        </w:rPr>
        <w:t>kop.</w:t>
      </w:r>
      <w:r w:rsidRPr="00CD1311">
        <w:rPr>
          <w:noProof/>
          <w:sz w:val="24"/>
        </w:rPr>
        <w:t xml:space="preserve"> daļu, kura neiztvaiko, var uzskatīt par potenciāli ekvivalentu ķīmiskajam slāpekļa mēslošanas līdzeklim. Tāpēc var uzskatīt, ka NH3 zudumu samazinājums aizstāj ķīmisko mēslojumu proporcijā 1:1.</w:t>
      </w:r>
    </w:p>
    <w:p w14:paraId="7B773680" w14:textId="77777777" w:rsidR="00CD1311" w:rsidRPr="00CD1311" w:rsidRDefault="00CD1311" w:rsidP="00CD1311">
      <w:pPr>
        <w:pStyle w:val="BodyText"/>
        <w:widowControl/>
        <w:tabs>
          <w:tab w:val="left" w:pos="861"/>
        </w:tabs>
        <w:kinsoku w:val="0"/>
        <w:overflowPunct w:val="0"/>
        <w:spacing w:before="0"/>
        <w:ind w:left="0"/>
        <w:jc w:val="both"/>
        <w:rPr>
          <w:noProof/>
          <w:sz w:val="24"/>
        </w:rPr>
      </w:pPr>
    </w:p>
    <w:p w14:paraId="39FA2EF2"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Paņēmieni, kas paredz izkliedēšanu joslās un inžekciju, kā arī cietā mēslojuma ātru iestrādi, ievērojami samazina ar zemes mēslošanu saistīto nepatīkamo smaku. Nepatīkamās smakas samazināšanās, ko var panākt ar šiem paņēmieniem, ļauj mēslot zemi tajās vietās un tādā laikā, kurā tas citkārt nebūtu iespējams iedzīvotāju sūdzību dēļ.</w:t>
      </w:r>
    </w:p>
    <w:p w14:paraId="2772C224"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4DE7BCAD" w14:textId="5F0EDD63"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lastRenderedPageBreak/>
        <w:t>Izkliedēšana joslās un inžekcija ļauj daudz precīzāk ievērot vajadzīgo šķidro kūtsmēslu daudzumu salīdzinājumā ar atsauces paņēmienu, jo kūtsmēsliem vienādā daudzumā jānonāk caurulēs, kas atrodas vienādā attālumā viena no otras noteiktā darba virsmas platumā. Salīdzinājumam, ja mēslošanu veic ar aplikatoru, kas aprīkots ar pretšļakstes aizsargu (atsauces sistēma), kūtsmēslu sadalījums bieži vien ir daudz nevienmērīgāks atkarībā no pretšļakstes aizsarga konstrukcijas un tehniskā stāvokļa. Izmantojot pretšļakstes aizsargus, var būt vairāk noviržu arī darba platumā (piemēram, vēja ietekmē), un tā rezultāta blakusesošo joslu robežas var nesakrist, kā arī mēslošana gar lauka robežu var būt mazāk precīza. Potenciāli lielāka mēslošanas precizitāte ļauj taupīgi izmantot šķi</w:t>
      </w:r>
      <w:r w:rsidR="00841D83">
        <w:rPr>
          <w:noProof/>
          <w:sz w:val="24"/>
        </w:rPr>
        <w:t>dros kūtsmēslus kā barības elementu</w:t>
      </w:r>
      <w:r w:rsidRPr="00F35F4D">
        <w:rPr>
          <w:noProof/>
          <w:sz w:val="24"/>
        </w:rPr>
        <w:t xml:space="preserve"> avotu. Lielāka mēslošanas precizitāte arī samazina nitrātu, fosfātu un mikrobioloģiskā piesārņojuma risku, jo šķidrie kūtsmēsli nenonāk blakusesošajās zonās, piemēram, ūdensteces tuvumā.</w:t>
      </w:r>
    </w:p>
    <w:p w14:paraId="11A1975D"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4E3E0C9E" w14:textId="7DCC94F5"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Intervālu, kurā zemi var mēslot ar šķidrajiem kūtsmēsliem, izmantojot atsauces paņēmienu (izkliedējot pa lauku), ierobežo risks, ka kūtsmēslu radītais piesārņojums samazinās ražas kvalitāti vai nodarīs tai kaitējumu. Izkliedēšana joslās un inžekcija samazina zaļās masas piesārņojumu un tādējādi nodrošina mēslošanas iespēju pie lielāka lapotnes augstuma, neapdraudot ražas kvalitāti. Tas ir īpaši būtiski zāles platībās, kur piesārņojums ar šķidrajiem mēsliem var samazināt ganību zāles garšas īpašības vai skābbarības kvalitāti un kopīgas kūtsmēslu un aprīkojuma lietošanas gadījumā pārnest patogēnos mikroorganismus (piemēram, Jones slimības gadījumā) no vienas saimniecības uz otru. Šīs metodes ļauj mēslot ar šķidrajiem kūtsmēsliem laukaugus arī augšanas stadijā (īpaši graudaugus), ko parasti neuzskata par piemērotiem mēslošanai ar šķidrajiem mēsliem, izmantojot pretšļakstes aizsargu. Zema emisiju līmeņa metožu izmantošana tādējādi var palīdzēt elastīgāk īstenot šķidro k</w:t>
      </w:r>
      <w:r w:rsidR="00841D83">
        <w:rPr>
          <w:noProof/>
          <w:sz w:val="24"/>
        </w:rPr>
        <w:t>ūtsmēslu izmantošanas apsaimniekošanu</w:t>
      </w:r>
      <w:r w:rsidRPr="00F35F4D">
        <w:rPr>
          <w:noProof/>
          <w:sz w:val="24"/>
        </w:rPr>
        <w:t>, ļaujot veikt lielāku platību mēslošanu dienās, kad laika apstākļi veicina mazāku NH3 iztvaikošanu un ir piemērotāki kūtsmēslos esošā N optimālai izmantošanai, un mitruma daudzums augsnē ļauj pārvietoties mehānismiem tā, lai to radītais augsnes sablīvējums būtu minimāls.</w:t>
      </w:r>
    </w:p>
    <w:p w14:paraId="35F19AC5"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3D76E616"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 xml:space="preserve">Emisijas samazināšanas paņēmienu potenciālā ietekme uz izmaksām. </w:t>
      </w:r>
      <w:r w:rsidRPr="00F35F4D">
        <w:rPr>
          <w:noProof/>
          <w:sz w:val="24"/>
        </w:rPr>
        <w:t>Izmaksu palielinājums, ko saista ar jaunu iestrādes mehānismu pirkšanu un tehnisko apkopi vai arī apakšuzņēmēju piesaistīšanu, var mazināt motivāciju ieviest emisijas samazināšanas pasākumus. Inžekcijas paņēmieniem ir arī vajadzīgi jaudīgāki traktori, kas vēl vairāk palielina izmaksas par šo sistēmu ieviešanu. Finanšu guvumi, kas saistīti ar labāku ražu un lielāku ražas stabilitāti, var šīs papildu izmaksas daļēji vai pilnībā atsvērt, samazinot N zudumus (mazinot vajadzību pēc minerālmēslojuma), precīzāk nogādājot kūtsmēslos esošo N līdz kultūraugiem, paaugstinot agronomisko elastību un radot citus papildu guvumus, piemēram, samazinot nepatīkamo smaku un ražas piesārņojumu un uzlabojot lauka izskatu pirms mēslošanas ar kūtsmēsliem un pēc tās (</w:t>
      </w:r>
      <w:r w:rsidRPr="00F35F4D">
        <w:rPr>
          <w:i/>
          <w:noProof/>
          <w:sz w:val="24"/>
        </w:rPr>
        <w:t>J. Webb et al.</w:t>
      </w:r>
      <w:r w:rsidRPr="00F35F4D">
        <w:rPr>
          <w:noProof/>
          <w:sz w:val="24"/>
        </w:rPr>
        <w:t>, 2010). Kopējā attiecība starp izmaksām un guvumiem jo īpaši ir atkarīga no aprīkojuma izmaksām un emisijas samazināšanas efektivitātes.</w:t>
      </w:r>
    </w:p>
    <w:p w14:paraId="10CB5082"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1565A7EC" w14:textId="59371EB4"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Samazināto amonjaka zudumu ietekme uz N</w:t>
      </w:r>
      <w:r w:rsidR="00841D83">
        <w:rPr>
          <w:b/>
          <w:noProof/>
          <w:sz w:val="24"/>
        </w:rPr>
        <w:t xml:space="preserve"> aprites</w:t>
      </w:r>
      <w:r w:rsidRPr="00F35F4D">
        <w:rPr>
          <w:b/>
          <w:noProof/>
          <w:sz w:val="24"/>
        </w:rPr>
        <w:t xml:space="preserve"> ciklu. </w:t>
      </w:r>
      <w:r w:rsidRPr="00F35F4D">
        <w:rPr>
          <w:noProof/>
          <w:sz w:val="24"/>
        </w:rPr>
        <w:t>Ja pēc mēslošanas ar kūtsmēsliem uz lauka nav kultūraugu, kas spēj uzņemt viegli pieejamo N, tad palielinās risks, ka N tiks zaudēts izskalošanās rezultātā vai N2O gāzes veidā. Tāpēc kūtsmēslu iestrāde un jo īpaši inžekcija ir saistīta ar risku, ka gaisa vietā tiks piesārņoti ūdeņi, bet samazina risku, ka lietus g</w:t>
      </w:r>
      <w:r w:rsidR="00841D83">
        <w:rPr>
          <w:noProof/>
          <w:sz w:val="24"/>
        </w:rPr>
        <w:t>adījumā slāpeklis notecēs</w:t>
      </w:r>
      <w:r w:rsidRPr="00F35F4D">
        <w:rPr>
          <w:noProof/>
          <w:sz w:val="24"/>
        </w:rPr>
        <w:t xml:space="preserve"> no lauka virsmas. Šī iemesla dēļ, izvēloties laiku mēsloš</w:t>
      </w:r>
      <w:r w:rsidR="00CC42D4">
        <w:rPr>
          <w:noProof/>
          <w:sz w:val="24"/>
        </w:rPr>
        <w:t>anai ar šķidrajiem vai</w:t>
      </w:r>
      <w:r w:rsidR="00841D83">
        <w:rPr>
          <w:noProof/>
          <w:sz w:val="24"/>
        </w:rPr>
        <w:t xml:space="preserve"> pakaišu</w:t>
      </w:r>
      <w:r w:rsidRPr="00F35F4D">
        <w:rPr>
          <w:noProof/>
          <w:sz w:val="24"/>
        </w:rPr>
        <w:t xml:space="preserve"> kūtsmēsliem, jāievēro līdzsvars starp zemu NH3 emisijas potenciālu un citiem slāpekļa zaudēšanas veidiem, vienlaicīgi ņemot vērā laiku, kad augiem vajadzīgs slāpeklis. Lai </w:t>
      </w:r>
      <w:r w:rsidRPr="00F35F4D">
        <w:rPr>
          <w:noProof/>
          <w:sz w:val="24"/>
        </w:rPr>
        <w:lastRenderedPageBreak/>
        <w:t>samazinātu kopējo N zudumu, mēslošanu nevajadzētu veikt tad, kad tas netiek uzņemts vai augi to uzņem ļoti ierobežotā daudzumā. Samazinot amonjaka emisiju, tiek radīts būtisks ieguldījums kopējo slāpekļa zudumu samazināšanā no lauksaimniecības, maksimāli palielinot guvumu no mēslošanai izmantotā minerālmēslojuma. Finanšu guvumu lauksaimniekiem, ko rada mazāka vajadzība pēc N minerālmēsliem, papildina siltumnīcefekta gāzes emisijas samazināšanās reģionā mazākas minerālmēslu izmantošanas rezultātā, ņemot vērā minerālmēslu izraisīto N2O emisiju no augsnes un lielo enerģijas patēriņu slāpekļa minerālmēslu ražošanai.</w:t>
      </w:r>
    </w:p>
    <w:p w14:paraId="39DC48D8"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0FA23B80" w14:textId="22E6E929" w:rsidR="008E3F72" w:rsidRPr="00CD1311" w:rsidRDefault="008E3F72" w:rsidP="00CD1311">
      <w:pPr>
        <w:pStyle w:val="BodyText"/>
        <w:widowControl/>
        <w:numPr>
          <w:ilvl w:val="0"/>
          <w:numId w:val="11"/>
        </w:numPr>
        <w:tabs>
          <w:tab w:val="left" w:pos="861"/>
        </w:tabs>
        <w:kinsoku w:val="0"/>
        <w:overflowPunct w:val="0"/>
        <w:spacing w:before="0"/>
        <w:ind w:left="0" w:firstLine="0"/>
        <w:jc w:val="both"/>
        <w:rPr>
          <w:noProof/>
          <w:sz w:val="24"/>
          <w:szCs w:val="24"/>
        </w:rPr>
      </w:pPr>
      <w:r w:rsidRPr="00CD1311">
        <w:rPr>
          <w:noProof/>
          <w:sz w:val="24"/>
        </w:rPr>
        <w:t>Gūtie rezultāti liek domāt, ka šķidro kūtsmēslu inžekcija vai nu palielina N2O emisiju, vai arī neietekmē to. Ir izskanējis viedoklis, ka noārdīties spējīgā oglekļa (C) pievienošana šķidrajiem kūtsmēsliem rada mehānismu lielākai N2O emisijai, nekā būtu gaidāms, jo NH3 emisijas samazināšanas pasākumu rezultātā augsnē nonāk papildu slāpeklis. Pievienojot šķidrajos kūtsmēslos esošo C, kas viegli noārdās, bez īpašas augsnes aerācijas var pastiprināties denitrifikācijas procesi. Ir vairāki iemesli, kuru dēļ mēslošanas paņēmieni, kas rada zemu NH3 emisijas līmeni, ne vienmēr izraisa N2O emisijas palielināšanos, piemēram, a) ja inžekciju veic lielākā dziļumā (&gt; 5 cm) vai mēslus iestrādā augsnē, pagarinoties difūzijas ceļam no denitrifikācijas vietas līdz augsnes virskārtai, lielāka denitrificētā N daļa var atbrīvoties N2 veidā; b) augsnē esošais mitruma daudzums un attiecīgi aerācija var neveicināt lielāku N2O rašanos; c) augsnēs, kuras bagātas gan ar viegli noārdāmo C, gan mineralizēto slāpekli, jebkāda N2O emisijas palielināšanās var būt tik maza, ka tā nerada kaut cik ievērojamu ietekmi, un d) N2O emisija pēc mēslošanas ir atkarīga arī no attiecīgo laika apstākļu ietekmes uz mitruma daudzumu augsnē un ūdens daudzuma augsnes porās. Šī mijiedarbība atspoguļojas tā, ka NH3 emisijas samazināšana samazina to N2O emisiju, kas saistīta ar gaisā esošā slāpekļa nosēšanos pa pusei dabiskās ekosistēmās un ļauj ietaupīt uz mēslošanas līdzekļu rēķina, samazinot kopējo N2O emisiju.</w:t>
      </w:r>
    </w:p>
    <w:p w14:paraId="0F8B8564" w14:textId="77777777" w:rsidR="00CD1311" w:rsidRPr="00CD1311" w:rsidRDefault="00CD1311" w:rsidP="00CD1311">
      <w:pPr>
        <w:pStyle w:val="BodyText"/>
        <w:widowControl/>
        <w:tabs>
          <w:tab w:val="left" w:pos="861"/>
        </w:tabs>
        <w:kinsoku w:val="0"/>
        <w:overflowPunct w:val="0"/>
        <w:spacing w:before="0"/>
        <w:ind w:left="0"/>
        <w:jc w:val="both"/>
        <w:rPr>
          <w:noProof/>
          <w:sz w:val="24"/>
          <w:szCs w:val="24"/>
        </w:rPr>
      </w:pPr>
    </w:p>
    <w:p w14:paraId="5DD156AB" w14:textId="7156B1CB"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 xml:space="preserve">Saimniecības (cieto) kūtsmēslu iestrāde, pēc visa spriežot, vai nu samazina N2O emisiju, vai to vispār neietekmē. Pretstatā šķidrajiem kūtsmēsliem ir pierādījumi, ka viegli noārdāmais C tiek </w:t>
      </w:r>
      <w:r w:rsidR="00CC42D4">
        <w:rPr>
          <w:noProof/>
          <w:sz w:val="24"/>
        </w:rPr>
        <w:t>zaudēts noplūdes rezultātā</w:t>
      </w:r>
      <w:r w:rsidR="00841D83">
        <w:rPr>
          <w:noProof/>
          <w:sz w:val="24"/>
        </w:rPr>
        <w:t xml:space="preserve"> pakaišu</w:t>
      </w:r>
      <w:r w:rsidRPr="00F35F4D">
        <w:rPr>
          <w:noProof/>
          <w:sz w:val="24"/>
        </w:rPr>
        <w:t xml:space="preserve"> kūtsmēslu </w:t>
      </w:r>
      <w:r w:rsidR="00841D83">
        <w:rPr>
          <w:noProof/>
          <w:sz w:val="24"/>
        </w:rPr>
        <w:t>uz</w:t>
      </w:r>
      <w:r w:rsidRPr="00F35F4D">
        <w:rPr>
          <w:noProof/>
          <w:sz w:val="24"/>
        </w:rPr>
        <w:t>glabāšanas laikā. Tāpēc og</w:t>
      </w:r>
      <w:r w:rsidR="00CC42D4">
        <w:rPr>
          <w:noProof/>
          <w:sz w:val="24"/>
        </w:rPr>
        <w:t>leklim, kas nonāk augsnē ar</w:t>
      </w:r>
      <w:r w:rsidR="00841D83">
        <w:rPr>
          <w:noProof/>
          <w:sz w:val="24"/>
        </w:rPr>
        <w:t xml:space="preserve"> pakaišu</w:t>
      </w:r>
      <w:r w:rsidRPr="00F35F4D">
        <w:rPr>
          <w:noProof/>
          <w:sz w:val="24"/>
        </w:rPr>
        <w:t xml:space="preserve"> kūtsmēsliem, ir mazāka ietekme uz mikrobioloģisko metabolismu nekā šķidro kūtsmēslu gadījumā.</w:t>
      </w:r>
    </w:p>
    <w:p w14:paraId="42F6CEAA" w14:textId="77777777" w:rsidR="008E3F72" w:rsidRPr="00F35F4D" w:rsidRDefault="008E3F72" w:rsidP="008E3F72">
      <w:pPr>
        <w:pStyle w:val="BodyText"/>
        <w:widowControl/>
        <w:kinsoku w:val="0"/>
        <w:overflowPunct w:val="0"/>
        <w:spacing w:before="0"/>
        <w:ind w:left="0"/>
        <w:jc w:val="both"/>
        <w:rPr>
          <w:noProof/>
          <w:sz w:val="24"/>
          <w:szCs w:val="24"/>
        </w:rPr>
      </w:pPr>
    </w:p>
    <w:p w14:paraId="116322DB" w14:textId="77777777" w:rsidR="008E3F72" w:rsidRPr="00F35F4D" w:rsidRDefault="008E3F72" w:rsidP="008E3F72">
      <w:pPr>
        <w:pStyle w:val="BodyText"/>
        <w:widowControl/>
        <w:kinsoku w:val="0"/>
        <w:overflowPunct w:val="0"/>
        <w:spacing w:before="0"/>
        <w:ind w:left="0"/>
        <w:jc w:val="both"/>
        <w:rPr>
          <w:b/>
          <w:bCs/>
          <w:i/>
          <w:iCs/>
          <w:noProof/>
          <w:color w:val="0D0D0D"/>
          <w:sz w:val="24"/>
          <w:szCs w:val="24"/>
        </w:rPr>
      </w:pPr>
      <w:r w:rsidRPr="00F35F4D">
        <w:rPr>
          <w:b/>
          <w:i/>
          <w:noProof/>
          <w:color w:val="0D0D0D"/>
          <w:sz w:val="24"/>
        </w:rPr>
        <w:t>2. kategorijas paņēmieni</w:t>
      </w:r>
    </w:p>
    <w:p w14:paraId="233CEFE5" w14:textId="77777777" w:rsidR="008E3F72" w:rsidRPr="00F35F4D" w:rsidRDefault="008E3F72" w:rsidP="008E3F72">
      <w:pPr>
        <w:pStyle w:val="BodyText"/>
        <w:widowControl/>
        <w:kinsoku w:val="0"/>
        <w:overflowPunct w:val="0"/>
        <w:spacing w:before="0"/>
        <w:ind w:left="0"/>
        <w:jc w:val="both"/>
        <w:rPr>
          <w:b/>
          <w:bCs/>
          <w:i/>
          <w:iCs/>
          <w:noProof/>
          <w:color w:val="0D0D0D"/>
          <w:sz w:val="24"/>
          <w:szCs w:val="24"/>
        </w:rPr>
      </w:pPr>
    </w:p>
    <w:p w14:paraId="73CBF0D7" w14:textId="0C6387D9"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2. kategorijas paņēmienu verifikācija.</w:t>
      </w:r>
      <w:r w:rsidRPr="00F35F4D">
        <w:rPr>
          <w:b/>
          <w:i/>
          <w:noProof/>
          <w:sz w:val="24"/>
        </w:rPr>
        <w:t xml:space="preserve"> </w:t>
      </w:r>
      <w:r w:rsidRPr="00F35F4D">
        <w:rPr>
          <w:noProof/>
          <w:sz w:val="24"/>
        </w:rPr>
        <w:t>2. kategorijas paņēmieni var būt vērtīga daļa no pasākumu kopuma NH3 emisijas samazināšanai, bet tiem ir mazāka noteiktība un to nozīme emisijas samazināšanā var būt mazāk viennozīmīga salīdzinājumā ar 1. kategorijas paņēmieniem. Tāpēc Norādījumu dokumentā ir precizēts, ka, izmantojot 2. kategorijas metodes, lai panāktu konkrēto emisijas samazinājumu, pusēm jāsniedz ziņas, kas apstiprina pārskatos norādīto emisijas samazināšanos šo metožu izmantošanas rezultātā. Tādi paši apstiprinājumi jānodrošina arī 3. kategorijas metožu gadījumos, ja tādas tiek izmantotas. Attiecībā uz paņēmieniem, kam pamatā ir a) paātrināta iesūkšanās augsnē un b) kūtsmēslu inžekcija ar paaugstinātu spiedienu, jāapraksta izmantotā prakse un jāsniedz pierādījumi, kas gūti lauka vai saimniecības mērogā veiktos mērījumos un parāda un pamato emisijas samazinājumu. Īpašas prasības, kas norādītas turpmā</w:t>
      </w:r>
      <w:r w:rsidR="00841D83">
        <w:rPr>
          <w:noProof/>
          <w:sz w:val="24"/>
        </w:rPr>
        <w:t>kajā sadaļā, attiecas uz apsaimniekošanas</w:t>
      </w:r>
      <w:r w:rsidRPr="00F35F4D">
        <w:rPr>
          <w:noProof/>
          <w:sz w:val="24"/>
        </w:rPr>
        <w:t xml:space="preserve"> sistēmu verifikāciju mēslošanas laika izvēlei.</w:t>
      </w:r>
    </w:p>
    <w:p w14:paraId="76890958"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71E36156" w14:textId="5F595548"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lastRenderedPageBreak/>
        <w:t xml:space="preserve">Paātrināta iesūkšanās augsnē. </w:t>
      </w:r>
      <w:r w:rsidRPr="00F35F4D">
        <w:rPr>
          <w:noProof/>
          <w:sz w:val="24"/>
        </w:rPr>
        <w:t>Kad augsnes veids un apstākļi ļauj šķidrumam ātri iesūkties augsnē, NH3 emisija samazinā</w:t>
      </w:r>
      <w:r w:rsidR="00C83171">
        <w:rPr>
          <w:noProof/>
          <w:sz w:val="24"/>
        </w:rPr>
        <w:t xml:space="preserve">s, samazinoties </w:t>
      </w:r>
      <w:r w:rsidR="00C83171" w:rsidRPr="00C83171">
        <w:rPr>
          <w:i/>
          <w:noProof/>
          <w:sz w:val="24"/>
        </w:rPr>
        <w:t>DM</w:t>
      </w:r>
      <w:r w:rsidRPr="00F35F4D">
        <w:rPr>
          <w:noProof/>
          <w:sz w:val="24"/>
        </w:rPr>
        <w:t xml:space="preserve"> saturam šķidrajos kūtsmēslos. Atšķaidot šķidros kūtsmēslus ar ūdeni, ne vien samazinās amonija slāpekļa koncentrācija, bet arī paātrinās tā iesūkšanās augsnē pēc zemes mēslošanas. Lai samazinātu emisiju par vismaz 30 %, neatšķaidīti šķidr</w:t>
      </w:r>
      <w:r w:rsidR="00C83171">
        <w:rPr>
          <w:noProof/>
          <w:sz w:val="24"/>
        </w:rPr>
        <w:t>ie kūtsmēsli (t. i., 8–10 % </w:t>
      </w:r>
      <w:r w:rsidR="00C83171" w:rsidRPr="00C83171">
        <w:rPr>
          <w:i/>
          <w:noProof/>
          <w:sz w:val="24"/>
        </w:rPr>
        <w:t>DM</w:t>
      </w:r>
      <w:r w:rsidRPr="00F35F4D">
        <w:rPr>
          <w:noProof/>
          <w:sz w:val="24"/>
        </w:rPr>
        <w:t>) jāatšķaida attiecībā, kas nav mazāka par 1:1 (viena daļa šķidro kūtsmēslu uz vienu daļu ūdens). Nozīmīgs trūkums, kas piemīt šim paņēmienam, ir tas, ka var nākties palielināt krātuvju ietilpību un mēslošanai izmantot lielāku šķidro kūtsmēslu tilpumu. Da</w:t>
      </w:r>
      <w:r w:rsidR="00C83171">
        <w:rPr>
          <w:noProof/>
          <w:sz w:val="24"/>
        </w:rPr>
        <w:t>žās šķidro kūtsmēslu apsaimniekošanas</w:t>
      </w:r>
      <w:r w:rsidRPr="00F35F4D">
        <w:rPr>
          <w:noProof/>
          <w:sz w:val="24"/>
        </w:rPr>
        <w:t xml:space="preserve"> sistēmās kūtsmēsli var būt jau atšķaidītā veidā (piemēram, ja šķidrie kūtsmēsli ir sajaukti ar ūdeni slaukšanas laukumu vai grīdas mazgāšanai, lietus ūdeni u. c.), un aktīva atšķaidīšana rada tikai neievērojamas priekšrocības. Papildu izmaksām par krātuves tilpuma palielināšanu, pārvadāšanu mēslošanas vajadzībām vajadzētu mazināt motivāciju šos paņēmienus izmantot. Var palielināties arī ūdens nesējslāņa piesārņošanas risks, nepamatoti palielināties ūdens patēriņš un oglekļa emisija papildu pārvadāšanas dēļ. Krievijas Federācijā gūtā pieredze parāda, ka iepriekšēja kultivācija iesūkšanās uzlabošanai (piemēram, ar diska kultivatoru vai irdinātāju) ir labs paņēmiens iesūkšanās ātruma palielināšanai pirms mēslošanas ar šķidrajiem kūtsmēsliem (</w:t>
      </w:r>
      <w:r w:rsidRPr="00F35F4D">
        <w:rPr>
          <w:i/>
          <w:noProof/>
          <w:sz w:val="24"/>
        </w:rPr>
        <w:t>Eskov et al.</w:t>
      </w:r>
      <w:r w:rsidRPr="00F35F4D">
        <w:rPr>
          <w:noProof/>
          <w:sz w:val="24"/>
        </w:rPr>
        <w:t>, 2001).</w:t>
      </w:r>
    </w:p>
    <w:p w14:paraId="023861C5"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3B1A1C8D" w14:textId="318F546C"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Mēslojot zemi ar atšķaidītiem šķidrajiem kūtsmēs</w:t>
      </w:r>
      <w:r w:rsidR="00C83171">
        <w:rPr>
          <w:noProof/>
          <w:sz w:val="24"/>
        </w:rPr>
        <w:t>liem, var palielināties noteces</w:t>
      </w:r>
      <w:r w:rsidRPr="00F35F4D">
        <w:rPr>
          <w:noProof/>
          <w:sz w:val="24"/>
        </w:rPr>
        <w:t xml:space="preserve"> un izskalošanās risks, un no tā jāizsargājas, pievēršot uzmanību izkliedētajam mēslu daudzumam, augsnes stāvoklim, slīpumam utt. Tāpēc, izņemot šķidro kūtsmēslu aktīvas atšķaidīšanas gadījumā izmantošanai apūdeņošanas sistēmā (1. kategorija), šo metodi iekļauj 2. kategorijā.</w:t>
      </w:r>
    </w:p>
    <w:p w14:paraId="480B6C27"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73C60DE2" w14:textId="36B64707" w:rsidR="008E3F72" w:rsidRPr="00CD1311" w:rsidRDefault="00C83171" w:rsidP="008E3F72">
      <w:pPr>
        <w:pStyle w:val="BodyText"/>
        <w:widowControl/>
        <w:numPr>
          <w:ilvl w:val="0"/>
          <w:numId w:val="11"/>
        </w:numPr>
        <w:tabs>
          <w:tab w:val="left" w:pos="861"/>
        </w:tabs>
        <w:kinsoku w:val="0"/>
        <w:overflowPunct w:val="0"/>
        <w:spacing w:before="0"/>
        <w:ind w:left="0" w:firstLine="0"/>
        <w:jc w:val="both"/>
        <w:rPr>
          <w:noProof/>
          <w:sz w:val="24"/>
          <w:szCs w:val="24"/>
        </w:rPr>
      </w:pPr>
      <w:r>
        <w:rPr>
          <w:noProof/>
          <w:sz w:val="24"/>
        </w:rPr>
        <w:t xml:space="preserve">Cits veids, kā samazināt </w:t>
      </w:r>
      <w:r w:rsidRPr="00C83171">
        <w:rPr>
          <w:i/>
          <w:noProof/>
          <w:sz w:val="24"/>
        </w:rPr>
        <w:t>DM</w:t>
      </w:r>
      <w:r w:rsidR="008E3F72" w:rsidRPr="00F35F4D">
        <w:rPr>
          <w:noProof/>
          <w:sz w:val="24"/>
        </w:rPr>
        <w:t xml:space="preserve"> saturu šķidrajos kūtsmēslos un šādā veidā paātrināt iesūkšanos augsnē, ir atdalīt daļu cietās vielas mehāniski vai ar anaerobās hidrolīzes starpniecību. Izmantojot mehānisku separatoru ar 1–3 mm lielu acs izmēru, NH3 zudumus no atdalītās šķidrās frakcijas var samazināt par ne vairāk kā 50 %. Vēl viena priekšrocība, ko dod šī metode, ir zālāja mazāka piemēslošana. Šī paņēmiena trūkumi ir ar separatoru un papildu aprīkojumu saistītās kapitālieguldījumu un darbības izmaksas, nepieciešamība veikt gan šķidrās, gan cietās frakcijas apstrādi un emisija no cietās frakcijas. Lai verificētu šādas sistēmas, jāparāda kopējais NH3 emisijas samazinājums, ņemot vērā em</w:t>
      </w:r>
      <w:r>
        <w:rPr>
          <w:noProof/>
          <w:sz w:val="24"/>
        </w:rPr>
        <w:t xml:space="preserve">isiju gan no frakcijas ar zemu </w:t>
      </w:r>
      <w:r w:rsidRPr="00C83171">
        <w:rPr>
          <w:i/>
          <w:noProof/>
          <w:sz w:val="24"/>
        </w:rPr>
        <w:t>DM</w:t>
      </w:r>
      <w:r w:rsidR="008E3F72" w:rsidRPr="00F35F4D">
        <w:rPr>
          <w:noProof/>
          <w:sz w:val="24"/>
        </w:rPr>
        <w:t xml:space="preserve"> s</w:t>
      </w:r>
      <w:r>
        <w:rPr>
          <w:noProof/>
          <w:sz w:val="24"/>
        </w:rPr>
        <w:t xml:space="preserve">aturu, gan frakcijas ar augstu </w:t>
      </w:r>
      <w:r w:rsidRPr="00C83171">
        <w:rPr>
          <w:i/>
          <w:noProof/>
          <w:sz w:val="24"/>
        </w:rPr>
        <w:t>DM</w:t>
      </w:r>
      <w:r w:rsidR="008E3F72" w:rsidRPr="00F35F4D">
        <w:rPr>
          <w:noProof/>
          <w:sz w:val="24"/>
        </w:rPr>
        <w:t xml:space="preserve"> saturu.</w:t>
      </w:r>
    </w:p>
    <w:p w14:paraId="49E0D7F2"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3FC50D53" w14:textId="7CA19321" w:rsidR="008E3F72" w:rsidRPr="00CD1311" w:rsidRDefault="008E3F72" w:rsidP="00CD1311">
      <w:pPr>
        <w:pStyle w:val="BodyText"/>
        <w:widowControl/>
        <w:numPr>
          <w:ilvl w:val="0"/>
          <w:numId w:val="11"/>
        </w:numPr>
        <w:tabs>
          <w:tab w:val="left" w:pos="861"/>
        </w:tabs>
        <w:kinsoku w:val="0"/>
        <w:overflowPunct w:val="0"/>
        <w:spacing w:before="0"/>
        <w:ind w:left="0" w:firstLine="0"/>
        <w:jc w:val="both"/>
        <w:rPr>
          <w:noProof/>
          <w:sz w:val="24"/>
          <w:szCs w:val="24"/>
        </w:rPr>
      </w:pPr>
      <w:r w:rsidRPr="00CD1311">
        <w:rPr>
          <w:noProof/>
          <w:sz w:val="24"/>
        </w:rPr>
        <w:t>Trešā iespēja palielināt iesūkšanās ātrumu ir noskalot šķidros kūtsmēslus no zāles un ieskalot tos augsnē pēc izkliedēšanas. Tam ir vajadzīgs liels ūdens daudzums, kura piemērošana ir saistīta ar papildu darbu veikšanu, bet Kanādā gūtie rezultāti liecina, ka 6 mm ūdens noteiktos apstākļos var samazināt NH3 zudumus par 50 %, salīdzinot ar šķidro kūtsmēslu parastu izkliedēšanu laukā. Lai verificētu šādas sistēmas, jānorāda laiks, kas ir pagājis no šķidro kūtsmēslu izkliedēšanas līdz zāles skalošanai ar ūdeni, izmantotais ūdens daudzums un panāktais emisijas samazinājums procentos. Veicot skalošanu pēc mēslošan</w:t>
      </w:r>
      <w:r w:rsidR="00C83171">
        <w:rPr>
          <w:noProof/>
          <w:sz w:val="24"/>
        </w:rPr>
        <w:t>as, var rasties lielāks noteces</w:t>
      </w:r>
      <w:r w:rsidRPr="00CD1311">
        <w:rPr>
          <w:noProof/>
          <w:sz w:val="24"/>
        </w:rPr>
        <w:t xml:space="preserve"> un izskalošanās risks atkarībā no augsnes stāvokļa, zemes slīpuma utt. Šo iemeslu dēļ, izņemot gadījumu, kad šķidrie kūtsmēsli tiek aktīvi atšķaidīti izmantošanai apūdeņošanas sistēmā (1. kategorijas paņēmiens), metodi iekļauj 2. kategorijā.</w:t>
      </w:r>
    </w:p>
    <w:p w14:paraId="1FF0B12A" w14:textId="77777777" w:rsidR="00CD1311" w:rsidRPr="00CD1311" w:rsidRDefault="00CD1311" w:rsidP="00CD1311">
      <w:pPr>
        <w:pStyle w:val="BodyText"/>
        <w:widowControl/>
        <w:tabs>
          <w:tab w:val="left" w:pos="861"/>
        </w:tabs>
        <w:kinsoku w:val="0"/>
        <w:overflowPunct w:val="0"/>
        <w:spacing w:before="0"/>
        <w:ind w:left="0"/>
        <w:jc w:val="both"/>
        <w:rPr>
          <w:noProof/>
          <w:sz w:val="24"/>
          <w:szCs w:val="24"/>
        </w:rPr>
      </w:pPr>
    </w:p>
    <w:p w14:paraId="059CFA87"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Šķidro kūtsmēslu inžekcija paaugstinātā spiedienā.</w:t>
      </w:r>
      <w:r w:rsidRPr="00F35F4D">
        <w:rPr>
          <w:b/>
          <w:i/>
          <w:noProof/>
          <w:sz w:val="24"/>
        </w:rPr>
        <w:t xml:space="preserve"> </w:t>
      </w:r>
      <w:r w:rsidRPr="00F35F4D">
        <w:rPr>
          <w:noProof/>
          <w:sz w:val="24"/>
        </w:rPr>
        <w:t xml:space="preserve">Ar šo paņēmienu šķidros kūtsmēslus ievada augsnē ar 5–8 bāru lielu spiedienu. Tā kā augsnes virskārta netiek traucēta nedz ar ecēšu tapām, nedz diskiem, paņēmienu var piemērot nogāzēm </w:t>
      </w:r>
      <w:r w:rsidRPr="00F35F4D">
        <w:rPr>
          <w:noProof/>
          <w:sz w:val="24"/>
        </w:rPr>
        <w:lastRenderedPageBreak/>
        <w:t>un akmeņainām augsnēm, kur nevar izmantot cita veida inžektorus. Lauka izmēģinājumos parasti panāk 60 procentus lielu emisijas samazinājumu, tāpat kā inžektējot šķidros kūtsmēslus vagās, tomēr šis paņēmiens vēl jāizvērtē.</w:t>
      </w:r>
    </w:p>
    <w:p w14:paraId="1B7639ED"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7243CA8E" w14:textId="5F72C98A" w:rsidR="008E3F72" w:rsidRPr="00CD1311" w:rsidRDefault="00C83171" w:rsidP="008E3F72">
      <w:pPr>
        <w:pStyle w:val="BodyText"/>
        <w:widowControl/>
        <w:numPr>
          <w:ilvl w:val="0"/>
          <w:numId w:val="11"/>
        </w:numPr>
        <w:tabs>
          <w:tab w:val="left" w:pos="861"/>
        </w:tabs>
        <w:kinsoku w:val="0"/>
        <w:overflowPunct w:val="0"/>
        <w:spacing w:before="0"/>
        <w:ind w:left="0" w:firstLine="0"/>
        <w:jc w:val="both"/>
        <w:rPr>
          <w:noProof/>
          <w:sz w:val="24"/>
          <w:szCs w:val="24"/>
        </w:rPr>
      </w:pPr>
      <w:r>
        <w:rPr>
          <w:b/>
        </w:rPr>
        <w:t>Apsaimniekošanas</w:t>
      </w:r>
      <w:r w:rsidR="008E3F72" w:rsidRPr="00F35F4D">
        <w:rPr>
          <w:b/>
        </w:rPr>
        <w:t xml:space="preserve"> sistēma mēslošanas laika izvēlei (VSMLI).</w:t>
      </w:r>
      <w:r w:rsidR="008E3F72" w:rsidRPr="00F35F4D">
        <w:rPr>
          <w:noProof/>
          <w:sz w:val="24"/>
        </w:rPr>
        <w:t xml:space="preserve"> Visvairāk amonjaka izdalās siltos, sausos, vējainos apstākļos (t. i., kad ir augsts iztvaikošanas ātrums). Emisiju var samazināt, optimizējot mēslošanas laiku, t. i., veicot mēslošanu vēsos, mitros apstākļos, vakarā, pirms neliela lietus vai lietus laikā un izvairoties no mēslojuma izkliedēšanas siltos laika apstākļos, īpaši periodos, kad saule atrodas augstu un saules radiācija ir visintensīvākā (jūnijā un jūlijā) (</w:t>
      </w:r>
      <w:r w:rsidR="008E3F72" w:rsidRPr="00F35F4D">
        <w:rPr>
          <w:i/>
          <w:noProof/>
          <w:sz w:val="24"/>
        </w:rPr>
        <w:t>Reidy, Menzi,</w:t>
      </w:r>
      <w:r w:rsidR="008E3F72" w:rsidRPr="00F35F4D">
        <w:rPr>
          <w:noProof/>
          <w:sz w:val="24"/>
        </w:rPr>
        <w:t xml:space="preserve"> 2007). Šī pieeja ir potenciāli izdevīga no izmaksu viedokļa, jo to var īstenot ar šķidro kūtsmēslu izkliedēšanai paredzēto aprīkojumu. No VSMLI var būt arī papildu ieguvumi, ja to izmanto kopā ar zema emisiju līmeņa mēslošanas metodi, piemēram, lokano šļūteni. Potenciālais emisijas samazinājums, ko var panākt ar šiem paņēmieniem, ir ļoti atkarīgs no reģionālajiem un vietējiem augsnes un klimatiskajiem apstākļiem, un tāpēc pasākumu kopums jāizvēlas atbilstīgi apstākļiem reģionā.</w:t>
      </w:r>
    </w:p>
    <w:p w14:paraId="02065D19"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2DBEAEA9" w14:textId="77777777" w:rsidR="008E3F72" w:rsidRPr="00C77CF8"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Kaut arī par guvumiem no pareizā mēslošanas laika izvēles ir zināms jau sen, ir arī šādi galvenie ierobežojumi:</w:t>
      </w:r>
    </w:p>
    <w:p w14:paraId="28B04027" w14:textId="77777777" w:rsidR="00C77CF8" w:rsidRPr="00F35F4D" w:rsidRDefault="00C77CF8" w:rsidP="00C77CF8">
      <w:pPr>
        <w:pStyle w:val="BodyText"/>
        <w:widowControl/>
        <w:tabs>
          <w:tab w:val="left" w:pos="861"/>
        </w:tabs>
        <w:kinsoku w:val="0"/>
        <w:overflowPunct w:val="0"/>
        <w:spacing w:before="0"/>
        <w:ind w:left="0"/>
        <w:jc w:val="both"/>
        <w:rPr>
          <w:noProof/>
          <w:sz w:val="24"/>
          <w:szCs w:val="24"/>
        </w:rPr>
      </w:pPr>
    </w:p>
    <w:p w14:paraId="073F53A7" w14:textId="77777777" w:rsidR="008E3F72" w:rsidRPr="00F35F4D" w:rsidRDefault="008E3F72" w:rsidP="00CD1311">
      <w:pPr>
        <w:pStyle w:val="BodyText"/>
        <w:widowControl/>
        <w:numPr>
          <w:ilvl w:val="1"/>
          <w:numId w:val="11"/>
        </w:numPr>
        <w:kinsoku w:val="0"/>
        <w:overflowPunct w:val="0"/>
        <w:spacing w:before="0"/>
        <w:ind w:left="0" w:firstLine="0"/>
        <w:jc w:val="both"/>
        <w:rPr>
          <w:noProof/>
          <w:sz w:val="24"/>
          <w:szCs w:val="24"/>
        </w:rPr>
      </w:pPr>
      <w:r w:rsidRPr="00F35F4D">
        <w:rPr>
          <w:noProof/>
          <w:sz w:val="24"/>
        </w:rPr>
        <w:t>jāspēj parādīt, ka šī pieeja praksē var nodrošināt konkrētu NH3 emisijas samazinājuma mērķvērtību;</w:t>
      </w:r>
    </w:p>
    <w:p w14:paraId="2378E15F" w14:textId="77777777" w:rsidR="008E3F72" w:rsidRPr="00F35F4D" w:rsidRDefault="008E3F72" w:rsidP="00CD1311">
      <w:pPr>
        <w:pStyle w:val="BodyText"/>
        <w:widowControl/>
        <w:numPr>
          <w:ilvl w:val="1"/>
          <w:numId w:val="11"/>
        </w:numPr>
        <w:kinsoku w:val="0"/>
        <w:overflowPunct w:val="0"/>
        <w:spacing w:before="0"/>
        <w:ind w:left="0" w:firstLine="0"/>
        <w:jc w:val="both"/>
        <w:rPr>
          <w:noProof/>
          <w:sz w:val="24"/>
          <w:szCs w:val="24"/>
        </w:rPr>
      </w:pPr>
      <w:r w:rsidRPr="00F35F4D">
        <w:rPr>
          <w:noProof/>
          <w:sz w:val="24"/>
        </w:rPr>
        <w:t>rūpīgi jādefinē, ko apzīmē ar atsauces nosacījumiem (lai nodrošinātu atbilstīgu ziņošanu par rezultātiem);</w:t>
      </w:r>
    </w:p>
    <w:p w14:paraId="6F6AB9B9" w14:textId="77777777" w:rsidR="008E3F72" w:rsidRPr="00F35F4D" w:rsidRDefault="008E3F72" w:rsidP="00CD1311">
      <w:pPr>
        <w:pStyle w:val="BodyText"/>
        <w:widowControl/>
        <w:numPr>
          <w:ilvl w:val="1"/>
          <w:numId w:val="11"/>
        </w:numPr>
        <w:kinsoku w:val="0"/>
        <w:overflowPunct w:val="0"/>
        <w:spacing w:before="0"/>
        <w:ind w:left="0" w:firstLine="0"/>
        <w:jc w:val="both"/>
        <w:rPr>
          <w:noProof/>
          <w:sz w:val="24"/>
          <w:szCs w:val="24"/>
        </w:rPr>
      </w:pPr>
      <w:r w:rsidRPr="00F35F4D">
        <w:rPr>
          <w:noProof/>
          <w:sz w:val="24"/>
        </w:rPr>
        <w:t>jāievieš sistēma tādai šīs pieejas īstenošanai, kas apstiprina tās efektivitāti un izpildi;</w:t>
      </w:r>
    </w:p>
    <w:p w14:paraId="6C63E198" w14:textId="77777777" w:rsidR="008E3F72" w:rsidRPr="00CD1311" w:rsidRDefault="008E3F72" w:rsidP="00CD1311">
      <w:pPr>
        <w:pStyle w:val="BodyText"/>
        <w:widowControl/>
        <w:numPr>
          <w:ilvl w:val="1"/>
          <w:numId w:val="11"/>
        </w:numPr>
        <w:kinsoku w:val="0"/>
        <w:overflowPunct w:val="0"/>
        <w:spacing w:before="0"/>
        <w:ind w:left="0" w:firstLine="0"/>
        <w:jc w:val="both"/>
        <w:rPr>
          <w:noProof/>
          <w:sz w:val="24"/>
          <w:szCs w:val="24"/>
        </w:rPr>
      </w:pPr>
      <w:r w:rsidRPr="00F35F4D">
        <w:rPr>
          <w:noProof/>
          <w:sz w:val="24"/>
        </w:rPr>
        <w:t>pieeja ir saistīta ar mazāku izvēles brīvību kūtsmēslu izkliedēšanas procesā, jo jāņem vērā augsnes piemērotība tehnikas kustībai, darbaspēka un aprīkojuma pieejamība un citu noteikumu ievērošana.</w:t>
      </w:r>
    </w:p>
    <w:p w14:paraId="0BAA45E8" w14:textId="77777777" w:rsidR="00CD1311" w:rsidRPr="00F35F4D" w:rsidRDefault="00CD1311" w:rsidP="00CD1311">
      <w:pPr>
        <w:pStyle w:val="BodyText"/>
        <w:widowControl/>
        <w:kinsoku w:val="0"/>
        <w:overflowPunct w:val="0"/>
        <w:spacing w:before="0"/>
        <w:ind w:left="0"/>
        <w:jc w:val="both"/>
        <w:rPr>
          <w:noProof/>
          <w:sz w:val="24"/>
          <w:szCs w:val="24"/>
        </w:rPr>
      </w:pPr>
    </w:p>
    <w:p w14:paraId="4ED279EE"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Šī pieeja diezgan ievērojami atšķiras no 1. kategorijā iekļautajiem tehniskajiem paņēmieniem, piemēram, izkliedēšanas joslās un kūtsmēslu iestrādāšanas, kur efektivitāte, kas norādīta 12. un 13. tabulā, pamatojas uz daudzu pētījumu vidējiem rādītājiem. VSMLI gadījumā izvērtējumos izmanto to, kā modeļi reāli darbojas (pamatojoties uz daudziem pētījumiem un ņemot vērā meteoroloģiskos apstākļus) atkarībā no pārvaldības attiecībā uz laika izvēli.</w:t>
      </w:r>
    </w:p>
    <w:p w14:paraId="1E4885D6"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7B9C8715" w14:textId="1243755D"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 xml:space="preserve">Lai guvumi no mēslošanas laika izvēles ļautu attiecīgos pasākumus uzskatīt par emisiju samazinošiem pasākumiem, iepriekš noteiktie ierobežojumi ir jārisina. To var panākt, ieviešot VSMLI, ko šajā gadījumā definē kā </w:t>
      </w:r>
      <w:r w:rsidR="00C83171">
        <w:rPr>
          <w:i/>
          <w:noProof/>
          <w:sz w:val="24"/>
        </w:rPr>
        <w:t>verificējamu apsaimniekošanas</w:t>
      </w:r>
      <w:r w:rsidRPr="00F35F4D">
        <w:rPr>
          <w:i/>
          <w:noProof/>
          <w:sz w:val="24"/>
        </w:rPr>
        <w:t xml:space="preserve"> sistēmu norādījumiem par cieto un šķidro kūtsmēslu izmantošanu mēslošanai dažādos laikos un šīs izmantošanas uzskaitei, kuras pieņemšanas rezultātā ir pierādīta NH3 emisijas kvantitatīva samazināšana saimniecības līmenī. </w:t>
      </w:r>
      <w:r w:rsidRPr="00F35F4D">
        <w:rPr>
          <w:noProof/>
          <w:sz w:val="24"/>
        </w:rPr>
        <w:t>Lai attiecīgo guvumu varētu uzskatīt par daļu no starptautiski piemērojamas emisijas kontroles stratēģijas, izmantojot jebkura veida VSMLI, jāpierāda, ka sasniegts konkrēts NH3 emisijas samazināšanas mērķlīmenis, salīdzinot ar atsauci.</w:t>
      </w:r>
    </w:p>
    <w:p w14:paraId="5F433131"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3EF738D9"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VSMLI var būt veidota tā, lai tajā tiktu izmantoti vairāki principi, kuri nosaka izmaiņas NH3 emisijā un kuru radītie guvumi ir atkarīgi no vietējā klimata, tāpēc VSMLI piemērošanā ir reģionālas atšķirības. VSMLI var izmantot turpmāk minētos principus.</w:t>
      </w:r>
    </w:p>
    <w:p w14:paraId="00577465" w14:textId="77777777" w:rsidR="00CD1311" w:rsidRDefault="00CD1311" w:rsidP="00CD1311">
      <w:pPr>
        <w:pStyle w:val="ListParagraph"/>
        <w:rPr>
          <w:noProof/>
        </w:rPr>
      </w:pPr>
    </w:p>
    <w:p w14:paraId="3BB3EB52"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2D4CBF5D" w14:textId="77777777" w:rsidR="008E3F72" w:rsidRPr="00F35F4D" w:rsidRDefault="008E3F72" w:rsidP="008E3F72">
      <w:pPr>
        <w:pStyle w:val="BodyText"/>
        <w:widowControl/>
        <w:numPr>
          <w:ilvl w:val="0"/>
          <w:numId w:val="10"/>
        </w:numPr>
        <w:tabs>
          <w:tab w:val="left" w:pos="861"/>
        </w:tabs>
        <w:kinsoku w:val="0"/>
        <w:overflowPunct w:val="0"/>
        <w:spacing w:before="0"/>
        <w:ind w:left="0" w:firstLine="0"/>
        <w:jc w:val="both"/>
        <w:rPr>
          <w:noProof/>
          <w:sz w:val="24"/>
          <w:szCs w:val="24"/>
        </w:rPr>
      </w:pPr>
      <w:r w:rsidRPr="00F35F4D">
        <w:rPr>
          <w:b/>
          <w:noProof/>
          <w:sz w:val="24"/>
        </w:rPr>
        <w:t xml:space="preserve">Laika apstākļu nosacītas svārstības NH3 emisijā. </w:t>
      </w:r>
      <w:r w:rsidRPr="00F35F4D">
        <w:rPr>
          <w:noProof/>
          <w:sz w:val="24"/>
        </w:rPr>
        <w:t>Amonjaka emisija mēdz būt mazāka vēsos un mitros apstākļos un pēc neliela lietus (kaut arī ar ūdeni piesūkusies augsne var radīt nelabvēlīgus apstākļus kūtsmēslu izkliedēšanai). Tāpēc amonjaka emisiju var prognozēt, saistot NH3 emisijas modeļus ar laika prognozi, kā tas vairākās valstīs jau tiek darīts, zemes mēslošanai izvēloties tikai tos laikus, kad tiek prognozēta zema NH3 emisija.</w:t>
      </w:r>
    </w:p>
    <w:p w14:paraId="74562727" w14:textId="77777777" w:rsidR="008E3F72" w:rsidRPr="00F35F4D" w:rsidRDefault="008E3F72" w:rsidP="008E3F72">
      <w:pPr>
        <w:pStyle w:val="BodyText"/>
        <w:widowControl/>
        <w:numPr>
          <w:ilvl w:val="0"/>
          <w:numId w:val="10"/>
        </w:numPr>
        <w:tabs>
          <w:tab w:val="left" w:pos="861"/>
        </w:tabs>
        <w:kinsoku w:val="0"/>
        <w:overflowPunct w:val="0"/>
        <w:spacing w:before="0"/>
        <w:ind w:left="0" w:firstLine="0"/>
        <w:jc w:val="both"/>
        <w:rPr>
          <w:noProof/>
          <w:sz w:val="24"/>
          <w:szCs w:val="24"/>
        </w:rPr>
      </w:pPr>
      <w:r w:rsidRPr="00F35F4D">
        <w:rPr>
          <w:b/>
          <w:noProof/>
          <w:sz w:val="24"/>
        </w:rPr>
        <w:t xml:space="preserve">Sezonālas svārstības NH3 emisijā. </w:t>
      </w:r>
      <w:r w:rsidRPr="00F35F4D">
        <w:rPr>
          <w:noProof/>
          <w:sz w:val="24"/>
        </w:rPr>
        <w:t>Amonjaka emisiju var aplēst noteiktam gadalaikam, vispārinot laika apstākļus pa konkrētam sezonām. Piemēram, sezonālās atšķirības nosaka, ka NH3 emisija ir visaugstākā</w:t>
      </w:r>
    </w:p>
    <w:p w14:paraId="2828F13D" w14:textId="4438FB48"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 xml:space="preserve"> siltos vasaras apstākļos un mazāka – vēsos, mitros ziemas apstākļos. Ja ņem vērā citus ierobežojumus, piemēram, veikt mēslošanu tad, kad mēslojums ir vajadzīgs augiem, un izvairīties no ūdeņu piesārņošanas, cieto un šķidro kūtsmēslu izmantošanas mēr</w:t>
      </w:r>
      <w:r w:rsidR="00C83171">
        <w:rPr>
          <w:noProof/>
          <w:sz w:val="24"/>
        </w:rPr>
        <w:t>ķtiecīga sezonāla apsaimniekošana</w:t>
      </w:r>
      <w:r w:rsidRPr="00F35F4D">
        <w:rPr>
          <w:noProof/>
          <w:sz w:val="24"/>
        </w:rPr>
        <w:t xml:space="preserve"> var potenciāli samazināt kopējo NH3 emisiju gadā.</w:t>
      </w:r>
    </w:p>
    <w:p w14:paraId="45BB848E" w14:textId="77777777" w:rsidR="008E3F72" w:rsidRPr="00F35F4D" w:rsidRDefault="008E3F72" w:rsidP="008E3F72">
      <w:pPr>
        <w:pStyle w:val="BodyText"/>
        <w:widowControl/>
        <w:numPr>
          <w:ilvl w:val="0"/>
          <w:numId w:val="10"/>
        </w:numPr>
        <w:tabs>
          <w:tab w:val="left" w:pos="861"/>
        </w:tabs>
        <w:kinsoku w:val="0"/>
        <w:overflowPunct w:val="0"/>
        <w:spacing w:before="0"/>
        <w:ind w:left="0" w:firstLine="0"/>
        <w:jc w:val="both"/>
        <w:rPr>
          <w:noProof/>
          <w:sz w:val="24"/>
          <w:szCs w:val="24"/>
        </w:rPr>
      </w:pPr>
      <w:r w:rsidRPr="00F35F4D">
        <w:rPr>
          <w:b/>
          <w:noProof/>
          <w:sz w:val="24"/>
        </w:rPr>
        <w:t xml:space="preserve">Diennakts svārstības NH3 emisijā. </w:t>
      </w:r>
      <w:r w:rsidRPr="00F35F4D">
        <w:rPr>
          <w:noProof/>
          <w:sz w:val="24"/>
        </w:rPr>
        <w:t>Amonjaka emisija mēdz būt mazāka naktīs mazāka vēja ātruma, vēsākas temperatūras un augstāka mitruma dēļ.</w:t>
      </w:r>
    </w:p>
    <w:p w14:paraId="45D91BCB" w14:textId="1DDB2287" w:rsidR="008E3F72" w:rsidRPr="00CD1311" w:rsidRDefault="008E3F72" w:rsidP="008E3F72">
      <w:pPr>
        <w:pStyle w:val="BodyText"/>
        <w:widowControl/>
        <w:numPr>
          <w:ilvl w:val="0"/>
          <w:numId w:val="10"/>
        </w:numPr>
        <w:tabs>
          <w:tab w:val="left" w:pos="861"/>
        </w:tabs>
        <w:kinsoku w:val="0"/>
        <w:overflowPunct w:val="0"/>
        <w:spacing w:before="0"/>
        <w:ind w:left="0" w:firstLine="0"/>
        <w:jc w:val="both"/>
        <w:rPr>
          <w:noProof/>
          <w:sz w:val="24"/>
          <w:szCs w:val="24"/>
        </w:rPr>
      </w:pPr>
      <w:r w:rsidRPr="00F35F4D">
        <w:rPr>
          <w:b/>
          <w:noProof/>
          <w:sz w:val="24"/>
        </w:rPr>
        <w:t xml:space="preserve">Ietekme, ko uz NH3 emisiju rada dzīvnieku pavadītais laiks novietnēs un ganībās. </w:t>
      </w:r>
      <w:r w:rsidRPr="00F35F4D">
        <w:rPr>
          <w:noProof/>
          <w:sz w:val="24"/>
        </w:rPr>
        <w:t>Amonjaka emisija, ko rada dzīvnieki, kam ļauts atrasties ārpus novietnēm, viet</w:t>
      </w:r>
      <w:r w:rsidR="00C83171">
        <w:rPr>
          <w:noProof/>
          <w:sz w:val="24"/>
        </w:rPr>
        <w:t>ās ar pietiekami lielu ēdināšanas</w:t>
      </w:r>
      <w:r w:rsidRPr="00F35F4D">
        <w:rPr>
          <w:noProof/>
          <w:sz w:val="24"/>
        </w:rPr>
        <w:t xml:space="preserve"> laukumu (piemēram, liellopi ganībās), mēdz būt daudz mazāka nekā emisija no novietnēm, kūtsm</w:t>
      </w:r>
      <w:r w:rsidR="0022094F">
        <w:rPr>
          <w:noProof/>
          <w:sz w:val="24"/>
        </w:rPr>
        <w:t>ēslu krātuvēm un šķidro un</w:t>
      </w:r>
      <w:r w:rsidR="00C83171">
        <w:rPr>
          <w:noProof/>
          <w:sz w:val="24"/>
        </w:rPr>
        <w:t xml:space="preserve"> pakaišu</w:t>
      </w:r>
      <w:r w:rsidRPr="00F35F4D">
        <w:rPr>
          <w:noProof/>
          <w:sz w:val="24"/>
        </w:rPr>
        <w:t xml:space="preserve"> kūtsmēslu izkliedēšanas. Tāpēc, ņemot vērā citus ierobežojumus, piemēram, ūdens un augsnes kvalitātes problēmas, ko rada ganīšana ziemas apstākļos, NH3 emisiju var samazināt, palielinot laiku, ko dzīvnieki pavada laukā (īpaši, ja tas ir 24 stundas dienā). Izmaiņas ganīšanas laikā var iekļaut VSMLI, jo tās ietekmē kopējo kūtsmēslu daudzumu, kas jāizkliedē.</w:t>
      </w:r>
    </w:p>
    <w:p w14:paraId="67B53F7B"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350C1D47"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 xml:space="preserve">VSMLI verifikācijas procedūras. </w:t>
      </w:r>
      <w:r w:rsidRPr="00F35F4D">
        <w:rPr>
          <w:noProof/>
          <w:sz w:val="24"/>
        </w:rPr>
        <w:t>Viena no galvenajām problēmām jebkuras VSMLI gadījumā ir parādīt, ka pieeju var atbilstīgi verificēt, jo īpaši ņemot vērā prasību pierādīt konkrēta emisijas samazinājuma panākšanu. Uzskata, ka VSMLI vislabāk īstenot saimniecības mērogā, jo tā izriet no dažādu darbību veikšanai atvēlētā laika kopumā. Emisijas samazinājuma mērķvērtība jānosaka katram nākamajam gadam, jo šīs metodes emisijas samazinājuma potenciāls ir atkarīgs no laika.</w:t>
      </w:r>
    </w:p>
    <w:p w14:paraId="2F5133B1"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2CCC012A"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VSMLI verifikācijai jāievēro katrs no turpmāk minētajiem soļiem.</w:t>
      </w:r>
    </w:p>
    <w:p w14:paraId="5938D741"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29556FF7" w14:textId="77777777" w:rsidR="008E3F72" w:rsidRPr="00F35F4D" w:rsidRDefault="008E3F72" w:rsidP="008E3F72">
      <w:pPr>
        <w:pStyle w:val="BodyText"/>
        <w:widowControl/>
        <w:numPr>
          <w:ilvl w:val="0"/>
          <w:numId w:val="9"/>
        </w:numPr>
        <w:tabs>
          <w:tab w:val="left" w:pos="861"/>
        </w:tabs>
        <w:kinsoku w:val="0"/>
        <w:overflowPunct w:val="0"/>
        <w:spacing w:before="0"/>
        <w:ind w:left="0" w:firstLine="0"/>
        <w:jc w:val="both"/>
        <w:rPr>
          <w:noProof/>
          <w:sz w:val="24"/>
          <w:szCs w:val="24"/>
        </w:rPr>
      </w:pPr>
      <w:r w:rsidRPr="00F35F4D">
        <w:rPr>
          <w:b/>
        </w:rPr>
        <w:t>Biofiziskās modelēšanas pamatinstrumenta verificēšana.</w:t>
      </w:r>
      <w:r w:rsidRPr="00F35F4D">
        <w:rPr>
          <w:i/>
          <w:noProof/>
          <w:sz w:val="24"/>
        </w:rPr>
        <w:t xml:space="preserve"> </w:t>
      </w:r>
      <w:r w:rsidRPr="00F35F4D">
        <w:rPr>
          <w:noProof/>
          <w:sz w:val="24"/>
        </w:rPr>
        <w:t>Jānodrošina pārredzams skaitliskā modeļa apraksts, ko pamato atbilstīga neatkarīga verifikācija, kas veikta, izdarot mērījumus uz lauka.</w:t>
      </w:r>
    </w:p>
    <w:p w14:paraId="4DB52A0D" w14:textId="77777777" w:rsidR="008E3F72" w:rsidRPr="00F35F4D" w:rsidRDefault="008E3F72" w:rsidP="008E3F72">
      <w:pPr>
        <w:pStyle w:val="BodyText"/>
        <w:widowControl/>
        <w:numPr>
          <w:ilvl w:val="0"/>
          <w:numId w:val="9"/>
        </w:numPr>
        <w:tabs>
          <w:tab w:val="left" w:pos="861"/>
        </w:tabs>
        <w:kinsoku w:val="0"/>
        <w:overflowPunct w:val="0"/>
        <w:spacing w:before="0"/>
        <w:ind w:left="0" w:firstLine="0"/>
        <w:jc w:val="both"/>
        <w:rPr>
          <w:noProof/>
          <w:sz w:val="24"/>
          <w:szCs w:val="24"/>
        </w:rPr>
      </w:pPr>
      <w:r w:rsidRPr="00F35F4D">
        <w:rPr>
          <w:b/>
          <w:noProof/>
          <w:sz w:val="24"/>
        </w:rPr>
        <w:t xml:space="preserve">Verifikācija par konkrētā mēslošanas laika izvēles ietekmi uz NH3 emisiju. </w:t>
      </w:r>
      <w:r w:rsidRPr="00F35F4D">
        <w:rPr>
          <w:noProof/>
          <w:sz w:val="24"/>
        </w:rPr>
        <w:t>Visās VSMLI, ko izmanto, jāpierāda, cik lielā mērā mēslošanas laika izvēle ietekmē prasīto emisijas mērķsamazinājumu salīdzinājumā ar atsauces apstākļiem konkrētajā reģionā.</w:t>
      </w:r>
    </w:p>
    <w:p w14:paraId="3A1B0DF7" w14:textId="77777777" w:rsidR="008E3F72" w:rsidRPr="00C77CF8" w:rsidRDefault="008E3F72" w:rsidP="008E3F72">
      <w:pPr>
        <w:pStyle w:val="BodyText"/>
        <w:widowControl/>
        <w:numPr>
          <w:ilvl w:val="0"/>
          <w:numId w:val="9"/>
        </w:numPr>
        <w:tabs>
          <w:tab w:val="left" w:pos="861"/>
        </w:tabs>
        <w:kinsoku w:val="0"/>
        <w:overflowPunct w:val="0"/>
        <w:spacing w:before="0"/>
        <w:ind w:left="0" w:firstLine="0"/>
        <w:jc w:val="both"/>
        <w:rPr>
          <w:noProof/>
          <w:sz w:val="24"/>
          <w:szCs w:val="24"/>
        </w:rPr>
      </w:pPr>
      <w:r w:rsidRPr="00F35F4D">
        <w:rPr>
          <w:b/>
          <w:noProof/>
          <w:sz w:val="24"/>
        </w:rPr>
        <w:t xml:space="preserve">Verifikācija par faktiskās prakses atbilstību ziņojumos norādītajai praksei. </w:t>
      </w:r>
      <w:r w:rsidRPr="00F35F4D">
        <w:rPr>
          <w:noProof/>
          <w:sz w:val="24"/>
        </w:rPr>
        <w:t>Jebkura VSMLI jāīsteno, ievērojot atbilstīgu uzskaites sistēmu, lai nodrošinātu un pierādītu to, ka VSMLI fiksētā mēslošanas laika izvēle tiek pilnībā īstenota.</w:t>
      </w:r>
    </w:p>
    <w:p w14:paraId="0861BD85" w14:textId="77777777" w:rsidR="00C77CF8" w:rsidRPr="00F35F4D" w:rsidRDefault="00C77CF8" w:rsidP="00C77CF8">
      <w:pPr>
        <w:pStyle w:val="BodyText"/>
        <w:widowControl/>
        <w:tabs>
          <w:tab w:val="left" w:pos="861"/>
        </w:tabs>
        <w:kinsoku w:val="0"/>
        <w:overflowPunct w:val="0"/>
        <w:spacing w:before="0"/>
        <w:ind w:left="0"/>
        <w:jc w:val="both"/>
        <w:rPr>
          <w:noProof/>
          <w:sz w:val="24"/>
          <w:szCs w:val="24"/>
        </w:rPr>
      </w:pPr>
    </w:p>
    <w:p w14:paraId="3AF37D05" w14:textId="7583AF15"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 xml:space="preserve">Atsauces nosacījumu definēšana VSMLI vajadzībām. </w:t>
      </w:r>
      <w:r w:rsidRPr="00F35F4D">
        <w:rPr>
          <w:noProof/>
          <w:sz w:val="24"/>
        </w:rPr>
        <w:t xml:space="preserve">Zema emisiju līmeņa mēslošanas metožu gadījumā panākto samazinājumu var lielākoties vispārināti </w:t>
      </w:r>
      <w:r w:rsidRPr="00F35F4D">
        <w:rPr>
          <w:noProof/>
          <w:sz w:val="24"/>
        </w:rPr>
        <w:lastRenderedPageBreak/>
        <w:t>attiecināt uz plašu klimatisko zonu. Pretēji tam, ja izmanto VSMLI, atsauces nosacījumi ir jānosaka sīkāk. Kopumā piemēro to pašu ats</w:t>
      </w:r>
      <w:r w:rsidR="0022094F">
        <w:rPr>
          <w:noProof/>
          <w:sz w:val="24"/>
        </w:rPr>
        <w:t>auces paņēmienu (šķidro un</w:t>
      </w:r>
      <w:r w:rsidR="00C83171">
        <w:rPr>
          <w:noProof/>
          <w:sz w:val="24"/>
        </w:rPr>
        <w:t xml:space="preserve"> pakaišu</w:t>
      </w:r>
      <w:r w:rsidRPr="00F35F4D">
        <w:rPr>
          <w:noProof/>
          <w:sz w:val="24"/>
        </w:rPr>
        <w:t xml:space="preserve"> kūtsmēslu brīvu izkliedēšanu laukā), bet, izmantojot VSMLI, atsauce definējama arī saimniecības līmenī saskaņā ar esošo praksi. Lai ņemtu vērā reģionālās atšķirības klimatā un meteoroloģisko apstākļu atšķirības dažādos gados, atsauces nosacījumu VSMLI vajadzībām paplašina, iekļaujot t</w:t>
      </w:r>
      <w:r w:rsidR="00C83171">
        <w:rPr>
          <w:noProof/>
          <w:sz w:val="24"/>
        </w:rPr>
        <w:t>ajā mēslošanas procesa apsaimniekošanas</w:t>
      </w:r>
      <w:r w:rsidRPr="00F35F4D">
        <w:rPr>
          <w:noProof/>
          <w:sz w:val="24"/>
        </w:rPr>
        <w:t xml:space="preserve"> un laika izvēles kombināciju saimniecības mērogā konkrētā atsauces posmā, izmantojot atsauces mēslošanas paņēmienu (izkliedēšanu uz lauka), un ņem vērā meteoroloģisko apstākļu svārstības triju gadu laikā.</w:t>
      </w:r>
    </w:p>
    <w:p w14:paraId="361904BC"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2A0FFCD0" w14:textId="5A350022"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VSMLI potenciāls emisijas samazināšanā jāverificē at</w:t>
      </w:r>
      <w:r w:rsidR="00C83171">
        <w:rPr>
          <w:noProof/>
          <w:sz w:val="24"/>
        </w:rPr>
        <w:t>tiecībā uz reģionu, kurā apsaimniekošanas</w:t>
      </w:r>
      <w:r w:rsidRPr="00F35F4D">
        <w:rPr>
          <w:noProof/>
          <w:sz w:val="24"/>
        </w:rPr>
        <w:t xml:space="preserve"> sistēma ir pieņemta lietošanai. Kopumā skaitliskie modeļi, kas imitē NH3 emisiju, jāizmanto kā VSMLI verifikācijas daļa.</w:t>
      </w:r>
    </w:p>
    <w:p w14:paraId="78D7630E"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426282CA"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VSMLI var izmantot kombinācijā ar citiem pasākumiem NH3 emisijas samazināšanai pēc zemes mēslošanas ar kūtsmēsliem, piemēram, šķidro kūtsmēslu mēslošanas tehnoloģijām vai kūtsmēslu iestrādes augsnē. Tomēr absolūtās NH3 emisijas papildu samazinājums, kas izriet no VSMLI, būs atšķirīgs atkarībā no papildus izmantotās mēslošanas metodes potenciāla emisijas samazināšanai. Lai garantētu NH3 mērķsamazinājuma sasniegšanu saimniecībā, jāizvērtē kopējais ieguldījums, ko dod zema emisiju līmeņa mēslošanas metodes un VSMLI.</w:t>
      </w:r>
    </w:p>
    <w:p w14:paraId="70BCCA59"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5840674F"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Atkarībā no īstenotā VSMLI veida galvenās papildu izmaksas ir saistītas ar mazāku rīcības brīvību mēslošanas laika izvēlē un attiecīgām administratīvajām izmaksām par verifikāciju. Izmaksas var potenciāli samazināt, apvienojot VSMLI ar ieteikumiem par to, kā efektīvāk apsaimniekot N krājumus saimniecībās, piemēram, ar atzītas ekspertu sistēmas starpniecību.</w:t>
      </w:r>
    </w:p>
    <w:p w14:paraId="748BD747"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39C81911" w14:textId="217817E1"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Būtu jāizvairās no mēslošanas pirms laika apstākļiem, kas paliel</w:t>
      </w:r>
      <w:r w:rsidR="00C83171">
        <w:rPr>
          <w:noProof/>
          <w:sz w:val="24"/>
        </w:rPr>
        <w:t>ina barības elementu</w:t>
      </w:r>
      <w:r w:rsidRPr="00F35F4D">
        <w:rPr>
          <w:noProof/>
          <w:sz w:val="24"/>
        </w:rPr>
        <w:t xml:space="preserve"> zuduma risku, tām ieplūstot ūdeņos. Projektējot VSMLI, būtu jāņem vērā arī drošības apsvērumi, kas saistīti ar mehānismu darbību noteiktos diennakts laikos, jo īpaši pēc tumsas iestāšanās. Apstākļi, kas ir labvēlīgi mazākai NH3 emisijai (piemēram, mitrums un bezvējš), var veicināt nepatīkamu smaku izplatīšanos, neļaujot tām ātri zust.</w:t>
      </w:r>
    </w:p>
    <w:p w14:paraId="1AD8CD1C"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4C767312" w14:textId="1738DBB9"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 xml:space="preserve">Paskābināti šķidrie kūtsmēsli. </w:t>
      </w:r>
      <w:r w:rsidRPr="00F35F4D">
        <w:rPr>
          <w:noProof/>
          <w:sz w:val="24"/>
        </w:rPr>
        <w:t xml:space="preserve">Līdzsvars starp amonija slāpekli un NH3 šķīdumos ir atkarīgs no pH (skābuma). Ja pH līmenis ir augsts, NH3 zūd vairāk; ja pH līmenis ir zems, amonija slāpeklis tiek vairāk saglabāts. Šķidrajos kūtsmēslos esošā pH līmeņa pazemināšana līdz stabilam līmenim, kas vienāds vai mazāks par 6, parasti ir pietiekama NH3 emisijas samazinājumam par 50 vai vairāk procentiem. Šo paņēmienu, kas paredz sērskābes pievienošanu šķidrajiem kūtsmēsliem, pašlaik ar ievērojamiem panākumiem īsteno Dānijā. Pievienojot šķidrajiem kūtsmēsliem skābi, jāņem vērā buferspēja, un šim nolūkam parasti jāveic regulārs pH līmeņa monitorings un jāpapildina skābes daudzums, lai kompensētu oglekļa dioksīdu (CO2), kas tiek saražots un emitēts paskābināto šķidro kūtsmēslu sagatavošanas laikā. Paskābināšanu vislabāk veikt šķidro kūtsmēslu </w:t>
      </w:r>
      <w:r w:rsidR="00C83171">
        <w:rPr>
          <w:noProof/>
          <w:sz w:val="24"/>
        </w:rPr>
        <w:t>uz</w:t>
      </w:r>
      <w:r w:rsidRPr="00F35F4D">
        <w:rPr>
          <w:noProof/>
          <w:sz w:val="24"/>
        </w:rPr>
        <w:t>glabāšanas laikā, kā arī tad, kad to izkliedē no īpaši konstruētām cisternām. Kaut arī paņēmiens ir efektīvs, tam piemīt ievērojams trūkums, ko rada augsta bīstamība, rīkojoties saimniecībā ar stiprām skābēm.</w:t>
      </w:r>
    </w:p>
    <w:p w14:paraId="0D81C24F"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772967D5" w14:textId="57D645D9"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 xml:space="preserve">Šķidro kūtsmēslu paskābināšanu var veikt, pievienojot tiem organisku skābi (piemēram, pienskābi) vai neorganisku skābi (piemēram, slāpekļskābi, sērskābi, </w:t>
      </w:r>
      <w:r w:rsidRPr="00F35F4D">
        <w:rPr>
          <w:noProof/>
          <w:sz w:val="24"/>
        </w:rPr>
        <w:lastRenderedPageBreak/>
        <w:t>fosforskābi) vai arī pārveidojot vai papildinot dzīvnieku barību (piemēram, ar benzoskābi) (skatīt IV sadaļu) vai arī tās sastāvdaļu, kas veicina pH samazināšanos, (piemēram, pienskābi veidojošo baktēriju) šķidros mēslus. Organiskajām skābēm piemīt trūkums, ka tās ātri noārdās (veidojot un atbrīvojot CO2); turklāt vēlamā pH līmeņa sasniegšanai tās ir vajadzīgas lielos daudzumos, jo parasti tās ir vājas skābes. Slāpekļskābes priekšrocība ir tā, ka palielinās N daudzums šķidrajos kūtsmēslos, radot līdzsvarotāku slāpekļa – fosfora – kālija (NPK) mēslojumu, bet tai piemīt arī potenciāli ievērojams trūkums, kas izpaužas kā N2O rašanās nitrifikācijas un denitrifikācijas rezultātā un ar to saistītā pH līmeņa paaugstināšanās. Lietojot slāpekļskābi, pH līmenim ir jābūt aptuveni 4, lai izvairītos no nitrifikācijas un denitrifikācijas, kas rada lielus nitrātu (NO3) zudumus un nepieļaujami lielu N2O daudzumu. Ar sērskābi un fosforskābi šķidraj</w:t>
      </w:r>
      <w:r w:rsidR="00C83171">
        <w:rPr>
          <w:noProof/>
          <w:sz w:val="24"/>
        </w:rPr>
        <w:t>iem kūtsmēsliem tiek pievienoti barības elementi</w:t>
      </w:r>
      <w:r w:rsidRPr="00F35F4D">
        <w:rPr>
          <w:noProof/>
          <w:sz w:val="24"/>
        </w:rPr>
        <w:t>, kas var izraisīt pārmēslošanu ar sēru (S) un fosforu (P). Turklāt pārmērīga pievienotās skābes daudzuma rezultātā var veidoties sērūdeņradis, pasliktinot nepatīkamo smaku un veselības un drošības problēmas. Šķidro kūtsmēslu paskābināšanu NH3 emisijas samazināšanai pašlaik praksē izmanto 125 saimniecībās Dānijā, kur šādu kūtsmēslu pH līmenis tiek pazemināts no aptuveni 7,5 līdz 6,5. Šo metodi izmanto gan kūtīs (kas saskaņā ar aplēsēm samazina emisiju par 70 %), gan uz lauka (kas saskaņā ar aplēsēm samazina emisiju par 60 %). Tuvu pie dabas liegumiem kūtsmēslu inžekcijai jābūt seklai. Tomēr jauns likums Dānijā nosaka, ka prasībām atbilst arī šķidro kūtsmē</w:t>
      </w:r>
      <w:r w:rsidR="00C83171">
        <w:rPr>
          <w:noProof/>
          <w:sz w:val="24"/>
        </w:rPr>
        <w:t>slu sadalīšanas šļūtenes/virsaugsnes lemeša</w:t>
      </w:r>
      <w:r w:rsidRPr="00F35F4D">
        <w:rPr>
          <w:noProof/>
          <w:sz w:val="24"/>
        </w:rPr>
        <w:t xml:space="preserve"> izmantošana kopā ar šķidro kūtsmēslu paskābināšanu.</w:t>
      </w:r>
    </w:p>
    <w:p w14:paraId="3EEDC8FE" w14:textId="77777777" w:rsidR="00CD1311" w:rsidRPr="00F35F4D" w:rsidRDefault="00CD1311" w:rsidP="00C77CF8">
      <w:pPr>
        <w:pStyle w:val="BodyText"/>
        <w:widowControl/>
        <w:tabs>
          <w:tab w:val="left" w:pos="861"/>
        </w:tabs>
        <w:kinsoku w:val="0"/>
        <w:overflowPunct w:val="0"/>
        <w:spacing w:before="0"/>
        <w:ind w:left="0"/>
        <w:jc w:val="both"/>
        <w:rPr>
          <w:noProof/>
          <w:sz w:val="24"/>
          <w:szCs w:val="24"/>
        </w:rPr>
      </w:pPr>
    </w:p>
    <w:p w14:paraId="0A813E9C" w14:textId="459B6952"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 xml:space="preserve">Superfosfāta un fosforģipša pievienošana. </w:t>
      </w:r>
      <w:r w:rsidRPr="00F35F4D">
        <w:rPr>
          <w:noProof/>
          <w:sz w:val="24"/>
        </w:rPr>
        <w:t>Saskaņā ar daudzu gadu praksi Krievijas Federācijā efektīvs veids, kā panākt NH3 zudumu ievērojamu samazinājumu no šķidro kūtsmēslu un mājputnu mēslu krātuvēm un to izkliedēšanas, ir pievienot tiem superfosfātu un fosforģipsi. Kūtsmēslus un fosforģipsi izmanto attiecībā 20 pret 1 atkarībā no glabāšanas laika, šādi samazinot NH3 emisiju par 60 %. Fosforģipsis kompostos, kam pamatā ir kūtsmēsli un putnu mēsli, var uz pusi palielināt to iedarbīgumu, jo īpaši tad, ja to izmanto krustziežu dzimtas augiem (</w:t>
      </w:r>
      <w:r w:rsidRPr="00F35F4D">
        <w:rPr>
          <w:i/>
          <w:noProof/>
          <w:sz w:val="24"/>
        </w:rPr>
        <w:t>Novikov et al.</w:t>
      </w:r>
      <w:r w:rsidRPr="00F35F4D">
        <w:rPr>
          <w:noProof/>
          <w:sz w:val="24"/>
        </w:rPr>
        <w:t xml:space="preserve">, 1989; </w:t>
      </w:r>
      <w:r w:rsidRPr="00F35F4D">
        <w:rPr>
          <w:i/>
          <w:noProof/>
          <w:sz w:val="24"/>
        </w:rPr>
        <w:t>Eskov et al.</w:t>
      </w:r>
      <w:r w:rsidRPr="00F35F4D">
        <w:rPr>
          <w:noProof/>
          <w:sz w:val="24"/>
        </w:rPr>
        <w:t>, 2001). Galvenais faktors, kas reglamentē fosforģipsi saturoša komposta intensīvu izmantošanu, ir fluorīda un stroncija piesārņotāju akumulēšanās augsnē bīstamā daudzumā. Krievijas Federācijā šīs prakses pamatā ir sērskābes ražošanas rūpniecisko fosforģipša atlikumu utilizācija lauksai</w:t>
      </w:r>
      <w:r w:rsidR="00C83171">
        <w:rPr>
          <w:noProof/>
          <w:sz w:val="24"/>
        </w:rPr>
        <w:t>mniecībā. Plānojot barības elementu apsaimniekošanu</w:t>
      </w:r>
      <w:r w:rsidRPr="00F35F4D">
        <w:rPr>
          <w:noProof/>
          <w:sz w:val="24"/>
        </w:rPr>
        <w:t>, lai nodrošinātu atbilstību ieteikumiem par N un P, jāizvairās no pārmēslošanas ar P.</w:t>
      </w:r>
    </w:p>
    <w:p w14:paraId="1B4B8D43" w14:textId="77777777" w:rsidR="008E3F72" w:rsidRPr="00F35F4D" w:rsidRDefault="008E3F72" w:rsidP="008E3F72">
      <w:pPr>
        <w:pStyle w:val="BodyText"/>
        <w:widowControl/>
        <w:kinsoku w:val="0"/>
        <w:overflowPunct w:val="0"/>
        <w:spacing w:before="0"/>
        <w:ind w:left="0"/>
        <w:jc w:val="both"/>
        <w:rPr>
          <w:noProof/>
          <w:sz w:val="24"/>
          <w:szCs w:val="24"/>
        </w:rPr>
      </w:pPr>
    </w:p>
    <w:p w14:paraId="3C770BB9" w14:textId="77777777" w:rsidR="008E3F72" w:rsidRPr="00F35F4D" w:rsidRDefault="008E3F72" w:rsidP="008E3F72">
      <w:pPr>
        <w:pStyle w:val="Heading5"/>
        <w:widowControl/>
        <w:kinsoku w:val="0"/>
        <w:overflowPunct w:val="0"/>
        <w:ind w:left="0"/>
        <w:jc w:val="both"/>
        <w:rPr>
          <w:rFonts w:ascii="Times New Roman" w:hAnsi="Times New Roman" w:cs="Times New Roman"/>
          <w:noProof/>
          <w:color w:val="0D0D0D"/>
          <w:sz w:val="24"/>
          <w:szCs w:val="24"/>
        </w:rPr>
      </w:pPr>
      <w:r w:rsidRPr="00F35F4D">
        <w:rPr>
          <w:rFonts w:ascii="Times New Roman" w:hAnsi="Times New Roman" w:cs="Times New Roman"/>
          <w:noProof/>
          <w:color w:val="0D0D0D"/>
          <w:sz w:val="24"/>
        </w:rPr>
        <w:t>3. kategorijas paņēmieni</w:t>
      </w:r>
    </w:p>
    <w:p w14:paraId="3E097D84" w14:textId="77777777" w:rsidR="008E3F72" w:rsidRPr="00F35F4D" w:rsidRDefault="008E3F72" w:rsidP="008E3F72">
      <w:pPr>
        <w:rPr>
          <w:noProof/>
        </w:rPr>
      </w:pPr>
    </w:p>
    <w:p w14:paraId="0D210B78" w14:textId="77777777"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 xml:space="preserve">Citas piedevas. </w:t>
      </w:r>
      <w:r w:rsidRPr="00F35F4D">
        <w:rPr>
          <w:noProof/>
          <w:sz w:val="24"/>
        </w:rPr>
        <w:t>Ir pierādīts, ka NH3 emisiju samazina kalcija (Ca) magnija (Mg) sāļi, skābi savienojumi (piemēram, FeCl3, Ca(NO3)2) un superfosfāts, bet (ar 169. punktā izklāstīto izņēmumu) vajadzīgie daudzumi parasti ir pārāk lieli, lai piedevas būtu lietderīgi piemērot praksē. Izmantoti ir arī absorbējoši materiāli, piemēram, kūdra un ceolīti. Ir arī vairākas komerctirgū pieejamas piedevas, bet parasti tām nav veikta neatkarīga testēšana.</w:t>
      </w:r>
    </w:p>
    <w:p w14:paraId="47C1BE41" w14:textId="77777777" w:rsidR="008E3F72" w:rsidRPr="00F35F4D" w:rsidRDefault="008E3F72" w:rsidP="008E3F72">
      <w:pPr>
        <w:pStyle w:val="BodyText"/>
        <w:widowControl/>
        <w:kinsoku w:val="0"/>
        <w:overflowPunct w:val="0"/>
        <w:spacing w:before="0"/>
        <w:ind w:left="0"/>
        <w:jc w:val="both"/>
        <w:rPr>
          <w:noProof/>
          <w:sz w:val="24"/>
          <w:szCs w:val="24"/>
        </w:rPr>
      </w:pPr>
      <w:r w:rsidRPr="00F35F4D">
        <w:br w:type="page"/>
      </w:r>
    </w:p>
    <w:p w14:paraId="1A8C7F5F" w14:textId="2ED37FA8" w:rsidR="00CD1311" w:rsidRPr="00CD1311" w:rsidRDefault="00CD1311" w:rsidP="00CD1311">
      <w:pPr>
        <w:pStyle w:val="Heading1"/>
        <w:ind w:left="360"/>
        <w:jc w:val="right"/>
        <w:rPr>
          <w:sz w:val="40"/>
        </w:rPr>
      </w:pPr>
      <w:bookmarkStart w:id="15" w:name="_Toc426033267"/>
      <w:r w:rsidRPr="00CD1311">
        <w:rPr>
          <w:sz w:val="40"/>
        </w:rPr>
        <w:lastRenderedPageBreak/>
        <w:t>8. nodaļa</w:t>
      </w:r>
      <w:bookmarkEnd w:id="15"/>
    </w:p>
    <w:p w14:paraId="1AFF153D" w14:textId="77777777" w:rsidR="00CD1311" w:rsidRDefault="00CD1311" w:rsidP="00CD1311">
      <w:pPr>
        <w:pStyle w:val="Heading1"/>
      </w:pPr>
    </w:p>
    <w:p w14:paraId="6EAC9E46" w14:textId="77777777" w:rsidR="008E3F72" w:rsidRDefault="008E3F72" w:rsidP="00CD1311">
      <w:pPr>
        <w:pStyle w:val="Heading1"/>
      </w:pPr>
      <w:bookmarkStart w:id="16" w:name="_Toc426033268"/>
      <w:r w:rsidRPr="00F35F4D">
        <w:t>Mēslošanas līdzekļu izmantošana</w:t>
      </w:r>
      <w:bookmarkEnd w:id="16"/>
    </w:p>
    <w:p w14:paraId="6C51D605" w14:textId="77777777" w:rsidR="00CD1311" w:rsidRPr="00CD1311" w:rsidRDefault="00CD1311" w:rsidP="00CD1311"/>
    <w:p w14:paraId="6F40DB63"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T. Misselbrook, J. Webb, C. Pallière, M.A. Sutton, S. Lukin, B. Wade</w:t>
      </w:r>
    </w:p>
    <w:p w14:paraId="262D5DD3" w14:textId="77777777" w:rsidR="008E3F72" w:rsidRPr="00F35F4D" w:rsidRDefault="008E3F72" w:rsidP="008E3F72">
      <w:pPr>
        <w:pStyle w:val="BodyText"/>
        <w:widowControl/>
        <w:kinsoku w:val="0"/>
        <w:overflowPunct w:val="0"/>
        <w:spacing w:before="0"/>
        <w:ind w:left="0"/>
        <w:jc w:val="both"/>
        <w:rPr>
          <w:i/>
          <w:iCs/>
          <w:noProof/>
          <w:sz w:val="24"/>
          <w:szCs w:val="24"/>
        </w:rPr>
      </w:pPr>
    </w:p>
    <w:p w14:paraId="3575410B" w14:textId="196F48BD" w:rsidR="008E3F72" w:rsidRPr="00CD1311" w:rsidRDefault="00CD1311" w:rsidP="00CD1311">
      <w:pPr>
        <w:pStyle w:val="BodyText"/>
        <w:widowControl/>
        <w:tabs>
          <w:tab w:val="left" w:pos="501"/>
        </w:tabs>
        <w:kinsoku w:val="0"/>
        <w:overflowPunct w:val="0"/>
        <w:spacing w:before="0"/>
        <w:ind w:left="0"/>
        <w:jc w:val="both"/>
        <w:rPr>
          <w:b/>
          <w:bCs/>
          <w:noProof/>
          <w:color w:val="0D0D0D"/>
          <w:sz w:val="28"/>
          <w:szCs w:val="24"/>
        </w:rPr>
      </w:pPr>
      <w:r w:rsidRPr="00CD1311">
        <w:rPr>
          <w:b/>
          <w:noProof/>
          <w:color w:val="0D0D0D"/>
          <w:sz w:val="28"/>
        </w:rPr>
        <w:t xml:space="preserve">A. </w:t>
      </w:r>
      <w:r w:rsidR="00C83171">
        <w:rPr>
          <w:b/>
          <w:noProof/>
          <w:color w:val="0D0D0D"/>
          <w:sz w:val="28"/>
        </w:rPr>
        <w:t>Mēslošanas līdzekļi, kuriem</w:t>
      </w:r>
      <w:r w:rsidR="008E3F72" w:rsidRPr="00CD1311">
        <w:rPr>
          <w:b/>
          <w:noProof/>
          <w:color w:val="0D0D0D"/>
          <w:sz w:val="28"/>
        </w:rPr>
        <w:t xml:space="preserve"> pamatā ir urīnviela</w:t>
      </w:r>
    </w:p>
    <w:p w14:paraId="6E4D1138" w14:textId="77777777" w:rsidR="008E3F72" w:rsidRPr="00F35F4D" w:rsidRDefault="008E3F72" w:rsidP="008E3F72">
      <w:pPr>
        <w:pStyle w:val="BodyText"/>
        <w:widowControl/>
        <w:tabs>
          <w:tab w:val="left" w:pos="501"/>
        </w:tabs>
        <w:kinsoku w:val="0"/>
        <w:overflowPunct w:val="0"/>
        <w:spacing w:before="0"/>
        <w:ind w:left="0"/>
        <w:jc w:val="both"/>
        <w:rPr>
          <w:b/>
          <w:bCs/>
          <w:noProof/>
          <w:color w:val="0D0D0D"/>
          <w:sz w:val="24"/>
          <w:szCs w:val="24"/>
        </w:rPr>
      </w:pPr>
    </w:p>
    <w:p w14:paraId="1D9A8376" w14:textId="6AF1490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Amonjaka emisija, ko rada mēslošanas līdzekļu izmantošana, ir atkarīga no mēslošanas līdzekļa veida un augsnes apstākļiem. Mēslošanas līdzekļi, kam pamatā ir urīnviela, rada daudz lielāku emisiju nekā citi mēslošanas līdzekļu veidi, jo strauja urīnvielas hidrolīze izraisa lokālu pH līmeņa paaugstināšanos. Mēslošanas līdzekļi, kam pamatā ir urīnviela, bieži vien strauji hidroliz</w:t>
      </w:r>
      <w:r w:rsidR="00C83171">
        <w:rPr>
          <w:noProof/>
          <w:sz w:val="24"/>
        </w:rPr>
        <w:t>ējas augsnēs, kurās augu atlieku</w:t>
      </w:r>
      <w:r w:rsidRPr="00F35F4D">
        <w:rPr>
          <w:noProof/>
          <w:sz w:val="24"/>
        </w:rPr>
        <w:t xml:space="preserve"> dēļ ir liels ureāzes fermentu daudzums. Emisija no bezūdens NH3 var būt ievērojama, ja inžekcija augsnē ir veikta nekvalitatīvi un inžekcijas vaga nav pietiekami labi aizdarīta; veiksmīgums ir atkarīgs no augsnes un augsnes mitruma, kas rada nosacījumus inžekcijas vietas pareizai aizdarīšanai. Emisija no amonija sulfāta un diamonija fosfāta ir lielāka, kad šos mēslošanas līdzekļu veidus izmanto kaļķainās augsnēs (ar augstu pH līmeni). Tāpēc emisijas samazināšanas pasākumos tiek likts uzsvars uz urīnvielas mēslošanas līdzekļu izmantošanu visiem augsnes veidiem un amonija sulfāta un diamonija fosfāta izmantošanu kaļķainās augsnēs. Emisiju samazinošie pasākumi pamatojas vai nu uz urīnvielas hidrolīzes palēnināšanu amonija karbonātā, vai uz to, lai mēslošanas līdzeklis tiktu ātri iestrādāts augsnē (</w:t>
      </w:r>
      <w:r w:rsidRPr="00F35F4D">
        <w:rPr>
          <w:i/>
          <w:noProof/>
          <w:sz w:val="24"/>
        </w:rPr>
        <w:t>Sommer, Schjoerring, Denmead,</w:t>
      </w:r>
      <w:r w:rsidRPr="00F35F4D">
        <w:rPr>
          <w:noProof/>
          <w:sz w:val="24"/>
        </w:rPr>
        <w:t xml:space="preserve"> 2004).</w:t>
      </w:r>
    </w:p>
    <w:p w14:paraId="10C64EFC"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4BB211EB"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Metodes NH3 emisijas samazināšanai no savienojumiem, kam pamatā ir urīnviela, ir svarīgs ieguldījums lauksaimniecībā radītās kopējās NH3 emisijas samazinājumā. Jo īpaši jāatzīmē, ka NH3 emisija no mēslošanas līdzekļiem, kam pamatā ir urīnviela (parasti NH3 veidā tiek zaudēti 5–40 % N), ir daudz lielāka nekā no tiem, kam pamatā ir amonija nitrāts (parasti NH3 veidā tiek zaudēti 0,5–5 % N). Kaut arī amonija nitrāts ir galvenais N mēslošanas līdzekļa veids, ko izmanto Eiropā, saglabājas risks, ka tā lietošana konkrētās valstīs nākotnē tiks ierobežota vai aizliegta, vadoties no drošības un/vai nekaitīguma apsvērumiem. Jau tagad drošības apsvērumu un izmaksu dēļ visā Ziemeļamerikā amonija nitrāts lielā mērā ir aizstāts ar urīnvielas mēslošanas līdzekļu veidiem. Tā kā pasākumi NH3 emisijas samazināšanai no mēslošanas līdzekļiem, kam pamatā ir urīnviela, konkrētu kultūraugu, jo īpaši daudzgadīgo kultūraugu, gadījumā ir ierobežota, šādas izmaiņas varētu ievērojami palielināt NH3 emisiju reģionā.</w:t>
      </w:r>
    </w:p>
    <w:p w14:paraId="22D0D784"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09664C3A" w14:textId="141B9851"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 xml:space="preserve">Lielāks N daudzums, ko uzņem augi, ievērojot racionālas agrotehniskās devas un laiku, ir galvenais guvums no NH3 emisijas samazinājuma, minimāli palielinot emisiju cita veida zudumu (piemēram, nitrātu izskalošanās, denitrifikācijas) rezultātā. Turklāt, samazinot NH3 emisiju, var sagaidīt netiešo N zudumu līdzīgu samazināšanos (piemēram, mazāku izskalošanos </w:t>
      </w:r>
      <w:r w:rsidR="00C83171">
        <w:rPr>
          <w:noProof/>
          <w:sz w:val="24"/>
        </w:rPr>
        <w:t>un denitrifikāciju no mežu augsnes</w:t>
      </w:r>
      <w:r w:rsidRPr="00F35F4D">
        <w:rPr>
          <w:noProof/>
          <w:sz w:val="24"/>
        </w:rPr>
        <w:t>). Aplūkojot sistēmu kā vienu veselumu (ņemot vērā lauksaimniecības zemi, lauksaimniecībā neizmantoto zemi un pārnesi atmosfēras piesārņojuma rezultātā), nav domājams, ka šo pasākumu rezultātā kopumā palielināsies nitrātu izskalošanās un slāpekļa oksīda zudumi. Pasākumos tiek likts uzsvars uz N saglabāšanu lauksaimnieciskajā ražošanā, pēc iespējas palielinot produktivitāti (skatīt arī III sadaļu).</w:t>
      </w:r>
    </w:p>
    <w:p w14:paraId="3486F71B" w14:textId="32ADB32C"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i/>
        </w:rPr>
        <w:lastRenderedPageBreak/>
        <w:t>Atsauces paņēmiens.</w:t>
      </w:r>
      <w:r w:rsidRPr="00F35F4D">
        <w:rPr>
          <w:b/>
          <w:noProof/>
          <w:sz w:val="24"/>
        </w:rPr>
        <w:t xml:space="preserve"> </w:t>
      </w:r>
      <w:r w:rsidRPr="00F35F4D">
        <w:rPr>
          <w:noProof/>
          <w:sz w:val="24"/>
        </w:rPr>
        <w:t xml:space="preserve">Atsauces paņēmiens ir N </w:t>
      </w:r>
      <w:r w:rsidR="00C83171">
        <w:rPr>
          <w:noProof/>
          <w:sz w:val="24"/>
        </w:rPr>
        <w:t>mēslojuma izkliede</w:t>
      </w:r>
      <w:r w:rsidRPr="00F35F4D">
        <w:rPr>
          <w:noProof/>
          <w:sz w:val="24"/>
        </w:rPr>
        <w:t xml:space="preserve"> pa lauka virsu. Zema emisiju līmeņa mēslošanas metožu efektivitāte, ar tām saistītie ierobežojumi un izmaksas ir apkopotas 15. tabulā.</w:t>
      </w:r>
    </w:p>
    <w:p w14:paraId="38C29CD4" w14:textId="77777777" w:rsidR="008E3F72" w:rsidRPr="00F35F4D" w:rsidRDefault="008E3F72" w:rsidP="008E3F72">
      <w:pPr>
        <w:pStyle w:val="BodyText"/>
        <w:widowControl/>
        <w:kinsoku w:val="0"/>
        <w:overflowPunct w:val="0"/>
        <w:spacing w:before="0"/>
        <w:ind w:left="0"/>
        <w:jc w:val="both"/>
        <w:rPr>
          <w:noProof/>
          <w:sz w:val="24"/>
          <w:szCs w:val="24"/>
        </w:rPr>
      </w:pPr>
    </w:p>
    <w:p w14:paraId="1D073893" w14:textId="758F1BCE" w:rsidR="008E3F72" w:rsidRDefault="00CD1311" w:rsidP="00CD1311">
      <w:pPr>
        <w:pStyle w:val="Heading5"/>
        <w:widowControl/>
        <w:kinsoku w:val="0"/>
        <w:overflowPunct w:val="0"/>
        <w:ind w:left="0"/>
        <w:jc w:val="both"/>
        <w:rPr>
          <w:rFonts w:ascii="Times New Roman" w:hAnsi="Times New Roman" w:cs="Times New Roman"/>
          <w:noProof/>
          <w:color w:val="0D0D0D"/>
          <w:sz w:val="24"/>
        </w:rPr>
      </w:pPr>
      <w:r>
        <w:rPr>
          <w:rFonts w:ascii="Times New Roman" w:hAnsi="Times New Roman" w:cs="Times New Roman"/>
          <w:noProof/>
          <w:color w:val="0D0D0D"/>
          <w:sz w:val="24"/>
        </w:rPr>
        <w:t xml:space="preserve">1. </w:t>
      </w:r>
      <w:r w:rsidR="008E3F72" w:rsidRPr="00F35F4D">
        <w:rPr>
          <w:rFonts w:ascii="Times New Roman" w:hAnsi="Times New Roman" w:cs="Times New Roman"/>
          <w:noProof/>
          <w:color w:val="0D0D0D"/>
          <w:sz w:val="24"/>
        </w:rPr>
        <w:t>kategorijas paņēmieni</w:t>
      </w:r>
    </w:p>
    <w:p w14:paraId="371EDD47" w14:textId="77777777" w:rsidR="00CD1311" w:rsidRPr="00CD1311" w:rsidRDefault="00CD1311" w:rsidP="00CD1311">
      <w:pPr>
        <w:pStyle w:val="ListParagraph"/>
        <w:ind w:left="720"/>
      </w:pPr>
    </w:p>
    <w:p w14:paraId="081A1481" w14:textId="18617A3E" w:rsidR="008E3F72" w:rsidRPr="00CD1311" w:rsidRDefault="008E3F72" w:rsidP="00CD1311">
      <w:pPr>
        <w:pStyle w:val="BodyText"/>
        <w:widowControl/>
        <w:numPr>
          <w:ilvl w:val="0"/>
          <w:numId w:val="11"/>
        </w:numPr>
        <w:tabs>
          <w:tab w:val="left" w:pos="861"/>
        </w:tabs>
        <w:kinsoku w:val="0"/>
        <w:overflowPunct w:val="0"/>
        <w:spacing w:before="0"/>
        <w:ind w:left="0" w:firstLine="0"/>
        <w:jc w:val="both"/>
        <w:rPr>
          <w:noProof/>
          <w:sz w:val="24"/>
          <w:szCs w:val="24"/>
        </w:rPr>
      </w:pPr>
      <w:r w:rsidRPr="00CD1311">
        <w:rPr>
          <w:noProof/>
          <w:sz w:val="24"/>
          <w:szCs w:val="24"/>
        </w:rPr>
        <w:t>Mēslošanas līdzekļiem, kam pamatā ir urīnviela, 1. kategorijas paņēmieni ir šādi: ureāzes inhibitori; apvalki, kas palēnina izdalīšanos; inžekcija augsnē; ātra iestrāde augsnē un apūdeņošana tūlīt pēc mēslošanas. No tiem inžekcija augsnē, ātra iestrāde augsnē un apūdeņošana tūlīt pēc mēslošanas attiecas arī uz kaļķainas augsnes mēslošanu ar amonija sulfātu (un diamonija fosfātu).</w:t>
      </w:r>
    </w:p>
    <w:p w14:paraId="6E9B4DC0" w14:textId="77777777" w:rsidR="00CD1311" w:rsidRPr="00CD1311" w:rsidRDefault="00CD1311" w:rsidP="00CD1311">
      <w:pPr>
        <w:pStyle w:val="BodyText"/>
        <w:widowControl/>
        <w:tabs>
          <w:tab w:val="left" w:pos="861"/>
        </w:tabs>
        <w:kinsoku w:val="0"/>
        <w:overflowPunct w:val="0"/>
        <w:spacing w:before="0"/>
        <w:ind w:left="0"/>
        <w:jc w:val="both"/>
        <w:rPr>
          <w:noProof/>
          <w:sz w:val="24"/>
          <w:szCs w:val="24"/>
        </w:rPr>
      </w:pPr>
    </w:p>
    <w:p w14:paraId="6B915866" w14:textId="23B26E6A" w:rsidR="008E3F72" w:rsidRPr="00CD1311" w:rsidRDefault="008E3F72" w:rsidP="008E3F72">
      <w:pPr>
        <w:pStyle w:val="BodyText"/>
        <w:widowControl/>
        <w:numPr>
          <w:ilvl w:val="0"/>
          <w:numId w:val="11"/>
        </w:numPr>
        <w:kinsoku w:val="0"/>
        <w:overflowPunct w:val="0"/>
        <w:spacing w:before="0"/>
        <w:ind w:left="0" w:firstLine="0"/>
        <w:jc w:val="both"/>
        <w:rPr>
          <w:noProof/>
          <w:sz w:val="24"/>
          <w:szCs w:val="24"/>
        </w:rPr>
      </w:pPr>
      <w:r w:rsidRPr="00CD1311">
        <w:rPr>
          <w:b/>
          <w:sz w:val="24"/>
          <w:szCs w:val="24"/>
        </w:rPr>
        <w:t>Ureāzes inhibitori</w:t>
      </w:r>
      <w:r w:rsidRPr="00CD1311">
        <w:rPr>
          <w:sz w:val="24"/>
          <w:szCs w:val="24"/>
        </w:rPr>
        <w:t xml:space="preserve"> kavē urīnvielas pārveidošanos amonija karbonātā, tieši bremzējot ureāzes fermenta darbību.</w:t>
      </w:r>
      <w:r w:rsidRPr="00CD1311">
        <w:rPr>
          <w:noProof/>
          <w:sz w:val="24"/>
          <w:szCs w:val="24"/>
        </w:rPr>
        <w:t xml:space="preserve"> Šī atliktā/palēninātā hidrolīze saistās ar mazāku pH līmeņa paaugstināšanos ap urīnvielas granulu un tāpēc ar ievērojami zemāku NH3 emisiju (</w:t>
      </w:r>
      <w:r w:rsidRPr="00CD1311">
        <w:rPr>
          <w:i/>
          <w:noProof/>
          <w:sz w:val="24"/>
          <w:szCs w:val="24"/>
        </w:rPr>
        <w:t>Chadwick et al.</w:t>
      </w:r>
      <w:r w:rsidRPr="00CD1311">
        <w:rPr>
          <w:noProof/>
          <w:sz w:val="24"/>
          <w:szCs w:val="24"/>
        </w:rPr>
        <w:t xml:space="preserve">, 2005; </w:t>
      </w:r>
      <w:r w:rsidRPr="00CD1311">
        <w:rPr>
          <w:i/>
          <w:noProof/>
          <w:sz w:val="24"/>
          <w:szCs w:val="24"/>
        </w:rPr>
        <w:t>Watson et al.</w:t>
      </w:r>
      <w:r w:rsidRPr="00CD1311">
        <w:rPr>
          <w:noProof/>
          <w:sz w:val="24"/>
          <w:szCs w:val="24"/>
        </w:rPr>
        <w:t>, 1994). Vēlāks hidrolīzes sākums palielina arī iespēju, ka urīnviela tiks ieskalota augsnes struktūrā, vēl vairāk samazinot potenciālo NH3 emisiju. Eiropas Savienībā ir izveidots apstiprināto ureāzes inhibitoru saraksts.</w:t>
      </w:r>
      <w:r w:rsidR="00CD1311" w:rsidRPr="00CD1311">
        <w:rPr>
          <w:rStyle w:val="FootnoteReference"/>
          <w:noProof/>
          <w:sz w:val="24"/>
          <w:szCs w:val="24"/>
        </w:rPr>
        <w:footnoteReference w:id="13"/>
      </w:r>
    </w:p>
    <w:p w14:paraId="5F787F06" w14:textId="77777777" w:rsidR="008E3F72" w:rsidRPr="00CD1311" w:rsidRDefault="008E3F72" w:rsidP="008E3F72">
      <w:pPr>
        <w:pStyle w:val="BodyText"/>
        <w:widowControl/>
        <w:kinsoku w:val="0"/>
        <w:overflowPunct w:val="0"/>
        <w:spacing w:before="0"/>
        <w:ind w:left="0"/>
        <w:jc w:val="both"/>
        <w:rPr>
          <w:noProof/>
          <w:sz w:val="24"/>
          <w:szCs w:val="24"/>
        </w:rPr>
      </w:pPr>
    </w:p>
    <w:p w14:paraId="2CADE9B0" w14:textId="77777777" w:rsidR="008E3F72" w:rsidRDefault="008E3F72" w:rsidP="008E3F72">
      <w:pPr>
        <w:pStyle w:val="BodyText"/>
        <w:widowControl/>
        <w:numPr>
          <w:ilvl w:val="0"/>
          <w:numId w:val="11"/>
        </w:numPr>
        <w:kinsoku w:val="0"/>
        <w:overflowPunct w:val="0"/>
        <w:spacing w:before="0"/>
        <w:ind w:left="0" w:firstLine="0"/>
        <w:jc w:val="both"/>
        <w:rPr>
          <w:noProof/>
          <w:sz w:val="24"/>
          <w:szCs w:val="24"/>
        </w:rPr>
      </w:pPr>
      <w:r w:rsidRPr="00CD1311">
        <w:rPr>
          <w:b/>
          <w:sz w:val="24"/>
          <w:szCs w:val="24"/>
        </w:rPr>
        <w:t>Ar polimēru apvalkotas urīnvielas granulas</w:t>
      </w:r>
      <w:r w:rsidRPr="00CD1311">
        <w:rPr>
          <w:sz w:val="24"/>
          <w:szCs w:val="24"/>
        </w:rPr>
        <w:t xml:space="preserve"> ir lēnas darbības mēslošanas līdzeklis, kas var samazināt NH3 emisiju (piemēram, </w:t>
      </w:r>
      <w:r w:rsidRPr="00CD1311">
        <w:rPr>
          <w:i/>
          <w:sz w:val="24"/>
          <w:szCs w:val="24"/>
        </w:rPr>
        <w:t>Rochette et al.</w:t>
      </w:r>
      <w:r w:rsidRPr="00CD1311">
        <w:rPr>
          <w:sz w:val="24"/>
          <w:szCs w:val="24"/>
        </w:rPr>
        <w:t>, 2009); emisijas samazinājumu turklāt nosaka polimēru apvalka īpašības un tas, vai mēslošanas līdzekli izkliedē uz augsnes virsmas vai ievada inžekcijas veidā kopā ar urīnvielu.</w:t>
      </w:r>
    </w:p>
    <w:p w14:paraId="1C6DC0E3" w14:textId="77777777" w:rsidR="00CD1311" w:rsidRPr="00CD1311" w:rsidRDefault="00CD1311" w:rsidP="00CD1311">
      <w:pPr>
        <w:pStyle w:val="BodyText"/>
        <w:widowControl/>
        <w:kinsoku w:val="0"/>
        <w:overflowPunct w:val="0"/>
        <w:spacing w:before="0"/>
        <w:ind w:left="0"/>
        <w:jc w:val="both"/>
        <w:rPr>
          <w:noProof/>
          <w:sz w:val="24"/>
          <w:szCs w:val="24"/>
        </w:rPr>
      </w:pPr>
    </w:p>
    <w:p w14:paraId="26EADCFB" w14:textId="77777777" w:rsidR="008E3F72"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D1311">
        <w:rPr>
          <w:b/>
          <w:sz w:val="24"/>
          <w:szCs w:val="24"/>
        </w:rPr>
        <w:t>Mēslošanas līdzekļa iestrāde augsnē</w:t>
      </w:r>
      <w:r w:rsidRPr="00CD1311">
        <w:rPr>
          <w:sz w:val="24"/>
          <w:szCs w:val="24"/>
        </w:rPr>
        <w:t xml:space="preserve"> vai nu ar tiešu inžekciju slēgtās vagās, vai ar kultivatoru var būt efektīvs paņēmiens emisijas samazināšanai (</w:t>
      </w:r>
      <w:r w:rsidRPr="00CD1311">
        <w:rPr>
          <w:i/>
          <w:sz w:val="24"/>
          <w:szCs w:val="24"/>
        </w:rPr>
        <w:t>Sommer, Schjoerring, Denmead</w:t>
      </w:r>
      <w:r w:rsidRPr="00CD1311">
        <w:rPr>
          <w:sz w:val="24"/>
          <w:szCs w:val="24"/>
        </w:rPr>
        <w:t>, 2004).</w:t>
      </w:r>
      <w:r w:rsidRPr="00CD1311">
        <w:rPr>
          <w:noProof/>
          <w:sz w:val="24"/>
          <w:szCs w:val="24"/>
        </w:rPr>
        <w:t xml:space="preserve"> Mēslošanu ar urīnvielas granulām, apvienojot inžekcijas vai iestrādes paņēmienu ar apvalku, kas palēnina izdalīšanos, var samazināt līdz vienai reizei, pirms augi ir iesakņojušies, bez vajadzības mēslošanu veikt atkārtoti, izkliedējot mēslošanas līdzekli uz zemes. Konkrētais emisijas samazinājums ir atkarīgs no inžekcijas dziļuma un augsnes struktūras. Mēslošanas līdzekļa sajaukšana ar augsni kultivēšanas rezultātā var būt mazāk efektīvs paņēmiens emisijas samazināšanai nekā inžekcija tajā pašā dziļumā, jo daļa no augsnē iejauktā mēslošanas līdzekļa tad nonāk tuvu augsnes virskārtai. Augiem ar īsu veģetācijas periodu sezonai nepieciešamo N var nodrošināt ar urīnvielas inžekciju sēšanas laikā, ietaupot laiku un naudu. To plaši pieņemts darīt Rietumkanādas lauksaimnieku vidū.</w:t>
      </w:r>
    </w:p>
    <w:p w14:paraId="03534952" w14:textId="77777777" w:rsidR="00CD1311" w:rsidRPr="00CD1311" w:rsidRDefault="00CD1311" w:rsidP="00CD1311">
      <w:pPr>
        <w:pStyle w:val="BodyText"/>
        <w:widowControl/>
        <w:tabs>
          <w:tab w:val="left" w:pos="861"/>
        </w:tabs>
        <w:kinsoku w:val="0"/>
        <w:overflowPunct w:val="0"/>
        <w:spacing w:before="0"/>
        <w:ind w:left="0"/>
        <w:jc w:val="both"/>
        <w:rPr>
          <w:noProof/>
          <w:sz w:val="24"/>
          <w:szCs w:val="24"/>
        </w:rPr>
      </w:pPr>
    </w:p>
    <w:p w14:paraId="1B2C4D12" w14:textId="77777777" w:rsidR="008E3F72"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D1311">
        <w:rPr>
          <w:sz w:val="24"/>
          <w:szCs w:val="24"/>
        </w:rPr>
        <w:t xml:space="preserve">Pierādīts, ka </w:t>
      </w:r>
      <w:r w:rsidRPr="00CD1311">
        <w:rPr>
          <w:b/>
          <w:sz w:val="24"/>
          <w:szCs w:val="24"/>
        </w:rPr>
        <w:t>apūdeņošana ar ne mazāk kā 5 mm ūdens</w:t>
      </w:r>
      <w:r w:rsidRPr="00CD1311">
        <w:rPr>
          <w:sz w:val="24"/>
          <w:szCs w:val="24"/>
        </w:rPr>
        <w:t xml:space="preserve"> tūlīt pēc mēslošanas var radīt līdz 70 % lielu NH3 emisijas samazinājumu (</w:t>
      </w:r>
      <w:r w:rsidRPr="00CD1311">
        <w:rPr>
          <w:i/>
          <w:sz w:val="24"/>
          <w:szCs w:val="24"/>
        </w:rPr>
        <w:t>O. Oenema, Velthof,</w:t>
      </w:r>
      <w:r w:rsidRPr="00CD1311">
        <w:rPr>
          <w:sz w:val="24"/>
          <w:szCs w:val="24"/>
        </w:rPr>
        <w:t xml:space="preserve"> 1993; </w:t>
      </w:r>
      <w:r w:rsidRPr="00CD1311">
        <w:rPr>
          <w:i/>
          <w:sz w:val="24"/>
          <w:szCs w:val="24"/>
        </w:rPr>
        <w:t>Sanz-Cobeña</w:t>
      </w:r>
      <w:r w:rsidRPr="00CD1311">
        <w:rPr>
          <w:sz w:val="24"/>
          <w:szCs w:val="24"/>
        </w:rPr>
        <w:t>, 2010).</w:t>
      </w:r>
      <w:r w:rsidRPr="00CD1311">
        <w:rPr>
          <w:noProof/>
          <w:sz w:val="24"/>
          <w:szCs w:val="24"/>
        </w:rPr>
        <w:t xml:space="preserve"> Ūdeni nevajadzētu lietot, ja augsne ir piemirkusi vairāk, nekā to pieļauj lauka mitrumietilpība. Šo paņēmienu iekļauj 1. kategorijā tikai tad, ja ir vajadzība pēc apūdeņošanas, jo pretējā gadījumā metode palielina nitrātu izskalošanās risku.</w:t>
      </w:r>
    </w:p>
    <w:p w14:paraId="3A5E0CBB" w14:textId="77777777" w:rsidR="00CD1311" w:rsidRPr="00CD1311" w:rsidRDefault="00CD1311" w:rsidP="00CD1311">
      <w:pPr>
        <w:pStyle w:val="BodyText"/>
        <w:widowControl/>
        <w:tabs>
          <w:tab w:val="left" w:pos="861"/>
        </w:tabs>
        <w:kinsoku w:val="0"/>
        <w:overflowPunct w:val="0"/>
        <w:spacing w:before="0"/>
        <w:ind w:left="0"/>
        <w:jc w:val="both"/>
        <w:rPr>
          <w:noProof/>
          <w:sz w:val="24"/>
          <w:szCs w:val="24"/>
        </w:rPr>
      </w:pPr>
    </w:p>
    <w:p w14:paraId="0D9574BF" w14:textId="4FDFF01E"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D1311">
        <w:rPr>
          <w:b/>
          <w:sz w:val="24"/>
          <w:szCs w:val="24"/>
        </w:rPr>
        <w:t>Pāreja no urīnvielas uz amonija nitrāta mēslošanas līdzekļiem</w:t>
      </w:r>
      <w:r w:rsidRPr="00CD1311">
        <w:rPr>
          <w:sz w:val="24"/>
          <w:szCs w:val="24"/>
        </w:rPr>
        <w:t xml:space="preserve"> ir diezgan vienkāršs veids, kā samazināt NH3 emisiju, ar efektivitāti ap 90 %.</w:t>
      </w:r>
      <w:r w:rsidRPr="00CD1311">
        <w:rPr>
          <w:noProof/>
          <w:sz w:val="24"/>
          <w:szCs w:val="24"/>
        </w:rPr>
        <w:t xml:space="preserve"> Iespējama negatīva </w:t>
      </w:r>
      <w:r w:rsidRPr="00CD1311">
        <w:rPr>
          <w:noProof/>
          <w:sz w:val="24"/>
          <w:szCs w:val="24"/>
        </w:rPr>
        <w:lastRenderedPageBreak/>
        <w:t>blakusparādība ir potenciāla N2O palielināšanās, īpaši tad, ja mēslošanas līdzekļus, kam pamatā ir amonija nitrāts (NH4NO3), izmanto mitrās vai piemirkušās augsnēs</w:t>
      </w:r>
      <w:r w:rsidRPr="00F35F4D">
        <w:rPr>
          <w:noProof/>
          <w:sz w:val="24"/>
        </w:rPr>
        <w:t>. Šī pasākuma izmaksas vienkārši atbilst cenu starpībai starp abiem mēslošanas līdzekļu veidiem un daudzumam, kādā vajadzīg</w:t>
      </w:r>
      <w:r w:rsidR="00C83171">
        <w:rPr>
          <w:noProof/>
          <w:sz w:val="24"/>
        </w:rPr>
        <w:t>s N mēslošanas līdzeklis</w:t>
      </w:r>
      <w:r w:rsidRPr="00F35F4D">
        <w:rPr>
          <w:noProof/>
          <w:sz w:val="24"/>
        </w:rPr>
        <w:t>, lai nodrošinātu optimālu mēslošanu ar N. Bruto izmaksas par amonija nitrāta mēslošanas līdzekļiem ir augstākas nekā par mēslošanas līdzekļiem, kam pamatā ir urīnviela, atkarība no situācijas tirgū (10–30 % diapazonā). Tomēr tīras izmaksas var būt neievērojams, vai var būt pat tīrais ienākums mazāku N zudumu dēļ.</w:t>
      </w:r>
    </w:p>
    <w:p w14:paraId="3E7547C3"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39AC889F" w14:textId="77777777" w:rsidR="008E3F72" w:rsidRPr="00CD1311"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Potenciālā ietekme uz izmaksām.</w:t>
      </w:r>
      <w:r w:rsidRPr="00F35F4D">
        <w:rPr>
          <w:b/>
          <w:i/>
          <w:noProof/>
          <w:sz w:val="24"/>
        </w:rPr>
        <w:t xml:space="preserve"> </w:t>
      </w:r>
      <w:r w:rsidRPr="00F35F4D">
        <w:rPr>
          <w:noProof/>
          <w:sz w:val="24"/>
        </w:rPr>
        <w:t>Izmaksu palielinājumu, ko rada šo paņēmienu izmantošana, zināmā mērā kompensē (vai pat ļauj atpelnīt) mēslošanas līdzekļa ietaupījums tādas pašas ražās panākšanai, kā ar atsauces metodi, vai arī ražas palielināšanai ar tādu pašu mēslošanas līdzekļa daudzumu.</w:t>
      </w:r>
    </w:p>
    <w:p w14:paraId="4E004BE3" w14:textId="77777777" w:rsidR="00CD1311" w:rsidRPr="00F35F4D" w:rsidRDefault="00CD1311" w:rsidP="00CD1311">
      <w:pPr>
        <w:pStyle w:val="BodyText"/>
        <w:widowControl/>
        <w:tabs>
          <w:tab w:val="left" w:pos="861"/>
        </w:tabs>
        <w:kinsoku w:val="0"/>
        <w:overflowPunct w:val="0"/>
        <w:spacing w:before="0"/>
        <w:ind w:left="0"/>
        <w:jc w:val="both"/>
        <w:rPr>
          <w:noProof/>
          <w:sz w:val="24"/>
          <w:szCs w:val="24"/>
        </w:rPr>
      </w:pPr>
    </w:p>
    <w:p w14:paraId="2B020F4F" w14:textId="165A54F9" w:rsidR="008E3F72" w:rsidRPr="00F35F4D" w:rsidRDefault="00C83171" w:rsidP="008E3F72">
      <w:pPr>
        <w:pStyle w:val="BodyText"/>
        <w:widowControl/>
        <w:numPr>
          <w:ilvl w:val="0"/>
          <w:numId w:val="11"/>
        </w:numPr>
        <w:tabs>
          <w:tab w:val="left" w:pos="861"/>
        </w:tabs>
        <w:kinsoku w:val="0"/>
        <w:overflowPunct w:val="0"/>
        <w:spacing w:before="0"/>
        <w:ind w:left="0" w:firstLine="0"/>
        <w:jc w:val="both"/>
        <w:rPr>
          <w:noProof/>
          <w:sz w:val="24"/>
          <w:szCs w:val="24"/>
        </w:rPr>
      </w:pPr>
      <w:r>
        <w:rPr>
          <w:b/>
          <w:noProof/>
          <w:sz w:val="24"/>
        </w:rPr>
        <w:t>Ietekme uz N aprites ciklu</w:t>
      </w:r>
      <w:r w:rsidR="008E3F72" w:rsidRPr="00F35F4D">
        <w:rPr>
          <w:b/>
          <w:noProof/>
          <w:sz w:val="24"/>
        </w:rPr>
        <w:t>.</w:t>
      </w:r>
      <w:r w:rsidR="008E3F72" w:rsidRPr="00F35F4D">
        <w:rPr>
          <w:b/>
          <w:i/>
          <w:noProof/>
          <w:sz w:val="24"/>
        </w:rPr>
        <w:t xml:space="preserve"> </w:t>
      </w:r>
      <w:r w:rsidR="008E3F72" w:rsidRPr="00F35F4D">
        <w:rPr>
          <w:noProof/>
          <w:sz w:val="24"/>
        </w:rPr>
        <w:t>Lielāks N daudzums, ko uzņem augi, ievērojot racionālas agrotehniskās devas, laiku un N nonākšanas vietu, ir galvenais guvums no NH3 emisijas samazinājuma, minimāli palielinot emisiju cita veida zudumu (piemēram, nitrātu izskalošanās, denitrifikācijas) rezultātā. Turklāt, samazinot NH3 emisiju, var sagaidīt netiešo N zudumu līdzīgu samazināšanos (piemēram, mazāku izskalošanos un</w:t>
      </w:r>
      <w:r>
        <w:rPr>
          <w:noProof/>
          <w:sz w:val="24"/>
        </w:rPr>
        <w:t xml:space="preserve"> denitrifikāciju no mežu augsnes</w:t>
      </w:r>
      <w:r w:rsidR="008E3F72" w:rsidRPr="00F35F4D">
        <w:rPr>
          <w:noProof/>
          <w:sz w:val="24"/>
        </w:rPr>
        <w:t>). Aplūkojot sistēmu kā vienu veselumu (ņemot vērā lauksaimniecības zemi, lauksaimniecībā neizmantoto zemi un pārnesi atmosfēras piesārņojuma rezultātā), nav domājams, ka šo pasākumu rezultātā kopumā palielināsies nitrātu izskalošanās un slāpekļa oksīda zudumi. Pasākumos tiek likts uzsvars uz N saglabāšanu lauksaimnieciskajā ražošanā, pēc iespējas palielinot produktivitāti.</w:t>
      </w:r>
    </w:p>
    <w:p w14:paraId="0912117C" w14:textId="77777777" w:rsidR="008E3F72" w:rsidRPr="00F35F4D" w:rsidRDefault="008E3F72" w:rsidP="008E3F72">
      <w:pPr>
        <w:pStyle w:val="BodyText"/>
        <w:widowControl/>
        <w:kinsoku w:val="0"/>
        <w:overflowPunct w:val="0"/>
        <w:spacing w:before="0"/>
        <w:ind w:left="0"/>
        <w:jc w:val="both"/>
        <w:rPr>
          <w:noProof/>
          <w:sz w:val="24"/>
          <w:szCs w:val="24"/>
        </w:rPr>
      </w:pPr>
    </w:p>
    <w:p w14:paraId="153575FA" w14:textId="77777777" w:rsidR="008E3F72" w:rsidRPr="00F35F4D" w:rsidRDefault="008E3F72" w:rsidP="008E3F72">
      <w:pPr>
        <w:pStyle w:val="Heading5"/>
        <w:widowControl/>
        <w:kinsoku w:val="0"/>
        <w:overflowPunct w:val="0"/>
        <w:ind w:left="0"/>
        <w:jc w:val="both"/>
        <w:rPr>
          <w:rFonts w:ascii="Times New Roman" w:hAnsi="Times New Roman" w:cs="Times New Roman"/>
          <w:noProof/>
          <w:color w:val="0D0D0D"/>
          <w:sz w:val="24"/>
          <w:szCs w:val="24"/>
        </w:rPr>
      </w:pPr>
      <w:r w:rsidRPr="00F35F4D">
        <w:rPr>
          <w:rFonts w:ascii="Times New Roman" w:hAnsi="Times New Roman" w:cs="Times New Roman"/>
          <w:noProof/>
          <w:color w:val="0D0D0D"/>
          <w:sz w:val="24"/>
        </w:rPr>
        <w:t>2. kategorijas paņēmieni</w:t>
      </w:r>
    </w:p>
    <w:p w14:paraId="3EFBA693" w14:textId="77777777" w:rsidR="008E3F72" w:rsidRPr="00F35F4D" w:rsidRDefault="008E3F72" w:rsidP="008E3F72">
      <w:pPr>
        <w:rPr>
          <w:noProof/>
        </w:rPr>
      </w:pPr>
    </w:p>
    <w:p w14:paraId="5A28D0F5" w14:textId="54863EB9" w:rsidR="00CD1311" w:rsidRPr="00C77CF8" w:rsidRDefault="008E3F72" w:rsidP="00CD1311">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rPr>
        <w:t>VSMLI.</w:t>
      </w:r>
      <w:r w:rsidRPr="00F35F4D">
        <w:rPr>
          <w:i/>
          <w:noProof/>
          <w:sz w:val="24"/>
        </w:rPr>
        <w:t xml:space="preserve"> </w:t>
      </w:r>
      <w:r w:rsidRPr="00F35F4D">
        <w:rPr>
          <w:noProof/>
          <w:sz w:val="24"/>
        </w:rPr>
        <w:t>VSMLI ir verificēta sistēma NH3 emisijas potenciāla svārstību izmantošanai atkarībā no vides apstākļiem, lai nod</w:t>
      </w:r>
      <w:r w:rsidR="00DF7973">
        <w:rPr>
          <w:noProof/>
          <w:sz w:val="24"/>
        </w:rPr>
        <w:t>rošinātu mēslošanas laika apsaimniekošanu</w:t>
      </w:r>
      <w:r w:rsidRPr="00F35F4D">
        <w:rPr>
          <w:noProof/>
          <w:sz w:val="24"/>
        </w:rPr>
        <w:t xml:space="preserve"> kopējās emisijas samazināšanai. Mēslošanas līdzekļu izmantošana vēsākā laikā pirms lietus (vienlaicīgi paturot pr</w:t>
      </w:r>
      <w:r w:rsidR="00DF7973">
        <w:rPr>
          <w:noProof/>
          <w:sz w:val="24"/>
        </w:rPr>
        <w:t>ātā, ka jāizvairās no noteces</w:t>
      </w:r>
      <w:r w:rsidRPr="00F35F4D">
        <w:rPr>
          <w:noProof/>
          <w:sz w:val="24"/>
        </w:rPr>
        <w:t xml:space="preserve"> riska ūdenstecē) saistās ar zemāku NH3 emisiju. Ja šo stratēģiju gatavojas izmantot, tad jāveic atsauces apstākļu un panāktā emisijas samazinājuma verifikācija.</w:t>
      </w:r>
    </w:p>
    <w:p w14:paraId="71453DD3" w14:textId="77777777" w:rsidR="00C77CF8" w:rsidRPr="00CD1311" w:rsidRDefault="00C77CF8" w:rsidP="00C77CF8">
      <w:pPr>
        <w:pStyle w:val="BodyText"/>
        <w:widowControl/>
        <w:tabs>
          <w:tab w:val="left" w:pos="861"/>
        </w:tabs>
        <w:kinsoku w:val="0"/>
        <w:overflowPunct w:val="0"/>
        <w:spacing w:before="0"/>
        <w:ind w:left="0"/>
        <w:jc w:val="both"/>
        <w:rPr>
          <w:noProof/>
          <w:sz w:val="24"/>
          <w:szCs w:val="24"/>
        </w:rPr>
      </w:pPr>
    </w:p>
    <w:p w14:paraId="3D45186F" w14:textId="77777777"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noProof/>
          <w:sz w:val="24"/>
        </w:rPr>
        <w:t xml:space="preserve">Urīnvielas sajaukšana ar amonija sulfātu. </w:t>
      </w:r>
      <w:r w:rsidRPr="00F35F4D">
        <w:rPr>
          <w:noProof/>
          <w:sz w:val="24"/>
        </w:rPr>
        <w:t>Konkrētos augsnes veidos granulas, kas satur gan urīnvielu, gan amonija sulfātu, var samazināt NH3 emisiju salīdzinājumā ar urīnvielu vienu pašu (</w:t>
      </w:r>
      <w:r w:rsidRPr="00F35F4D">
        <w:rPr>
          <w:i/>
          <w:noProof/>
          <w:sz w:val="24"/>
        </w:rPr>
        <w:t>O. Oenema, Velthof,</w:t>
      </w:r>
      <w:r w:rsidRPr="00F35F4D">
        <w:rPr>
          <w:noProof/>
          <w:sz w:val="24"/>
        </w:rPr>
        <w:t xml:space="preserve"> 1993). Pirms sniegt ieteikumus, jāveic plašāki pētījumi par dažādiem augsnes veidiem.</w:t>
      </w:r>
    </w:p>
    <w:p w14:paraId="1EC73750" w14:textId="77777777" w:rsidR="008E3F72" w:rsidRPr="00F35F4D" w:rsidRDefault="008E3F72" w:rsidP="008E3F72">
      <w:pPr>
        <w:pStyle w:val="BodyText"/>
        <w:widowControl/>
        <w:kinsoku w:val="0"/>
        <w:overflowPunct w:val="0"/>
        <w:spacing w:before="0"/>
        <w:ind w:left="0"/>
        <w:jc w:val="both"/>
        <w:rPr>
          <w:noProof/>
          <w:sz w:val="24"/>
          <w:szCs w:val="24"/>
        </w:rPr>
      </w:pPr>
    </w:p>
    <w:p w14:paraId="5BA1BB7F"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15. tabula</w:t>
      </w:r>
    </w:p>
    <w:p w14:paraId="66A2E342"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Iespējas (1. kategorija) amonija emisijas samazināšanai no mēslošanas līdzekļiem, kam pamatā ir urīnviela</w:t>
      </w:r>
    </w:p>
    <w:p w14:paraId="11F538F1"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1212"/>
        <w:gridCol w:w="1021"/>
        <w:gridCol w:w="1134"/>
        <w:gridCol w:w="2208"/>
        <w:gridCol w:w="1495"/>
        <w:gridCol w:w="1156"/>
      </w:tblGrid>
      <w:tr w:rsidR="008E3F72" w:rsidRPr="00CD1311" w14:paraId="73B61CA2" w14:textId="77777777" w:rsidTr="0010018A">
        <w:tc>
          <w:tcPr>
            <w:tcW w:w="765" w:type="pct"/>
            <w:tcBorders>
              <w:top w:val="single" w:sz="4" w:space="0" w:color="000000"/>
              <w:left w:val="nil"/>
              <w:bottom w:val="single" w:sz="12" w:space="0" w:color="000000"/>
              <w:right w:val="nil"/>
            </w:tcBorders>
          </w:tcPr>
          <w:p w14:paraId="0796207D"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Emisijas samazināšanas pasākums</w:t>
            </w:r>
          </w:p>
        </w:tc>
        <w:tc>
          <w:tcPr>
            <w:tcW w:w="657" w:type="pct"/>
            <w:tcBorders>
              <w:top w:val="single" w:sz="4" w:space="0" w:color="000000"/>
              <w:left w:val="nil"/>
              <w:bottom w:val="single" w:sz="12" w:space="0" w:color="000000"/>
              <w:right w:val="nil"/>
            </w:tcBorders>
          </w:tcPr>
          <w:p w14:paraId="256911F6"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Mēslošanas līdzekļa veids</w:t>
            </w:r>
          </w:p>
        </w:tc>
        <w:tc>
          <w:tcPr>
            <w:tcW w:w="663" w:type="pct"/>
            <w:tcBorders>
              <w:top w:val="single" w:sz="4" w:space="0" w:color="000000"/>
              <w:left w:val="nil"/>
              <w:bottom w:val="single" w:sz="12" w:space="0" w:color="000000"/>
              <w:right w:val="nil"/>
            </w:tcBorders>
          </w:tcPr>
          <w:p w14:paraId="4AE2C6D5"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Emisijas samazinājums (%)</w:t>
            </w:r>
          </w:p>
        </w:tc>
        <w:tc>
          <w:tcPr>
            <w:tcW w:w="1374" w:type="pct"/>
            <w:tcBorders>
              <w:top w:val="single" w:sz="4" w:space="0" w:color="000000"/>
              <w:left w:val="nil"/>
              <w:bottom w:val="single" w:sz="12" w:space="0" w:color="000000"/>
              <w:right w:val="nil"/>
            </w:tcBorders>
          </w:tcPr>
          <w:p w14:paraId="78F2C99E"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Emisijas samazinājumu ietekmējošie faktori</w:t>
            </w:r>
          </w:p>
        </w:tc>
        <w:tc>
          <w:tcPr>
            <w:tcW w:w="941" w:type="pct"/>
            <w:tcBorders>
              <w:top w:val="single" w:sz="4" w:space="0" w:color="000000"/>
              <w:left w:val="nil"/>
              <w:bottom w:val="single" w:sz="12" w:space="0" w:color="000000"/>
              <w:right w:val="nil"/>
            </w:tcBorders>
          </w:tcPr>
          <w:p w14:paraId="152DB65A"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Izmantojamība</w:t>
            </w:r>
          </w:p>
        </w:tc>
        <w:tc>
          <w:tcPr>
            <w:tcW w:w="600" w:type="pct"/>
            <w:tcBorders>
              <w:top w:val="single" w:sz="4" w:space="0" w:color="000000"/>
              <w:left w:val="nil"/>
              <w:bottom w:val="single" w:sz="12" w:space="0" w:color="000000"/>
              <w:right w:val="nil"/>
            </w:tcBorders>
          </w:tcPr>
          <w:p w14:paraId="15B9493B"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Izmaksas (€ par NH3 emisijas kg samazinājumu</w:t>
            </w:r>
          </w:p>
          <w:p w14:paraId="003B0832" w14:textId="77777777" w:rsidR="008E3F72" w:rsidRPr="00CD1311" w:rsidRDefault="008E3F72" w:rsidP="0010018A">
            <w:pPr>
              <w:pStyle w:val="TableParagraph"/>
              <w:widowControl/>
              <w:kinsoku w:val="0"/>
              <w:overflowPunct w:val="0"/>
              <w:jc w:val="center"/>
              <w:rPr>
                <w:i/>
                <w:iCs/>
                <w:noProof/>
                <w:sz w:val="20"/>
                <w:szCs w:val="20"/>
              </w:rPr>
            </w:pPr>
            <w:r w:rsidRPr="00CD1311">
              <w:rPr>
                <w:i/>
                <w:noProof/>
                <w:sz w:val="20"/>
                <w:szCs w:val="20"/>
              </w:rPr>
              <w:t>gadā)</w:t>
            </w:r>
          </w:p>
        </w:tc>
      </w:tr>
      <w:tr w:rsidR="008E3F72" w:rsidRPr="00CD1311" w14:paraId="26EF2253" w14:textId="77777777" w:rsidTr="0010018A">
        <w:tc>
          <w:tcPr>
            <w:tcW w:w="765" w:type="pct"/>
            <w:tcBorders>
              <w:top w:val="single" w:sz="12" w:space="0" w:color="000000"/>
              <w:left w:val="nil"/>
              <w:bottom w:val="nil"/>
              <w:right w:val="nil"/>
            </w:tcBorders>
          </w:tcPr>
          <w:p w14:paraId="2C757514" w14:textId="3A7FCAE2" w:rsidR="008E3F72" w:rsidRPr="00CD1311" w:rsidRDefault="00DF7973" w:rsidP="0010018A">
            <w:pPr>
              <w:pStyle w:val="TableParagraph"/>
              <w:widowControl/>
              <w:kinsoku w:val="0"/>
              <w:overflowPunct w:val="0"/>
              <w:jc w:val="center"/>
              <w:rPr>
                <w:noProof/>
                <w:sz w:val="20"/>
                <w:szCs w:val="20"/>
              </w:rPr>
            </w:pPr>
            <w:r>
              <w:rPr>
                <w:sz w:val="20"/>
                <w:szCs w:val="20"/>
              </w:rPr>
              <w:t>Izkliede</w:t>
            </w:r>
            <w:r w:rsidR="008E3F72" w:rsidRPr="00CD1311">
              <w:rPr>
                <w:sz w:val="20"/>
                <w:szCs w:val="20"/>
              </w:rPr>
              <w:t xml:space="preserve"> pa virsmu</w:t>
            </w:r>
          </w:p>
        </w:tc>
        <w:tc>
          <w:tcPr>
            <w:tcW w:w="657" w:type="pct"/>
            <w:tcBorders>
              <w:top w:val="single" w:sz="12" w:space="0" w:color="000000"/>
              <w:left w:val="nil"/>
              <w:bottom w:val="nil"/>
              <w:right w:val="nil"/>
            </w:tcBorders>
          </w:tcPr>
          <w:p w14:paraId="31195CA7"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 xml:space="preserve">Mēslošanas līdzeklis, </w:t>
            </w:r>
            <w:r w:rsidRPr="00CD1311">
              <w:rPr>
                <w:sz w:val="20"/>
                <w:szCs w:val="20"/>
              </w:rPr>
              <w:lastRenderedPageBreak/>
              <w:t>kam pamatā ir urīnviela</w:t>
            </w:r>
          </w:p>
        </w:tc>
        <w:tc>
          <w:tcPr>
            <w:tcW w:w="663" w:type="pct"/>
            <w:tcBorders>
              <w:top w:val="single" w:sz="12" w:space="0" w:color="000000"/>
              <w:left w:val="nil"/>
              <w:bottom w:val="nil"/>
              <w:right w:val="nil"/>
            </w:tcBorders>
          </w:tcPr>
          <w:p w14:paraId="35044B16"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lastRenderedPageBreak/>
              <w:t>Atsauces emisija</w:t>
            </w:r>
          </w:p>
        </w:tc>
        <w:tc>
          <w:tcPr>
            <w:tcW w:w="1374" w:type="pct"/>
            <w:tcBorders>
              <w:top w:val="single" w:sz="12" w:space="0" w:color="000000"/>
              <w:left w:val="nil"/>
              <w:bottom w:val="nil"/>
              <w:right w:val="nil"/>
            </w:tcBorders>
          </w:tcPr>
          <w:p w14:paraId="00C14B5C" w14:textId="77777777" w:rsidR="008E3F72" w:rsidRPr="00CD1311" w:rsidRDefault="008E3F72" w:rsidP="0010018A">
            <w:pPr>
              <w:widowControl/>
              <w:jc w:val="center"/>
              <w:rPr>
                <w:noProof/>
                <w:sz w:val="20"/>
                <w:szCs w:val="20"/>
              </w:rPr>
            </w:pPr>
          </w:p>
        </w:tc>
        <w:tc>
          <w:tcPr>
            <w:tcW w:w="941" w:type="pct"/>
            <w:tcBorders>
              <w:top w:val="single" w:sz="12" w:space="0" w:color="000000"/>
              <w:left w:val="nil"/>
              <w:bottom w:val="nil"/>
              <w:right w:val="nil"/>
            </w:tcBorders>
          </w:tcPr>
          <w:p w14:paraId="1274BD06" w14:textId="77777777" w:rsidR="008E3F72" w:rsidRPr="00CD1311" w:rsidRDefault="008E3F72" w:rsidP="0010018A">
            <w:pPr>
              <w:widowControl/>
              <w:jc w:val="center"/>
              <w:rPr>
                <w:noProof/>
                <w:sz w:val="20"/>
                <w:szCs w:val="20"/>
              </w:rPr>
            </w:pPr>
          </w:p>
        </w:tc>
        <w:tc>
          <w:tcPr>
            <w:tcW w:w="600" w:type="pct"/>
            <w:tcBorders>
              <w:top w:val="single" w:sz="12" w:space="0" w:color="000000"/>
              <w:left w:val="nil"/>
              <w:bottom w:val="nil"/>
              <w:right w:val="nil"/>
            </w:tcBorders>
          </w:tcPr>
          <w:p w14:paraId="2384564A" w14:textId="77777777" w:rsidR="008E3F72" w:rsidRPr="00CD1311" w:rsidRDefault="008E3F72" w:rsidP="0010018A">
            <w:pPr>
              <w:widowControl/>
              <w:jc w:val="center"/>
              <w:rPr>
                <w:noProof/>
                <w:sz w:val="20"/>
                <w:szCs w:val="20"/>
              </w:rPr>
            </w:pPr>
          </w:p>
        </w:tc>
      </w:tr>
      <w:tr w:rsidR="008E3F72" w:rsidRPr="00CD1311" w14:paraId="4635EC40" w14:textId="77777777" w:rsidTr="0010018A">
        <w:tc>
          <w:tcPr>
            <w:tcW w:w="765" w:type="pct"/>
            <w:tcBorders>
              <w:top w:val="nil"/>
              <w:left w:val="nil"/>
              <w:bottom w:val="nil"/>
              <w:right w:val="nil"/>
            </w:tcBorders>
          </w:tcPr>
          <w:p w14:paraId="3F048648"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lastRenderedPageBreak/>
              <w:t>Urīnvielas inhibitori</w:t>
            </w:r>
          </w:p>
        </w:tc>
        <w:tc>
          <w:tcPr>
            <w:tcW w:w="657" w:type="pct"/>
            <w:tcBorders>
              <w:top w:val="nil"/>
              <w:left w:val="nil"/>
              <w:bottom w:val="nil"/>
              <w:right w:val="nil"/>
            </w:tcBorders>
          </w:tcPr>
          <w:p w14:paraId="2BA05C39"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Mēslošanas līdzeklis, kam pamatā ir urīnviela</w:t>
            </w:r>
          </w:p>
        </w:tc>
        <w:tc>
          <w:tcPr>
            <w:tcW w:w="663" w:type="pct"/>
            <w:tcBorders>
              <w:top w:val="nil"/>
              <w:left w:val="nil"/>
              <w:bottom w:val="nil"/>
              <w:right w:val="nil"/>
            </w:tcBorders>
          </w:tcPr>
          <w:p w14:paraId="41FED39E"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70 % no cietas</w:t>
            </w:r>
          </w:p>
          <w:p w14:paraId="6809373A"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urīnvielas, 40 % no šķidra urīnvielas un amonija nitrāta</w:t>
            </w:r>
          </w:p>
          <w:p w14:paraId="44989C50"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maisījuma</w:t>
            </w:r>
          </w:p>
        </w:tc>
        <w:tc>
          <w:tcPr>
            <w:tcW w:w="1374" w:type="pct"/>
            <w:tcBorders>
              <w:top w:val="nil"/>
              <w:left w:val="nil"/>
              <w:bottom w:val="nil"/>
              <w:right w:val="nil"/>
            </w:tcBorders>
          </w:tcPr>
          <w:p w14:paraId="2DB186A6" w14:textId="77777777" w:rsidR="008E3F72" w:rsidRPr="00CD1311" w:rsidRDefault="008E3F72" w:rsidP="0010018A">
            <w:pPr>
              <w:widowControl/>
              <w:jc w:val="center"/>
              <w:rPr>
                <w:noProof/>
                <w:sz w:val="20"/>
                <w:szCs w:val="20"/>
              </w:rPr>
            </w:pPr>
          </w:p>
        </w:tc>
        <w:tc>
          <w:tcPr>
            <w:tcW w:w="941" w:type="pct"/>
            <w:tcBorders>
              <w:top w:val="nil"/>
              <w:left w:val="nil"/>
              <w:bottom w:val="nil"/>
              <w:right w:val="nil"/>
            </w:tcBorders>
          </w:tcPr>
          <w:p w14:paraId="0E876320"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Visur</w:t>
            </w:r>
          </w:p>
        </w:tc>
        <w:tc>
          <w:tcPr>
            <w:tcW w:w="600" w:type="pct"/>
            <w:tcBorders>
              <w:top w:val="nil"/>
              <w:left w:val="nil"/>
              <w:bottom w:val="nil"/>
              <w:right w:val="nil"/>
            </w:tcBorders>
          </w:tcPr>
          <w:p w14:paraId="7AF28DC6"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-0,5–2,0</w:t>
            </w:r>
          </w:p>
        </w:tc>
      </w:tr>
      <w:tr w:rsidR="008E3F72" w:rsidRPr="00CD1311" w14:paraId="120C3A34" w14:textId="77777777" w:rsidTr="0010018A">
        <w:tc>
          <w:tcPr>
            <w:tcW w:w="765" w:type="pct"/>
            <w:tcBorders>
              <w:top w:val="nil"/>
              <w:left w:val="nil"/>
              <w:bottom w:val="nil"/>
              <w:right w:val="nil"/>
            </w:tcBorders>
          </w:tcPr>
          <w:p w14:paraId="1DB52EE4"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Lēnas darbības mēslošanas līdzeklis (polimēru apvalks)</w:t>
            </w:r>
          </w:p>
        </w:tc>
        <w:tc>
          <w:tcPr>
            <w:tcW w:w="657" w:type="pct"/>
            <w:tcBorders>
              <w:top w:val="nil"/>
              <w:left w:val="nil"/>
              <w:bottom w:val="nil"/>
              <w:right w:val="nil"/>
            </w:tcBorders>
          </w:tcPr>
          <w:p w14:paraId="4AD499EC"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Mēslošanas līdzeklis, kam pamatā ir urīnviela</w:t>
            </w:r>
          </w:p>
        </w:tc>
        <w:tc>
          <w:tcPr>
            <w:tcW w:w="663" w:type="pct"/>
            <w:tcBorders>
              <w:top w:val="nil"/>
              <w:left w:val="nil"/>
              <w:bottom w:val="nil"/>
              <w:right w:val="nil"/>
            </w:tcBorders>
          </w:tcPr>
          <w:p w14:paraId="5921DC4F"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~30</w:t>
            </w:r>
          </w:p>
        </w:tc>
        <w:tc>
          <w:tcPr>
            <w:tcW w:w="1374" w:type="pct"/>
            <w:tcBorders>
              <w:top w:val="nil"/>
              <w:left w:val="nil"/>
              <w:bottom w:val="nil"/>
              <w:right w:val="nil"/>
            </w:tcBorders>
          </w:tcPr>
          <w:p w14:paraId="030D99EB" w14:textId="680FD59B" w:rsidR="008E3F72" w:rsidRPr="00CD1311" w:rsidRDefault="008E3F72" w:rsidP="0010018A">
            <w:pPr>
              <w:pStyle w:val="TableParagraph"/>
              <w:widowControl/>
              <w:kinsoku w:val="0"/>
              <w:overflowPunct w:val="0"/>
              <w:jc w:val="center"/>
              <w:rPr>
                <w:noProof/>
                <w:sz w:val="20"/>
                <w:szCs w:val="20"/>
              </w:rPr>
            </w:pPr>
            <w:r w:rsidRPr="00CD1311">
              <w:rPr>
                <w:sz w:val="20"/>
                <w:szCs w:val="20"/>
              </w:rPr>
              <w:t>Polimēru apvalka veids un veselums; mēslošan</w:t>
            </w:r>
            <w:r w:rsidR="00DF7973">
              <w:rPr>
                <w:sz w:val="20"/>
                <w:szCs w:val="20"/>
              </w:rPr>
              <w:t>as līdzekļa lietošanas metode</w:t>
            </w:r>
            <w:r w:rsidRPr="00CD1311">
              <w:rPr>
                <w:sz w:val="20"/>
                <w:szCs w:val="20"/>
              </w:rPr>
              <w:t xml:space="preserve"> (uz virsmas vai ar inžekcijas palīdzību)</w:t>
            </w:r>
          </w:p>
        </w:tc>
        <w:tc>
          <w:tcPr>
            <w:tcW w:w="941" w:type="pct"/>
            <w:tcBorders>
              <w:top w:val="nil"/>
              <w:left w:val="nil"/>
              <w:bottom w:val="nil"/>
              <w:right w:val="nil"/>
            </w:tcBorders>
          </w:tcPr>
          <w:p w14:paraId="3BD69055"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Visur</w:t>
            </w:r>
          </w:p>
        </w:tc>
        <w:tc>
          <w:tcPr>
            <w:tcW w:w="600" w:type="pct"/>
            <w:tcBorders>
              <w:top w:val="nil"/>
              <w:left w:val="nil"/>
              <w:bottom w:val="nil"/>
              <w:right w:val="nil"/>
            </w:tcBorders>
          </w:tcPr>
          <w:p w14:paraId="316BDD0E"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-0,5–2,0</w:t>
            </w:r>
          </w:p>
        </w:tc>
      </w:tr>
      <w:tr w:rsidR="008E3F72" w:rsidRPr="00CD1311" w14:paraId="475B1A72" w14:textId="77777777" w:rsidTr="0010018A">
        <w:tc>
          <w:tcPr>
            <w:tcW w:w="765" w:type="pct"/>
            <w:tcBorders>
              <w:top w:val="nil"/>
              <w:left w:val="nil"/>
              <w:bottom w:val="nil"/>
              <w:right w:val="nil"/>
            </w:tcBorders>
          </w:tcPr>
          <w:p w14:paraId="7A21A7BE"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Inžekcija slēgtās vagās</w:t>
            </w:r>
          </w:p>
        </w:tc>
        <w:tc>
          <w:tcPr>
            <w:tcW w:w="657" w:type="pct"/>
            <w:tcBorders>
              <w:top w:val="nil"/>
              <w:left w:val="nil"/>
              <w:bottom w:val="nil"/>
              <w:right w:val="nil"/>
            </w:tcBorders>
          </w:tcPr>
          <w:p w14:paraId="782D0F78"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Urīnvielas un bezūdens amonjaka mēslošanas līdzekļi</w:t>
            </w:r>
          </w:p>
        </w:tc>
        <w:tc>
          <w:tcPr>
            <w:tcW w:w="663" w:type="pct"/>
            <w:tcBorders>
              <w:top w:val="nil"/>
              <w:left w:val="nil"/>
              <w:bottom w:val="nil"/>
              <w:right w:val="nil"/>
            </w:tcBorders>
          </w:tcPr>
          <w:p w14:paraId="73B75AB6"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80–90</w:t>
            </w:r>
          </w:p>
        </w:tc>
        <w:tc>
          <w:tcPr>
            <w:tcW w:w="1374" w:type="pct"/>
            <w:tcBorders>
              <w:top w:val="nil"/>
              <w:left w:val="nil"/>
              <w:bottom w:val="nil"/>
              <w:right w:val="nil"/>
            </w:tcBorders>
          </w:tcPr>
          <w:p w14:paraId="5C1FFC84"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Iestrādes dziļums, augsnes struktūra, vagas aizdarīšana (nepilnīgi aizbērtas vagas var izraisīt augstu emisijas līmeni lielās urīnvielas koncentrācijas dēļ vagā, kas paaugstina pH līmeni).</w:t>
            </w:r>
          </w:p>
        </w:tc>
        <w:tc>
          <w:tcPr>
            <w:tcW w:w="941" w:type="pct"/>
            <w:tcBorders>
              <w:top w:val="nil"/>
              <w:left w:val="nil"/>
              <w:bottom w:val="nil"/>
              <w:right w:val="nil"/>
            </w:tcBorders>
          </w:tcPr>
          <w:p w14:paraId="52272C4B"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Uzarta vai minimāli apstrādāta zeme pirms sēšanas vai sēšanas laikā, vai arī mehāniski veiktas nezāļu kontroles laikā pēc uzdīgšanas</w:t>
            </w:r>
          </w:p>
        </w:tc>
        <w:tc>
          <w:tcPr>
            <w:tcW w:w="600" w:type="pct"/>
            <w:tcBorders>
              <w:top w:val="nil"/>
              <w:left w:val="nil"/>
              <w:bottom w:val="nil"/>
              <w:right w:val="nil"/>
            </w:tcBorders>
          </w:tcPr>
          <w:p w14:paraId="43DB1901"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-0,5–1,0</w:t>
            </w:r>
          </w:p>
        </w:tc>
      </w:tr>
      <w:tr w:rsidR="008E3F72" w:rsidRPr="00CD1311" w14:paraId="443D3F4A" w14:textId="77777777" w:rsidTr="0010018A">
        <w:tc>
          <w:tcPr>
            <w:tcW w:w="765" w:type="pct"/>
            <w:tcBorders>
              <w:top w:val="nil"/>
              <w:left w:val="nil"/>
              <w:bottom w:val="nil"/>
              <w:right w:val="nil"/>
            </w:tcBorders>
          </w:tcPr>
          <w:p w14:paraId="0D127483"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Iestrāde</w:t>
            </w:r>
          </w:p>
        </w:tc>
        <w:tc>
          <w:tcPr>
            <w:tcW w:w="657" w:type="pct"/>
            <w:tcBorders>
              <w:top w:val="nil"/>
              <w:left w:val="nil"/>
              <w:bottom w:val="nil"/>
              <w:right w:val="nil"/>
            </w:tcBorders>
          </w:tcPr>
          <w:p w14:paraId="180C8B0D" w14:textId="72C59BF5" w:rsidR="008E3F72" w:rsidRPr="00CD1311" w:rsidRDefault="00DF7973" w:rsidP="0010018A">
            <w:pPr>
              <w:pStyle w:val="TableParagraph"/>
              <w:widowControl/>
              <w:kinsoku w:val="0"/>
              <w:overflowPunct w:val="0"/>
              <w:jc w:val="center"/>
              <w:rPr>
                <w:noProof/>
                <w:sz w:val="20"/>
                <w:szCs w:val="20"/>
              </w:rPr>
            </w:pPr>
            <w:r>
              <w:rPr>
                <w:sz w:val="20"/>
                <w:szCs w:val="20"/>
              </w:rPr>
              <w:t>Mēslošanas līdzekļi, kuriem</w:t>
            </w:r>
            <w:r w:rsidR="008E3F72" w:rsidRPr="00CD1311">
              <w:rPr>
                <w:sz w:val="20"/>
                <w:szCs w:val="20"/>
              </w:rPr>
              <w:t xml:space="preserve"> pamatā ir urīnviela</w:t>
            </w:r>
          </w:p>
        </w:tc>
        <w:tc>
          <w:tcPr>
            <w:tcW w:w="663" w:type="pct"/>
            <w:tcBorders>
              <w:top w:val="nil"/>
              <w:left w:val="nil"/>
              <w:bottom w:val="nil"/>
              <w:right w:val="nil"/>
            </w:tcBorders>
          </w:tcPr>
          <w:p w14:paraId="343F33CF"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50–80</w:t>
            </w:r>
          </w:p>
        </w:tc>
        <w:tc>
          <w:tcPr>
            <w:tcW w:w="1374" w:type="pct"/>
            <w:tcBorders>
              <w:top w:val="nil"/>
              <w:left w:val="nil"/>
              <w:bottom w:val="nil"/>
              <w:right w:val="nil"/>
            </w:tcBorders>
          </w:tcPr>
          <w:p w14:paraId="77B36DFA" w14:textId="7A34EB89" w:rsidR="008E3F72" w:rsidRPr="00CD1311" w:rsidRDefault="00DF7973" w:rsidP="0010018A">
            <w:pPr>
              <w:pStyle w:val="TableParagraph"/>
              <w:widowControl/>
              <w:kinsoku w:val="0"/>
              <w:overflowPunct w:val="0"/>
              <w:jc w:val="center"/>
              <w:rPr>
                <w:noProof/>
                <w:sz w:val="20"/>
                <w:szCs w:val="20"/>
              </w:rPr>
            </w:pPr>
            <w:r>
              <w:rPr>
                <w:sz w:val="20"/>
                <w:szCs w:val="20"/>
              </w:rPr>
              <w:t>Kavēšanās pēc</w:t>
            </w:r>
            <w:r w:rsidR="008E3F72" w:rsidRPr="00CD1311">
              <w:rPr>
                <w:sz w:val="20"/>
                <w:szCs w:val="20"/>
              </w:rPr>
              <w:t xml:space="preserve"> mēslošanas</w:t>
            </w:r>
            <w:r>
              <w:rPr>
                <w:sz w:val="20"/>
                <w:szCs w:val="20"/>
              </w:rPr>
              <w:t xml:space="preserve"> līdzekļa izmantošanas</w:t>
            </w:r>
            <w:r w:rsidR="008E3F72" w:rsidRPr="00CD1311">
              <w:rPr>
                <w:sz w:val="20"/>
                <w:szCs w:val="20"/>
              </w:rPr>
              <w:t>; iejaukšanas dziļums, augsnes struktūra</w:t>
            </w:r>
          </w:p>
        </w:tc>
        <w:tc>
          <w:tcPr>
            <w:tcW w:w="941" w:type="pct"/>
            <w:tcBorders>
              <w:top w:val="nil"/>
              <w:left w:val="nil"/>
              <w:bottom w:val="nil"/>
              <w:right w:val="nil"/>
            </w:tcBorders>
          </w:tcPr>
          <w:p w14:paraId="398F1199"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Uzarta zeme pirms kultūraugu iesakņošanās</w:t>
            </w:r>
          </w:p>
        </w:tc>
        <w:tc>
          <w:tcPr>
            <w:tcW w:w="600" w:type="pct"/>
            <w:tcBorders>
              <w:top w:val="nil"/>
              <w:left w:val="nil"/>
              <w:bottom w:val="nil"/>
              <w:right w:val="nil"/>
            </w:tcBorders>
          </w:tcPr>
          <w:p w14:paraId="40A2E523"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-0,5–2,0</w:t>
            </w:r>
          </w:p>
        </w:tc>
      </w:tr>
      <w:tr w:rsidR="008E3F72" w:rsidRPr="00CD1311" w14:paraId="494CDC6D" w14:textId="77777777" w:rsidTr="0010018A">
        <w:tc>
          <w:tcPr>
            <w:tcW w:w="765" w:type="pct"/>
            <w:tcBorders>
              <w:top w:val="nil"/>
              <w:left w:val="nil"/>
              <w:bottom w:val="nil"/>
              <w:right w:val="nil"/>
            </w:tcBorders>
          </w:tcPr>
          <w:p w14:paraId="7CB1CFF9"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Apūdeņošana</w:t>
            </w:r>
          </w:p>
        </w:tc>
        <w:tc>
          <w:tcPr>
            <w:tcW w:w="657" w:type="pct"/>
            <w:tcBorders>
              <w:top w:val="nil"/>
              <w:left w:val="nil"/>
              <w:bottom w:val="nil"/>
              <w:right w:val="nil"/>
            </w:tcBorders>
          </w:tcPr>
          <w:p w14:paraId="4C847858"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Visur</w:t>
            </w:r>
          </w:p>
        </w:tc>
        <w:tc>
          <w:tcPr>
            <w:tcW w:w="663" w:type="pct"/>
            <w:tcBorders>
              <w:top w:val="nil"/>
              <w:left w:val="nil"/>
              <w:bottom w:val="nil"/>
              <w:right w:val="nil"/>
            </w:tcBorders>
          </w:tcPr>
          <w:p w14:paraId="1109AF99"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40–70</w:t>
            </w:r>
          </w:p>
        </w:tc>
        <w:tc>
          <w:tcPr>
            <w:tcW w:w="1374" w:type="pct"/>
            <w:tcBorders>
              <w:top w:val="nil"/>
              <w:left w:val="nil"/>
              <w:bottom w:val="nil"/>
              <w:right w:val="nil"/>
            </w:tcBorders>
          </w:tcPr>
          <w:p w14:paraId="3BA23C13"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Apūdeņošanas laiks un ūdens daudzums (visefektīvāk,</w:t>
            </w:r>
          </w:p>
          <w:p w14:paraId="59E78748"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ja veic bez kavēšanās daudzumā ~10 mm); augsnes mitrums; augsnes struktūra</w:t>
            </w:r>
          </w:p>
        </w:tc>
        <w:tc>
          <w:tcPr>
            <w:tcW w:w="941" w:type="pct"/>
            <w:tcBorders>
              <w:top w:val="nil"/>
              <w:left w:val="nil"/>
              <w:bottom w:val="nil"/>
              <w:right w:val="nil"/>
            </w:tcBorders>
          </w:tcPr>
          <w:p w14:paraId="223DC1F4"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Vietās, kur parasti veic apūdeņošanu</w:t>
            </w:r>
          </w:p>
        </w:tc>
        <w:tc>
          <w:tcPr>
            <w:tcW w:w="600" w:type="pct"/>
            <w:tcBorders>
              <w:top w:val="nil"/>
              <w:left w:val="nil"/>
              <w:bottom w:val="nil"/>
              <w:right w:val="nil"/>
            </w:tcBorders>
          </w:tcPr>
          <w:p w14:paraId="36467D97"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-0,5–1,0</w:t>
            </w:r>
          </w:p>
        </w:tc>
      </w:tr>
      <w:tr w:rsidR="008E3F72" w:rsidRPr="00CD1311" w14:paraId="01924378" w14:textId="77777777" w:rsidTr="0010018A">
        <w:tc>
          <w:tcPr>
            <w:tcW w:w="765" w:type="pct"/>
            <w:tcBorders>
              <w:top w:val="nil"/>
              <w:left w:val="nil"/>
              <w:bottom w:val="single" w:sz="12" w:space="0" w:color="000000"/>
              <w:right w:val="nil"/>
            </w:tcBorders>
          </w:tcPr>
          <w:p w14:paraId="24B121E2"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Aizstāšana ar amonija nitrātu</w:t>
            </w:r>
          </w:p>
        </w:tc>
        <w:tc>
          <w:tcPr>
            <w:tcW w:w="657" w:type="pct"/>
            <w:tcBorders>
              <w:top w:val="nil"/>
              <w:left w:val="nil"/>
              <w:bottom w:val="single" w:sz="12" w:space="0" w:color="000000"/>
              <w:right w:val="nil"/>
            </w:tcBorders>
          </w:tcPr>
          <w:p w14:paraId="3A6D9E3D"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Urīnvielas un bezūdens amonjaka mēslošanas līdzekļi</w:t>
            </w:r>
          </w:p>
        </w:tc>
        <w:tc>
          <w:tcPr>
            <w:tcW w:w="663" w:type="pct"/>
            <w:tcBorders>
              <w:top w:val="nil"/>
              <w:left w:val="nil"/>
              <w:bottom w:val="single" w:sz="12" w:space="0" w:color="000000"/>
              <w:right w:val="nil"/>
            </w:tcBorders>
          </w:tcPr>
          <w:p w14:paraId="1A5C5A69"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Līdz 90 %</w:t>
            </w:r>
          </w:p>
        </w:tc>
        <w:tc>
          <w:tcPr>
            <w:tcW w:w="1374" w:type="pct"/>
            <w:tcBorders>
              <w:top w:val="nil"/>
              <w:left w:val="nil"/>
              <w:bottom w:val="single" w:sz="12" w:space="0" w:color="000000"/>
              <w:right w:val="nil"/>
            </w:tcBorders>
          </w:tcPr>
          <w:p w14:paraId="64053639"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Apstākļos, kad emisija no mēslošanas līdzekļiem, kam pamatā ir urīnviela, būtu ne mazāka par 40 %.</w:t>
            </w:r>
          </w:p>
        </w:tc>
        <w:tc>
          <w:tcPr>
            <w:tcW w:w="941" w:type="pct"/>
            <w:tcBorders>
              <w:top w:val="nil"/>
              <w:left w:val="nil"/>
              <w:bottom w:val="single" w:sz="12" w:space="0" w:color="000000"/>
              <w:right w:val="nil"/>
            </w:tcBorders>
          </w:tcPr>
          <w:p w14:paraId="36FE1EDF"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Visur, jo īpaši tur, kur mēslošanas līdzekli var tikai izkliedēt pa virsmu un nav iespējams veikt apūdeņošanu</w:t>
            </w:r>
          </w:p>
        </w:tc>
        <w:tc>
          <w:tcPr>
            <w:tcW w:w="600" w:type="pct"/>
            <w:tcBorders>
              <w:top w:val="nil"/>
              <w:left w:val="nil"/>
              <w:bottom w:val="single" w:sz="12" w:space="0" w:color="000000"/>
              <w:right w:val="nil"/>
            </w:tcBorders>
          </w:tcPr>
          <w:p w14:paraId="4DF315A5" w14:textId="77777777" w:rsidR="008E3F72" w:rsidRPr="00CD1311" w:rsidRDefault="008E3F72" w:rsidP="0010018A">
            <w:pPr>
              <w:pStyle w:val="TableParagraph"/>
              <w:widowControl/>
              <w:kinsoku w:val="0"/>
              <w:overflowPunct w:val="0"/>
              <w:jc w:val="center"/>
              <w:rPr>
                <w:noProof/>
                <w:sz w:val="20"/>
                <w:szCs w:val="20"/>
              </w:rPr>
            </w:pPr>
            <w:r w:rsidRPr="00CD1311">
              <w:rPr>
                <w:sz w:val="20"/>
                <w:szCs w:val="20"/>
              </w:rPr>
              <w:t>-0,5–1,0</w:t>
            </w:r>
          </w:p>
        </w:tc>
      </w:tr>
    </w:tbl>
    <w:p w14:paraId="633314FA"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Piezīme. </w:t>
      </w:r>
      <w:r w:rsidRPr="00F35F4D">
        <w:rPr>
          <w:noProof/>
          <w:sz w:val="24"/>
        </w:rPr>
        <w:t>Vietējās izmaksās/guvumos ir atšķirības, bet izmēģinājumos ir pierādīts, ka finanšu guvums no lielāka augu ražīguma pilnībā atsver dažu emisijas samazināšanas paņēmienu tehnoloģiskās izmaksas.</w:t>
      </w:r>
    </w:p>
    <w:p w14:paraId="39B8B87A" w14:textId="77777777" w:rsidR="008E3F72" w:rsidRPr="00F35F4D" w:rsidRDefault="008E3F72" w:rsidP="008E3F72">
      <w:pPr>
        <w:pStyle w:val="BodyText"/>
        <w:widowControl/>
        <w:kinsoku w:val="0"/>
        <w:overflowPunct w:val="0"/>
        <w:spacing w:before="0"/>
        <w:ind w:left="0"/>
        <w:jc w:val="both"/>
        <w:rPr>
          <w:noProof/>
          <w:sz w:val="24"/>
          <w:szCs w:val="24"/>
        </w:rPr>
      </w:pPr>
    </w:p>
    <w:p w14:paraId="7E89F6B6" w14:textId="77777777" w:rsidR="008E3F72" w:rsidRDefault="008E3F72" w:rsidP="008E3F72">
      <w:pPr>
        <w:pStyle w:val="Heading5"/>
        <w:widowControl/>
        <w:kinsoku w:val="0"/>
        <w:overflowPunct w:val="0"/>
        <w:ind w:left="0"/>
        <w:jc w:val="both"/>
        <w:rPr>
          <w:rFonts w:ascii="Times New Roman" w:hAnsi="Times New Roman" w:cs="Times New Roman"/>
          <w:noProof/>
          <w:color w:val="0D0D0D"/>
          <w:sz w:val="24"/>
        </w:rPr>
      </w:pPr>
      <w:r w:rsidRPr="00F35F4D">
        <w:rPr>
          <w:rFonts w:ascii="Times New Roman" w:hAnsi="Times New Roman" w:cs="Times New Roman"/>
          <w:noProof/>
          <w:color w:val="0D0D0D"/>
          <w:sz w:val="24"/>
        </w:rPr>
        <w:t>3. kategorijas paņēmieni</w:t>
      </w:r>
    </w:p>
    <w:p w14:paraId="0CACF1EE" w14:textId="77777777" w:rsidR="00CD1311" w:rsidRPr="00CD1311" w:rsidRDefault="00CD1311" w:rsidP="00CD1311"/>
    <w:p w14:paraId="0DCA8E85" w14:textId="4BE59FA6"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i/>
          <w:noProof/>
          <w:sz w:val="24"/>
        </w:rPr>
        <w:t xml:space="preserve">Urīnvielas iestrāde joslās. </w:t>
      </w:r>
      <w:r w:rsidRPr="00F35F4D">
        <w:rPr>
          <w:noProof/>
          <w:sz w:val="24"/>
        </w:rPr>
        <w:t xml:space="preserve">Šo paņēmienu neiesaka lietot augsnēs ar augstu ureāzes aktivitāti </w:t>
      </w:r>
      <w:r w:rsidR="00DF7973">
        <w:rPr>
          <w:noProof/>
          <w:sz w:val="24"/>
        </w:rPr>
        <w:t>(piemēram, ja uz lauka ir augu atliekas</w:t>
      </w:r>
      <w:r w:rsidRPr="00F35F4D">
        <w:rPr>
          <w:noProof/>
          <w:sz w:val="24"/>
        </w:rPr>
        <w:t xml:space="preserve">) un sliktu urīnvielas absorbcijas spēju, jo NH3 emisija salīdzinājumā ar atsauces paņēmienu var paaugstināties (piemēram, </w:t>
      </w:r>
      <w:r w:rsidRPr="00F35F4D">
        <w:rPr>
          <w:i/>
          <w:noProof/>
          <w:sz w:val="24"/>
        </w:rPr>
        <w:t>Rochette et al.,</w:t>
      </w:r>
      <w:r w:rsidRPr="00F35F4D">
        <w:rPr>
          <w:noProof/>
          <w:sz w:val="24"/>
        </w:rPr>
        <w:t>2009).</w:t>
      </w:r>
    </w:p>
    <w:p w14:paraId="2ECA3519" w14:textId="77777777" w:rsidR="008E3F72" w:rsidRPr="00F35F4D" w:rsidRDefault="008E3F72" w:rsidP="008E3F72">
      <w:pPr>
        <w:pStyle w:val="BodyText"/>
        <w:widowControl/>
        <w:tabs>
          <w:tab w:val="left" w:pos="861"/>
        </w:tabs>
        <w:kinsoku w:val="0"/>
        <w:overflowPunct w:val="0"/>
        <w:spacing w:before="0"/>
        <w:ind w:left="0"/>
        <w:jc w:val="both"/>
        <w:rPr>
          <w:noProof/>
          <w:sz w:val="24"/>
          <w:szCs w:val="24"/>
        </w:rPr>
      </w:pPr>
    </w:p>
    <w:p w14:paraId="1E63BD13" w14:textId="4F86A4D2" w:rsidR="008E3F72" w:rsidRPr="00CD1311" w:rsidRDefault="004C1645" w:rsidP="00CD1311">
      <w:pPr>
        <w:pStyle w:val="BodyText"/>
        <w:widowControl/>
        <w:tabs>
          <w:tab w:val="left" w:pos="861"/>
        </w:tabs>
        <w:kinsoku w:val="0"/>
        <w:overflowPunct w:val="0"/>
        <w:spacing w:before="0"/>
        <w:ind w:left="0"/>
        <w:jc w:val="both"/>
        <w:rPr>
          <w:b/>
          <w:bCs/>
          <w:noProof/>
          <w:color w:val="0D0D0D"/>
          <w:sz w:val="28"/>
          <w:szCs w:val="24"/>
        </w:rPr>
      </w:pPr>
      <w:r>
        <w:rPr>
          <w:b/>
          <w:noProof/>
          <w:color w:val="0D0D0D"/>
          <w:sz w:val="24"/>
        </w:rPr>
        <w:t>B</w:t>
      </w:r>
      <w:r w:rsidR="00CD1311" w:rsidRPr="00CD1311">
        <w:rPr>
          <w:b/>
          <w:noProof/>
          <w:color w:val="0D0D0D"/>
          <w:sz w:val="28"/>
        </w:rPr>
        <w:t>.</w:t>
      </w:r>
      <w:r w:rsidR="008E3F72" w:rsidRPr="00CD1311">
        <w:rPr>
          <w:b/>
          <w:noProof/>
          <w:color w:val="0D0D0D"/>
          <w:sz w:val="28"/>
        </w:rPr>
        <w:t xml:space="preserve"> Mēslošanas līdzekļi, kam pamatā ir sulfāti, fosfāti un nitrāti</w:t>
      </w:r>
    </w:p>
    <w:p w14:paraId="249564E5" w14:textId="77777777" w:rsidR="00CD1311" w:rsidRPr="00F35F4D" w:rsidRDefault="00CD1311" w:rsidP="00CD1311">
      <w:pPr>
        <w:pStyle w:val="BodyText"/>
        <w:widowControl/>
        <w:tabs>
          <w:tab w:val="left" w:pos="861"/>
        </w:tabs>
        <w:kinsoku w:val="0"/>
        <w:overflowPunct w:val="0"/>
        <w:spacing w:before="0"/>
        <w:ind w:left="0"/>
        <w:jc w:val="both"/>
        <w:rPr>
          <w:b/>
          <w:bCs/>
          <w:noProof/>
          <w:color w:val="0D0D0D"/>
          <w:sz w:val="24"/>
          <w:szCs w:val="24"/>
        </w:rPr>
      </w:pPr>
    </w:p>
    <w:p w14:paraId="73595632" w14:textId="77777777"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i/>
          <w:noProof/>
          <w:sz w:val="24"/>
        </w:rPr>
        <w:lastRenderedPageBreak/>
        <w:t xml:space="preserve">Atsauces paņēmiens. </w:t>
      </w:r>
      <w:r w:rsidRPr="00F35F4D">
        <w:rPr>
          <w:noProof/>
          <w:sz w:val="24"/>
        </w:rPr>
        <w:t>Atsauces paņēmiens ir amonija sulfāta un amonija fosfāta mēslošanas līdzekļu izkliedēšana pa zemes virskārtu.</w:t>
      </w:r>
    </w:p>
    <w:p w14:paraId="454CA344" w14:textId="77777777" w:rsidR="008E3F72" w:rsidRPr="00F35F4D" w:rsidRDefault="008E3F72" w:rsidP="008E3F72">
      <w:pPr>
        <w:pStyle w:val="BodyText"/>
        <w:widowControl/>
        <w:kinsoku w:val="0"/>
        <w:overflowPunct w:val="0"/>
        <w:spacing w:before="0"/>
        <w:ind w:left="0"/>
        <w:jc w:val="both"/>
        <w:rPr>
          <w:noProof/>
          <w:sz w:val="24"/>
          <w:szCs w:val="24"/>
        </w:rPr>
      </w:pPr>
    </w:p>
    <w:p w14:paraId="28203F25" w14:textId="77777777" w:rsidR="008E3F72" w:rsidRPr="00F35F4D" w:rsidRDefault="008E3F72" w:rsidP="00C77CF8">
      <w:pPr>
        <w:pStyle w:val="Heading5"/>
        <w:keepNext/>
        <w:widowControl/>
        <w:kinsoku w:val="0"/>
        <w:overflowPunct w:val="0"/>
        <w:ind w:left="0"/>
        <w:jc w:val="both"/>
        <w:rPr>
          <w:rFonts w:ascii="Times New Roman" w:hAnsi="Times New Roman" w:cs="Times New Roman"/>
          <w:noProof/>
          <w:color w:val="0D0D0D"/>
          <w:sz w:val="24"/>
          <w:szCs w:val="24"/>
        </w:rPr>
      </w:pPr>
      <w:r w:rsidRPr="00F35F4D">
        <w:rPr>
          <w:rFonts w:ascii="Times New Roman" w:hAnsi="Times New Roman" w:cs="Times New Roman"/>
          <w:noProof/>
          <w:color w:val="0D0D0D"/>
          <w:sz w:val="24"/>
        </w:rPr>
        <w:t>1. kategorijas paņēmieni</w:t>
      </w:r>
    </w:p>
    <w:p w14:paraId="034DC24E" w14:textId="77777777" w:rsidR="00C77CF8" w:rsidRPr="00C77CF8" w:rsidRDefault="00C77CF8" w:rsidP="00C77CF8">
      <w:pPr>
        <w:pStyle w:val="BodyText"/>
        <w:keepNext/>
        <w:widowControl/>
        <w:tabs>
          <w:tab w:val="left" w:pos="861"/>
        </w:tabs>
        <w:kinsoku w:val="0"/>
        <w:overflowPunct w:val="0"/>
        <w:spacing w:before="0"/>
        <w:ind w:left="0"/>
        <w:jc w:val="both"/>
        <w:rPr>
          <w:noProof/>
          <w:sz w:val="24"/>
          <w:szCs w:val="24"/>
        </w:rPr>
      </w:pPr>
    </w:p>
    <w:p w14:paraId="7823474E" w14:textId="77777777" w:rsidR="008E3F72" w:rsidRPr="00F35F4D" w:rsidRDefault="008E3F72" w:rsidP="00C77CF8">
      <w:pPr>
        <w:pStyle w:val="BodyText"/>
        <w:keepN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Vairākus no paņēmieniem, kas iepriekš tika aprakstīti urīnvielai, var izmantot arī NH3 emisijas samazināšanai no mēslošanas līdzekļiem, kam pamatā ir amonija sulfāts un amonija fosfāts. Risks ir vislielākais, kad šos mēslošanas līdzekļus izmanto kaļķainās augsnēs vai cita veida augsnē ar augstu pH līmeni. Mēslošanas līdzekļiem, kam pamatā ir amonija sulfāts un amonija fosfāts, 1. kategorijas paņēmieni ir šādi: iestrāde, inžekcija, tūlītēja apūdeņošana un lēnas darbības mēslošanas līdzekļi ar polimēru apvalku augsnēs, kur ir augsts pH līmenis (saskaņā ar izmēģinājumu rezultātiem).</w:t>
      </w:r>
    </w:p>
    <w:p w14:paraId="7C736582" w14:textId="77777777" w:rsidR="008E3F72" w:rsidRPr="00F35F4D" w:rsidRDefault="008E3F72" w:rsidP="008E3F72">
      <w:pPr>
        <w:pStyle w:val="BodyText"/>
        <w:widowControl/>
        <w:kinsoku w:val="0"/>
        <w:overflowPunct w:val="0"/>
        <w:spacing w:before="0"/>
        <w:ind w:left="0"/>
        <w:jc w:val="both"/>
        <w:rPr>
          <w:noProof/>
          <w:sz w:val="24"/>
          <w:szCs w:val="24"/>
        </w:rPr>
      </w:pPr>
    </w:p>
    <w:p w14:paraId="720A14E6" w14:textId="77777777" w:rsidR="008E3F72" w:rsidRPr="00F35F4D" w:rsidRDefault="008E3F72" w:rsidP="008E3F72">
      <w:pPr>
        <w:pStyle w:val="Heading5"/>
        <w:widowControl/>
        <w:kinsoku w:val="0"/>
        <w:overflowPunct w:val="0"/>
        <w:ind w:left="0"/>
        <w:jc w:val="both"/>
        <w:rPr>
          <w:rFonts w:ascii="Times New Roman" w:hAnsi="Times New Roman" w:cs="Times New Roman"/>
          <w:noProof/>
          <w:color w:val="0D0D0D"/>
          <w:sz w:val="24"/>
          <w:szCs w:val="24"/>
        </w:rPr>
      </w:pPr>
      <w:r w:rsidRPr="00F35F4D">
        <w:rPr>
          <w:rFonts w:ascii="Times New Roman" w:hAnsi="Times New Roman" w:cs="Times New Roman"/>
          <w:noProof/>
          <w:color w:val="0D0D0D"/>
          <w:sz w:val="24"/>
        </w:rPr>
        <w:t>2. kategorijas paņēmieni</w:t>
      </w:r>
    </w:p>
    <w:p w14:paraId="07D0B252" w14:textId="25530E6B"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Emisija no mēslošanas līdzekļiem, kam pamatā nav urīnviela, piemēram, amonija nitrāta un kalcija amonija nitrāta, ir maza, bet tā daļēji var rasties kā tieša emisija no mēslošanas līdzekļa un daļēji kā netieša emisija no augiem mēslošanas rezultātā. Zāles pļaušana arī veicina NH3 emisiju, jo emisija rodas zālāja ataugšanas rezultāta kā sekas pļaušanas rosinātajai slāpekļa mobilizācijai veģetācijas procesā. Zāles platību mēslošana pirmajās dienās pēc nopļaušanas rada papildu N, un tā rezultātā palielinās emisija kā kopīgas sekas pēc pļaušanas un mēslošanas. Atliekot mēslošanu ar N pēc pļaušanas, zāle spēj atkopties, un NH3 emisija attiecīgi samazinās. Modelēšanas gaitā ir noskaidrots, ka, atliekot mēslošanu ar N uz divām nedēļām, NH3 kopējā emisija (tīrā emisija gada laikā) no nopļautajām un mēslotajām zāles platībām samazinās par 15 %. Līdzīgu ietekmi var panākt, izvēloties citu laiku atkarībā no reģionālajiem apstākļiem. Tomēr šī prakse samazina zāles ražu. Ņemot vērā laika apstākļu radīto mijietekmi un papildu darbu, kas vajadzīgs optimālās laika novirzes noteikš</w:t>
      </w:r>
      <w:r w:rsidR="00DF7973">
        <w:rPr>
          <w:noProof/>
          <w:sz w:val="24"/>
        </w:rPr>
        <w:t>anai atkarībā no dažādām apsaimniekošanas</w:t>
      </w:r>
      <w:r w:rsidRPr="00F35F4D">
        <w:rPr>
          <w:noProof/>
          <w:sz w:val="24"/>
        </w:rPr>
        <w:t xml:space="preserve"> sistēmām, šo paņēmienu iekļauj 2. kategorijā. Pieeju var integrēt VSMLI.</w:t>
      </w:r>
    </w:p>
    <w:p w14:paraId="6C55A384" w14:textId="77777777" w:rsidR="008E3F72" w:rsidRPr="00F35F4D" w:rsidRDefault="008E3F72" w:rsidP="008E3F72">
      <w:pPr>
        <w:pStyle w:val="BodyText"/>
        <w:widowControl/>
        <w:kinsoku w:val="0"/>
        <w:overflowPunct w:val="0"/>
        <w:spacing w:before="0"/>
        <w:ind w:left="0"/>
        <w:jc w:val="both"/>
        <w:rPr>
          <w:noProof/>
          <w:sz w:val="24"/>
          <w:szCs w:val="24"/>
        </w:rPr>
      </w:pPr>
      <w:r w:rsidRPr="00F35F4D">
        <w:br w:type="page"/>
      </w:r>
    </w:p>
    <w:p w14:paraId="31196959" w14:textId="323FC8BE" w:rsidR="00C77CF8" w:rsidRPr="00C77CF8" w:rsidRDefault="00C77CF8" w:rsidP="00C77CF8">
      <w:pPr>
        <w:pStyle w:val="Heading1"/>
        <w:jc w:val="right"/>
        <w:rPr>
          <w:sz w:val="40"/>
        </w:rPr>
      </w:pPr>
      <w:bookmarkStart w:id="17" w:name="_Toc426033269"/>
      <w:r w:rsidRPr="00C77CF8">
        <w:rPr>
          <w:sz w:val="40"/>
        </w:rPr>
        <w:lastRenderedPageBreak/>
        <w:t>9. nodaļa</w:t>
      </w:r>
      <w:bookmarkEnd w:id="17"/>
    </w:p>
    <w:p w14:paraId="36EB4A88" w14:textId="77777777" w:rsidR="00C77CF8" w:rsidRDefault="00C77CF8" w:rsidP="00C77CF8">
      <w:pPr>
        <w:pStyle w:val="Heading1"/>
      </w:pPr>
    </w:p>
    <w:p w14:paraId="378D66BB" w14:textId="5F41EAB0" w:rsidR="008E3F72" w:rsidRDefault="008E3F72" w:rsidP="00C77CF8">
      <w:pPr>
        <w:pStyle w:val="Heading1"/>
      </w:pPr>
      <w:bookmarkStart w:id="18" w:name="_Toc426033270"/>
      <w:r w:rsidRPr="00F35F4D">
        <w:t xml:space="preserve">Citi pasākumi, </w:t>
      </w:r>
      <w:r w:rsidR="00DF7973">
        <w:t>kas saistīti ar lauksaimniecībā radīto</w:t>
      </w:r>
      <w:r w:rsidR="00C77CF8">
        <w:t xml:space="preserve"> </w:t>
      </w:r>
      <w:r w:rsidRPr="00F35F4D">
        <w:t>slāpekli</w:t>
      </w:r>
      <w:bookmarkEnd w:id="18"/>
    </w:p>
    <w:p w14:paraId="30C2829C" w14:textId="77777777" w:rsidR="00C77CF8" w:rsidRPr="00C77CF8" w:rsidRDefault="00C77CF8" w:rsidP="00C77CF8"/>
    <w:p w14:paraId="46AAF5CA"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S. Bittman, M.A. Sutton</w:t>
      </w:r>
    </w:p>
    <w:p w14:paraId="27A428C4" w14:textId="77777777" w:rsidR="008E3F72" w:rsidRPr="00F35F4D" w:rsidRDefault="008E3F72" w:rsidP="008E3F72">
      <w:pPr>
        <w:pStyle w:val="BodyText"/>
        <w:widowControl/>
        <w:kinsoku w:val="0"/>
        <w:overflowPunct w:val="0"/>
        <w:spacing w:before="0"/>
        <w:ind w:left="0"/>
        <w:jc w:val="both"/>
        <w:rPr>
          <w:i/>
          <w:iCs/>
          <w:noProof/>
          <w:sz w:val="24"/>
          <w:szCs w:val="24"/>
        </w:rPr>
      </w:pPr>
    </w:p>
    <w:p w14:paraId="5FBCADA2" w14:textId="5404F52B" w:rsidR="008E3F72" w:rsidRPr="00C77CF8" w:rsidRDefault="00C77CF8" w:rsidP="00C77CF8">
      <w:pPr>
        <w:pStyle w:val="BodyText"/>
        <w:widowControl/>
        <w:tabs>
          <w:tab w:val="left" w:pos="861"/>
        </w:tabs>
        <w:kinsoku w:val="0"/>
        <w:overflowPunct w:val="0"/>
        <w:spacing w:before="0"/>
        <w:ind w:left="0"/>
        <w:jc w:val="both"/>
        <w:rPr>
          <w:b/>
          <w:bCs/>
          <w:noProof/>
          <w:color w:val="0D0D0D"/>
          <w:sz w:val="28"/>
          <w:szCs w:val="24"/>
        </w:rPr>
      </w:pPr>
      <w:r w:rsidRPr="00C77CF8">
        <w:rPr>
          <w:b/>
          <w:noProof/>
          <w:color w:val="0D0D0D"/>
          <w:sz w:val="28"/>
        </w:rPr>
        <w:t xml:space="preserve">A. </w:t>
      </w:r>
      <w:r w:rsidR="008E3F72" w:rsidRPr="00C77CF8">
        <w:rPr>
          <w:b/>
          <w:noProof/>
          <w:color w:val="0D0D0D"/>
          <w:sz w:val="28"/>
        </w:rPr>
        <w:t>Ganības</w:t>
      </w:r>
    </w:p>
    <w:p w14:paraId="39EE3DB4" w14:textId="77777777" w:rsidR="00C77CF8" w:rsidRPr="00F35F4D" w:rsidRDefault="00C77CF8" w:rsidP="00C77CF8">
      <w:pPr>
        <w:pStyle w:val="BodyText"/>
        <w:widowControl/>
        <w:tabs>
          <w:tab w:val="left" w:pos="861"/>
        </w:tabs>
        <w:kinsoku w:val="0"/>
        <w:overflowPunct w:val="0"/>
        <w:spacing w:before="0"/>
        <w:ind w:left="0"/>
        <w:jc w:val="both"/>
        <w:rPr>
          <w:b/>
          <w:bCs/>
          <w:noProof/>
          <w:color w:val="0D0D0D"/>
          <w:sz w:val="24"/>
          <w:szCs w:val="24"/>
        </w:rPr>
      </w:pPr>
    </w:p>
    <w:p w14:paraId="645E1629" w14:textId="53D652E8" w:rsidR="008E3F72" w:rsidRPr="00C77CF8"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Ganībās esošo dzīvnieku urīns bieži iesūcas augsnē, pirms var notikt būtiska NH3 emisija. Tāpēc NH3 emisija uz vienu dzīvnieku ir mazāka ganībās salīdzinājumā ar novietnēs turētie</w:t>
      </w:r>
      <w:r w:rsidR="00DF7973">
        <w:rPr>
          <w:noProof/>
          <w:sz w:val="24"/>
        </w:rPr>
        <w:t>m dzīvniekiem, kuru kūtsmēslus</w:t>
      </w:r>
      <w:r w:rsidRPr="00F35F4D">
        <w:rPr>
          <w:noProof/>
          <w:sz w:val="24"/>
        </w:rPr>
        <w:t xml:space="preserve"> savāc, uzkrāj un izmanto zemes mēslošanai. NH3 emisijas samazinājums, ko sasniedz, pagarinot ganībās pavadīto laiku, ir cita starpā atkarīgs no bāzes, ko izmanto salīdzināšanai (emisija no dzīvniekiem, ko nelaiž ganībās), laika, ko dzīvnieki pavada ganoties, un N mēslojuma daudzuma pļavā. Ganīšanas īpatsvara palielināšanas iespējas dažreiz ierobežo zemes pieejamība, augsnes veids, vides reljefs, saimniecības lielums un struktūra (attālumi), klimatiskie apstākļi utt. Jāievēro, ka papildu ganīšana var paaugstināt cita veida N emisiju (piemēram, N2O, NO3). Tomēr, ņemot vērā skaidri zināmo un labi izskaitļoto ietekmi uz NH3 emisiju, ganīšanu var iekļaut 1. kategorijas paņēmienos (atkarībā no izmaiņām attiecībā starp laiku, kurā dzīvnieki tiek turēti novietnēs, un laiku, kad tie atrodas ganībās, vienā diennaktī (24 stundās)). Par emisijas samazināšanas efektivitāti var uzskatīt relatīvo kopējo NH3 emisiju no ganībām salīdzinājumā ar emisiju no turēšanas novietnēs (skatīt arī 40. un 52. punktu).</w:t>
      </w:r>
    </w:p>
    <w:p w14:paraId="43B41814" w14:textId="77777777" w:rsidR="00C77CF8" w:rsidRPr="00F35F4D" w:rsidRDefault="00C77CF8" w:rsidP="00C77CF8">
      <w:pPr>
        <w:pStyle w:val="BodyText"/>
        <w:widowControl/>
        <w:tabs>
          <w:tab w:val="left" w:pos="861"/>
        </w:tabs>
        <w:kinsoku w:val="0"/>
        <w:overflowPunct w:val="0"/>
        <w:spacing w:before="0"/>
        <w:ind w:left="0"/>
        <w:jc w:val="both"/>
        <w:rPr>
          <w:noProof/>
          <w:sz w:val="24"/>
          <w:szCs w:val="24"/>
        </w:rPr>
      </w:pPr>
    </w:p>
    <w:p w14:paraId="08851BD5" w14:textId="77777777"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Par ietekmi, ko var radīt izmaiņas laikā, kuru dzīvnieki tikai daļēji pavada novietnēs (piemēram, ja viņi ir ganībās tikai dienas stundās), skaidrības ir mazāk, un to vērtē kā 2. kategorijas paņēmienu. Aizstājot pastāvīgu turēšanu kūtī ar atrašanos ganībās tikai kādu dienas daļu, NH3 emisija tiek samazināta mazāk efektīvi nekā, pārejot uz pastāvīgu (24 stundu) ganīšanu, jo ēkas un krātuves, kā iepriekš, tiek piemēslotas un no tām turpina izdalīties NH3 (skatīt arī 40. un 52. punktu).</w:t>
      </w:r>
    </w:p>
    <w:p w14:paraId="7589744C" w14:textId="77777777" w:rsidR="008E3F72" w:rsidRPr="00F35F4D" w:rsidRDefault="008E3F72" w:rsidP="008E3F72">
      <w:pPr>
        <w:pStyle w:val="BodyText"/>
        <w:widowControl/>
        <w:kinsoku w:val="0"/>
        <w:overflowPunct w:val="0"/>
        <w:spacing w:before="0"/>
        <w:ind w:left="0"/>
        <w:jc w:val="both"/>
        <w:rPr>
          <w:noProof/>
          <w:sz w:val="24"/>
          <w:szCs w:val="24"/>
        </w:rPr>
      </w:pPr>
    </w:p>
    <w:p w14:paraId="353F711C" w14:textId="5D3E4BC9" w:rsidR="008E3F72" w:rsidRPr="00C77CF8" w:rsidRDefault="00C77CF8" w:rsidP="00C77CF8">
      <w:pPr>
        <w:pStyle w:val="BodyText"/>
        <w:widowControl/>
        <w:tabs>
          <w:tab w:val="left" w:pos="861"/>
        </w:tabs>
        <w:kinsoku w:val="0"/>
        <w:overflowPunct w:val="0"/>
        <w:spacing w:before="0"/>
        <w:ind w:left="0"/>
        <w:jc w:val="both"/>
        <w:rPr>
          <w:b/>
          <w:bCs/>
          <w:noProof/>
          <w:color w:val="0D0D0D"/>
          <w:sz w:val="28"/>
          <w:szCs w:val="24"/>
        </w:rPr>
      </w:pPr>
      <w:r w:rsidRPr="00C77CF8">
        <w:rPr>
          <w:b/>
          <w:noProof/>
          <w:color w:val="0D0D0D"/>
          <w:sz w:val="28"/>
        </w:rPr>
        <w:t xml:space="preserve">B. </w:t>
      </w:r>
      <w:r w:rsidR="008E3F72" w:rsidRPr="00C77CF8">
        <w:rPr>
          <w:b/>
          <w:noProof/>
          <w:color w:val="0D0D0D"/>
          <w:sz w:val="28"/>
        </w:rPr>
        <w:t>Kūtsmēslu apstrāde</w:t>
      </w:r>
    </w:p>
    <w:p w14:paraId="03C1FA83" w14:textId="77777777" w:rsidR="00C77CF8" w:rsidRPr="00F35F4D" w:rsidRDefault="00C77CF8" w:rsidP="00C77CF8">
      <w:pPr>
        <w:pStyle w:val="BodyText"/>
        <w:widowControl/>
        <w:tabs>
          <w:tab w:val="left" w:pos="861"/>
        </w:tabs>
        <w:kinsoku w:val="0"/>
        <w:overflowPunct w:val="0"/>
        <w:spacing w:before="0"/>
        <w:ind w:left="0"/>
        <w:jc w:val="both"/>
        <w:rPr>
          <w:b/>
          <w:bCs/>
          <w:noProof/>
          <w:color w:val="0D0D0D"/>
          <w:sz w:val="24"/>
          <w:szCs w:val="24"/>
        </w:rPr>
      </w:pPr>
    </w:p>
    <w:p w14:paraId="5DE30F6B" w14:textId="77777777" w:rsidR="008E3F72"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 xml:space="preserve">Ir veikti pētījumi par dažādiem veidiem, kā samazināt NH3 emisiju kūtsmēslu </w:t>
      </w:r>
      <w:r w:rsidRPr="00C77CF8">
        <w:rPr>
          <w:noProof/>
          <w:sz w:val="24"/>
          <w:szCs w:val="24"/>
        </w:rPr>
        <w:t>apstrādes rezultātā. Turpmāk ir norādītas dažas iespējas, kas potenciāli varētu būt daudzsološas.</w:t>
      </w:r>
    </w:p>
    <w:p w14:paraId="23A75F8D" w14:textId="77777777" w:rsidR="00C77CF8" w:rsidRPr="00C77CF8" w:rsidRDefault="00C77CF8" w:rsidP="00C77CF8">
      <w:pPr>
        <w:pStyle w:val="BodyText"/>
        <w:widowControl/>
        <w:tabs>
          <w:tab w:val="left" w:pos="861"/>
        </w:tabs>
        <w:kinsoku w:val="0"/>
        <w:overflowPunct w:val="0"/>
        <w:spacing w:before="0"/>
        <w:ind w:left="0"/>
        <w:jc w:val="both"/>
        <w:rPr>
          <w:noProof/>
          <w:sz w:val="24"/>
          <w:szCs w:val="24"/>
        </w:rPr>
      </w:pPr>
    </w:p>
    <w:p w14:paraId="6AD36A50" w14:textId="7F26E449" w:rsidR="008E3F72" w:rsidRDefault="0022094F" w:rsidP="00C77CF8">
      <w:pPr>
        <w:pStyle w:val="BodyText"/>
        <w:widowControl/>
        <w:numPr>
          <w:ilvl w:val="1"/>
          <w:numId w:val="11"/>
        </w:numPr>
        <w:kinsoku w:val="0"/>
        <w:overflowPunct w:val="0"/>
        <w:spacing w:before="0"/>
        <w:ind w:left="0" w:firstLine="0"/>
        <w:jc w:val="both"/>
        <w:rPr>
          <w:noProof/>
          <w:sz w:val="24"/>
          <w:szCs w:val="24"/>
        </w:rPr>
      </w:pPr>
      <w:r>
        <w:rPr>
          <w:i/>
          <w:sz w:val="24"/>
          <w:szCs w:val="24"/>
        </w:rPr>
        <w:t>P</w:t>
      </w:r>
      <w:r w:rsidR="00DF7973">
        <w:rPr>
          <w:i/>
          <w:sz w:val="24"/>
          <w:szCs w:val="24"/>
        </w:rPr>
        <w:t>akaišu</w:t>
      </w:r>
      <w:r w:rsidR="008E3F72" w:rsidRPr="00C77CF8">
        <w:rPr>
          <w:i/>
          <w:sz w:val="24"/>
          <w:szCs w:val="24"/>
        </w:rPr>
        <w:t xml:space="preserve"> vai šķidro kūtsmēslu kompostēšana, pievienojot cietas vielas. </w:t>
      </w:r>
      <w:r w:rsidR="008E3F72" w:rsidRPr="00C77CF8">
        <w:rPr>
          <w:sz w:val="24"/>
          <w:szCs w:val="24"/>
        </w:rPr>
        <w:t>Eksperimentālie rezultāti ir ļoti atšķirīgi un bieži norāda uz NH3 emisijas palielināšanos; šī iemesla dēļ, veidojot kūtsmēslu kompostēšanas sistēmas, jādomā par papildu metodēm NH3 emisijas samazināšanai no šī avota, piemēram, pārsegu un gaisa attīrīšanas sistēmu izmantošanu.</w:t>
      </w:r>
    </w:p>
    <w:p w14:paraId="67096974" w14:textId="77777777" w:rsidR="00C77CF8" w:rsidRPr="00C77CF8" w:rsidRDefault="00C77CF8" w:rsidP="00C77CF8">
      <w:pPr>
        <w:pStyle w:val="BodyText"/>
        <w:widowControl/>
        <w:kinsoku w:val="0"/>
        <w:overflowPunct w:val="0"/>
        <w:spacing w:before="0"/>
        <w:ind w:left="0"/>
        <w:jc w:val="both"/>
        <w:rPr>
          <w:noProof/>
          <w:sz w:val="24"/>
          <w:szCs w:val="24"/>
        </w:rPr>
      </w:pPr>
    </w:p>
    <w:p w14:paraId="4BA27539" w14:textId="77777777" w:rsidR="008E3F72" w:rsidRDefault="008E3F72" w:rsidP="00C77CF8">
      <w:pPr>
        <w:pStyle w:val="BodyText"/>
        <w:widowControl/>
        <w:numPr>
          <w:ilvl w:val="1"/>
          <w:numId w:val="11"/>
        </w:numPr>
        <w:kinsoku w:val="0"/>
        <w:overflowPunct w:val="0"/>
        <w:spacing w:before="0"/>
        <w:ind w:left="0" w:firstLine="0"/>
        <w:jc w:val="both"/>
        <w:rPr>
          <w:noProof/>
          <w:sz w:val="24"/>
          <w:szCs w:val="24"/>
        </w:rPr>
      </w:pPr>
      <w:r w:rsidRPr="00C77CF8">
        <w:rPr>
          <w:i/>
          <w:sz w:val="24"/>
          <w:szCs w:val="24"/>
        </w:rPr>
        <w:t>Kontrolējami šķidro kūtsmēslu denitrifikācijas procesi.</w:t>
      </w:r>
      <w:r w:rsidRPr="00C77CF8">
        <w:rPr>
          <w:sz w:val="24"/>
          <w:szCs w:val="24"/>
        </w:rPr>
        <w:t xml:space="preserve"> Eksperimentālas krātuves liecina par to, ka NH3 emisiju varētu samazināt, pārveidojot amoniju N2 gāzē kontrolētas denitrifikācijas rezultātā (aerobiem apstākļiem mijoties ar anaerobiem apstākļiem).</w:t>
      </w:r>
      <w:r w:rsidRPr="00C77CF8">
        <w:rPr>
          <w:noProof/>
          <w:sz w:val="24"/>
          <w:szCs w:val="24"/>
        </w:rPr>
        <w:t xml:space="preserve"> Tam ir vajadzīgs īpašs reaktors. Vajadzīgi papildu pētījumi, lai noskaidrotu, cik šī sistēma ir efektīva un droša un kā tā ietekmē cita veida emisiju.</w:t>
      </w:r>
    </w:p>
    <w:p w14:paraId="26A69781" w14:textId="77777777" w:rsidR="00C77CF8" w:rsidRDefault="00C77CF8" w:rsidP="00C77CF8">
      <w:pPr>
        <w:pStyle w:val="ListParagraph"/>
        <w:rPr>
          <w:noProof/>
        </w:rPr>
      </w:pPr>
    </w:p>
    <w:p w14:paraId="6F1F810C" w14:textId="77777777" w:rsidR="00C77CF8" w:rsidRPr="00C77CF8" w:rsidRDefault="00C77CF8" w:rsidP="00C77CF8">
      <w:pPr>
        <w:pStyle w:val="BodyText"/>
        <w:widowControl/>
        <w:kinsoku w:val="0"/>
        <w:overflowPunct w:val="0"/>
        <w:spacing w:before="0"/>
        <w:ind w:left="0"/>
        <w:jc w:val="both"/>
        <w:rPr>
          <w:noProof/>
          <w:sz w:val="24"/>
          <w:szCs w:val="24"/>
        </w:rPr>
      </w:pPr>
    </w:p>
    <w:p w14:paraId="3277F6C8" w14:textId="5228401B" w:rsidR="008E3F72" w:rsidRDefault="00DF7973" w:rsidP="00C77CF8">
      <w:pPr>
        <w:pStyle w:val="BodyText"/>
        <w:widowControl/>
        <w:numPr>
          <w:ilvl w:val="1"/>
          <w:numId w:val="11"/>
        </w:numPr>
        <w:kinsoku w:val="0"/>
        <w:overflowPunct w:val="0"/>
        <w:spacing w:before="0"/>
        <w:ind w:left="0" w:firstLine="0"/>
        <w:jc w:val="both"/>
        <w:rPr>
          <w:noProof/>
          <w:sz w:val="24"/>
          <w:szCs w:val="24"/>
        </w:rPr>
      </w:pPr>
      <w:r>
        <w:rPr>
          <w:i/>
          <w:sz w:val="24"/>
          <w:szCs w:val="24"/>
        </w:rPr>
        <w:t xml:space="preserve">Kūtsmēslu separācija </w:t>
      </w:r>
      <w:r w:rsidR="008E3F72" w:rsidRPr="00C77CF8">
        <w:rPr>
          <w:i/>
          <w:sz w:val="24"/>
          <w:szCs w:val="24"/>
        </w:rPr>
        <w:t>P</w:t>
      </w:r>
      <w:r>
        <w:rPr>
          <w:i/>
          <w:sz w:val="24"/>
          <w:szCs w:val="24"/>
        </w:rPr>
        <w:t xml:space="preserve"> atdalīšanai</w:t>
      </w:r>
      <w:r w:rsidR="008E3F72" w:rsidRPr="00C77CF8">
        <w:rPr>
          <w:i/>
          <w:sz w:val="24"/>
          <w:szCs w:val="24"/>
        </w:rPr>
        <w:t xml:space="preserve"> vai izmantošanai pakaišiem.</w:t>
      </w:r>
      <w:r w:rsidR="008E3F72" w:rsidRPr="00C77CF8">
        <w:rPr>
          <w:noProof/>
          <w:sz w:val="24"/>
          <w:szCs w:val="24"/>
        </w:rPr>
        <w:t xml:space="preserve"> Emisija no šīm sistēmām vēl nav līdz galam izpētīta.</w:t>
      </w:r>
    </w:p>
    <w:p w14:paraId="0A2D1FAD" w14:textId="77777777" w:rsidR="00C77CF8" w:rsidRPr="00C77CF8" w:rsidRDefault="00C77CF8" w:rsidP="00C77CF8">
      <w:pPr>
        <w:pStyle w:val="BodyText"/>
        <w:widowControl/>
        <w:kinsoku w:val="0"/>
        <w:overflowPunct w:val="0"/>
        <w:spacing w:before="0"/>
        <w:ind w:left="0"/>
        <w:jc w:val="both"/>
        <w:rPr>
          <w:noProof/>
          <w:sz w:val="24"/>
          <w:szCs w:val="24"/>
        </w:rPr>
      </w:pPr>
    </w:p>
    <w:p w14:paraId="0D2746A7" w14:textId="6EFB169D" w:rsidR="008E3F72" w:rsidRPr="00C77CF8" w:rsidRDefault="008E3F72" w:rsidP="00943494">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noProof/>
          <w:sz w:val="24"/>
          <w:szCs w:val="24"/>
        </w:rPr>
        <w:t>Kopumā kūtsmēslu apstrādes iespēju efektivitātes izpēte jāveic konkrētas valsts vai saimniecības apstākļos. Papildu NH3 emisijai jāvērtē ci</w:t>
      </w:r>
      <w:r w:rsidR="00DF7973">
        <w:rPr>
          <w:noProof/>
          <w:sz w:val="24"/>
          <w:szCs w:val="24"/>
        </w:rPr>
        <w:t>ta veida emisijas, barības elementu</w:t>
      </w:r>
      <w:r w:rsidRPr="00C77CF8">
        <w:rPr>
          <w:noProof/>
          <w:sz w:val="24"/>
          <w:szCs w:val="24"/>
        </w:rPr>
        <w:t xml:space="preserve"> aizplūšana un iespējas piemērot sistēmu saimniecības apstākļos. Minēto neskaidrību dēļ šie pasākumi parasti jāiekļauj 2. vai 3. kategorijā. Izņēmums ir gaisa attīrīšanas sistēmu izmantošana kūtsmēslu kompostēšanas telpas (1. kategorija); tās ir rūpīgi pārbaudītas, bet saistītas ar ievērojamām izmaksām.</w:t>
      </w:r>
    </w:p>
    <w:p w14:paraId="36CE25F9" w14:textId="77777777" w:rsidR="008E3F72" w:rsidRPr="00C77CF8" w:rsidRDefault="008E3F72" w:rsidP="008E3F72">
      <w:pPr>
        <w:pStyle w:val="BodyText"/>
        <w:widowControl/>
        <w:kinsoku w:val="0"/>
        <w:overflowPunct w:val="0"/>
        <w:spacing w:before="0"/>
        <w:ind w:left="0"/>
        <w:jc w:val="both"/>
        <w:rPr>
          <w:noProof/>
          <w:sz w:val="24"/>
          <w:szCs w:val="24"/>
        </w:rPr>
      </w:pPr>
    </w:p>
    <w:p w14:paraId="1D9388DE" w14:textId="79773D36" w:rsidR="008E3F72" w:rsidRPr="00C77CF8" w:rsidRDefault="00C77CF8" w:rsidP="00C77CF8">
      <w:pPr>
        <w:pStyle w:val="Heading3"/>
        <w:widowControl/>
        <w:tabs>
          <w:tab w:val="left" w:pos="861"/>
        </w:tabs>
        <w:kinsoku w:val="0"/>
        <w:overflowPunct w:val="0"/>
        <w:ind w:left="0" w:firstLine="0"/>
        <w:jc w:val="both"/>
        <w:rPr>
          <w:rFonts w:ascii="Times New Roman" w:hAnsi="Times New Roman" w:cs="Times New Roman"/>
          <w:noProof/>
          <w:color w:val="0D0D0D"/>
          <w:szCs w:val="24"/>
        </w:rPr>
      </w:pPr>
      <w:bookmarkStart w:id="19" w:name="_Toc426033271"/>
      <w:r w:rsidRPr="00C77CF8">
        <w:rPr>
          <w:rFonts w:ascii="Times New Roman" w:hAnsi="Times New Roman" w:cs="Times New Roman"/>
          <w:noProof/>
          <w:color w:val="0D0D0D"/>
          <w:szCs w:val="24"/>
        </w:rPr>
        <w:t xml:space="preserve">C. </w:t>
      </w:r>
      <w:r w:rsidR="008E3F72" w:rsidRPr="00C77CF8">
        <w:rPr>
          <w:rFonts w:ascii="Times New Roman" w:hAnsi="Times New Roman" w:cs="Times New Roman"/>
          <w:noProof/>
          <w:color w:val="0D0D0D"/>
          <w:szCs w:val="24"/>
        </w:rPr>
        <w:t>Kūtsmēslu izmantošana ārpus lauksaimniecības</w:t>
      </w:r>
      <w:bookmarkEnd w:id="19"/>
    </w:p>
    <w:p w14:paraId="3C0B0F07" w14:textId="77777777" w:rsidR="00C77CF8" w:rsidRPr="00C77CF8" w:rsidRDefault="00C77CF8" w:rsidP="00C77CF8">
      <w:pPr>
        <w:pStyle w:val="ListParagraph"/>
        <w:ind w:left="860"/>
      </w:pPr>
    </w:p>
    <w:p w14:paraId="3FF66419" w14:textId="255AE12E"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noProof/>
          <w:sz w:val="24"/>
          <w:szCs w:val="24"/>
        </w:rPr>
        <w:t xml:space="preserve">Ja kūtsmēslus izmanto ārpus lauksaimniecības, tad lauksaimniecībā radītā emisija samazinās. Šādu izmantošanas veidu piemēri, kas dažās valstīs jau ir plaši izplatīti, ir mājputnu mēslu sadedzināšana un </w:t>
      </w:r>
      <w:r w:rsidRPr="00F35F4D">
        <w:rPr>
          <w:noProof/>
          <w:sz w:val="24"/>
        </w:rPr>
        <w:t>zirgu un putnu mēslu izmantošana sēņu audzēšanas nozarē. Panāktais emisijas samazinājums ir atkarīgs no tā, cik ātri kūtsmēslus izved no saimniecības un kā tos apstrādā. Kopējās emisijas samazinājumu var panākt tikai tad, ja pati kūtsmēslu izmantošana nerada lielu emisiju (iekaitot arī cita veida emisiju nekā NH3). Piemēram, kūtsmēslu izmantošana dārzkopībā vai kūtsmēslu eksportēšana uz citām valstīm nesamazina kopējo emisiju. Jāņem vērā arī citi vides aspekti, piemēram, mājputnu pakaišu sadedzināšana ir atjaun</w:t>
      </w:r>
      <w:r w:rsidR="00BE45DA">
        <w:rPr>
          <w:noProof/>
          <w:sz w:val="24"/>
        </w:rPr>
        <w:t>ojams enerģijas avots, bet visi barības elementi</w:t>
      </w:r>
      <w:r w:rsidRPr="00F35F4D">
        <w:rPr>
          <w:noProof/>
          <w:sz w:val="24"/>
        </w:rPr>
        <w:t>, kas atrodas pakaišos, nenonāk atpakaļ lauksaimniecībā.</w:t>
      </w:r>
    </w:p>
    <w:p w14:paraId="6A6AD671" w14:textId="77777777" w:rsidR="008E3F72" w:rsidRPr="00F35F4D" w:rsidRDefault="008E3F72" w:rsidP="008E3F72">
      <w:pPr>
        <w:pStyle w:val="BodyText"/>
        <w:widowControl/>
        <w:kinsoku w:val="0"/>
        <w:overflowPunct w:val="0"/>
        <w:spacing w:before="0"/>
        <w:ind w:left="0"/>
        <w:jc w:val="both"/>
        <w:rPr>
          <w:noProof/>
          <w:sz w:val="24"/>
          <w:szCs w:val="24"/>
        </w:rPr>
      </w:pPr>
      <w:r w:rsidRPr="00F35F4D">
        <w:br w:type="page"/>
      </w:r>
    </w:p>
    <w:p w14:paraId="56A8F64A" w14:textId="1A5C1FB1" w:rsidR="00C77CF8" w:rsidRPr="00C77CF8" w:rsidRDefault="00C77CF8" w:rsidP="00C77CF8">
      <w:pPr>
        <w:pStyle w:val="Heading1"/>
        <w:jc w:val="right"/>
        <w:rPr>
          <w:sz w:val="40"/>
        </w:rPr>
      </w:pPr>
      <w:bookmarkStart w:id="20" w:name="_Toc426033272"/>
      <w:r w:rsidRPr="00C77CF8">
        <w:rPr>
          <w:sz w:val="40"/>
        </w:rPr>
        <w:lastRenderedPageBreak/>
        <w:t>10. nodaļa</w:t>
      </w:r>
      <w:bookmarkEnd w:id="20"/>
    </w:p>
    <w:p w14:paraId="2AFD4A3A" w14:textId="77777777" w:rsidR="00C77CF8" w:rsidRDefault="00C77CF8" w:rsidP="00C77CF8">
      <w:pPr>
        <w:pStyle w:val="Heading1"/>
      </w:pPr>
    </w:p>
    <w:p w14:paraId="1FB19235" w14:textId="3109CCC6" w:rsidR="008E3F72" w:rsidRDefault="008E3F72" w:rsidP="00C77CF8">
      <w:pPr>
        <w:pStyle w:val="Heading1"/>
      </w:pPr>
      <w:bookmarkStart w:id="21" w:name="_Toc426033273"/>
      <w:r w:rsidRPr="00C77CF8">
        <w:t>Nelauksaimnieciskie stacionārie un mobilie emisijas avoti</w:t>
      </w:r>
      <w:bookmarkEnd w:id="21"/>
    </w:p>
    <w:p w14:paraId="08DD68CA" w14:textId="77777777" w:rsidR="00C77CF8" w:rsidRPr="00C77CF8" w:rsidRDefault="00C77CF8" w:rsidP="00C77CF8">
      <w:pPr>
        <w:pStyle w:val="ListParagraph"/>
        <w:ind w:left="860"/>
      </w:pPr>
    </w:p>
    <w:p w14:paraId="7A42B6F8"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S. Bittman, M. Dedina, O. Oenema, M.A. Sutton</w:t>
      </w:r>
    </w:p>
    <w:p w14:paraId="6C723F61" w14:textId="77777777" w:rsidR="008E3F72" w:rsidRPr="00F35F4D" w:rsidRDefault="008E3F72" w:rsidP="008E3F72">
      <w:pPr>
        <w:pStyle w:val="BodyText"/>
        <w:widowControl/>
        <w:kinsoku w:val="0"/>
        <w:overflowPunct w:val="0"/>
        <w:spacing w:before="0"/>
        <w:ind w:left="0"/>
        <w:jc w:val="both"/>
        <w:rPr>
          <w:i/>
          <w:iCs/>
          <w:noProof/>
          <w:sz w:val="24"/>
          <w:szCs w:val="24"/>
        </w:rPr>
      </w:pPr>
    </w:p>
    <w:p w14:paraId="75F64CAB" w14:textId="77777777" w:rsidR="008E3F72" w:rsidRPr="00C77CF8"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Ir daudzi nelauksaimnieciski NH3 avoti, tostarp autotransports, atkritumu apsaimniekošana, cietā kurināmā dedzināšana dzīvojamās mājās un dažāda veida rūpnieciskā ražošana, kurā visievērojamāko vietu Eiropā ieņem mēslošanas līdzekļu ražošana. Ir arī maza, bet, kopā ņemot, būtiska dabisko emisijas avotu grupa, kas iekļauj, piemēram, cilvēka elpu un sviedrus un savvaļas dzīvnieku radīto emisiju (</w:t>
      </w:r>
      <w:r w:rsidRPr="00F35F4D">
        <w:rPr>
          <w:i/>
          <w:noProof/>
          <w:sz w:val="24"/>
        </w:rPr>
        <w:t>Sutton et al.</w:t>
      </w:r>
      <w:r w:rsidRPr="00F35F4D">
        <w:rPr>
          <w:noProof/>
          <w:sz w:val="24"/>
        </w:rPr>
        <w:t>, 2000). EEK protokolos ziņošanai par emisiju pašlaik netiek nošķirti dabiskie un antropogēnie avoti tā, kā tas ir gaistošo organisko savienojumu (GOS) gadījumā.</w:t>
      </w:r>
    </w:p>
    <w:p w14:paraId="5B38810C" w14:textId="77777777" w:rsidR="00C77CF8" w:rsidRPr="00F35F4D" w:rsidRDefault="00C77CF8" w:rsidP="00C77CF8">
      <w:pPr>
        <w:pStyle w:val="BodyText"/>
        <w:widowControl/>
        <w:tabs>
          <w:tab w:val="left" w:pos="861"/>
        </w:tabs>
        <w:kinsoku w:val="0"/>
        <w:overflowPunct w:val="0"/>
        <w:spacing w:before="0"/>
        <w:ind w:left="0"/>
        <w:jc w:val="both"/>
        <w:rPr>
          <w:noProof/>
          <w:sz w:val="24"/>
          <w:szCs w:val="24"/>
        </w:rPr>
      </w:pPr>
    </w:p>
    <w:p w14:paraId="04E833A3" w14:textId="77777777"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Daudzas no šīm jomām vieno tas, ka NH3 emisija tur agrāk nav ņemta vērā. Kā turpmāk norādīts, tas jo īpaši attiecas uz transportu. Tāpēc pirmais ieteikums par to, kā samazināt NH3 emisiju no nelauksaimnieciskajiem avotiem, ir nodrošināt, lai NH3 tiktu ņemts vērā, izvērtējot rūpniecisko darbību un citus avotus. Ja tiek konstatēta NH3 emisijas rašanās vai potenciāla paaugstināšanās kādu tehnisku jauninājumu rezultātā, uzņēmējiem un projektētājiem jāapsver veidi, kā sistēmas varētu optimizēt, lai emisiju novērstu vai pēc iespējas samazinātu.</w:t>
      </w:r>
    </w:p>
    <w:p w14:paraId="5B119CE6" w14:textId="77777777" w:rsidR="008E3F72" w:rsidRPr="00F35F4D" w:rsidRDefault="008E3F72" w:rsidP="008E3F72">
      <w:pPr>
        <w:pStyle w:val="BodyText"/>
        <w:widowControl/>
        <w:kinsoku w:val="0"/>
        <w:overflowPunct w:val="0"/>
        <w:spacing w:before="0"/>
        <w:ind w:left="0"/>
        <w:jc w:val="both"/>
        <w:rPr>
          <w:noProof/>
          <w:sz w:val="24"/>
          <w:szCs w:val="24"/>
        </w:rPr>
      </w:pPr>
    </w:p>
    <w:p w14:paraId="4DBD1598" w14:textId="21BB8898" w:rsidR="008E3F72" w:rsidRPr="00C77CF8" w:rsidRDefault="00C77CF8" w:rsidP="00C77CF8">
      <w:pPr>
        <w:pStyle w:val="BodyText"/>
        <w:widowControl/>
        <w:tabs>
          <w:tab w:val="left" w:pos="861"/>
        </w:tabs>
        <w:kinsoku w:val="0"/>
        <w:overflowPunct w:val="0"/>
        <w:spacing w:before="0"/>
        <w:ind w:left="0"/>
        <w:jc w:val="both"/>
        <w:rPr>
          <w:b/>
          <w:bCs/>
          <w:noProof/>
          <w:color w:val="0D0D0D"/>
          <w:sz w:val="28"/>
          <w:szCs w:val="24"/>
        </w:rPr>
      </w:pPr>
      <w:r w:rsidRPr="00C77CF8">
        <w:rPr>
          <w:b/>
          <w:noProof/>
          <w:color w:val="0D0D0D"/>
          <w:sz w:val="28"/>
        </w:rPr>
        <w:t xml:space="preserve">A. </w:t>
      </w:r>
      <w:r w:rsidR="008E3F72" w:rsidRPr="00C77CF8">
        <w:rPr>
          <w:b/>
          <w:noProof/>
          <w:color w:val="0D0D0D"/>
          <w:sz w:val="28"/>
        </w:rPr>
        <w:t>Vispārēji paņēmieni</w:t>
      </w:r>
    </w:p>
    <w:p w14:paraId="69F25397" w14:textId="77777777" w:rsidR="008E3F72" w:rsidRPr="00F35F4D" w:rsidRDefault="008E3F72" w:rsidP="008E3F72">
      <w:pPr>
        <w:pStyle w:val="BodyText"/>
        <w:widowControl/>
        <w:tabs>
          <w:tab w:val="left" w:pos="861"/>
        </w:tabs>
        <w:kinsoku w:val="0"/>
        <w:overflowPunct w:val="0"/>
        <w:spacing w:before="0"/>
        <w:ind w:left="0"/>
        <w:jc w:val="both"/>
        <w:rPr>
          <w:b/>
          <w:bCs/>
          <w:noProof/>
          <w:color w:val="0D0D0D"/>
          <w:sz w:val="24"/>
          <w:szCs w:val="24"/>
        </w:rPr>
      </w:pPr>
    </w:p>
    <w:p w14:paraId="107DACDD" w14:textId="77777777"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b/>
        </w:rPr>
        <w:t>Venturi skruberi</w:t>
      </w:r>
      <w:r w:rsidRPr="00F35F4D">
        <w:t xml:space="preserve"> ir piemēroti lielai gāzes plūsmai ar augstu NH3 koncentrāciju.</w:t>
      </w:r>
      <w:r w:rsidRPr="00F35F4D">
        <w:rPr>
          <w:noProof/>
          <w:sz w:val="24"/>
        </w:rPr>
        <w:t xml:space="preserve"> Izmaksas par emisiju samazināšanu ir aptuveni 3500 € par tonnu, neņemot vērā notekūdeņu attīrīšanas izmaksas. Kā visos šajā sadaļā aplūkotajos gadījumos, faktiskā izmaksu efektivitāte ir atkarīga no iekārtas lieluma, NH3 koncentrācijas un citiem faktoriem.</w:t>
      </w:r>
    </w:p>
    <w:p w14:paraId="55A28D57" w14:textId="2A7D70E9" w:rsidR="008E3F72" w:rsidRPr="00C77CF8" w:rsidRDefault="008E3F72" w:rsidP="00943494">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b/>
        </w:rPr>
        <w:t>Atšķaidītas skābes skruberi,</w:t>
      </w:r>
      <w:r w:rsidRPr="00F35F4D">
        <w:t xml:space="preserve"> ko veido ar absorbentu pildīts tornis, kurā cirkulē vājš skābes ūdens šķīdums, gadā var apstrādāt 50 līdz 500 tonnu lielu plūsmu.</w:t>
      </w:r>
      <w:r w:rsidRPr="00C77CF8">
        <w:rPr>
          <w:noProof/>
          <w:sz w:val="24"/>
        </w:rPr>
        <w:t xml:space="preserve"> Šķēršļi šīs tehnoloģijas izmantošanai ir ierobežota piemērotība lielām gāzes plūsmām, potenciāli augstas notekūdeņu attīrīšanas izmaksas un drošības apdraudējums, kas saistīts ar sērskābes </w:t>
      </w:r>
      <w:r w:rsidR="00BE45DA">
        <w:rPr>
          <w:noProof/>
          <w:sz w:val="24"/>
        </w:rPr>
        <w:t>uz</w:t>
      </w:r>
      <w:r w:rsidRPr="00C77CF8">
        <w:rPr>
          <w:noProof/>
          <w:sz w:val="24"/>
        </w:rPr>
        <w:t>glabāšanu. Informācijā par izmaksām ir lielas atšķirības – no</w:t>
      </w:r>
      <w:r w:rsidR="00C77CF8">
        <w:rPr>
          <w:noProof/>
          <w:sz w:val="24"/>
        </w:rPr>
        <w:t xml:space="preserve"> </w:t>
      </w:r>
      <w:r w:rsidRPr="00C77CF8">
        <w:rPr>
          <w:noProof/>
          <w:sz w:val="24"/>
        </w:rPr>
        <w:t>180 līdz 26 000 € par NH3 tonnu. Arī šajā gadījumā atšķirības lielā mērā ir atkarīgas no iekārtas lieluma un NH3 plūsmas ātruma.</w:t>
      </w:r>
    </w:p>
    <w:p w14:paraId="5A34CF1B" w14:textId="77777777" w:rsidR="00C77CF8" w:rsidRPr="00C77CF8" w:rsidRDefault="00C77CF8" w:rsidP="00C77CF8">
      <w:pPr>
        <w:pStyle w:val="BodyText"/>
        <w:widowControl/>
        <w:tabs>
          <w:tab w:val="left" w:pos="861"/>
        </w:tabs>
        <w:kinsoku w:val="0"/>
        <w:overflowPunct w:val="0"/>
        <w:spacing w:before="0"/>
        <w:ind w:left="0"/>
        <w:jc w:val="both"/>
        <w:rPr>
          <w:noProof/>
          <w:sz w:val="24"/>
          <w:szCs w:val="24"/>
        </w:rPr>
      </w:pPr>
    </w:p>
    <w:p w14:paraId="3DD14900" w14:textId="65DC709F" w:rsidR="008E3F72" w:rsidRPr="00C77CF8" w:rsidRDefault="008E3F72" w:rsidP="00943494">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noProof/>
          <w:sz w:val="24"/>
        </w:rPr>
        <w:t>Reģeneratīvas termiskas oksidēšanās reakcijā gāzes plūsmā esošā NH3 sadedzināšanai izmanto papildu kurināmo (parasti dabasgāzi),</w:t>
      </w:r>
      <w:r w:rsidR="00C77CF8">
        <w:rPr>
          <w:noProof/>
          <w:sz w:val="24"/>
        </w:rPr>
        <w:t xml:space="preserve"> </w:t>
      </w:r>
      <w:r w:rsidRPr="00C77CF8">
        <w:rPr>
          <w:noProof/>
          <w:sz w:val="24"/>
        </w:rPr>
        <w:t>un tiek minētas izmaksas no 1900 līdz 9100 € par NH3 tonnu.</w:t>
      </w:r>
    </w:p>
    <w:p w14:paraId="54D95E33" w14:textId="77777777" w:rsidR="00C77CF8" w:rsidRPr="00C77CF8" w:rsidRDefault="00C77CF8" w:rsidP="00C77CF8">
      <w:pPr>
        <w:pStyle w:val="BodyText"/>
        <w:widowControl/>
        <w:tabs>
          <w:tab w:val="left" w:pos="861"/>
        </w:tabs>
        <w:kinsoku w:val="0"/>
        <w:overflowPunct w:val="0"/>
        <w:spacing w:before="0"/>
        <w:ind w:left="0"/>
        <w:jc w:val="both"/>
        <w:rPr>
          <w:noProof/>
          <w:sz w:val="24"/>
          <w:szCs w:val="24"/>
        </w:rPr>
      </w:pPr>
    </w:p>
    <w:p w14:paraId="580649A4" w14:textId="6DF053CA" w:rsidR="008E3F72" w:rsidRPr="00C77CF8" w:rsidRDefault="008E3F72" w:rsidP="00943494">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noProof/>
          <w:sz w:val="24"/>
        </w:rPr>
        <w:t>Biofiltrācija ir piemērota maza apjoma gāzes plūsmām ar zemu NH3 emisiju, un tā samazina emisiju par aptuveni 1 tonnu gadā. Tā ir vislētākā sistēma maziem emisijas avotiem. Izmaksas par emisijas samazināšanu ir no 1400</w:t>
      </w:r>
      <w:r w:rsidR="00C77CF8">
        <w:rPr>
          <w:noProof/>
          <w:sz w:val="24"/>
        </w:rPr>
        <w:t xml:space="preserve"> </w:t>
      </w:r>
      <w:r w:rsidRPr="00C77CF8">
        <w:rPr>
          <w:noProof/>
          <w:sz w:val="24"/>
        </w:rPr>
        <w:t>līdz 4300 € par tonnu atkarībā no nozares.</w:t>
      </w:r>
    </w:p>
    <w:p w14:paraId="37CB4FF7" w14:textId="77777777" w:rsidR="00C77CF8" w:rsidRPr="00C77CF8" w:rsidRDefault="00C77CF8" w:rsidP="00C77CF8">
      <w:pPr>
        <w:pStyle w:val="BodyText"/>
        <w:widowControl/>
        <w:tabs>
          <w:tab w:val="left" w:pos="861"/>
        </w:tabs>
        <w:kinsoku w:val="0"/>
        <w:overflowPunct w:val="0"/>
        <w:spacing w:before="0"/>
        <w:ind w:left="0"/>
        <w:jc w:val="both"/>
        <w:rPr>
          <w:noProof/>
          <w:sz w:val="24"/>
          <w:szCs w:val="24"/>
        </w:rPr>
      </w:pPr>
    </w:p>
    <w:p w14:paraId="0444048E" w14:textId="77777777"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Šajā sadaļā aprakstīto tehnoloģiju efektivitāte emisijas samazināšanā parasti ir ap 90 procentiem.</w:t>
      </w:r>
    </w:p>
    <w:p w14:paraId="406F653F" w14:textId="77777777" w:rsidR="008E3F72" w:rsidRPr="00F35F4D" w:rsidRDefault="008E3F72" w:rsidP="008E3F72">
      <w:pPr>
        <w:pStyle w:val="BodyText"/>
        <w:widowControl/>
        <w:kinsoku w:val="0"/>
        <w:overflowPunct w:val="0"/>
        <w:spacing w:before="0"/>
        <w:ind w:left="0"/>
        <w:jc w:val="both"/>
        <w:rPr>
          <w:noProof/>
          <w:sz w:val="24"/>
          <w:szCs w:val="24"/>
        </w:rPr>
      </w:pPr>
    </w:p>
    <w:p w14:paraId="0C8BFB6E" w14:textId="38926A49" w:rsidR="008E3F72" w:rsidRPr="00C77CF8" w:rsidRDefault="00C77CF8" w:rsidP="00C77CF8">
      <w:pPr>
        <w:pStyle w:val="Heading3"/>
        <w:widowControl/>
        <w:tabs>
          <w:tab w:val="left" w:pos="861"/>
        </w:tabs>
        <w:kinsoku w:val="0"/>
        <w:overflowPunct w:val="0"/>
        <w:ind w:left="0" w:firstLine="0"/>
        <w:jc w:val="both"/>
        <w:rPr>
          <w:rFonts w:ascii="Times New Roman" w:hAnsi="Times New Roman" w:cs="Times New Roman"/>
          <w:noProof/>
          <w:color w:val="0D0D0D"/>
          <w:szCs w:val="24"/>
        </w:rPr>
      </w:pPr>
      <w:bookmarkStart w:id="22" w:name="_Toc426033274"/>
      <w:r w:rsidRPr="00C77CF8">
        <w:rPr>
          <w:rFonts w:ascii="Times New Roman" w:hAnsi="Times New Roman" w:cs="Times New Roman"/>
          <w:noProof/>
          <w:color w:val="0D0D0D"/>
        </w:rPr>
        <w:lastRenderedPageBreak/>
        <w:t xml:space="preserve">B. </w:t>
      </w:r>
      <w:r w:rsidR="008E3F72" w:rsidRPr="00C77CF8">
        <w:rPr>
          <w:rFonts w:ascii="Times New Roman" w:hAnsi="Times New Roman" w:cs="Times New Roman"/>
          <w:noProof/>
          <w:color w:val="0D0D0D"/>
        </w:rPr>
        <w:t>Paņēmieni, kas piemēroti konkrētām nozarēm</w:t>
      </w:r>
      <w:bookmarkEnd w:id="22"/>
    </w:p>
    <w:p w14:paraId="713960C2" w14:textId="77777777" w:rsidR="008E3F72" w:rsidRPr="00F35F4D" w:rsidRDefault="008E3F72" w:rsidP="008E3F72">
      <w:pPr>
        <w:rPr>
          <w:noProof/>
        </w:rPr>
      </w:pPr>
    </w:p>
    <w:p w14:paraId="4141DC5A" w14:textId="77777777" w:rsidR="008E3F72" w:rsidRPr="00C77CF8"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sz w:val="24"/>
          <w:szCs w:val="24"/>
        </w:rPr>
        <w:t>Divdesmitā gadsimta deviņdesmitajos gados, kad automobiļos parādījās izplūdes gāzu katalītiskās attīrīšanas iekārtas, ļoti palielinājās emisija no ceļu satiksmes līdzekļiem (aplēse par Lielbritānijas un Ziemeļīrijas Apvienoto Karalisti norāda uz 14 reizes lielu palielinājumu šajā laikā).</w:t>
      </w:r>
      <w:r w:rsidRPr="00C77CF8">
        <w:rPr>
          <w:noProof/>
          <w:sz w:val="24"/>
          <w:szCs w:val="24"/>
        </w:rPr>
        <w:t xml:space="preserve"> Problēmu lielā mērā risina ar labākām degvielas sistēmām, pārejot no karburatoru tehnoloģijas uz datorizētām sistēmām, kas daudz stingrāk kontrolē attiecību starp gaisu un degvielu. Pasākumi sēra satura mazināšanai degvielā, dažas metodes slāpekļa oksīdu (NOx) emisijas kontrolei no transportlīdzekļiem, ko darbina ar dīzeļdegvielu, un dažu alternatīvu degvielas veidu izmantošana var palielināt emisiju. Neraugoties uz sekām, ko visas šīs darbības izraisa, nedz automobiļu ražotāji, nedz regulatori neuzskata NH3 par prioritāras nozīmes piesārņotāju. Tāpēc šajā un citās nozarēs ir svarīgi ņemt vērā tehnoloģisko izmaiņu ietekmi uz NH3 emisiju. To darot, var veikt pasākumus, kas novērš vai pēc iespējas samazina emisiju gadījumos, kad tiek konstatētas potenciālas problēmas.</w:t>
      </w:r>
    </w:p>
    <w:p w14:paraId="640446F6" w14:textId="77777777" w:rsidR="00C77CF8" w:rsidRPr="00C77CF8" w:rsidRDefault="00C77CF8" w:rsidP="00C77CF8">
      <w:pPr>
        <w:pStyle w:val="BodyText"/>
        <w:widowControl/>
        <w:tabs>
          <w:tab w:val="left" w:pos="861"/>
        </w:tabs>
        <w:kinsoku w:val="0"/>
        <w:overflowPunct w:val="0"/>
        <w:spacing w:before="0"/>
        <w:ind w:left="0"/>
        <w:jc w:val="both"/>
        <w:rPr>
          <w:noProof/>
          <w:sz w:val="24"/>
          <w:szCs w:val="24"/>
        </w:rPr>
      </w:pPr>
    </w:p>
    <w:p w14:paraId="16AF3580" w14:textId="77777777" w:rsidR="008E3F72" w:rsidRPr="00C77CF8"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b/>
          <w:noProof/>
          <w:sz w:val="24"/>
          <w:szCs w:val="24"/>
        </w:rPr>
        <w:t xml:space="preserve">Amonjaka noplūde stacionārās katalītiskās redukcijas rūpnīcās. </w:t>
      </w:r>
      <w:r w:rsidRPr="00C77CF8">
        <w:rPr>
          <w:noProof/>
          <w:sz w:val="24"/>
          <w:szCs w:val="24"/>
        </w:rPr>
        <w:t>Vairākās nozarēs visievērojamākais NH3 emisijas avots var būt saistīts ar NH3 noplūdi iekārtās NOx emisijas samazināšanai. Ir pieejami divu veidu paņēmieni – dūmgāzes attīrīšana no tajā esošā NH3, kas ļauj samazināt emisiju, sākot no 40 mg/m3, par aptuveni 90 procentiem, un efektīvāka NOx emisiju kontroles iekārtu uzraudzība. Rūpīgi jāapsver šī avota potenciāls NH3 emisiju radīšanā, jo, plašāk ieviešot labākās pieejamās metodes, NOx emisiju var aizvien intensīvāk apkarot.</w:t>
      </w:r>
    </w:p>
    <w:p w14:paraId="13234069" w14:textId="77777777" w:rsidR="00C77CF8" w:rsidRPr="00C77CF8" w:rsidRDefault="00C77CF8" w:rsidP="00C77CF8">
      <w:pPr>
        <w:pStyle w:val="BodyText"/>
        <w:widowControl/>
        <w:tabs>
          <w:tab w:val="left" w:pos="861"/>
        </w:tabs>
        <w:kinsoku w:val="0"/>
        <w:overflowPunct w:val="0"/>
        <w:spacing w:before="0"/>
        <w:ind w:left="0"/>
        <w:jc w:val="both"/>
        <w:rPr>
          <w:noProof/>
          <w:sz w:val="24"/>
          <w:szCs w:val="24"/>
        </w:rPr>
      </w:pPr>
    </w:p>
    <w:p w14:paraId="5AA429F1" w14:textId="77777777" w:rsidR="008E3F72"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b/>
          <w:sz w:val="24"/>
          <w:szCs w:val="24"/>
        </w:rPr>
        <w:t>Dzesēšanas sistēmas bez iztvaicēšanas</w:t>
      </w:r>
      <w:r w:rsidRPr="00C77CF8">
        <w:rPr>
          <w:sz w:val="24"/>
          <w:szCs w:val="24"/>
        </w:rPr>
        <w:t xml:space="preserve"> var izmantot cukurbiešu nozarē.</w:t>
      </w:r>
      <w:r w:rsidRPr="00C77CF8">
        <w:rPr>
          <w:noProof/>
          <w:sz w:val="24"/>
          <w:szCs w:val="24"/>
        </w:rPr>
        <w:t xml:space="preserve"> Šīs sistēmas ļauj samazināt emisiju par vairāk nekā 95 procentiem. Aplēstās izmaksas ir 3500 € par samazinātās NH3 emisijas tonnu.</w:t>
      </w:r>
    </w:p>
    <w:p w14:paraId="12105B3D" w14:textId="77777777" w:rsidR="00C77CF8" w:rsidRPr="00C77CF8" w:rsidRDefault="00C77CF8" w:rsidP="00C77CF8">
      <w:pPr>
        <w:pStyle w:val="BodyText"/>
        <w:widowControl/>
        <w:tabs>
          <w:tab w:val="left" w:pos="861"/>
        </w:tabs>
        <w:kinsoku w:val="0"/>
        <w:overflowPunct w:val="0"/>
        <w:spacing w:before="0"/>
        <w:ind w:left="0"/>
        <w:jc w:val="both"/>
        <w:rPr>
          <w:noProof/>
          <w:sz w:val="24"/>
          <w:szCs w:val="24"/>
        </w:rPr>
      </w:pPr>
    </w:p>
    <w:p w14:paraId="66E9F676" w14:textId="77777777" w:rsidR="008E3F72"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b/>
          <w:sz w:val="24"/>
          <w:szCs w:val="24"/>
        </w:rPr>
        <w:t>Emisiju no dedzināšanas komunālajā sektorā</w:t>
      </w:r>
      <w:r w:rsidRPr="00C77CF8">
        <w:rPr>
          <w:sz w:val="24"/>
          <w:szCs w:val="24"/>
        </w:rPr>
        <w:t xml:space="preserve"> var samazināt ar daudziem dažādiem paņēmieniem, sākot no energoefektivitātes pasākumiem līdz labākas kvalitātes kurināmā izmantošanai un dedzināšanas iekārtu optimizācijai.</w:t>
      </w:r>
      <w:r w:rsidRPr="00C77CF8">
        <w:rPr>
          <w:noProof/>
          <w:sz w:val="24"/>
          <w:szCs w:val="24"/>
        </w:rPr>
        <w:t xml:space="preserve"> Dažu variantu ieviešanu liedz ievērojami šķēršļi, sākot no tehniskiem (piemēram, dabasgāzes infrastruktūras trūkums) līdz estētiskiem (piemēram, cilvēkiem patīk vērot, kā koks deg ar atklātu liesmu).</w:t>
      </w:r>
    </w:p>
    <w:p w14:paraId="5AA5431D" w14:textId="77777777" w:rsidR="00C77CF8" w:rsidRPr="00C77CF8" w:rsidRDefault="00C77CF8" w:rsidP="00C77CF8">
      <w:pPr>
        <w:pStyle w:val="BodyText"/>
        <w:widowControl/>
        <w:tabs>
          <w:tab w:val="left" w:pos="861"/>
        </w:tabs>
        <w:kinsoku w:val="0"/>
        <w:overflowPunct w:val="0"/>
        <w:spacing w:before="0"/>
        <w:ind w:left="0"/>
        <w:jc w:val="both"/>
        <w:rPr>
          <w:noProof/>
          <w:sz w:val="24"/>
          <w:szCs w:val="24"/>
        </w:rPr>
      </w:pPr>
    </w:p>
    <w:p w14:paraId="38A10CFF" w14:textId="77777777" w:rsidR="008E3F72"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b/>
          <w:noProof/>
          <w:sz w:val="24"/>
          <w:szCs w:val="24"/>
        </w:rPr>
        <w:t xml:space="preserve">Atkritumu poligonu hermetizācija. </w:t>
      </w:r>
      <w:r w:rsidRPr="00C77CF8">
        <w:rPr>
          <w:noProof/>
          <w:sz w:val="24"/>
          <w:szCs w:val="24"/>
        </w:rPr>
        <w:t>Atbrīvošanās no atkritumiem, izgāžot tos atkritumu poligonos vai kompostējot, rada ievērojamu NH3 daudzumu. Pasākumi metāna emisijas ierobežošanai no poligoniem, piemēram, atkritumu apglabāšanas vietu hermetizācija vai poligona gāzes izmantošana, nodrošina arī NH3 kontroli.</w:t>
      </w:r>
    </w:p>
    <w:p w14:paraId="2AAB4647" w14:textId="77777777" w:rsidR="00C77CF8" w:rsidRPr="00C77CF8" w:rsidRDefault="00C77CF8" w:rsidP="00C77CF8">
      <w:pPr>
        <w:pStyle w:val="BodyText"/>
        <w:widowControl/>
        <w:tabs>
          <w:tab w:val="left" w:pos="861"/>
        </w:tabs>
        <w:kinsoku w:val="0"/>
        <w:overflowPunct w:val="0"/>
        <w:spacing w:before="0"/>
        <w:ind w:left="0"/>
        <w:jc w:val="both"/>
        <w:rPr>
          <w:noProof/>
          <w:sz w:val="24"/>
          <w:szCs w:val="24"/>
        </w:rPr>
      </w:pPr>
    </w:p>
    <w:p w14:paraId="157C5D58" w14:textId="77777777" w:rsidR="008E3F72"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b/>
          <w:sz w:val="24"/>
          <w:szCs w:val="24"/>
        </w:rPr>
        <w:t>Biofiltrāciju</w:t>
      </w:r>
      <w:r w:rsidRPr="00C77CF8">
        <w:rPr>
          <w:sz w:val="24"/>
          <w:szCs w:val="24"/>
        </w:rPr>
        <w:t xml:space="preserve"> (skatīt iepriekš) ar panākumiem izmanto vairākos centralizētos kompostēšanas objektos, bieži vien ar galveno nolūku izvairīties no nepatīkamām smakām nevis konkrēti NH3 kontrolei.</w:t>
      </w:r>
      <w:r w:rsidRPr="00C77CF8">
        <w:rPr>
          <w:noProof/>
          <w:sz w:val="24"/>
          <w:szCs w:val="24"/>
        </w:rPr>
        <w:t xml:space="preserve"> Vispārīgāks paņēmiens, ko var piemērot kompostēšanai mājas apstākļos un arī lielākos objektos, ir kontrolēt oglekļa un slāpekļa attiecību, cenšoties sasniegt optimālo attiecību 30:1 svara vienībās.</w:t>
      </w:r>
    </w:p>
    <w:p w14:paraId="1C4998B1" w14:textId="77777777" w:rsidR="00C77CF8" w:rsidRPr="00C77CF8" w:rsidRDefault="00C77CF8" w:rsidP="00C77CF8">
      <w:pPr>
        <w:pStyle w:val="BodyText"/>
        <w:widowControl/>
        <w:tabs>
          <w:tab w:val="left" w:pos="861"/>
        </w:tabs>
        <w:kinsoku w:val="0"/>
        <w:overflowPunct w:val="0"/>
        <w:spacing w:before="0"/>
        <w:ind w:left="0"/>
        <w:jc w:val="both"/>
        <w:rPr>
          <w:noProof/>
          <w:sz w:val="24"/>
          <w:szCs w:val="24"/>
        </w:rPr>
      </w:pPr>
    </w:p>
    <w:p w14:paraId="5F15B01D" w14:textId="77777777"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C77CF8">
        <w:rPr>
          <w:b/>
          <w:noProof/>
          <w:sz w:val="24"/>
          <w:szCs w:val="24"/>
        </w:rPr>
        <w:t xml:space="preserve">Zirgi. </w:t>
      </w:r>
      <w:r w:rsidRPr="00C77CF8">
        <w:rPr>
          <w:noProof/>
          <w:sz w:val="24"/>
          <w:szCs w:val="24"/>
        </w:rPr>
        <w:t>Jāizvērtē, cik lielā mērā zirgu radītā emisija tiek iekļauta lauksaimnieciskās un nelauksaimnieciskās emisijas uzskaitē. Daudzi zirgi tiek turēti ārpus saimniecībām, un tāpēc tos var izslēgt no lauksaimnieciskās uzskaites. Labākais veids, kā samazināt emisiju no šiem avotiem, ir turēt</w:t>
      </w:r>
      <w:r w:rsidRPr="00F35F4D">
        <w:rPr>
          <w:noProof/>
          <w:sz w:val="24"/>
        </w:rPr>
        <w:t xml:space="preserve"> staļļus pienācīgā kārtībā, nodrošinot tajos pietiekami lielu salmu daudzumu urīna uzsūkšanai, un ik dienas tos </w:t>
      </w:r>
      <w:r w:rsidRPr="00F35F4D">
        <w:rPr>
          <w:noProof/>
          <w:sz w:val="24"/>
        </w:rPr>
        <w:lastRenderedPageBreak/>
        <w:t>izmēzt. Sarežģītāki paņēmieni emisijas kontrolēšanai, piemēram, šķidro kūtsmēslu cisternas, diez vai tiks ieviestas nelielos staļļos, bet tie ir aprakstīti citā šī dokumenta sadaļā.</w:t>
      </w:r>
    </w:p>
    <w:p w14:paraId="5E123CBF" w14:textId="77777777" w:rsidR="008E3F72" w:rsidRPr="00F35F4D" w:rsidRDefault="008E3F72" w:rsidP="008E3F72">
      <w:pPr>
        <w:pStyle w:val="BodyText"/>
        <w:widowControl/>
        <w:kinsoku w:val="0"/>
        <w:overflowPunct w:val="0"/>
        <w:spacing w:before="0"/>
        <w:ind w:left="0"/>
        <w:jc w:val="both"/>
        <w:rPr>
          <w:noProof/>
          <w:sz w:val="24"/>
          <w:szCs w:val="24"/>
        </w:rPr>
      </w:pPr>
    </w:p>
    <w:p w14:paraId="7CB16105" w14:textId="3D9E93F1" w:rsidR="008E3F72" w:rsidRPr="00C77CF8" w:rsidRDefault="00C77CF8" w:rsidP="00C77CF8">
      <w:pPr>
        <w:pStyle w:val="Heading3"/>
        <w:widowControl/>
        <w:tabs>
          <w:tab w:val="left" w:pos="861"/>
        </w:tabs>
        <w:kinsoku w:val="0"/>
        <w:overflowPunct w:val="0"/>
        <w:ind w:left="0" w:firstLine="0"/>
        <w:jc w:val="both"/>
        <w:rPr>
          <w:rFonts w:ascii="Times New Roman" w:hAnsi="Times New Roman" w:cs="Times New Roman"/>
          <w:noProof/>
          <w:color w:val="0D0D0D"/>
        </w:rPr>
      </w:pPr>
      <w:bookmarkStart w:id="23" w:name="_Toc426033275"/>
      <w:r w:rsidRPr="00C77CF8">
        <w:rPr>
          <w:rFonts w:ascii="Times New Roman" w:hAnsi="Times New Roman" w:cs="Times New Roman"/>
          <w:noProof/>
          <w:color w:val="0D0D0D"/>
        </w:rPr>
        <w:t xml:space="preserve">C. </w:t>
      </w:r>
      <w:r w:rsidR="008E3F72" w:rsidRPr="00C77CF8">
        <w:rPr>
          <w:rFonts w:ascii="Times New Roman" w:hAnsi="Times New Roman" w:cs="Times New Roman"/>
          <w:noProof/>
          <w:color w:val="0D0D0D"/>
        </w:rPr>
        <w:t>Neorganisko slāpekļa mēslošanas līdzekļu, urīnvielas un amonjaka ražošana</w:t>
      </w:r>
      <w:bookmarkEnd w:id="23"/>
    </w:p>
    <w:p w14:paraId="6887DB50" w14:textId="77777777" w:rsidR="00C77CF8" w:rsidRPr="00C77CF8" w:rsidRDefault="00C77CF8" w:rsidP="00C77CF8"/>
    <w:p w14:paraId="3BE403C3" w14:textId="77777777" w:rsidR="008E3F72" w:rsidRPr="00C77CF8"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Visbūtiskākie NH3 emisijas industriālie avoti ir jaukto mēslošanas līdzekļu rūpnīcas, kurās ražo amonija fosfātu, nitrofosfātus, kālija un kompleksos mēslošanas līdzekļus, un slāpekļa mēslošanas līdzekļu rūpnīcas, kurās cita starpā ražo urīnvielu un NH3. Amonjaka fosfāta ražošana rada vislielāko NH3 emisiju nozarē. Ziņots, ka amonjaka nekontrolēta emisija atmosfērā no šī avota ir no 0,1 līdz 7,8 kg N uz produkta tonnu.</w:t>
      </w:r>
    </w:p>
    <w:p w14:paraId="3EF58BD1" w14:textId="77777777" w:rsidR="00C77CF8" w:rsidRPr="00F35F4D" w:rsidRDefault="00C77CF8" w:rsidP="00C77CF8">
      <w:pPr>
        <w:pStyle w:val="BodyText"/>
        <w:widowControl/>
        <w:tabs>
          <w:tab w:val="left" w:pos="861"/>
        </w:tabs>
        <w:kinsoku w:val="0"/>
        <w:overflowPunct w:val="0"/>
        <w:spacing w:before="0"/>
        <w:ind w:left="0"/>
        <w:jc w:val="both"/>
        <w:rPr>
          <w:noProof/>
          <w:sz w:val="24"/>
          <w:szCs w:val="24"/>
        </w:rPr>
      </w:pPr>
    </w:p>
    <w:p w14:paraId="35712EED" w14:textId="77777777" w:rsidR="008E3F72" w:rsidRPr="00C77CF8"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Slāpekļa mēslošanas līdzekļu ražotāji ir rūpnīcas, kuras ražo NH3, urīnvielu, amonija sulfātu, amonija nitrātu un/vai amonija sulfāta nitrātu. Parasti uz vietas ražo arī procesā izmantoto slāpekļskābi. Amonjaka emisija jo īpaši notiek, neitralizējot slāpekļskābi ar bezūdens amonjaku. Ar mitrās attīrīšanas skruberiem to koncentrāciju var samazināt līdz 35 mg NH3 uz m3 vai vēl zemākai. Saskaņā ar esošo informāciju emisijas koeficients pareizi darbinātām iekārtām ir no 0,25 līdz 0,5 kg NH3 uz produkta tonnu.</w:t>
      </w:r>
    </w:p>
    <w:p w14:paraId="6D019F26" w14:textId="77777777" w:rsidR="00C77CF8" w:rsidRPr="00F35F4D" w:rsidRDefault="00C77CF8" w:rsidP="00C77CF8">
      <w:pPr>
        <w:pStyle w:val="BodyText"/>
        <w:widowControl/>
        <w:tabs>
          <w:tab w:val="left" w:pos="861"/>
        </w:tabs>
        <w:kinsoku w:val="0"/>
        <w:overflowPunct w:val="0"/>
        <w:spacing w:before="0"/>
        <w:ind w:left="0"/>
        <w:jc w:val="both"/>
        <w:rPr>
          <w:noProof/>
          <w:sz w:val="24"/>
          <w:szCs w:val="24"/>
        </w:rPr>
      </w:pPr>
    </w:p>
    <w:p w14:paraId="522200D4" w14:textId="77777777" w:rsidR="008E3F72" w:rsidRPr="00C77CF8"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Jaukto mēslošanas līdzekļu ražošanas rūpnīcās parasti nav vajadzības izmantot vēl citus paņēmienus piesārņojuma kontrolei papildus skruberiem, cikloniem un auduma filtriem, kas ir rūpnīcas projekta neatņemama sastāvdaļa. Kopumā NH3 emisijas robežvērtību 50 mg NH3–N uz m3 var panākt, maksimāli atgūstot produktu un pēc iespējas samazinot emisiju atmosfērā attīrīšanas iekārtu atbilstošas tehniskas apkopes un ekspluatācijas rezultātā.</w:t>
      </w:r>
    </w:p>
    <w:p w14:paraId="1ED037CA" w14:textId="77777777" w:rsidR="00C77CF8" w:rsidRPr="00F35F4D" w:rsidRDefault="00C77CF8" w:rsidP="00C77CF8">
      <w:pPr>
        <w:pStyle w:val="BodyText"/>
        <w:widowControl/>
        <w:tabs>
          <w:tab w:val="left" w:pos="861"/>
        </w:tabs>
        <w:kinsoku w:val="0"/>
        <w:overflowPunct w:val="0"/>
        <w:spacing w:before="0"/>
        <w:ind w:left="0"/>
        <w:jc w:val="both"/>
        <w:rPr>
          <w:noProof/>
          <w:sz w:val="24"/>
          <w:szCs w:val="24"/>
        </w:rPr>
      </w:pPr>
    </w:p>
    <w:p w14:paraId="7D86B0D6" w14:textId="77777777" w:rsidR="008E3F72" w:rsidRPr="00C77CF8"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 xml:space="preserve"> Rūpnīcā, kurā darbs ir pareizi organizēts, emisija, ražojot NPK mēslošanas līdzekļus ar nitrofosfāta procesu vai jauktajiem skābes procesiem, ir 0,3 kg uz saražoto NPK tonnu un 0,01 kg uz saražoto NPK tonnu (pārskaitot slāpeklī). Tomēr emisijas koeficienti var būt ļoti atšķirīgi atkarībā no ražotā mēslošanas līdzekļa kategorijas.</w:t>
      </w:r>
    </w:p>
    <w:p w14:paraId="4FCC7848" w14:textId="77777777" w:rsidR="00C77CF8" w:rsidRPr="00F35F4D" w:rsidRDefault="00C77CF8" w:rsidP="00C77CF8">
      <w:pPr>
        <w:pStyle w:val="BodyText"/>
        <w:widowControl/>
        <w:tabs>
          <w:tab w:val="left" w:pos="861"/>
        </w:tabs>
        <w:kinsoku w:val="0"/>
        <w:overflowPunct w:val="0"/>
        <w:spacing w:before="0"/>
        <w:ind w:left="0"/>
        <w:jc w:val="both"/>
        <w:rPr>
          <w:noProof/>
          <w:sz w:val="24"/>
          <w:szCs w:val="24"/>
        </w:rPr>
      </w:pPr>
    </w:p>
    <w:p w14:paraId="333AEA31" w14:textId="77777777" w:rsidR="008E3F72" w:rsidRPr="00C77CF8"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Saskaņā ar rīcībā esošo informāciju amonjaka emisija urīnvielas ražošanā rodas rekuperatīvās absorbcija rezultātā (0,1–0,5 kilogrami NH3 uz saražotā produkta tonnu), koncentrācijas radītās absorbcijas rezultātā (0,1–0,2 kilogrami NH3 uz saražotā produkta tonnu), urīnvielas cietināšanas (0,5–2,2 kilogrami NH3 uz saražotā produkta tonnu) un granulēšanas rezultātā (0,2–0,7 kilogrami NH3 uz saražotā produkta tonnu). Līdzīgi granulatoram (0,5–2,2 kilogrami NH3 uz saražotā produkta tonnu) arī urīnvielas cietināšanas tornis ir urīnvielas putekļu emisijas avots (0,1–0,5 kilogrami NH3 uz saražotā produkta tonnu urīnvielas putekļu veidā).</w:t>
      </w:r>
    </w:p>
    <w:p w14:paraId="17ECC505" w14:textId="77777777" w:rsidR="00C77CF8" w:rsidRPr="00F35F4D" w:rsidRDefault="00C77CF8" w:rsidP="00C77CF8">
      <w:pPr>
        <w:pStyle w:val="BodyText"/>
        <w:widowControl/>
        <w:tabs>
          <w:tab w:val="left" w:pos="861"/>
        </w:tabs>
        <w:kinsoku w:val="0"/>
        <w:overflowPunct w:val="0"/>
        <w:spacing w:before="0"/>
        <w:ind w:left="0"/>
        <w:jc w:val="both"/>
        <w:rPr>
          <w:noProof/>
          <w:sz w:val="24"/>
          <w:szCs w:val="24"/>
        </w:rPr>
      </w:pPr>
    </w:p>
    <w:p w14:paraId="76373BBB" w14:textId="77777777" w:rsidR="008E3F72" w:rsidRPr="00F35F4D" w:rsidRDefault="008E3F72" w:rsidP="008E3F72">
      <w:pPr>
        <w:pStyle w:val="BodyText"/>
        <w:widowControl/>
        <w:numPr>
          <w:ilvl w:val="0"/>
          <w:numId w:val="11"/>
        </w:numPr>
        <w:tabs>
          <w:tab w:val="left" w:pos="861"/>
        </w:tabs>
        <w:kinsoku w:val="0"/>
        <w:overflowPunct w:val="0"/>
        <w:spacing w:before="0"/>
        <w:ind w:left="0" w:firstLine="0"/>
        <w:jc w:val="both"/>
        <w:rPr>
          <w:noProof/>
          <w:sz w:val="24"/>
          <w:szCs w:val="24"/>
        </w:rPr>
      </w:pPr>
      <w:r w:rsidRPr="00F35F4D">
        <w:rPr>
          <w:noProof/>
          <w:sz w:val="24"/>
        </w:rPr>
        <w:t>Urīnvielas ražotnēs emisijas kontrolei no cietināšanas torņiem un gatavās produkcijas saiņošanas izmanto mitrās attīrīšanas skruberus un auduma filtrus. Šis kontroles aprīkojums ir līdzīgs tam, ko izmanto jauktu mēslošanas līdzekļu ražošanas rūpnīcās, un tā ir produkta saglabāšanai paredzētā tehnoloģiskā procesa neatņemama sastāvdaļa. Ja darbs organizēts pareizi, jaunās urīnvielas ražotnēs var panākt cieto daļiņu emisijas robežvērtību 0,5 kilogrami uz saražotā produkta tonnu gan urīnvielai, gan NH3.</w:t>
      </w:r>
    </w:p>
    <w:p w14:paraId="3FFB5E48" w14:textId="77777777" w:rsidR="008E3F72" w:rsidRPr="00F35F4D" w:rsidRDefault="008E3F72" w:rsidP="008E3F72">
      <w:pPr>
        <w:pStyle w:val="BodyText"/>
        <w:widowControl/>
        <w:kinsoku w:val="0"/>
        <w:overflowPunct w:val="0"/>
        <w:spacing w:before="0"/>
        <w:ind w:left="0"/>
        <w:jc w:val="both"/>
        <w:rPr>
          <w:noProof/>
          <w:sz w:val="24"/>
          <w:szCs w:val="24"/>
        </w:rPr>
      </w:pPr>
      <w:r w:rsidRPr="00F35F4D">
        <w:br w:type="page"/>
      </w:r>
    </w:p>
    <w:p w14:paraId="02CEB5EC" w14:textId="50C818AD" w:rsidR="00C77CF8" w:rsidRPr="00C77CF8" w:rsidRDefault="00C77CF8" w:rsidP="00C77CF8">
      <w:pPr>
        <w:pStyle w:val="Heading1"/>
        <w:ind w:left="360"/>
        <w:jc w:val="right"/>
        <w:rPr>
          <w:sz w:val="40"/>
        </w:rPr>
      </w:pPr>
      <w:bookmarkStart w:id="24" w:name="_Toc426033276"/>
      <w:r w:rsidRPr="00C77CF8">
        <w:rPr>
          <w:sz w:val="40"/>
        </w:rPr>
        <w:lastRenderedPageBreak/>
        <w:t>1. pielikums</w:t>
      </w:r>
      <w:bookmarkEnd w:id="24"/>
    </w:p>
    <w:p w14:paraId="4F25CFBD" w14:textId="77777777" w:rsidR="00C77CF8" w:rsidRDefault="00C77CF8" w:rsidP="00C77CF8">
      <w:pPr>
        <w:pStyle w:val="Heading1"/>
      </w:pPr>
    </w:p>
    <w:p w14:paraId="295CD8FC" w14:textId="77777777" w:rsidR="008E3F72" w:rsidRDefault="008E3F72" w:rsidP="00C77CF8">
      <w:pPr>
        <w:pStyle w:val="Heading1"/>
      </w:pPr>
      <w:bookmarkStart w:id="25" w:name="_Toc426033277"/>
      <w:r w:rsidRPr="00F35F4D">
        <w:t>Papildu informācija</w:t>
      </w:r>
      <w:bookmarkEnd w:id="25"/>
    </w:p>
    <w:p w14:paraId="018C6A17" w14:textId="77777777" w:rsidR="00C77CF8" w:rsidRPr="00C77CF8" w:rsidRDefault="00C77CF8" w:rsidP="00C77CF8"/>
    <w:p w14:paraId="69FCF371" w14:textId="04B89FB7" w:rsidR="008E3F72" w:rsidRPr="00F35F4D" w:rsidRDefault="008E3F72" w:rsidP="00C77CF8">
      <w:pPr>
        <w:pStyle w:val="Heading1"/>
        <w:rPr>
          <w:szCs w:val="24"/>
        </w:rPr>
      </w:pPr>
      <w:bookmarkStart w:id="26" w:name="_Toc426033278"/>
      <w:r w:rsidRPr="00F35F4D">
        <w:t>Slāpekļa ap</w:t>
      </w:r>
      <w:bookmarkEnd w:id="26"/>
      <w:r w:rsidR="00BE45DA">
        <w:t>saimniekošana</w:t>
      </w:r>
    </w:p>
    <w:p w14:paraId="28142339" w14:textId="77777777" w:rsidR="008E3F72" w:rsidRPr="00F35F4D" w:rsidRDefault="008E3F72" w:rsidP="008E3F72">
      <w:pPr>
        <w:rPr>
          <w:noProof/>
        </w:rPr>
      </w:pPr>
    </w:p>
    <w:p w14:paraId="27980E23" w14:textId="77777777" w:rsidR="008E3F72" w:rsidRPr="00F35F4D" w:rsidRDefault="008E3F72" w:rsidP="008E3F72">
      <w:pPr>
        <w:pStyle w:val="Heading4"/>
        <w:widowControl/>
        <w:kinsoku w:val="0"/>
        <w:overflowPunct w:val="0"/>
        <w:spacing w:before="0"/>
        <w:ind w:left="0"/>
        <w:jc w:val="both"/>
        <w:rPr>
          <w:rFonts w:ascii="Times New Roman" w:hAnsi="Times New Roman" w:cs="Times New Roman"/>
          <w:noProof/>
          <w:sz w:val="24"/>
          <w:szCs w:val="24"/>
        </w:rPr>
      </w:pPr>
      <w:r w:rsidRPr="00F35F4D">
        <w:rPr>
          <w:rFonts w:ascii="Times New Roman" w:hAnsi="Times New Roman" w:cs="Times New Roman"/>
          <w:noProof/>
          <w:sz w:val="24"/>
        </w:rPr>
        <w:t>O. Oenema, S. Bittman, M. Dedina, C.M. Howard, M.A. Sutton</w:t>
      </w:r>
    </w:p>
    <w:p w14:paraId="0F6312AF" w14:textId="77777777" w:rsidR="008E3F72" w:rsidRPr="00F35F4D" w:rsidRDefault="008E3F72" w:rsidP="008E3F72">
      <w:pPr>
        <w:pStyle w:val="BodyText"/>
        <w:widowControl/>
        <w:kinsoku w:val="0"/>
        <w:overflowPunct w:val="0"/>
        <w:spacing w:before="0"/>
        <w:ind w:left="0"/>
        <w:jc w:val="both"/>
        <w:rPr>
          <w:i/>
          <w:iCs/>
          <w:noProof/>
          <w:sz w:val="24"/>
          <w:szCs w:val="24"/>
        </w:rPr>
      </w:pPr>
    </w:p>
    <w:p w14:paraId="66D07F5D" w14:textId="694CF52E" w:rsidR="008E3F72" w:rsidRPr="00C77CF8" w:rsidRDefault="008760A7" w:rsidP="008E3F72">
      <w:pPr>
        <w:pStyle w:val="BodyText"/>
        <w:widowControl/>
        <w:numPr>
          <w:ilvl w:val="0"/>
          <w:numId w:val="5"/>
        </w:numPr>
        <w:tabs>
          <w:tab w:val="left" w:pos="861"/>
        </w:tabs>
        <w:kinsoku w:val="0"/>
        <w:overflowPunct w:val="0"/>
        <w:spacing w:before="0"/>
        <w:ind w:left="0" w:firstLine="0"/>
        <w:jc w:val="both"/>
        <w:rPr>
          <w:noProof/>
          <w:sz w:val="24"/>
          <w:szCs w:val="24"/>
        </w:rPr>
      </w:pPr>
      <w:r>
        <w:rPr>
          <w:noProof/>
          <w:sz w:val="24"/>
        </w:rPr>
        <w:t>Apsaimniekošanu</w:t>
      </w:r>
      <w:r w:rsidR="008E3F72" w:rsidRPr="00F35F4D">
        <w:rPr>
          <w:noProof/>
          <w:sz w:val="24"/>
        </w:rPr>
        <w:t xml:space="preserve"> var definēt kā „saskaņotu darbību kopumu mērķu sasniegšanai”. Šī definīcija ir attiecināma uz visām ekonomikas nozarēm, tostarp lauksaim</w:t>
      </w:r>
      <w:r>
        <w:rPr>
          <w:noProof/>
          <w:sz w:val="24"/>
        </w:rPr>
        <w:t>niecību. Slāpekļa apsaimniekošanu</w:t>
      </w:r>
      <w:r w:rsidR="008E3F72" w:rsidRPr="00F35F4D">
        <w:rPr>
          <w:noProof/>
          <w:sz w:val="24"/>
        </w:rPr>
        <w:t xml:space="preserve"> var definēt kā „saskaņotu darbību kopumu, kas saistīts ar N izmantošanu lauksaimniecībā agronomisko un vides/ekoloģisko mērķu sasniegšanai” (</w:t>
      </w:r>
      <w:r w:rsidR="008E3F72" w:rsidRPr="00F35F4D">
        <w:rPr>
          <w:i/>
          <w:noProof/>
          <w:sz w:val="24"/>
        </w:rPr>
        <w:t>O. Oenema, Pietrzak</w:t>
      </w:r>
      <w:r w:rsidR="008E3F72" w:rsidRPr="00F35F4D">
        <w:rPr>
          <w:noProof/>
          <w:sz w:val="24"/>
        </w:rPr>
        <w:t>, 2002). Agronomiskie mērķi ir saistīti ar kultūraugu ražu un kvali</w:t>
      </w:r>
      <w:r w:rsidR="0022094F">
        <w:rPr>
          <w:noProof/>
          <w:sz w:val="24"/>
        </w:rPr>
        <w:t>tāti un dzīvnieku veselības un ražības rādītājiem</w:t>
      </w:r>
      <w:r w:rsidR="008E3F72" w:rsidRPr="00F35F4D">
        <w:rPr>
          <w:noProof/>
          <w:sz w:val="24"/>
        </w:rPr>
        <w:t xml:space="preserve"> dzīvnieku labturības kontekstā. Vides/ekoloģiskie mērķi attiecas uz lauksaimniecībā radīto N zudumu. Norādot, ka jāņem vērā viss N aprites cikls, tiek uzsvērta vajadzība apsvērt visus N aprites aspektus, tostarp NH3 emisijas samazināšanas gaitā, lai izvairītos no viena piesārņojuma aizstāšanas ar otru.</w:t>
      </w:r>
    </w:p>
    <w:p w14:paraId="276777F2" w14:textId="77777777" w:rsidR="00C77CF8" w:rsidRPr="00F35F4D" w:rsidRDefault="00C77CF8" w:rsidP="00C77CF8">
      <w:pPr>
        <w:pStyle w:val="BodyText"/>
        <w:widowControl/>
        <w:tabs>
          <w:tab w:val="left" w:pos="861"/>
        </w:tabs>
        <w:kinsoku w:val="0"/>
        <w:overflowPunct w:val="0"/>
        <w:spacing w:before="0"/>
        <w:ind w:left="0"/>
        <w:jc w:val="both"/>
        <w:rPr>
          <w:noProof/>
          <w:sz w:val="24"/>
          <w:szCs w:val="24"/>
        </w:rPr>
      </w:pPr>
    </w:p>
    <w:p w14:paraId="5BA188F1" w14:textId="71C2AD1C" w:rsidR="008E3F72" w:rsidRPr="00C77CF8" w:rsidRDefault="00720C1E" w:rsidP="00943494">
      <w:pPr>
        <w:pStyle w:val="BodyText"/>
        <w:widowControl/>
        <w:numPr>
          <w:ilvl w:val="0"/>
          <w:numId w:val="5"/>
        </w:numPr>
        <w:tabs>
          <w:tab w:val="left" w:pos="861"/>
        </w:tabs>
        <w:kinsoku w:val="0"/>
        <w:overflowPunct w:val="0"/>
        <w:spacing w:before="0"/>
        <w:ind w:left="0" w:firstLine="0"/>
        <w:jc w:val="both"/>
        <w:rPr>
          <w:noProof/>
          <w:sz w:val="24"/>
          <w:szCs w:val="24"/>
        </w:rPr>
      </w:pPr>
      <w:r w:rsidRPr="00C77CF8">
        <w:rPr>
          <w:noProof/>
          <w:sz w:val="24"/>
        </w:rPr>
        <w:t>Slāpeklis ir visu augu un dzīvnieku valsts olbaltumvielu (un fermentu) sastāvdaļa, un tas ir iesaistīts fotosintēzes, eitrofikācijas, paskābināšanās un vairākos citos oksidēšanās-reducēšanās procesos. Šajos procesos N maina savu formu (savienojumus), ķīmisko aktivitāti un mobilitāti. Galvenās mobilās formas</w:t>
      </w:r>
      <w:r w:rsidR="00C77CF8">
        <w:rPr>
          <w:noProof/>
          <w:sz w:val="24"/>
        </w:rPr>
        <w:t xml:space="preserve"> </w:t>
      </w:r>
      <w:r w:rsidR="008E3F72" w:rsidRPr="00C77CF8">
        <w:rPr>
          <w:noProof/>
          <w:sz w:val="24"/>
        </w:rPr>
        <w:t>gāzveida formas – N2, NH3, slāpekļa oksīdi (NO un NO2) un N2O, kā arī ūdenī šķīstošās formas – nitrāts (NO3-), amonijs (NH4+) un atšķaidīts organiski saistītais slāpeklis (AОN). Organiskās vielās lielākā N daļa atrodas amīdu formā, kas saistīta ar organisko oglekli (R-NH2). Tā kā ķīmiski aktīvajam N piemīt mobilitāte gan gaisā, gan ūdenī, to bieži sauc par „divkārši mobilu”.</w:t>
      </w:r>
    </w:p>
    <w:p w14:paraId="547801C8" w14:textId="77777777" w:rsidR="00C77CF8" w:rsidRPr="00C77CF8" w:rsidRDefault="00C77CF8" w:rsidP="00C77CF8">
      <w:pPr>
        <w:pStyle w:val="BodyText"/>
        <w:widowControl/>
        <w:tabs>
          <w:tab w:val="left" w:pos="861"/>
        </w:tabs>
        <w:kinsoku w:val="0"/>
        <w:overflowPunct w:val="0"/>
        <w:spacing w:before="0"/>
        <w:ind w:left="0"/>
        <w:jc w:val="both"/>
        <w:rPr>
          <w:noProof/>
          <w:sz w:val="24"/>
          <w:szCs w:val="24"/>
        </w:rPr>
      </w:pPr>
    </w:p>
    <w:p w14:paraId="5F0F7D5C" w14:textId="6601099A" w:rsidR="008E3F72" w:rsidRPr="00C77CF8"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Slāpekļa aprites cikls ir cieši saistīts ar oglekļa apr</w:t>
      </w:r>
      <w:r w:rsidR="008760A7">
        <w:rPr>
          <w:noProof/>
          <w:sz w:val="24"/>
        </w:rPr>
        <w:t>ites ciklu un citu barības elementu</w:t>
      </w:r>
      <w:r w:rsidRPr="00F35F4D">
        <w:rPr>
          <w:noProof/>
          <w:sz w:val="24"/>
        </w:rPr>
        <w:t xml:space="preserve"> aprites cikliem. Šā iemesla dēļ N aprites vadība var ietekmēt oglekļa apriti un kopējo CO2 emisiju atmosfērā, kā arī oglekļa sekvestrāciju augsnēs. Kopumā sistēma, kas rada N noplūdi, rada arī oglekļa noplūdi un pretēji. Tāpēc ir svarīgi</w:t>
      </w:r>
      <w:r w:rsidR="008760A7">
        <w:rPr>
          <w:noProof/>
          <w:sz w:val="24"/>
        </w:rPr>
        <w:t xml:space="preserve"> apsvērt slāpekļa apsaimniekošanu</w:t>
      </w:r>
      <w:r w:rsidRPr="00F35F4D">
        <w:rPr>
          <w:noProof/>
          <w:sz w:val="24"/>
        </w:rPr>
        <w:t xml:space="preserve"> no visas saimniecības viedokļa.</w:t>
      </w:r>
    </w:p>
    <w:p w14:paraId="01E9491E" w14:textId="77777777" w:rsidR="00C77CF8" w:rsidRPr="00F35F4D" w:rsidRDefault="00C77CF8" w:rsidP="00C77CF8">
      <w:pPr>
        <w:pStyle w:val="BodyText"/>
        <w:widowControl/>
        <w:tabs>
          <w:tab w:val="left" w:pos="861"/>
        </w:tabs>
        <w:kinsoku w:val="0"/>
        <w:overflowPunct w:val="0"/>
        <w:spacing w:before="0"/>
        <w:ind w:left="0"/>
        <w:jc w:val="both"/>
        <w:rPr>
          <w:noProof/>
          <w:sz w:val="24"/>
          <w:szCs w:val="24"/>
        </w:rPr>
      </w:pPr>
    </w:p>
    <w:p w14:paraId="70491D44" w14:textId="70713DDE" w:rsidR="008E3F72" w:rsidRPr="00021090"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Atkarībā no saimnie</w:t>
      </w:r>
      <w:r w:rsidR="008760A7">
        <w:rPr>
          <w:noProof/>
          <w:sz w:val="24"/>
        </w:rPr>
        <w:t>košanas veida N apsaimniekošana</w:t>
      </w:r>
      <w:r w:rsidRPr="00F35F4D">
        <w:rPr>
          <w:noProof/>
          <w:sz w:val="24"/>
        </w:rPr>
        <w:t xml:space="preserve"> saimniecības līmenī paredz vairāku apsaimniekošanas darbību integrētu veikšanu, tostarp</w:t>
      </w:r>
    </w:p>
    <w:p w14:paraId="1438E35F" w14:textId="77777777" w:rsidR="00021090" w:rsidRPr="00F35F4D" w:rsidRDefault="00021090" w:rsidP="00021090">
      <w:pPr>
        <w:pStyle w:val="BodyText"/>
        <w:widowControl/>
        <w:tabs>
          <w:tab w:val="left" w:pos="861"/>
        </w:tabs>
        <w:kinsoku w:val="0"/>
        <w:overflowPunct w:val="0"/>
        <w:spacing w:before="0"/>
        <w:ind w:left="0"/>
        <w:jc w:val="both"/>
        <w:rPr>
          <w:noProof/>
          <w:sz w:val="24"/>
          <w:szCs w:val="24"/>
        </w:rPr>
      </w:pPr>
    </w:p>
    <w:p w14:paraId="3FF4BAA8" w14:textId="77777777" w:rsidR="008E3F72" w:rsidRPr="00F35F4D" w:rsidRDefault="008E3F72" w:rsidP="00021090">
      <w:pPr>
        <w:pStyle w:val="BodyText"/>
        <w:widowControl/>
        <w:numPr>
          <w:ilvl w:val="1"/>
          <w:numId w:val="5"/>
        </w:numPr>
        <w:kinsoku w:val="0"/>
        <w:overflowPunct w:val="0"/>
        <w:spacing w:before="0"/>
        <w:ind w:left="0" w:firstLine="0"/>
        <w:jc w:val="both"/>
        <w:rPr>
          <w:noProof/>
          <w:sz w:val="24"/>
          <w:szCs w:val="24"/>
        </w:rPr>
      </w:pPr>
      <w:r w:rsidRPr="00F35F4D">
        <w:rPr>
          <w:noProof/>
          <w:sz w:val="24"/>
        </w:rPr>
        <w:t>kultūraugu mēslošanu;</w:t>
      </w:r>
    </w:p>
    <w:p w14:paraId="2AA989BD" w14:textId="77777777" w:rsidR="008E3F72" w:rsidRPr="00F35F4D" w:rsidRDefault="008E3F72" w:rsidP="00021090">
      <w:pPr>
        <w:pStyle w:val="BodyText"/>
        <w:widowControl/>
        <w:numPr>
          <w:ilvl w:val="1"/>
          <w:numId w:val="5"/>
        </w:numPr>
        <w:kinsoku w:val="0"/>
        <w:overflowPunct w:val="0"/>
        <w:spacing w:before="0"/>
        <w:ind w:left="0" w:firstLine="0"/>
        <w:jc w:val="both"/>
        <w:rPr>
          <w:noProof/>
          <w:sz w:val="24"/>
          <w:szCs w:val="24"/>
        </w:rPr>
      </w:pPr>
      <w:r w:rsidRPr="00F35F4D">
        <w:rPr>
          <w:noProof/>
          <w:sz w:val="24"/>
        </w:rPr>
        <w:t>kultūraugu audzēšanu, novākšanu un rugāju apsaimniekošanu;</w:t>
      </w:r>
    </w:p>
    <w:p w14:paraId="4515CECF" w14:textId="77777777" w:rsidR="008E3F72" w:rsidRPr="00F35F4D" w:rsidRDefault="008E3F72" w:rsidP="00021090">
      <w:pPr>
        <w:pStyle w:val="BodyText"/>
        <w:widowControl/>
        <w:numPr>
          <w:ilvl w:val="1"/>
          <w:numId w:val="5"/>
        </w:numPr>
        <w:kinsoku w:val="0"/>
        <w:overflowPunct w:val="0"/>
        <w:spacing w:before="0"/>
        <w:ind w:left="0" w:firstLine="0"/>
        <w:jc w:val="both"/>
        <w:rPr>
          <w:noProof/>
          <w:sz w:val="24"/>
          <w:szCs w:val="24"/>
        </w:rPr>
      </w:pPr>
      <w:r w:rsidRPr="00F35F4D">
        <w:rPr>
          <w:noProof/>
          <w:sz w:val="24"/>
        </w:rPr>
        <w:t>starpkultūru vai virsaugu audzēšanu;</w:t>
      </w:r>
    </w:p>
    <w:p w14:paraId="70ABA90C" w14:textId="411627D9" w:rsidR="008E3F72" w:rsidRPr="00F35F4D" w:rsidRDefault="008760A7" w:rsidP="00021090">
      <w:pPr>
        <w:pStyle w:val="BodyText"/>
        <w:widowControl/>
        <w:numPr>
          <w:ilvl w:val="1"/>
          <w:numId w:val="5"/>
        </w:numPr>
        <w:kinsoku w:val="0"/>
        <w:overflowPunct w:val="0"/>
        <w:spacing w:before="0"/>
        <w:ind w:left="0" w:firstLine="0"/>
        <w:jc w:val="both"/>
        <w:rPr>
          <w:noProof/>
          <w:sz w:val="24"/>
          <w:szCs w:val="24"/>
        </w:rPr>
      </w:pPr>
      <w:r>
        <w:rPr>
          <w:noProof/>
          <w:sz w:val="24"/>
        </w:rPr>
        <w:t>zālāju</w:t>
      </w:r>
      <w:r w:rsidR="008E3F72" w:rsidRPr="00F35F4D">
        <w:rPr>
          <w:noProof/>
          <w:sz w:val="24"/>
        </w:rPr>
        <w:t xml:space="preserve"> apsaimniekošanu;</w:t>
      </w:r>
    </w:p>
    <w:p w14:paraId="04812700" w14:textId="77777777" w:rsidR="008E3F72" w:rsidRPr="00F35F4D" w:rsidRDefault="008E3F72" w:rsidP="00021090">
      <w:pPr>
        <w:pStyle w:val="BodyText"/>
        <w:widowControl/>
        <w:numPr>
          <w:ilvl w:val="1"/>
          <w:numId w:val="5"/>
        </w:numPr>
        <w:kinsoku w:val="0"/>
        <w:overflowPunct w:val="0"/>
        <w:spacing w:before="0"/>
        <w:ind w:left="0" w:firstLine="0"/>
        <w:jc w:val="both"/>
        <w:rPr>
          <w:noProof/>
          <w:sz w:val="24"/>
          <w:szCs w:val="24"/>
        </w:rPr>
      </w:pPr>
      <w:r w:rsidRPr="00F35F4D">
        <w:rPr>
          <w:noProof/>
          <w:sz w:val="24"/>
        </w:rPr>
        <w:t>augsnes kultivēšanu, nosusināšanu un apūdeņošanu;</w:t>
      </w:r>
    </w:p>
    <w:p w14:paraId="69C1E55E" w14:textId="07DF558E" w:rsidR="008E3F72" w:rsidRPr="00F35F4D" w:rsidRDefault="008E3F72" w:rsidP="00021090">
      <w:pPr>
        <w:pStyle w:val="BodyText"/>
        <w:widowControl/>
        <w:numPr>
          <w:ilvl w:val="1"/>
          <w:numId w:val="5"/>
        </w:numPr>
        <w:kinsoku w:val="0"/>
        <w:overflowPunct w:val="0"/>
        <w:spacing w:before="0"/>
        <w:ind w:left="0" w:firstLine="0"/>
        <w:jc w:val="both"/>
        <w:rPr>
          <w:noProof/>
          <w:sz w:val="24"/>
          <w:szCs w:val="24"/>
        </w:rPr>
      </w:pPr>
      <w:r w:rsidRPr="00F35F4D">
        <w:rPr>
          <w:noProof/>
          <w:sz w:val="24"/>
        </w:rPr>
        <w:t>lau</w:t>
      </w:r>
      <w:r w:rsidR="008760A7">
        <w:rPr>
          <w:noProof/>
          <w:sz w:val="24"/>
        </w:rPr>
        <w:t>ksaimniecības dzīvnieku ēdināšanu</w:t>
      </w:r>
      <w:r w:rsidRPr="00F35F4D">
        <w:rPr>
          <w:noProof/>
          <w:sz w:val="24"/>
        </w:rPr>
        <w:t>;</w:t>
      </w:r>
    </w:p>
    <w:p w14:paraId="4E893418" w14:textId="094DEA0E" w:rsidR="008E3F72" w:rsidRPr="00F35F4D" w:rsidRDefault="008760A7" w:rsidP="00021090">
      <w:pPr>
        <w:pStyle w:val="BodyText"/>
        <w:widowControl/>
        <w:numPr>
          <w:ilvl w:val="1"/>
          <w:numId w:val="5"/>
        </w:numPr>
        <w:kinsoku w:val="0"/>
        <w:overflowPunct w:val="0"/>
        <w:spacing w:before="0"/>
        <w:ind w:left="0" w:firstLine="0"/>
        <w:jc w:val="both"/>
        <w:rPr>
          <w:noProof/>
          <w:sz w:val="24"/>
          <w:szCs w:val="24"/>
        </w:rPr>
      </w:pPr>
      <w:r>
        <w:rPr>
          <w:noProof/>
          <w:sz w:val="24"/>
        </w:rPr>
        <w:t>ganāmpulku apsaimniekošanu</w:t>
      </w:r>
      <w:r w:rsidR="008E3F72" w:rsidRPr="00F35F4D">
        <w:rPr>
          <w:noProof/>
          <w:sz w:val="24"/>
        </w:rPr>
        <w:t xml:space="preserve"> (tostarp labturības apsvērumu ievērošanu), ieskaitot dzīvnieku turēšanu novietnēs;</w:t>
      </w:r>
    </w:p>
    <w:p w14:paraId="00A05A9C" w14:textId="77777777" w:rsidR="008E3F72" w:rsidRPr="00F35F4D" w:rsidRDefault="008E3F72" w:rsidP="00021090">
      <w:pPr>
        <w:pStyle w:val="BodyText"/>
        <w:widowControl/>
        <w:numPr>
          <w:ilvl w:val="1"/>
          <w:numId w:val="5"/>
        </w:numPr>
        <w:kinsoku w:val="0"/>
        <w:overflowPunct w:val="0"/>
        <w:spacing w:before="0"/>
        <w:ind w:left="0" w:firstLine="0"/>
        <w:jc w:val="both"/>
        <w:rPr>
          <w:noProof/>
          <w:sz w:val="24"/>
          <w:szCs w:val="24"/>
        </w:rPr>
      </w:pPr>
      <w:r w:rsidRPr="00F35F4D">
        <w:rPr>
          <w:noProof/>
          <w:sz w:val="24"/>
        </w:rPr>
        <w:t>kūtsmēslu apsaimniekošanu, tostarp kūtsmēslu uzkrāšanu un izmantošanu mēslošanai;</w:t>
      </w:r>
    </w:p>
    <w:p w14:paraId="22C0B6A4" w14:textId="77777777" w:rsidR="008E3F72" w:rsidRPr="00F35F4D" w:rsidRDefault="008E3F72" w:rsidP="00021090">
      <w:pPr>
        <w:pStyle w:val="BodyText"/>
        <w:widowControl/>
        <w:numPr>
          <w:ilvl w:val="1"/>
          <w:numId w:val="5"/>
        </w:numPr>
        <w:kinsoku w:val="0"/>
        <w:overflowPunct w:val="0"/>
        <w:spacing w:before="0"/>
        <w:ind w:left="0" w:firstLine="0"/>
        <w:jc w:val="both"/>
        <w:rPr>
          <w:noProof/>
          <w:sz w:val="24"/>
          <w:szCs w:val="24"/>
        </w:rPr>
      </w:pPr>
      <w:r w:rsidRPr="00F35F4D">
        <w:rPr>
          <w:noProof/>
          <w:sz w:val="24"/>
        </w:rPr>
        <w:t>amonjaka emisijas samazināšanas pasākumus;</w:t>
      </w:r>
    </w:p>
    <w:p w14:paraId="562B6C3F" w14:textId="0D292B6F" w:rsidR="008E3F72" w:rsidRPr="00F35F4D" w:rsidRDefault="008E3F72" w:rsidP="00021090">
      <w:pPr>
        <w:pStyle w:val="BodyText"/>
        <w:widowControl/>
        <w:numPr>
          <w:ilvl w:val="1"/>
          <w:numId w:val="5"/>
        </w:numPr>
        <w:kinsoku w:val="0"/>
        <w:overflowPunct w:val="0"/>
        <w:spacing w:before="0"/>
        <w:ind w:left="0" w:firstLine="0"/>
        <w:jc w:val="both"/>
        <w:rPr>
          <w:noProof/>
          <w:sz w:val="24"/>
          <w:szCs w:val="24"/>
        </w:rPr>
      </w:pPr>
      <w:r w:rsidRPr="00F35F4D">
        <w:rPr>
          <w:noProof/>
          <w:sz w:val="24"/>
        </w:rPr>
        <w:lastRenderedPageBreak/>
        <w:t>pasākumus nit</w:t>
      </w:r>
      <w:r w:rsidR="008760A7">
        <w:rPr>
          <w:noProof/>
          <w:sz w:val="24"/>
        </w:rPr>
        <w:t>rātu izskalošanās un noteces</w:t>
      </w:r>
      <w:r w:rsidRPr="00F35F4D">
        <w:rPr>
          <w:noProof/>
          <w:sz w:val="24"/>
        </w:rPr>
        <w:t xml:space="preserve"> samazināšanai;</w:t>
      </w:r>
    </w:p>
    <w:p w14:paraId="5AE49AD8" w14:textId="77777777" w:rsidR="008E3F72" w:rsidRPr="00F35F4D" w:rsidRDefault="008E3F72" w:rsidP="00021090">
      <w:pPr>
        <w:pStyle w:val="BodyText"/>
        <w:widowControl/>
        <w:numPr>
          <w:ilvl w:val="1"/>
          <w:numId w:val="5"/>
        </w:numPr>
        <w:kinsoku w:val="0"/>
        <w:overflowPunct w:val="0"/>
        <w:spacing w:before="0"/>
        <w:ind w:left="0" w:firstLine="0"/>
        <w:jc w:val="both"/>
        <w:rPr>
          <w:noProof/>
          <w:sz w:val="24"/>
          <w:szCs w:val="24"/>
        </w:rPr>
      </w:pPr>
      <w:r w:rsidRPr="00F35F4D">
        <w:rPr>
          <w:noProof/>
          <w:sz w:val="24"/>
        </w:rPr>
        <w:t>pasākumus N2O emisijas samazināšanai;</w:t>
      </w:r>
    </w:p>
    <w:p w14:paraId="0F152C7C" w14:textId="77777777" w:rsidR="008E3F72" w:rsidRPr="00F35F4D" w:rsidRDefault="008E3F72" w:rsidP="00021090">
      <w:pPr>
        <w:pStyle w:val="BodyText"/>
        <w:widowControl/>
        <w:numPr>
          <w:ilvl w:val="1"/>
          <w:numId w:val="5"/>
        </w:numPr>
        <w:kinsoku w:val="0"/>
        <w:overflowPunct w:val="0"/>
        <w:spacing w:before="0"/>
        <w:ind w:left="0" w:firstLine="0"/>
        <w:jc w:val="both"/>
        <w:rPr>
          <w:noProof/>
          <w:sz w:val="24"/>
          <w:szCs w:val="24"/>
        </w:rPr>
      </w:pPr>
      <w:r w:rsidRPr="00F35F4D">
        <w:rPr>
          <w:noProof/>
          <w:sz w:val="24"/>
        </w:rPr>
        <w:t xml:space="preserve"> pasākumus denitrifikācijas samazināšanai.</w:t>
      </w:r>
    </w:p>
    <w:p w14:paraId="3A58469F" w14:textId="77777777" w:rsidR="008E3F72" w:rsidRPr="00F35F4D" w:rsidRDefault="008E3F72" w:rsidP="008E3F72">
      <w:pPr>
        <w:pStyle w:val="BodyText"/>
        <w:widowControl/>
        <w:tabs>
          <w:tab w:val="left" w:pos="1581"/>
        </w:tabs>
        <w:kinsoku w:val="0"/>
        <w:overflowPunct w:val="0"/>
        <w:spacing w:before="0"/>
        <w:ind w:left="0"/>
        <w:jc w:val="both"/>
        <w:rPr>
          <w:noProof/>
          <w:sz w:val="24"/>
          <w:szCs w:val="24"/>
        </w:rPr>
      </w:pPr>
    </w:p>
    <w:p w14:paraId="01E0D4A6" w14:textId="294A9DED" w:rsidR="002320EF" w:rsidRDefault="008E3F72" w:rsidP="008E3F72">
      <w:pPr>
        <w:pStyle w:val="BodyText"/>
        <w:widowControl/>
        <w:kinsoku w:val="0"/>
        <w:overflowPunct w:val="0"/>
        <w:spacing w:before="0"/>
        <w:ind w:left="0"/>
        <w:jc w:val="both"/>
        <w:rPr>
          <w:noProof/>
          <w:sz w:val="24"/>
        </w:rPr>
      </w:pPr>
      <w:r w:rsidRPr="00F35F4D">
        <w:rPr>
          <w:noProof/>
          <w:sz w:val="24"/>
        </w:rPr>
        <w:t>Lai sasniegtu augstu kultūraugu ražību un dzīvnieku produktivitāti ar minimāliem N zudumiem un citām neparedzētām sekām videi, visas darbības jāapsver kompleksi un līdzsvaroti.</w:t>
      </w:r>
    </w:p>
    <w:p w14:paraId="2E995ABA" w14:textId="77777777" w:rsidR="002320EF" w:rsidRPr="002320EF" w:rsidRDefault="002320EF" w:rsidP="008E3F72">
      <w:pPr>
        <w:pStyle w:val="BodyText"/>
        <w:widowControl/>
        <w:kinsoku w:val="0"/>
        <w:overflowPunct w:val="0"/>
        <w:spacing w:before="0"/>
        <w:ind w:left="0"/>
        <w:jc w:val="both"/>
        <w:rPr>
          <w:noProof/>
          <w:sz w:val="24"/>
        </w:rPr>
      </w:pPr>
    </w:p>
    <w:p w14:paraId="1D66DD07" w14:textId="7712148E"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Slāpeklis ir būt</w:t>
      </w:r>
      <w:r w:rsidR="008760A7">
        <w:rPr>
          <w:noProof/>
          <w:sz w:val="24"/>
        </w:rPr>
        <w:t>isks augu augšanai. Augkopībā tas bieži vien ir barības elements, kura</w:t>
      </w:r>
      <w:r w:rsidRPr="00F35F4D">
        <w:rPr>
          <w:noProof/>
          <w:sz w:val="24"/>
        </w:rPr>
        <w:t xml:space="preserve"> trūkums visvairāk ierobežo augšanu, un tāpēc optimālas ražas panākšanai slāpeklim jābūt pieejamam augsnē pietiekamā daudzumā un augiem pieejama veidā. Lieka slāpekļa iestrāde un/vai nelaikā veikta slāpekļa iestrāde ir galvenais N zuduma avots vidē, tostarp NH3 emisijai gaisā. Izvairīšanās no lieka slāpekļa iestrādes vai nelaikā veiktas iestrādes ir viens no labākajiem veidiem, ka samazināt N zudumus (un cita veida ietekmi uz vidi), neietekmējot kultūraugu un lauksaimniecības dzīvnieku audzēšanu. Jāievēro konkrētai ražošanas vietai pielāgotās vadlīnijas</w:t>
      </w:r>
      <w:r w:rsidR="008760A7">
        <w:rPr>
          <w:noProof/>
          <w:sz w:val="24"/>
        </w:rPr>
        <w:t xml:space="preserve"> par labāko praksi barības elementu </w:t>
      </w:r>
      <w:r w:rsidRPr="00F35F4D">
        <w:rPr>
          <w:noProof/>
          <w:sz w:val="24"/>
        </w:rPr>
        <w:t>apsaimniekošanas jomā, tostarp par</w:t>
      </w:r>
    </w:p>
    <w:p w14:paraId="0E3A07E6" w14:textId="77777777" w:rsidR="008E3F72" w:rsidRPr="00F35F4D" w:rsidRDefault="008E3F72" w:rsidP="008E3F72">
      <w:pPr>
        <w:pStyle w:val="BodyText"/>
        <w:widowControl/>
        <w:tabs>
          <w:tab w:val="left" w:pos="861"/>
        </w:tabs>
        <w:kinsoku w:val="0"/>
        <w:overflowPunct w:val="0"/>
        <w:spacing w:before="0"/>
        <w:ind w:left="0"/>
        <w:jc w:val="both"/>
        <w:rPr>
          <w:noProof/>
          <w:sz w:val="24"/>
          <w:szCs w:val="24"/>
        </w:rPr>
      </w:pPr>
    </w:p>
    <w:p w14:paraId="634DB86D" w14:textId="4B0E04F2" w:rsidR="008E3F72" w:rsidRPr="00F35F4D" w:rsidRDefault="008760A7" w:rsidP="002320EF">
      <w:pPr>
        <w:pStyle w:val="BodyText"/>
        <w:widowControl/>
        <w:numPr>
          <w:ilvl w:val="1"/>
          <w:numId w:val="5"/>
        </w:numPr>
        <w:kinsoku w:val="0"/>
        <w:overflowPunct w:val="0"/>
        <w:spacing w:before="0"/>
        <w:ind w:left="0" w:firstLine="0"/>
        <w:jc w:val="both"/>
        <w:rPr>
          <w:noProof/>
          <w:sz w:val="24"/>
          <w:szCs w:val="24"/>
        </w:rPr>
      </w:pPr>
      <w:r>
        <w:rPr>
          <w:noProof/>
          <w:sz w:val="24"/>
        </w:rPr>
        <w:t>visu būtisko barības elementu</w:t>
      </w:r>
      <w:r w:rsidR="008E3F72" w:rsidRPr="00F35F4D">
        <w:rPr>
          <w:noProof/>
          <w:sz w:val="24"/>
        </w:rPr>
        <w:t xml:space="preserve"> plānošanu un uzskaiti;</w:t>
      </w:r>
    </w:p>
    <w:p w14:paraId="37A91E71" w14:textId="77777777" w:rsidR="008E3F72" w:rsidRPr="00F35F4D" w:rsidRDefault="008E3F72" w:rsidP="002320EF">
      <w:pPr>
        <w:pStyle w:val="BodyText"/>
        <w:widowControl/>
        <w:numPr>
          <w:ilvl w:val="1"/>
          <w:numId w:val="5"/>
        </w:numPr>
        <w:kinsoku w:val="0"/>
        <w:overflowPunct w:val="0"/>
        <w:spacing w:before="0"/>
        <w:ind w:left="0" w:firstLine="0"/>
        <w:jc w:val="both"/>
        <w:rPr>
          <w:noProof/>
          <w:sz w:val="24"/>
          <w:szCs w:val="24"/>
        </w:rPr>
      </w:pPr>
      <w:r w:rsidRPr="00F35F4D">
        <w:rPr>
          <w:noProof/>
          <w:sz w:val="24"/>
        </w:rPr>
        <w:t>aprēķinu, lai noteiktu kultūraugu summāro vajadzību pēc N, pamatojoties uz reālu vērtējumu par plānoto ražu, N saturu kultūraugos un tas spēju efektīvi uzņemt N;</w:t>
      </w:r>
    </w:p>
    <w:p w14:paraId="6E019DA7" w14:textId="77777777" w:rsidR="008E3F72" w:rsidRPr="00F35F4D" w:rsidRDefault="008E3F72" w:rsidP="002320EF">
      <w:pPr>
        <w:pStyle w:val="BodyText"/>
        <w:widowControl/>
        <w:numPr>
          <w:ilvl w:val="1"/>
          <w:numId w:val="5"/>
        </w:numPr>
        <w:kinsoku w:val="0"/>
        <w:overflowPunct w:val="0"/>
        <w:spacing w:before="0"/>
        <w:ind w:left="0" w:firstLine="0"/>
        <w:jc w:val="both"/>
        <w:rPr>
          <w:noProof/>
          <w:sz w:val="24"/>
          <w:szCs w:val="24"/>
        </w:rPr>
      </w:pPr>
      <w:r w:rsidRPr="00F35F4D">
        <w:rPr>
          <w:noProof/>
          <w:sz w:val="24"/>
        </w:rPr>
        <w:t>no šādiem vietējiem avotiem iegūtā N daudzuma aplēsi, kas veikta ar akreditētām metodēm:</w:t>
      </w:r>
    </w:p>
    <w:p w14:paraId="4F0A103F" w14:textId="77777777" w:rsidR="008E3F72" w:rsidRPr="00F35F4D" w:rsidRDefault="008E3F72" w:rsidP="002320EF">
      <w:pPr>
        <w:pStyle w:val="BodyText"/>
        <w:widowControl/>
        <w:numPr>
          <w:ilvl w:val="2"/>
          <w:numId w:val="5"/>
        </w:numPr>
        <w:kinsoku w:val="0"/>
        <w:overflowPunct w:val="0"/>
        <w:spacing w:before="0"/>
        <w:ind w:left="0" w:firstLine="0"/>
        <w:jc w:val="both"/>
        <w:rPr>
          <w:noProof/>
          <w:sz w:val="24"/>
          <w:szCs w:val="24"/>
        </w:rPr>
      </w:pPr>
      <w:r w:rsidRPr="00F35F4D">
        <w:rPr>
          <w:noProof/>
          <w:sz w:val="24"/>
        </w:rPr>
        <w:t>minerālais N augsnes virsējos slāņos stādīšanas laikā un ražošanas stadijās (veicot augsnes un/vai augu testēšanu);</w:t>
      </w:r>
    </w:p>
    <w:p w14:paraId="501E0F09" w14:textId="77777777" w:rsidR="008E3F72" w:rsidRPr="00F35F4D" w:rsidRDefault="008E3F72" w:rsidP="002320EF">
      <w:pPr>
        <w:pStyle w:val="BodyText"/>
        <w:widowControl/>
        <w:numPr>
          <w:ilvl w:val="2"/>
          <w:numId w:val="5"/>
        </w:numPr>
        <w:kinsoku w:val="0"/>
        <w:overflowPunct w:val="0"/>
        <w:spacing w:before="0"/>
        <w:ind w:left="0" w:firstLine="0"/>
        <w:jc w:val="both"/>
        <w:rPr>
          <w:noProof/>
          <w:sz w:val="24"/>
          <w:szCs w:val="24"/>
        </w:rPr>
      </w:pPr>
      <w:r w:rsidRPr="00F35F4D">
        <w:rPr>
          <w:noProof/>
          <w:sz w:val="24"/>
        </w:rPr>
        <w:t>iepriekš audzēto kultūraugu atlieku mineralizācija;</w:t>
      </w:r>
    </w:p>
    <w:p w14:paraId="2C33B76B" w14:textId="746EC3DA" w:rsidR="008E3F72" w:rsidRPr="00F35F4D" w:rsidRDefault="008E3F72" w:rsidP="002320EF">
      <w:pPr>
        <w:pStyle w:val="BodyText"/>
        <w:widowControl/>
        <w:numPr>
          <w:ilvl w:val="2"/>
          <w:numId w:val="5"/>
        </w:numPr>
        <w:kinsoku w:val="0"/>
        <w:overflowPunct w:val="0"/>
        <w:spacing w:before="0"/>
        <w:ind w:left="0" w:firstLine="0"/>
        <w:jc w:val="both"/>
        <w:rPr>
          <w:noProof/>
          <w:sz w:val="24"/>
          <w:szCs w:val="24"/>
        </w:rPr>
      </w:pPr>
      <w:r w:rsidRPr="00F35F4D">
        <w:rPr>
          <w:noProof/>
          <w:sz w:val="24"/>
        </w:rPr>
        <w:t>augsnē esošo organisko vielu summārā mineralizācija, ieskaitot reziduālo ietekmi, ko rada mēslošana ar kūtsmēsliem vairāku gadu g</w:t>
      </w:r>
      <w:r w:rsidR="008760A7">
        <w:rPr>
          <w:noProof/>
          <w:sz w:val="24"/>
        </w:rPr>
        <w:t>aitā un ganību gadījumā – ganībās esošo</w:t>
      </w:r>
      <w:r w:rsidRPr="00F35F4D">
        <w:rPr>
          <w:noProof/>
          <w:sz w:val="24"/>
        </w:rPr>
        <w:t xml:space="preserve"> dzīvnieku mēsli;</w:t>
      </w:r>
    </w:p>
    <w:p w14:paraId="571053F8" w14:textId="77777777" w:rsidR="008E3F72" w:rsidRPr="00F35F4D" w:rsidRDefault="008E3F72" w:rsidP="002320EF">
      <w:pPr>
        <w:pStyle w:val="BodyText"/>
        <w:widowControl/>
        <w:numPr>
          <w:ilvl w:val="2"/>
          <w:numId w:val="5"/>
        </w:numPr>
        <w:kinsoku w:val="0"/>
        <w:overflowPunct w:val="0"/>
        <w:spacing w:before="0"/>
        <w:ind w:left="0" w:firstLine="0"/>
        <w:jc w:val="both"/>
        <w:rPr>
          <w:noProof/>
          <w:sz w:val="24"/>
          <w:szCs w:val="24"/>
        </w:rPr>
      </w:pPr>
      <w:r w:rsidRPr="00F35F4D">
        <w:rPr>
          <w:noProof/>
          <w:sz w:val="24"/>
        </w:rPr>
        <w:t>gaisā esošā ķīmiski aktīvā N nosēšanās augsnē;</w:t>
      </w:r>
    </w:p>
    <w:p w14:paraId="2872319A" w14:textId="77777777" w:rsidR="008E3F72" w:rsidRPr="00F35F4D" w:rsidRDefault="008E3F72" w:rsidP="002320EF">
      <w:pPr>
        <w:pStyle w:val="BodyText"/>
        <w:widowControl/>
        <w:numPr>
          <w:ilvl w:val="2"/>
          <w:numId w:val="5"/>
        </w:numPr>
        <w:kinsoku w:val="0"/>
        <w:overflowPunct w:val="0"/>
        <w:spacing w:before="0"/>
        <w:ind w:left="0" w:firstLine="0"/>
        <w:jc w:val="both"/>
        <w:rPr>
          <w:noProof/>
          <w:sz w:val="24"/>
          <w:szCs w:val="24"/>
        </w:rPr>
      </w:pPr>
      <w:r w:rsidRPr="00F35F4D">
        <w:rPr>
          <w:noProof/>
          <w:sz w:val="24"/>
        </w:rPr>
        <w:t>N2 bioloģiskā fiksācija pākšaugos;</w:t>
      </w:r>
    </w:p>
    <w:p w14:paraId="3FE5B8FD" w14:textId="77777777" w:rsidR="008E3F72" w:rsidRPr="00F35F4D" w:rsidRDefault="008E3F72" w:rsidP="002320EF">
      <w:pPr>
        <w:pStyle w:val="BodyText"/>
        <w:widowControl/>
        <w:numPr>
          <w:ilvl w:val="1"/>
          <w:numId w:val="5"/>
        </w:numPr>
        <w:kinsoku w:val="0"/>
        <w:overflowPunct w:val="0"/>
        <w:spacing w:before="0"/>
        <w:ind w:left="0" w:firstLine="0"/>
        <w:jc w:val="both"/>
        <w:rPr>
          <w:noProof/>
          <w:sz w:val="24"/>
          <w:szCs w:val="24"/>
        </w:rPr>
      </w:pPr>
      <w:r w:rsidRPr="00F35F4D">
        <w:rPr>
          <w:noProof/>
          <w:sz w:val="24"/>
        </w:rPr>
        <w:t>aprēķinu par vajadzīgo N daudzumu mēslojumā, ņemot vērā konkrēto kultūraugu vajadzības pēc N un N daudzumu, kas tiem pieejams no vietējiem avotiem;</w:t>
      </w:r>
    </w:p>
    <w:p w14:paraId="6AF685CB" w14:textId="706DAFF0" w:rsidR="008E3F72" w:rsidRPr="00F35F4D" w:rsidRDefault="008760A7" w:rsidP="002320EF">
      <w:pPr>
        <w:pStyle w:val="BodyText"/>
        <w:widowControl/>
        <w:numPr>
          <w:ilvl w:val="1"/>
          <w:numId w:val="5"/>
        </w:numPr>
        <w:kinsoku w:val="0"/>
        <w:overflowPunct w:val="0"/>
        <w:spacing w:before="0"/>
        <w:ind w:left="0" w:firstLine="0"/>
        <w:jc w:val="both"/>
        <w:rPr>
          <w:noProof/>
          <w:sz w:val="24"/>
          <w:szCs w:val="24"/>
        </w:rPr>
      </w:pPr>
      <w:r>
        <w:rPr>
          <w:noProof/>
          <w:sz w:val="24"/>
        </w:rPr>
        <w:t>aprēķinu par barības elementu</w:t>
      </w:r>
      <w:r w:rsidR="008E3F72" w:rsidRPr="00F35F4D">
        <w:rPr>
          <w:noProof/>
          <w:sz w:val="24"/>
        </w:rPr>
        <w:t xml:space="preserve"> daudzumu mēslošanai izmantotajos kūtsmēslos, kas būs pieejams kultūraugiem. Mēslošanai vajadzīgais kūtsmēslu daudzums ir atkarīgs no šādiem faktoriem:</w:t>
      </w:r>
    </w:p>
    <w:p w14:paraId="0E77AC51" w14:textId="77777777" w:rsidR="008E3F72" w:rsidRPr="00F35F4D" w:rsidRDefault="008E3F72" w:rsidP="002320EF">
      <w:pPr>
        <w:pStyle w:val="BodyText"/>
        <w:widowControl/>
        <w:numPr>
          <w:ilvl w:val="2"/>
          <w:numId w:val="5"/>
        </w:numPr>
        <w:kinsoku w:val="0"/>
        <w:overflowPunct w:val="0"/>
        <w:spacing w:before="0"/>
        <w:ind w:left="0" w:firstLine="0"/>
        <w:jc w:val="both"/>
        <w:rPr>
          <w:noProof/>
          <w:sz w:val="24"/>
          <w:szCs w:val="24"/>
        </w:rPr>
      </w:pPr>
      <w:r w:rsidRPr="00F35F4D">
        <w:rPr>
          <w:noProof/>
          <w:sz w:val="24"/>
        </w:rPr>
        <w:t>kultūraugu vajadzībām pēc N, fosfora un kālija;</w:t>
      </w:r>
    </w:p>
    <w:p w14:paraId="201A64BD" w14:textId="77777777" w:rsidR="008E3F72" w:rsidRPr="00F35F4D" w:rsidRDefault="008E3F72" w:rsidP="002320EF">
      <w:pPr>
        <w:pStyle w:val="BodyText"/>
        <w:widowControl/>
        <w:numPr>
          <w:ilvl w:val="2"/>
          <w:numId w:val="5"/>
        </w:numPr>
        <w:kinsoku w:val="0"/>
        <w:overflowPunct w:val="0"/>
        <w:spacing w:before="0"/>
        <w:ind w:left="0" w:firstLine="0"/>
        <w:jc w:val="both"/>
        <w:rPr>
          <w:noProof/>
          <w:sz w:val="24"/>
          <w:szCs w:val="24"/>
        </w:rPr>
      </w:pPr>
      <w:r w:rsidRPr="00F35F4D">
        <w:rPr>
          <w:noProof/>
          <w:sz w:val="24"/>
        </w:rPr>
        <w:t>N, fosfora un kālija daudzuma, ko dod augsne, pamatojoties uz augsnes testiem;</w:t>
      </w:r>
    </w:p>
    <w:p w14:paraId="2F975AD0" w14:textId="77777777" w:rsidR="008E3F72" w:rsidRPr="00F35F4D" w:rsidRDefault="008E3F72" w:rsidP="002320EF">
      <w:pPr>
        <w:pStyle w:val="BodyText"/>
        <w:widowControl/>
        <w:numPr>
          <w:ilvl w:val="2"/>
          <w:numId w:val="5"/>
        </w:numPr>
        <w:kinsoku w:val="0"/>
        <w:overflowPunct w:val="0"/>
        <w:spacing w:before="0"/>
        <w:ind w:left="0" w:firstLine="0"/>
        <w:jc w:val="both"/>
        <w:rPr>
          <w:noProof/>
          <w:sz w:val="24"/>
          <w:szCs w:val="24"/>
        </w:rPr>
      </w:pPr>
      <w:r w:rsidRPr="00F35F4D">
        <w:rPr>
          <w:noProof/>
          <w:sz w:val="24"/>
        </w:rPr>
        <w:t>kūtsmēslu pieejamības;</w:t>
      </w:r>
    </w:p>
    <w:p w14:paraId="5C83A139" w14:textId="77777777" w:rsidR="008E3F72" w:rsidRPr="00F35F4D" w:rsidRDefault="008E3F72" w:rsidP="002320EF">
      <w:pPr>
        <w:pStyle w:val="BodyText"/>
        <w:widowControl/>
        <w:numPr>
          <w:ilvl w:val="2"/>
          <w:numId w:val="5"/>
        </w:numPr>
        <w:kinsoku w:val="0"/>
        <w:overflowPunct w:val="0"/>
        <w:spacing w:before="0"/>
        <w:ind w:left="0" w:firstLine="0"/>
        <w:jc w:val="both"/>
        <w:rPr>
          <w:noProof/>
          <w:sz w:val="24"/>
          <w:szCs w:val="24"/>
        </w:rPr>
      </w:pPr>
      <w:r w:rsidRPr="00F35F4D">
        <w:rPr>
          <w:noProof/>
          <w:sz w:val="24"/>
        </w:rPr>
        <w:t>kūtsmēslos viegli pieejamā N, fosfora un kālija daudzuma un</w:t>
      </w:r>
    </w:p>
    <w:p w14:paraId="40CCE25F" w14:textId="756C14C0" w:rsidR="008E3F72" w:rsidRPr="00F35F4D" w:rsidRDefault="008E3F72" w:rsidP="002320EF">
      <w:pPr>
        <w:pStyle w:val="BodyText"/>
        <w:widowControl/>
        <w:numPr>
          <w:ilvl w:val="2"/>
          <w:numId w:val="5"/>
        </w:numPr>
        <w:kinsoku w:val="0"/>
        <w:overflowPunct w:val="0"/>
        <w:spacing w:before="0"/>
        <w:ind w:left="0" w:firstLine="0"/>
        <w:jc w:val="both"/>
        <w:rPr>
          <w:noProof/>
          <w:sz w:val="24"/>
          <w:szCs w:val="24"/>
        </w:rPr>
      </w:pPr>
      <w:r w:rsidRPr="00F35F4D">
        <w:rPr>
          <w:noProof/>
          <w:sz w:val="24"/>
        </w:rPr>
        <w:t>ātruma, ar kādu no kūtsmē</w:t>
      </w:r>
      <w:r w:rsidR="008760A7">
        <w:rPr>
          <w:noProof/>
          <w:sz w:val="24"/>
        </w:rPr>
        <w:t>sliem atbrīvojas grūti pieejamie barības elementi</w:t>
      </w:r>
      <w:r w:rsidRPr="00F35F4D">
        <w:rPr>
          <w:noProof/>
          <w:sz w:val="24"/>
        </w:rPr>
        <w:t>, ieskaitot reziduālo ietekmi;</w:t>
      </w:r>
    </w:p>
    <w:p w14:paraId="0F15281D" w14:textId="58E2518A" w:rsidR="008E3F72" w:rsidRPr="00F35F4D" w:rsidRDefault="008E3F72" w:rsidP="002320EF">
      <w:pPr>
        <w:pStyle w:val="BodyText"/>
        <w:widowControl/>
        <w:numPr>
          <w:ilvl w:val="1"/>
          <w:numId w:val="5"/>
        </w:numPr>
        <w:kinsoku w:val="0"/>
        <w:overflowPunct w:val="0"/>
        <w:spacing w:before="0"/>
        <w:ind w:left="0" w:firstLine="0"/>
        <w:jc w:val="both"/>
        <w:rPr>
          <w:noProof/>
          <w:sz w:val="24"/>
          <w:szCs w:val="24"/>
        </w:rPr>
      </w:pPr>
      <w:r w:rsidRPr="00F35F4D">
        <w:rPr>
          <w:noProof/>
          <w:sz w:val="24"/>
        </w:rPr>
        <w:t>aprēķinu par vajadzīgo N daudzumu mēslojumā</w:t>
      </w:r>
      <w:r w:rsidR="008760A7">
        <w:rPr>
          <w:noProof/>
          <w:sz w:val="24"/>
        </w:rPr>
        <w:t xml:space="preserve"> un citiem barības elementiem</w:t>
      </w:r>
      <w:r w:rsidRPr="00F35F4D">
        <w:rPr>
          <w:noProof/>
          <w:sz w:val="24"/>
        </w:rPr>
        <w:t>, ņemot vērā konkrēto kultūraugu vajadzības pēc N un N daudzumu, kas tiem pieejams no vietējiem avotiem</w:t>
      </w:r>
      <w:r w:rsidR="008760A7">
        <w:rPr>
          <w:noProof/>
          <w:sz w:val="24"/>
        </w:rPr>
        <w:t xml:space="preserve"> un organiskajiem mēsliem</w:t>
      </w:r>
      <w:r w:rsidRPr="00F35F4D">
        <w:rPr>
          <w:noProof/>
          <w:sz w:val="24"/>
        </w:rPr>
        <w:t>;</w:t>
      </w:r>
    </w:p>
    <w:p w14:paraId="39B08C98" w14:textId="77777777" w:rsidR="008E3F72" w:rsidRPr="00F35F4D" w:rsidRDefault="008E3F72" w:rsidP="002320EF">
      <w:pPr>
        <w:pStyle w:val="BodyText"/>
        <w:widowControl/>
        <w:numPr>
          <w:ilvl w:val="1"/>
          <w:numId w:val="5"/>
        </w:numPr>
        <w:kinsoku w:val="0"/>
        <w:overflowPunct w:val="0"/>
        <w:spacing w:before="0"/>
        <w:ind w:left="0" w:firstLine="0"/>
        <w:jc w:val="both"/>
        <w:rPr>
          <w:noProof/>
          <w:sz w:val="24"/>
          <w:szCs w:val="24"/>
        </w:rPr>
      </w:pPr>
      <w:r w:rsidRPr="00F35F4D">
        <w:rPr>
          <w:noProof/>
          <w:sz w:val="24"/>
        </w:rPr>
        <w:t>mēslošanu ar kūtsmēsliem un/vai N mēslošanas līdzekli īsi pirms tam, kad kultūraugi sāk strauji augt, ko veic, izmantojot metodes un paņēmienus, kas novērš NH3 emisiju;</w:t>
      </w:r>
    </w:p>
    <w:p w14:paraId="450E7591" w14:textId="77777777" w:rsidR="008E3F72" w:rsidRPr="00F35F4D" w:rsidRDefault="008E3F72" w:rsidP="002320EF">
      <w:pPr>
        <w:pStyle w:val="BodyText"/>
        <w:widowControl/>
        <w:numPr>
          <w:ilvl w:val="1"/>
          <w:numId w:val="5"/>
        </w:numPr>
        <w:kinsoku w:val="0"/>
        <w:overflowPunct w:val="0"/>
        <w:spacing w:before="0"/>
        <w:ind w:left="0" w:firstLine="0"/>
        <w:jc w:val="both"/>
        <w:rPr>
          <w:noProof/>
          <w:sz w:val="24"/>
          <w:szCs w:val="24"/>
        </w:rPr>
      </w:pPr>
      <w:r w:rsidRPr="00F35F4D">
        <w:rPr>
          <w:noProof/>
          <w:sz w:val="24"/>
        </w:rPr>
        <w:t>ja iespējams, N mēslošanas līdzekļa izmantošanu vairākās porcijās (mēslošana pa daļām), vajadzības gadījumā veicot augu analīzi.</w:t>
      </w:r>
    </w:p>
    <w:p w14:paraId="56C1070D" w14:textId="42CE3941" w:rsidR="008E3F72" w:rsidRPr="002320EF"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lastRenderedPageBreak/>
        <w:t>Priekšroka dodama tiem kopējās NH3 emisijas samazināšanas paņēmieniem, kas vienlaicīgi samazina cita veida nevēlamu N emisiju, ļaujot saglabāt vai uzlabot lauksaimniecisko ražību (pasākumiem ar sinerģisku ietekmi). Pretēji tam, tie NH3 emisiju samazinošie pasākumi, kas palielina citu nevēlamu emisiju (rada antagonistisku ietekmi), jāpārveido tā, lai antagonistiskā ietekme pēc iespējas samazinātos. Tāda antagonistiska iet</w:t>
      </w:r>
      <w:r w:rsidR="008760A7">
        <w:rPr>
          <w:noProof/>
          <w:sz w:val="24"/>
        </w:rPr>
        <w:t>ekme var būt atgremotāju</w:t>
      </w:r>
      <w:r w:rsidRPr="00F35F4D">
        <w:rPr>
          <w:noProof/>
          <w:sz w:val="24"/>
        </w:rPr>
        <w:t xml:space="preserve"> radītās CH4 emisijas paaugstināšanās. Līdzīgā veidā emisijas samazināšanas pasākumi nedrīkstētu palielināt cita veida piesārņojumu saimniecībā (piemēram, fosfora (P) zudumus, patogēnos mikroorganismus, augsnes eroziju) vai resursu (piemēram, degvielas) izlietojumu, pārtikas kvalitātes pazemināšanos (piemēram, lietojot lielākus antibiotisko vielu, hormonu vai pesticīdu daudzumus), vai nelabvēlīgi ietekmēt lauksaimniecības dzīvnieku veselību un labturību (piemēram, ierobežojot kūts izmērus vai dzīvnieku blīvumu) (</w:t>
      </w:r>
      <w:r w:rsidRPr="00F35F4D">
        <w:rPr>
          <w:i/>
          <w:noProof/>
          <w:sz w:val="24"/>
        </w:rPr>
        <w:t>Jarvis et al.</w:t>
      </w:r>
      <w:r w:rsidRPr="00F35F4D">
        <w:rPr>
          <w:noProof/>
          <w:sz w:val="24"/>
        </w:rPr>
        <w:t>, 2011).</w:t>
      </w:r>
    </w:p>
    <w:p w14:paraId="3A36C3CA" w14:textId="77777777" w:rsidR="002320EF" w:rsidRPr="00F35F4D" w:rsidRDefault="002320EF" w:rsidP="002320EF">
      <w:pPr>
        <w:pStyle w:val="BodyText"/>
        <w:widowControl/>
        <w:tabs>
          <w:tab w:val="left" w:pos="861"/>
        </w:tabs>
        <w:kinsoku w:val="0"/>
        <w:overflowPunct w:val="0"/>
        <w:spacing w:before="0"/>
        <w:ind w:left="0"/>
        <w:jc w:val="both"/>
        <w:rPr>
          <w:noProof/>
          <w:sz w:val="24"/>
          <w:szCs w:val="24"/>
        </w:rPr>
      </w:pPr>
    </w:p>
    <w:p w14:paraId="46387396" w14:textId="1E419188" w:rsidR="008E3F72" w:rsidRPr="002320EF" w:rsidRDefault="008760A7" w:rsidP="008E3F72">
      <w:pPr>
        <w:pStyle w:val="BodyText"/>
        <w:widowControl/>
        <w:numPr>
          <w:ilvl w:val="0"/>
          <w:numId w:val="5"/>
        </w:numPr>
        <w:tabs>
          <w:tab w:val="left" w:pos="861"/>
        </w:tabs>
        <w:kinsoku w:val="0"/>
        <w:overflowPunct w:val="0"/>
        <w:spacing w:before="0"/>
        <w:ind w:left="0" w:firstLine="0"/>
        <w:jc w:val="both"/>
        <w:rPr>
          <w:noProof/>
          <w:sz w:val="24"/>
          <w:szCs w:val="24"/>
        </w:rPr>
      </w:pPr>
      <w:r>
        <w:rPr>
          <w:noProof/>
          <w:sz w:val="24"/>
        </w:rPr>
        <w:t xml:space="preserve"> N apsaimniekošanas</w:t>
      </w:r>
      <w:r w:rsidR="008E3F72" w:rsidRPr="00F35F4D">
        <w:rPr>
          <w:noProof/>
          <w:sz w:val="24"/>
        </w:rPr>
        <w:t xml:space="preserve"> efektivitāti var vērtēt pēc a) Npārpalikuma samazināšanās un b) NIE paaugstināšanās. NIE radītāji ļauj izmērīt N daudzumu, kas saglabājas augu vai dzīvnieku produktos, attiecībā pret pievienoto vai no vietējiem avotiem nodrošināto N daudzumu. Npārpalikums raksturo</w:t>
      </w:r>
      <w:r>
        <w:rPr>
          <w:noProof/>
          <w:sz w:val="24"/>
        </w:rPr>
        <w:t xml:space="preserve"> saimniecības radīto N slodzi</w:t>
      </w:r>
      <w:r w:rsidR="008E3F72" w:rsidRPr="00F35F4D">
        <w:rPr>
          <w:noProof/>
          <w:sz w:val="24"/>
        </w:rPr>
        <w:t xml:space="preserve"> uz plašāku vidi, kas atkarīgs arī no veida, kādā N pārpalikums tiek zaudēts – izgaistot amonjakam, izskalojoties slāpeklim un/vai nitrifikācijas/denitrifikācijas procesā. Vadībai ir liela ietekmē gan uz NIE (</w:t>
      </w:r>
      <w:r w:rsidR="008E3F72" w:rsidRPr="00F35F4D">
        <w:rPr>
          <w:i/>
          <w:noProof/>
          <w:sz w:val="24"/>
        </w:rPr>
        <w:t>Tamminga</w:t>
      </w:r>
      <w:r w:rsidR="008E3F72" w:rsidRPr="00F35F4D">
        <w:rPr>
          <w:noProof/>
          <w:sz w:val="24"/>
        </w:rPr>
        <w:t xml:space="preserve"> 1996; </w:t>
      </w:r>
      <w:r w:rsidR="008E3F72" w:rsidRPr="00F35F4D">
        <w:rPr>
          <w:i/>
          <w:noProof/>
          <w:sz w:val="24"/>
        </w:rPr>
        <w:t>Mosier, Syers, Freney,</w:t>
      </w:r>
      <w:r w:rsidR="008E3F72" w:rsidRPr="00F35F4D">
        <w:rPr>
          <w:noProof/>
          <w:sz w:val="24"/>
        </w:rPr>
        <w:t xml:space="preserve"> 2004), gan Npārpalikumu.</w:t>
      </w:r>
    </w:p>
    <w:p w14:paraId="6201E37D" w14:textId="77777777" w:rsidR="002320EF" w:rsidRPr="00F35F4D" w:rsidRDefault="002320EF" w:rsidP="002320EF">
      <w:pPr>
        <w:pStyle w:val="BodyText"/>
        <w:widowControl/>
        <w:tabs>
          <w:tab w:val="left" w:pos="861"/>
        </w:tabs>
        <w:kinsoku w:val="0"/>
        <w:overflowPunct w:val="0"/>
        <w:spacing w:before="0"/>
        <w:ind w:left="0"/>
        <w:jc w:val="both"/>
        <w:rPr>
          <w:noProof/>
          <w:sz w:val="24"/>
          <w:szCs w:val="24"/>
        </w:rPr>
      </w:pPr>
    </w:p>
    <w:p w14:paraId="7EB7109D" w14:textId="77777777" w:rsidR="008E3F72" w:rsidRPr="002320EF"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Ja attiecība starp kopējo izejošā N daudzumu (ar produktiem, ko izved no saimniecības) un kopējo ienākošā N daudzumu (ko ieved saimniecībā, tostarp ar bioloģiskās N2 fiksācijas starpniecību) (izteikta masas attiecībās) norāda NIE saimniecības līmenī, tad kopējais ienākošais N, no kura atskaitīts kopējais izejošais N (ko izsaka kā masu uz virsmas laukuma vienību), raksturo Npārpalikumu</w:t>
      </w:r>
      <w:r w:rsidRPr="00F35F4D">
        <w:rPr>
          <w:i/>
          <w:noProof/>
          <w:sz w:val="24"/>
        </w:rPr>
        <w:t xml:space="preserve"> </w:t>
      </w:r>
      <w:r w:rsidRPr="00F35F4D">
        <w:rPr>
          <w:noProof/>
          <w:sz w:val="24"/>
        </w:rPr>
        <w:t>(pārpalikumu vai trūkumu) saimniecības līmenī.</w:t>
      </w:r>
    </w:p>
    <w:p w14:paraId="5CEA8BF6" w14:textId="77777777" w:rsidR="002320EF" w:rsidRPr="00F35F4D" w:rsidRDefault="002320EF" w:rsidP="002320EF">
      <w:pPr>
        <w:pStyle w:val="BodyText"/>
        <w:widowControl/>
        <w:tabs>
          <w:tab w:val="left" w:pos="861"/>
        </w:tabs>
        <w:kinsoku w:val="0"/>
        <w:overflowPunct w:val="0"/>
        <w:spacing w:before="0"/>
        <w:ind w:left="0"/>
        <w:jc w:val="both"/>
        <w:rPr>
          <w:noProof/>
          <w:sz w:val="24"/>
          <w:szCs w:val="24"/>
        </w:rPr>
      </w:pPr>
    </w:p>
    <w:p w14:paraId="5005500B" w14:textId="77777777" w:rsidR="008E3F72" w:rsidRPr="002320EF"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Parasti nošķir ienākošā-izejošā N bilances un ienākošā-izejošā N budžetus. Bilances un budžetus sastāda, izmantojot vienus un tos pašus ievades parametrus; galvenā atšķirība ir tā, ka bilancēs reģistrē tikai izejošo N daudzumu novāktajos/tirgū laižamajos produktos, turpretim budžetos reģistrē gan izejošo N daudzumu novāktajos/tirgū laižamajos produktos, gan arī zudumus no sistēmas. Šā iemesla dēļ budžetos ir pilnīgi reģistrētas un uzskaitītas visas N plūsmas.</w:t>
      </w:r>
    </w:p>
    <w:p w14:paraId="308FCFDB" w14:textId="77777777" w:rsidR="002320EF" w:rsidRPr="00F35F4D" w:rsidRDefault="002320EF" w:rsidP="002320EF">
      <w:pPr>
        <w:pStyle w:val="BodyText"/>
        <w:widowControl/>
        <w:tabs>
          <w:tab w:val="left" w:pos="861"/>
        </w:tabs>
        <w:kinsoku w:val="0"/>
        <w:overflowPunct w:val="0"/>
        <w:spacing w:before="0"/>
        <w:ind w:left="0"/>
        <w:jc w:val="both"/>
        <w:rPr>
          <w:noProof/>
          <w:sz w:val="24"/>
          <w:szCs w:val="24"/>
        </w:rPr>
      </w:pPr>
    </w:p>
    <w:p w14:paraId="7EB80D66" w14:textId="5B99DAE1" w:rsidR="002320EF" w:rsidRDefault="008E3F72" w:rsidP="002320EF">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 xml:space="preserve">Ir vairākas procedūras ienākošā-izejošā N daudzuma bilances, tostarp N bruto bilances, augsnes virskārtas bilances, bilances „pie saimniecības vārtiem” un saimniecības bilances, sastādīšanai (piemēram, </w:t>
      </w:r>
      <w:r w:rsidRPr="00F35F4D">
        <w:rPr>
          <w:i/>
          <w:noProof/>
          <w:sz w:val="24"/>
        </w:rPr>
        <w:t>Watson, Atkinson</w:t>
      </w:r>
      <w:r w:rsidRPr="00F35F4D">
        <w:rPr>
          <w:noProof/>
          <w:sz w:val="24"/>
        </w:rPr>
        <w:t xml:space="preserve">, 1999; </w:t>
      </w:r>
      <w:r w:rsidRPr="00F35F4D">
        <w:rPr>
          <w:i/>
          <w:noProof/>
          <w:sz w:val="24"/>
        </w:rPr>
        <w:t>Schroder et al.</w:t>
      </w:r>
      <w:r w:rsidRPr="00F35F4D">
        <w:rPr>
          <w:noProof/>
          <w:sz w:val="24"/>
        </w:rPr>
        <w:t xml:space="preserve">, 2003; </w:t>
      </w:r>
      <w:r w:rsidRPr="00F35F4D">
        <w:rPr>
          <w:i/>
          <w:noProof/>
          <w:sz w:val="24"/>
        </w:rPr>
        <w:t>O. Oenema, Kros, de Vries</w:t>
      </w:r>
      <w:r w:rsidRPr="00F35F4D">
        <w:rPr>
          <w:noProof/>
          <w:sz w:val="24"/>
        </w:rPr>
        <w:t xml:space="preserve">, 2003; ESAO, 2008). Pamatā N bruto bilancē un augsnes virskārtas bilancē reģistrē visu lauksaimniecības zemē ienākošo N un visu no lauksaimniecības zemes izejošo N novākto augkopības produktu veidā. Tomēr bilances atšķiras ar veidu, kurā tajās uzskaita lauksaimniecības dzīvnieku mēslos esošo N, proti, N bruto bilancē kopējo slāpekļa daudzumu ekskrementos iekļauj kā ienākošo N, turpretim augsnes virskārtas bilancē ekskrementos izdalītā N daudzumu samazina par NH3 veidā zaudēto daudzumu no kūtsmēsliem dzīvnieku novietnēs un kūtsmēslu krātuvju sistēmām. Bilancē „pie saimniecības vārtiem” un saimniecības bilancē reģistrē visu saimniecībā ienākošo N un visu no saimniecības izejošo N; saimniecības bilancē iekļauj gaisa esošā slāpekļa nosēšanos augsnē (gan reducēto, gan oksidēto N savienojumu veidā) un N2 bioloģisko fiksāciju. Lauka, saimniecības, reģiona un valsts </w:t>
      </w:r>
      <w:r w:rsidRPr="00F35F4D">
        <w:rPr>
          <w:noProof/>
          <w:sz w:val="24"/>
        </w:rPr>
        <w:lastRenderedPageBreak/>
        <w:t>līmenī var izmantot dažādas metodes; bilanču sastādīšanai ir svarīgi izmantot standartizētus bilanču formātus un aprakstīt metodoloģiju, lai bilances varētu labāk salīdzināt.</w:t>
      </w:r>
    </w:p>
    <w:p w14:paraId="386ED4A9" w14:textId="77777777" w:rsidR="002320EF" w:rsidRPr="002320EF" w:rsidRDefault="002320EF" w:rsidP="002320EF">
      <w:pPr>
        <w:pStyle w:val="BodyText"/>
        <w:widowControl/>
        <w:tabs>
          <w:tab w:val="left" w:pos="861"/>
        </w:tabs>
        <w:kinsoku w:val="0"/>
        <w:overflowPunct w:val="0"/>
        <w:spacing w:before="0"/>
        <w:ind w:left="0"/>
        <w:jc w:val="both"/>
        <w:rPr>
          <w:noProof/>
          <w:sz w:val="24"/>
          <w:szCs w:val="24"/>
        </w:rPr>
      </w:pPr>
    </w:p>
    <w:p w14:paraId="088C3F24" w14:textId="3F356BC9"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Vissarežģītākais no visiem N budžetiem ir jauktas augkopības un lopkopības saimniecības N budžets (AI.1. attēls). Galvenie ieejas dati ir minerālmēslojums/neorganiskie mēslošanas līdzekļi, ievestie kūtsmēsli, gaisa esošā N2 fiksācija augos (galvenokārt pākšaugos)</w:t>
      </w:r>
      <w:r w:rsidR="008760A7">
        <w:rPr>
          <w:noProof/>
          <w:sz w:val="24"/>
        </w:rPr>
        <w:t>, gaisā esošā slāpekļa saistīšana</w:t>
      </w:r>
      <w:r w:rsidRPr="00F35F4D">
        <w:rPr>
          <w:noProof/>
          <w:sz w:val="24"/>
        </w:rPr>
        <w:t xml:space="preserve"> augsnē, ienākošais slāpeklis ar apūdeņošanai izmantoto ūdeni un lopbarību. Ar sēklu vai dzīvniekiem paredzētiem pakaišiem ienākošais slāpekļa daudzums parasti ir niecīgs, kaut arī dažās tradicionālās lopkopības sistēmās pakaišiem var būt būtiska nozīme. Izejošais slāpeklis galvenokārt ir augu un dzīvnieku produktos un izvestajos kūtsmēslos. Gāzveida zudumus rada kūtsmēsli dzīvnieku novietnēs, kūtsmēslu krātuvēs un lauku mēslošana. Citi gāzveida zu</w:t>
      </w:r>
      <w:r w:rsidR="008760A7">
        <w:rPr>
          <w:noProof/>
          <w:sz w:val="24"/>
        </w:rPr>
        <w:t>dumi rodas no laukiem, pēc</w:t>
      </w:r>
      <w:r w:rsidRPr="00F35F4D">
        <w:rPr>
          <w:noProof/>
          <w:sz w:val="24"/>
        </w:rPr>
        <w:t xml:space="preserve"> mēslošanas</w:t>
      </w:r>
      <w:r w:rsidR="008760A7">
        <w:rPr>
          <w:noProof/>
          <w:sz w:val="24"/>
        </w:rPr>
        <w:t>, no augiem, augsnes un augu atliekām</w:t>
      </w:r>
      <w:r w:rsidRPr="00F35F4D">
        <w:rPr>
          <w:noProof/>
          <w:sz w:val="24"/>
        </w:rPr>
        <w:t xml:space="preserve">. Zudumi, slāpeklim nonākot gruntsūdenī un virszemes ūdeņos, rodas nitrātu, amonija un </w:t>
      </w:r>
      <w:r w:rsidR="008760A7">
        <w:rPr>
          <w:noProof/>
          <w:sz w:val="24"/>
        </w:rPr>
        <w:t>AON izskalošanās vai noteces</w:t>
      </w:r>
      <w:r w:rsidRPr="00F35F4D">
        <w:rPr>
          <w:noProof/>
          <w:sz w:val="24"/>
        </w:rPr>
        <w:t xml:space="preserve"> rezultātā. Notecēt var arī neizšķīdis organiskais N.</w:t>
      </w:r>
    </w:p>
    <w:p w14:paraId="075EEE5F" w14:textId="77777777" w:rsidR="008E3F72" w:rsidRPr="00F35F4D" w:rsidRDefault="008E3F72" w:rsidP="008E3F72">
      <w:pPr>
        <w:pStyle w:val="BodyText"/>
        <w:widowControl/>
        <w:tabs>
          <w:tab w:val="left" w:pos="861"/>
        </w:tabs>
        <w:kinsoku w:val="0"/>
        <w:overflowPunct w:val="0"/>
        <w:spacing w:before="0"/>
        <w:ind w:left="0"/>
        <w:jc w:val="both"/>
        <w:rPr>
          <w:noProof/>
          <w:sz w:val="24"/>
          <w:szCs w:val="24"/>
        </w:rPr>
      </w:pPr>
    </w:p>
    <w:p w14:paraId="5FEB5F04"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AI.1. attēls</w:t>
      </w:r>
    </w:p>
    <w:p w14:paraId="63A9189C"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Jauktas augkopības un lopkopības saimniecības N budžets</w:t>
      </w:r>
    </w:p>
    <w:p w14:paraId="6921F1AF" w14:textId="77777777" w:rsidR="008E3F72" w:rsidRPr="00F35F4D" w:rsidRDefault="008E3F72" w:rsidP="008E3F72">
      <w:pPr>
        <w:pStyle w:val="BodyText"/>
        <w:widowControl/>
        <w:kinsoku w:val="0"/>
        <w:overflowPunct w:val="0"/>
        <w:spacing w:before="0"/>
        <w:ind w:left="0"/>
        <w:jc w:val="both"/>
        <w:rPr>
          <w:b/>
          <w:bCs/>
          <w:noProof/>
          <w:sz w:val="24"/>
          <w:szCs w:val="24"/>
        </w:rPr>
      </w:pPr>
    </w:p>
    <w:p w14:paraId="5641BEAF" w14:textId="7D3CE4FD" w:rsidR="008E3F72" w:rsidRPr="00F35F4D" w:rsidRDefault="00F10778" w:rsidP="008E3F72">
      <w:pPr>
        <w:pStyle w:val="BodyText"/>
        <w:widowControl/>
        <w:kinsoku w:val="0"/>
        <w:overflowPunct w:val="0"/>
        <w:spacing w:before="0"/>
        <w:ind w:left="0"/>
        <w:jc w:val="both"/>
        <w:rPr>
          <w:noProof/>
          <w:sz w:val="24"/>
          <w:szCs w:val="24"/>
        </w:rPr>
      </w:pPr>
      <w:r w:rsidRPr="00F10778">
        <w:rPr>
          <w:noProof/>
          <w:sz w:val="24"/>
          <w:szCs w:val="24"/>
          <w:lang w:bidi="ar-SA"/>
        </w:rPr>
        <w:drawing>
          <wp:inline distT="0" distB="0" distL="0" distR="0" wp14:anchorId="72DC2701" wp14:editId="7E9F2167">
            <wp:extent cx="5223510" cy="30519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3510" cy="3051965"/>
                    </a:xfrm>
                    <a:prstGeom prst="rect">
                      <a:avLst/>
                    </a:prstGeom>
                    <a:noFill/>
                    <a:ln>
                      <a:noFill/>
                    </a:ln>
                  </pic:spPr>
                </pic:pic>
              </a:graphicData>
            </a:graphic>
          </wp:inline>
        </w:drawing>
      </w:r>
    </w:p>
    <w:p w14:paraId="333D1FEF" w14:textId="77777777" w:rsidR="008E3F72" w:rsidRPr="00F35F4D" w:rsidRDefault="008E3F72" w:rsidP="008E3F72">
      <w:pPr>
        <w:pStyle w:val="BodyText"/>
        <w:widowControl/>
        <w:kinsoku w:val="0"/>
        <w:overflowPunct w:val="0"/>
        <w:spacing w:before="0"/>
        <w:ind w:left="0"/>
        <w:jc w:val="both"/>
        <w:rPr>
          <w:noProof/>
          <w:sz w:val="24"/>
          <w:szCs w:val="24"/>
        </w:rPr>
      </w:pPr>
    </w:p>
    <w:p w14:paraId="4AFEDDEE"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rPr>
        <w:t>Avots</w:t>
      </w:r>
      <w:r w:rsidRPr="00F35F4D">
        <w:t xml:space="preserve"> –</w:t>
      </w:r>
      <w:r w:rsidRPr="00F35F4D">
        <w:rPr>
          <w:noProof/>
          <w:sz w:val="24"/>
        </w:rPr>
        <w:t xml:space="preserve"> </w:t>
      </w:r>
      <w:r w:rsidRPr="00F35F4D">
        <w:rPr>
          <w:i/>
          <w:noProof/>
          <w:sz w:val="24"/>
        </w:rPr>
        <w:t>Jarvis et al.</w:t>
      </w:r>
      <w:r w:rsidRPr="00F35F4D">
        <w:rPr>
          <w:noProof/>
          <w:sz w:val="24"/>
        </w:rPr>
        <w:t>, 2011.</w:t>
      </w:r>
    </w:p>
    <w:p w14:paraId="5652B9FD" w14:textId="77777777" w:rsidR="008E3F72" w:rsidRPr="00F35F4D" w:rsidRDefault="008E3F72" w:rsidP="008E3F72">
      <w:pPr>
        <w:pStyle w:val="BodyText"/>
        <w:widowControl/>
        <w:kinsoku w:val="0"/>
        <w:overflowPunct w:val="0"/>
        <w:spacing w:before="0"/>
        <w:ind w:left="0"/>
        <w:jc w:val="both"/>
        <w:rPr>
          <w:noProof/>
          <w:sz w:val="24"/>
          <w:szCs w:val="24"/>
        </w:rPr>
      </w:pPr>
    </w:p>
    <w:p w14:paraId="68B27149" w14:textId="44F6AA3D" w:rsidR="008E3F72" w:rsidRPr="008760A7" w:rsidRDefault="008E3F72" w:rsidP="008760A7">
      <w:pPr>
        <w:pStyle w:val="BodyText"/>
        <w:widowControl/>
        <w:numPr>
          <w:ilvl w:val="0"/>
          <w:numId w:val="5"/>
        </w:numPr>
        <w:tabs>
          <w:tab w:val="left" w:pos="861"/>
        </w:tabs>
        <w:kinsoku w:val="0"/>
        <w:overflowPunct w:val="0"/>
        <w:spacing w:before="0"/>
        <w:ind w:left="0" w:firstLine="0"/>
        <w:jc w:val="both"/>
        <w:rPr>
          <w:noProof/>
          <w:sz w:val="24"/>
          <w:szCs w:val="24"/>
        </w:rPr>
      </w:pPr>
      <w:r w:rsidRPr="008760A7">
        <w:rPr>
          <w:noProof/>
          <w:sz w:val="24"/>
        </w:rPr>
        <w:t xml:space="preserve">Jauktas augkopības un lopkopības saimniecības N bilances attiecīgie elementi ir parādīti AI.2. attēlā. Saimniecības N bilance, protams, ir daudz vienkāršāka nekā saimniecības N budžets, jo N bilancē neiekļauj N zudumus gaisā, gruntsūdeņos un virszemes ūdeņos. </w:t>
      </w:r>
      <w:r w:rsidR="008760A7">
        <w:rPr>
          <w:noProof/>
          <w:sz w:val="24"/>
        </w:rPr>
        <w:t>Specializētas augkopības saimniecības vai specializētas lopkopības saimniecības N bilance pie tam ir daudz vienkāršāka nekā N bilance jauktas augkopības un lopkopības saimniecības līmenī, jo tur ir mazāk ienākošā un izejošā N veidu.</w:t>
      </w:r>
    </w:p>
    <w:p w14:paraId="5F832386" w14:textId="45EDC8D7" w:rsidR="008760A7" w:rsidRDefault="008760A7">
      <w:pPr>
        <w:widowControl/>
        <w:autoSpaceDE/>
        <w:autoSpaceDN/>
        <w:adjustRightInd/>
        <w:spacing w:after="160" w:line="259" w:lineRule="auto"/>
        <w:rPr>
          <w:noProof/>
          <w:szCs w:val="20"/>
        </w:rPr>
      </w:pPr>
      <w:r>
        <w:rPr>
          <w:noProof/>
        </w:rPr>
        <w:br w:type="page"/>
      </w:r>
    </w:p>
    <w:p w14:paraId="20B0FC27"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lastRenderedPageBreak/>
        <w:t>AI.2. attēls</w:t>
      </w:r>
    </w:p>
    <w:p w14:paraId="40C61698"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Jauktas augkopības un lopkopības saimniecības N bilances elementi</w:t>
      </w:r>
    </w:p>
    <w:p w14:paraId="0A5DA86D" w14:textId="77777777" w:rsidR="008E3F72" w:rsidRPr="00F35F4D" w:rsidRDefault="008E3F72" w:rsidP="008E3F72">
      <w:pPr>
        <w:pStyle w:val="BodyText"/>
        <w:widowControl/>
        <w:kinsoku w:val="0"/>
        <w:overflowPunct w:val="0"/>
        <w:spacing w:before="0"/>
        <w:ind w:left="0"/>
        <w:jc w:val="both"/>
        <w:rPr>
          <w:b/>
          <w:bCs/>
          <w:noProof/>
          <w:sz w:val="24"/>
          <w:szCs w:val="24"/>
        </w:rPr>
      </w:pPr>
    </w:p>
    <w:p w14:paraId="461323F5" w14:textId="40496D9E" w:rsidR="008E3F72" w:rsidRPr="00F35F4D" w:rsidRDefault="005D3BA1" w:rsidP="008E3F72">
      <w:pPr>
        <w:pStyle w:val="BodyText"/>
        <w:widowControl/>
        <w:kinsoku w:val="0"/>
        <w:overflowPunct w:val="0"/>
        <w:spacing w:before="0"/>
        <w:ind w:left="0"/>
        <w:jc w:val="both"/>
        <w:rPr>
          <w:noProof/>
          <w:sz w:val="24"/>
          <w:szCs w:val="24"/>
        </w:rPr>
      </w:pPr>
      <w:r w:rsidRPr="005D3BA1">
        <w:rPr>
          <w:noProof/>
          <w:sz w:val="24"/>
          <w:szCs w:val="24"/>
          <w:lang w:bidi="ar-SA"/>
        </w:rPr>
        <w:drawing>
          <wp:inline distT="0" distB="0" distL="0" distR="0" wp14:anchorId="74C8A47F" wp14:editId="455C5B72">
            <wp:extent cx="5223510" cy="248151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3510" cy="2481514"/>
                    </a:xfrm>
                    <a:prstGeom prst="rect">
                      <a:avLst/>
                    </a:prstGeom>
                    <a:noFill/>
                    <a:ln>
                      <a:noFill/>
                    </a:ln>
                  </pic:spPr>
                </pic:pic>
              </a:graphicData>
            </a:graphic>
          </wp:inline>
        </w:drawing>
      </w:r>
    </w:p>
    <w:p w14:paraId="675736FB" w14:textId="77777777" w:rsidR="008E3F72" w:rsidRPr="00F35F4D" w:rsidRDefault="008E3F72" w:rsidP="008E3F72">
      <w:pPr>
        <w:pStyle w:val="BodyText"/>
        <w:widowControl/>
        <w:kinsoku w:val="0"/>
        <w:overflowPunct w:val="0"/>
        <w:spacing w:before="0"/>
        <w:ind w:left="0"/>
        <w:jc w:val="both"/>
        <w:rPr>
          <w:b/>
          <w:bCs/>
          <w:noProof/>
          <w:sz w:val="24"/>
          <w:szCs w:val="24"/>
        </w:rPr>
      </w:pPr>
    </w:p>
    <w:p w14:paraId="0BB07104" w14:textId="0DEAA256"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Lauksaimniecības zemes augsnes virskārtas N bilance ir parādīta AI.3. attēlā. Galvenie ieejas dati ir minerālmēslojums/neorganiskie mēslošanas līdzekļi, kūtsmēsli, gaisa esošā N fiksācija augos (galvenokārt pākšaugos)</w:t>
      </w:r>
      <w:r w:rsidR="00B436FE">
        <w:rPr>
          <w:noProof/>
          <w:sz w:val="24"/>
        </w:rPr>
        <w:t>, gaisā esošā slāpekļa saistīšana</w:t>
      </w:r>
      <w:r w:rsidRPr="00F35F4D">
        <w:rPr>
          <w:noProof/>
          <w:sz w:val="24"/>
        </w:rPr>
        <w:t xml:space="preserve"> augsnē. Starp citiem ienākošā N veidiem var būt bioloģiskas cietvielas un organiskie uzlabotāji, piemēram, komposts un mulča. Ar sēklu un kompostu ienākošais slāpeklis parasti ir maznozīmīgs. Izejošais slāpeklis galvenokārt ir novāktajos augkopības produktos, piemēram, graudos vai visā augu masā. Jāievēro, ka dzīvnieku izcelsmes produkti, izņemot kūtsmēslus, neparādās augsnes virskārtas bilancē, jo tie nenonāk uz augsnes virskārtas.</w:t>
      </w:r>
    </w:p>
    <w:p w14:paraId="0AEC6386" w14:textId="77777777" w:rsidR="008E3F72" w:rsidRPr="00F35F4D" w:rsidRDefault="008E3F72" w:rsidP="008E3F72">
      <w:pPr>
        <w:pStyle w:val="BodyText"/>
        <w:widowControl/>
        <w:kinsoku w:val="0"/>
        <w:overflowPunct w:val="0"/>
        <w:spacing w:before="0"/>
        <w:ind w:left="0"/>
        <w:jc w:val="both"/>
        <w:rPr>
          <w:noProof/>
          <w:sz w:val="24"/>
          <w:szCs w:val="24"/>
        </w:rPr>
      </w:pPr>
    </w:p>
    <w:p w14:paraId="29B2C095"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AI.3. attēls</w:t>
      </w:r>
    </w:p>
    <w:p w14:paraId="4992D0BF"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Lauksaimniecības zemes augsnes virskārtas N bilances elementi</w:t>
      </w:r>
    </w:p>
    <w:p w14:paraId="205F0734" w14:textId="77777777" w:rsidR="008E3F72" w:rsidRPr="00F35F4D" w:rsidRDefault="008E3F72" w:rsidP="008E3F72">
      <w:pPr>
        <w:pStyle w:val="BodyText"/>
        <w:widowControl/>
        <w:kinsoku w:val="0"/>
        <w:overflowPunct w:val="0"/>
        <w:spacing w:before="0"/>
        <w:ind w:left="0"/>
        <w:jc w:val="both"/>
        <w:rPr>
          <w:b/>
          <w:bCs/>
          <w:noProof/>
          <w:sz w:val="24"/>
          <w:szCs w:val="24"/>
        </w:rPr>
      </w:pPr>
    </w:p>
    <w:p w14:paraId="78A42B3B" w14:textId="0459AAA8" w:rsidR="008E3F72" w:rsidRPr="00F35F4D" w:rsidRDefault="007127B1" w:rsidP="008E3F72">
      <w:pPr>
        <w:pStyle w:val="BodyText"/>
        <w:widowControl/>
        <w:kinsoku w:val="0"/>
        <w:overflowPunct w:val="0"/>
        <w:spacing w:before="0"/>
        <w:ind w:left="0"/>
        <w:jc w:val="center"/>
        <w:rPr>
          <w:noProof/>
          <w:sz w:val="24"/>
          <w:szCs w:val="24"/>
        </w:rPr>
      </w:pPr>
      <w:r w:rsidRPr="007127B1">
        <w:rPr>
          <w:noProof/>
          <w:sz w:val="24"/>
          <w:szCs w:val="24"/>
          <w:lang w:bidi="ar-SA"/>
        </w:rPr>
        <w:drawing>
          <wp:inline distT="0" distB="0" distL="0" distR="0" wp14:anchorId="06393D91" wp14:editId="417963AE">
            <wp:extent cx="5223510" cy="2071599"/>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3510" cy="2071599"/>
                    </a:xfrm>
                    <a:prstGeom prst="rect">
                      <a:avLst/>
                    </a:prstGeom>
                    <a:noFill/>
                    <a:ln>
                      <a:noFill/>
                    </a:ln>
                  </pic:spPr>
                </pic:pic>
              </a:graphicData>
            </a:graphic>
          </wp:inline>
        </w:drawing>
      </w:r>
    </w:p>
    <w:p w14:paraId="4D1B725D" w14:textId="77777777" w:rsidR="008E3F72" w:rsidRPr="00F35F4D" w:rsidRDefault="008E3F72" w:rsidP="008E3F72">
      <w:pPr>
        <w:pStyle w:val="BodyText"/>
        <w:widowControl/>
        <w:kinsoku w:val="0"/>
        <w:overflowPunct w:val="0"/>
        <w:spacing w:before="0"/>
        <w:ind w:left="0"/>
        <w:jc w:val="both"/>
        <w:rPr>
          <w:b/>
          <w:bCs/>
          <w:noProof/>
          <w:sz w:val="24"/>
          <w:szCs w:val="24"/>
        </w:rPr>
      </w:pPr>
    </w:p>
    <w:p w14:paraId="30FF4469"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rPr>
        <w:t>Avots</w:t>
      </w:r>
      <w:r w:rsidRPr="00F35F4D">
        <w:t xml:space="preserve"> –</w:t>
      </w:r>
      <w:r w:rsidRPr="00F35F4D">
        <w:rPr>
          <w:noProof/>
          <w:sz w:val="24"/>
        </w:rPr>
        <w:t xml:space="preserve"> ESAO, 2008</w:t>
      </w:r>
    </w:p>
    <w:p w14:paraId="364FC3E2" w14:textId="77777777" w:rsidR="008E3F72" w:rsidRPr="00F35F4D" w:rsidRDefault="008E3F72" w:rsidP="008E3F72">
      <w:pPr>
        <w:pStyle w:val="BodyText"/>
        <w:widowControl/>
        <w:kinsoku w:val="0"/>
        <w:overflowPunct w:val="0"/>
        <w:spacing w:before="0"/>
        <w:ind w:left="0"/>
        <w:jc w:val="both"/>
        <w:rPr>
          <w:noProof/>
          <w:sz w:val="24"/>
          <w:szCs w:val="24"/>
        </w:rPr>
      </w:pPr>
    </w:p>
    <w:p w14:paraId="2D1A9576" w14:textId="77777777" w:rsidR="008E3F72" w:rsidRPr="007127B1"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Lai izmantotu N bilances un NIE kā rādītājus saimniecības līmenī, jānošķir</w:t>
      </w:r>
    </w:p>
    <w:p w14:paraId="68F1D476" w14:textId="77777777" w:rsidR="007127B1" w:rsidRPr="00F35F4D" w:rsidRDefault="007127B1" w:rsidP="007127B1">
      <w:pPr>
        <w:pStyle w:val="BodyText"/>
        <w:widowControl/>
        <w:tabs>
          <w:tab w:val="left" w:pos="861"/>
        </w:tabs>
        <w:kinsoku w:val="0"/>
        <w:overflowPunct w:val="0"/>
        <w:spacing w:before="0"/>
        <w:ind w:left="0"/>
        <w:jc w:val="both"/>
        <w:rPr>
          <w:noProof/>
          <w:sz w:val="24"/>
          <w:szCs w:val="24"/>
        </w:rPr>
      </w:pPr>
    </w:p>
    <w:p w14:paraId="6FE499F8" w14:textId="77777777" w:rsidR="008E3F72" w:rsidRPr="00F35F4D" w:rsidRDefault="008E3F72" w:rsidP="007127B1">
      <w:pPr>
        <w:pStyle w:val="BodyText"/>
        <w:widowControl/>
        <w:numPr>
          <w:ilvl w:val="1"/>
          <w:numId w:val="5"/>
        </w:numPr>
        <w:kinsoku w:val="0"/>
        <w:overflowPunct w:val="0"/>
        <w:spacing w:before="0"/>
        <w:ind w:left="0" w:firstLine="0"/>
        <w:jc w:val="both"/>
        <w:rPr>
          <w:noProof/>
          <w:sz w:val="24"/>
          <w:szCs w:val="24"/>
        </w:rPr>
      </w:pPr>
      <w:r w:rsidRPr="00F35F4D">
        <w:rPr>
          <w:noProof/>
          <w:sz w:val="24"/>
        </w:rPr>
        <w:t>specializētas augkopības saimniecības;</w:t>
      </w:r>
    </w:p>
    <w:p w14:paraId="2FF3B196" w14:textId="77777777" w:rsidR="008E3F72" w:rsidRPr="00F35F4D" w:rsidRDefault="008E3F72" w:rsidP="007127B1">
      <w:pPr>
        <w:pStyle w:val="BodyText"/>
        <w:widowControl/>
        <w:numPr>
          <w:ilvl w:val="1"/>
          <w:numId w:val="5"/>
        </w:numPr>
        <w:kinsoku w:val="0"/>
        <w:overflowPunct w:val="0"/>
        <w:spacing w:before="0"/>
        <w:ind w:left="0" w:firstLine="0"/>
        <w:jc w:val="both"/>
        <w:rPr>
          <w:noProof/>
          <w:sz w:val="24"/>
          <w:szCs w:val="24"/>
        </w:rPr>
      </w:pPr>
      <w:r w:rsidRPr="00F35F4D">
        <w:rPr>
          <w:noProof/>
          <w:sz w:val="24"/>
        </w:rPr>
        <w:t>jauktas augkopības (dzīvnieku barības) un lopkopības saimniecības;</w:t>
      </w:r>
    </w:p>
    <w:p w14:paraId="32F08FF3" w14:textId="77777777" w:rsidR="008E3F72" w:rsidRPr="007127B1" w:rsidRDefault="008E3F72" w:rsidP="007127B1">
      <w:pPr>
        <w:pStyle w:val="BodyText"/>
        <w:widowControl/>
        <w:numPr>
          <w:ilvl w:val="1"/>
          <w:numId w:val="5"/>
        </w:numPr>
        <w:kinsoku w:val="0"/>
        <w:overflowPunct w:val="0"/>
        <w:spacing w:before="0"/>
        <w:ind w:left="0" w:firstLine="0"/>
        <w:jc w:val="both"/>
        <w:rPr>
          <w:noProof/>
          <w:sz w:val="24"/>
          <w:szCs w:val="24"/>
        </w:rPr>
      </w:pPr>
      <w:r w:rsidRPr="00F35F4D">
        <w:rPr>
          <w:noProof/>
          <w:sz w:val="24"/>
        </w:rPr>
        <w:t>specializētas lopkopības saimniecības.</w:t>
      </w:r>
    </w:p>
    <w:p w14:paraId="2070B34C" w14:textId="77777777" w:rsidR="007127B1" w:rsidRPr="00F35F4D" w:rsidRDefault="007127B1" w:rsidP="007127B1">
      <w:pPr>
        <w:pStyle w:val="BodyText"/>
        <w:widowControl/>
        <w:kinsoku w:val="0"/>
        <w:overflowPunct w:val="0"/>
        <w:spacing w:before="0"/>
        <w:ind w:left="0"/>
        <w:jc w:val="both"/>
        <w:rPr>
          <w:noProof/>
          <w:sz w:val="24"/>
          <w:szCs w:val="24"/>
        </w:rPr>
      </w:pPr>
    </w:p>
    <w:p w14:paraId="51CF298E" w14:textId="3ECAAE2E" w:rsidR="008E3F72" w:rsidRPr="007127B1"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Specializētās augkopības saimniecībās ir relatīvi maz NH3 emisijas avotu (tie var būt ievesti kūtsmēsli, urīnviela un mēslošanas līdzekļi, kam pamatā ir amonijs, kultūraugi un to atliekas). Saimniecības var iedalīt pēc augu sekas (piemēram, ņemot vērā graudaugu, pākšaugu, dārzeņu un sakņaugu procentos izteikto daudzumu). Specializētās lopkopības saimniecībās ražo tikai dzīvnieku izcelsmes produktus (pienu, gaļu, olas, dzīvnieku blakusproduktus un kūtsmēslus), un visus šos produktus izved no saimniecības. Var ražot arī enerģiju, pārstrādājot organisko oglekli. Šīs saimniecības var iedalīt atkarībā no dzīvnieku kategorijas (piemēram, cūku, mājputnu vai liellopu audzēšanas saimniecībās). Jauktajās sistēmās praktizē gan augkopību, gan lopkopību; saražoto augk</w:t>
      </w:r>
      <w:r w:rsidR="00B436FE">
        <w:rPr>
          <w:noProof/>
          <w:sz w:val="24"/>
        </w:rPr>
        <w:t>opības produkciju parasti izēdina</w:t>
      </w:r>
      <w:r w:rsidRPr="00F35F4D">
        <w:rPr>
          <w:noProof/>
          <w:sz w:val="24"/>
        </w:rPr>
        <w:t xml:space="preserve"> dzīvniekiem, turpretim dzīvnieku saražotos kūtsmēslus izmanto zemei, kurā audzē kultūraugus. Šīs saimniecības var iedalīt atkarībā no dzīvnieku kategorijas (piemēram, piena </w:t>
      </w:r>
      <w:r w:rsidR="00B436FE">
        <w:rPr>
          <w:noProof/>
          <w:sz w:val="24"/>
        </w:rPr>
        <w:t>liel</w:t>
      </w:r>
      <w:r w:rsidRPr="00F35F4D">
        <w:rPr>
          <w:noProof/>
          <w:sz w:val="24"/>
        </w:rPr>
        <w:t xml:space="preserve">lopu, gaļas </w:t>
      </w:r>
      <w:r w:rsidR="00B436FE">
        <w:rPr>
          <w:noProof/>
          <w:sz w:val="24"/>
        </w:rPr>
        <w:t>liel</w:t>
      </w:r>
      <w:r w:rsidRPr="00F35F4D">
        <w:rPr>
          <w:noProof/>
          <w:sz w:val="24"/>
        </w:rPr>
        <w:t>lopu, cūku utt. audzēšanas saimniecībās) un lauksaimniecības dzīvnieku blīvuma (vai pašpietiekamības barības nodrošinājuma ziņā).</w:t>
      </w:r>
    </w:p>
    <w:p w14:paraId="1E9B2AD3" w14:textId="77777777" w:rsidR="007127B1" w:rsidRPr="00F35F4D" w:rsidRDefault="007127B1" w:rsidP="007127B1">
      <w:pPr>
        <w:pStyle w:val="BodyText"/>
        <w:widowControl/>
        <w:tabs>
          <w:tab w:val="left" w:pos="861"/>
        </w:tabs>
        <w:kinsoku w:val="0"/>
        <w:overflowPunct w:val="0"/>
        <w:spacing w:before="0"/>
        <w:ind w:left="0"/>
        <w:jc w:val="both"/>
        <w:rPr>
          <w:noProof/>
          <w:sz w:val="24"/>
          <w:szCs w:val="24"/>
        </w:rPr>
      </w:pPr>
    </w:p>
    <w:p w14:paraId="137A02FB" w14:textId="77777777" w:rsidR="008E3F72" w:rsidRPr="007127B1"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Praksē starp saimniecībām ir lielas atšķirības NIE (attiecību starp ienākošo un izejošo N daudzumu) un Npārpalikuma (ienākošo daudzumu, no kura atskaitīts izejošais daudzums) ziņā dažādo vadības un saimniekošanas sistēmu (jo īpaši audzēto kultūraugu un dzīvnieku veidu, dzīvnieku blīvuma un saimniekošanas sistēmu) dēļ. Orientējošus diapazonus var sniegt par plašām saimniekošanas sistēmu kategorijām (skatīt AI.2. tabulu).</w:t>
      </w:r>
    </w:p>
    <w:p w14:paraId="41C6ADAE" w14:textId="77777777" w:rsidR="007127B1" w:rsidRPr="00F35F4D" w:rsidRDefault="007127B1" w:rsidP="007127B1">
      <w:pPr>
        <w:pStyle w:val="BodyText"/>
        <w:widowControl/>
        <w:tabs>
          <w:tab w:val="left" w:pos="861"/>
        </w:tabs>
        <w:kinsoku w:val="0"/>
        <w:overflowPunct w:val="0"/>
        <w:spacing w:before="0"/>
        <w:ind w:left="0"/>
        <w:jc w:val="both"/>
        <w:rPr>
          <w:noProof/>
          <w:sz w:val="24"/>
          <w:szCs w:val="24"/>
        </w:rPr>
      </w:pPr>
    </w:p>
    <w:p w14:paraId="4AD11B38" w14:textId="77777777" w:rsidR="008E3F72" w:rsidRPr="007127B1"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Slāpekļa bilanci var sastādīt un ienākošā-izejošā N attiecību noteikt arī konkrētam saimniecības blokam, īpaši jauktās saimniekošanas sistēmā. NIE noteikšanai var būt lietderīgi aplūkot trīs blokus vai līmeņus:</w:t>
      </w:r>
    </w:p>
    <w:p w14:paraId="23854481" w14:textId="77777777" w:rsidR="007127B1" w:rsidRPr="00F35F4D" w:rsidRDefault="007127B1" w:rsidP="007127B1">
      <w:pPr>
        <w:pStyle w:val="BodyText"/>
        <w:widowControl/>
        <w:tabs>
          <w:tab w:val="left" w:pos="861"/>
        </w:tabs>
        <w:kinsoku w:val="0"/>
        <w:overflowPunct w:val="0"/>
        <w:spacing w:before="0"/>
        <w:ind w:left="0"/>
        <w:jc w:val="both"/>
        <w:rPr>
          <w:noProof/>
          <w:sz w:val="24"/>
          <w:szCs w:val="24"/>
        </w:rPr>
      </w:pPr>
    </w:p>
    <w:p w14:paraId="530E0A7C" w14:textId="77777777" w:rsidR="008E3F72" w:rsidRPr="00F35F4D" w:rsidRDefault="008E3F72" w:rsidP="007127B1">
      <w:pPr>
        <w:pStyle w:val="BodyText"/>
        <w:widowControl/>
        <w:numPr>
          <w:ilvl w:val="1"/>
          <w:numId w:val="5"/>
        </w:numPr>
        <w:kinsoku w:val="0"/>
        <w:overflowPunct w:val="0"/>
        <w:spacing w:before="0"/>
        <w:ind w:left="0" w:firstLine="0"/>
        <w:jc w:val="both"/>
        <w:rPr>
          <w:noProof/>
          <w:sz w:val="24"/>
          <w:szCs w:val="24"/>
        </w:rPr>
      </w:pPr>
      <w:r w:rsidRPr="00F35F4D">
        <w:rPr>
          <w:noProof/>
          <w:sz w:val="24"/>
        </w:rPr>
        <w:t>barībā esošā N konversija dzīvnieku izcelsmes produkcijā (NIE-barība vai NIE-dzīvnieki);</w:t>
      </w:r>
    </w:p>
    <w:p w14:paraId="5CB51A66" w14:textId="77777777" w:rsidR="008E3F72" w:rsidRPr="00F35F4D" w:rsidRDefault="008E3F72" w:rsidP="007127B1">
      <w:pPr>
        <w:pStyle w:val="BodyText"/>
        <w:widowControl/>
        <w:numPr>
          <w:ilvl w:val="1"/>
          <w:numId w:val="5"/>
        </w:numPr>
        <w:kinsoku w:val="0"/>
        <w:overflowPunct w:val="0"/>
        <w:spacing w:before="0"/>
        <w:ind w:left="0" w:firstLine="0"/>
        <w:jc w:val="both"/>
        <w:rPr>
          <w:noProof/>
          <w:sz w:val="24"/>
          <w:szCs w:val="24"/>
        </w:rPr>
      </w:pPr>
      <w:r w:rsidRPr="00F35F4D">
        <w:rPr>
          <w:noProof/>
          <w:sz w:val="24"/>
        </w:rPr>
        <w:t>kūtsmēslos un citos mēslošanas līdzekļos esošā N pārveidošanu kultūraugos (NIE-kūtsmēsli/citi mēslošanas līdzekļi);</w:t>
      </w:r>
    </w:p>
    <w:p w14:paraId="2AC2B5B7" w14:textId="77777777" w:rsidR="008E3F72" w:rsidRPr="00F35F4D" w:rsidRDefault="008E3F72" w:rsidP="007127B1">
      <w:pPr>
        <w:pStyle w:val="BodyText"/>
        <w:widowControl/>
        <w:numPr>
          <w:ilvl w:val="1"/>
          <w:numId w:val="5"/>
        </w:numPr>
        <w:kinsoku w:val="0"/>
        <w:overflowPunct w:val="0"/>
        <w:spacing w:before="0"/>
        <w:ind w:left="0" w:firstLine="0"/>
        <w:jc w:val="both"/>
        <w:rPr>
          <w:noProof/>
          <w:sz w:val="24"/>
          <w:szCs w:val="24"/>
        </w:rPr>
      </w:pPr>
      <w:r w:rsidRPr="00F35F4D">
        <w:rPr>
          <w:noProof/>
          <w:sz w:val="24"/>
        </w:rPr>
        <w:t>NIE par saimniecību kopumā.</w:t>
      </w:r>
    </w:p>
    <w:p w14:paraId="0AC1EE39" w14:textId="77777777"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Šīs NIE vērtības aprēķina procentos kā attiecību starp izejošo N masu un ienākošo N masu.</w:t>
      </w:r>
    </w:p>
    <w:p w14:paraId="4CDCB1C9" w14:textId="77777777" w:rsidR="008E3F72" w:rsidRPr="00F35F4D" w:rsidRDefault="008E3F72" w:rsidP="007127B1">
      <w:pPr>
        <w:pStyle w:val="BodyText"/>
        <w:widowControl/>
        <w:numPr>
          <w:ilvl w:val="1"/>
          <w:numId w:val="5"/>
        </w:numPr>
        <w:kinsoku w:val="0"/>
        <w:overflowPunct w:val="0"/>
        <w:spacing w:before="0"/>
        <w:ind w:left="0" w:firstLine="0"/>
        <w:jc w:val="both"/>
        <w:rPr>
          <w:noProof/>
          <w:sz w:val="24"/>
          <w:szCs w:val="24"/>
        </w:rPr>
      </w:pPr>
      <w:r w:rsidRPr="00F35F4D">
        <w:rPr>
          <w:noProof/>
          <w:sz w:val="24"/>
        </w:rPr>
        <w:t>NIE-barība= [(pienā, dzīvniekos un olās esošais N)/(barībā un rupjajā lopbarībā esošais N)]x100 %.</w:t>
      </w:r>
    </w:p>
    <w:p w14:paraId="499D44E2" w14:textId="77777777" w:rsidR="008E3F72" w:rsidRPr="00F35F4D" w:rsidRDefault="008E3F72" w:rsidP="007127B1">
      <w:pPr>
        <w:pStyle w:val="BodyText"/>
        <w:widowControl/>
        <w:numPr>
          <w:ilvl w:val="1"/>
          <w:numId w:val="5"/>
        </w:numPr>
        <w:kinsoku w:val="0"/>
        <w:overflowPunct w:val="0"/>
        <w:spacing w:before="0"/>
        <w:ind w:left="0" w:firstLine="0"/>
        <w:jc w:val="both"/>
        <w:rPr>
          <w:noProof/>
          <w:sz w:val="24"/>
          <w:szCs w:val="24"/>
        </w:rPr>
      </w:pPr>
      <w:r w:rsidRPr="00F35F4D">
        <w:rPr>
          <w:noProof/>
          <w:sz w:val="24"/>
        </w:rPr>
        <w:t>NIE-kūtsmēsli/citi mēslošanas līdzekļi = [augu uzņemtais N/ar kūtsmēsliem/citiem mēslošanas līdzekļiem pievienotais N] x100 %.</w:t>
      </w:r>
    </w:p>
    <w:p w14:paraId="31687C47" w14:textId="77777777" w:rsidR="008E3F72" w:rsidRPr="00F35F4D" w:rsidRDefault="008E3F72" w:rsidP="007127B1">
      <w:pPr>
        <w:pStyle w:val="BodyText"/>
        <w:widowControl/>
        <w:numPr>
          <w:ilvl w:val="1"/>
          <w:numId w:val="5"/>
        </w:numPr>
        <w:kinsoku w:val="0"/>
        <w:overflowPunct w:val="0"/>
        <w:spacing w:before="0"/>
        <w:ind w:left="0" w:firstLine="0"/>
        <w:jc w:val="both"/>
        <w:rPr>
          <w:noProof/>
          <w:sz w:val="24"/>
          <w:szCs w:val="24"/>
        </w:rPr>
      </w:pPr>
      <w:r w:rsidRPr="00F35F4D">
        <w:rPr>
          <w:noProof/>
          <w:sz w:val="24"/>
        </w:rPr>
        <w:t>NIE-saimniecība kopumā = [Σ (no saimniecības izvestais N) / Σ (saimniecībā ievestais N)] x 100%. Orientējošie NIE diapazoni piena ražošanas saimniecībām ir norādīti turpmāk A1.1. tabulā.</w:t>
      </w:r>
    </w:p>
    <w:p w14:paraId="10747208" w14:textId="77777777" w:rsidR="008E3F72" w:rsidRPr="00F35F4D" w:rsidRDefault="008E3F72" w:rsidP="008E3F72">
      <w:pPr>
        <w:pStyle w:val="BodyText"/>
        <w:widowControl/>
        <w:kinsoku w:val="0"/>
        <w:overflowPunct w:val="0"/>
        <w:spacing w:before="0"/>
        <w:ind w:left="0"/>
        <w:jc w:val="both"/>
        <w:rPr>
          <w:noProof/>
          <w:sz w:val="24"/>
          <w:szCs w:val="24"/>
        </w:rPr>
      </w:pPr>
    </w:p>
    <w:p w14:paraId="5E476642"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AI.1 tabula</w:t>
      </w:r>
    </w:p>
    <w:p w14:paraId="742AEB82"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Ienākošā N un NIE orientējošās vērtības piensaimniecībās</w:t>
      </w:r>
    </w:p>
    <w:p w14:paraId="2D99CBE5"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4116"/>
        <w:gridCol w:w="1606"/>
        <w:gridCol w:w="1191"/>
        <w:gridCol w:w="1313"/>
      </w:tblGrid>
      <w:tr w:rsidR="008E3F72" w:rsidRPr="007127B1" w14:paraId="2141FF88" w14:textId="77777777" w:rsidTr="0010018A">
        <w:tc>
          <w:tcPr>
            <w:tcW w:w="2501" w:type="pct"/>
            <w:tcBorders>
              <w:top w:val="single" w:sz="4" w:space="0" w:color="auto"/>
              <w:left w:val="nil"/>
              <w:bottom w:val="nil"/>
              <w:right w:val="nil"/>
            </w:tcBorders>
            <w:shd w:val="clear" w:color="auto" w:fill="FFFFFF"/>
          </w:tcPr>
          <w:p w14:paraId="002FD8CD" w14:textId="77777777" w:rsidR="008E3F72" w:rsidRPr="007127B1" w:rsidRDefault="008E3F72" w:rsidP="0010018A">
            <w:pPr>
              <w:pStyle w:val="BodyText"/>
              <w:kinsoku w:val="0"/>
              <w:overflowPunct w:val="0"/>
              <w:jc w:val="both"/>
              <w:rPr>
                <w:b/>
                <w:bCs/>
                <w:noProof/>
              </w:rPr>
            </w:pPr>
            <w:r w:rsidRPr="007127B1">
              <w:rPr>
                <w:b/>
                <w:noProof/>
              </w:rPr>
              <w:t>Ienākošā un izejošā daudzuma parametri</w:t>
            </w:r>
          </w:p>
        </w:tc>
        <w:tc>
          <w:tcPr>
            <w:tcW w:w="976" w:type="pct"/>
            <w:tcBorders>
              <w:top w:val="single" w:sz="4" w:space="0" w:color="auto"/>
              <w:left w:val="nil"/>
              <w:bottom w:val="nil"/>
              <w:right w:val="nil"/>
            </w:tcBorders>
            <w:shd w:val="clear" w:color="auto" w:fill="FFFFFF"/>
          </w:tcPr>
          <w:p w14:paraId="469CE453" w14:textId="77777777" w:rsidR="008E3F72" w:rsidRPr="007127B1" w:rsidRDefault="008E3F72" w:rsidP="0010018A">
            <w:pPr>
              <w:pStyle w:val="BodyText"/>
              <w:kinsoku w:val="0"/>
              <w:overflowPunct w:val="0"/>
              <w:jc w:val="both"/>
              <w:rPr>
                <w:b/>
                <w:bCs/>
                <w:noProof/>
              </w:rPr>
            </w:pPr>
            <w:r w:rsidRPr="007127B1">
              <w:rPr>
                <w:b/>
                <w:noProof/>
              </w:rPr>
              <w:t>Ienākošā N daudzuma diapazons</w:t>
            </w:r>
          </w:p>
        </w:tc>
        <w:tc>
          <w:tcPr>
            <w:tcW w:w="724" w:type="pct"/>
            <w:tcBorders>
              <w:top w:val="single" w:sz="4" w:space="0" w:color="auto"/>
              <w:left w:val="nil"/>
              <w:bottom w:val="nil"/>
              <w:right w:val="nil"/>
            </w:tcBorders>
            <w:shd w:val="clear" w:color="auto" w:fill="FFFFFF"/>
          </w:tcPr>
          <w:p w14:paraId="0BF0124F" w14:textId="77777777" w:rsidR="008E3F72" w:rsidRPr="007127B1" w:rsidRDefault="008E3F72" w:rsidP="0010018A">
            <w:pPr>
              <w:pStyle w:val="BodyText"/>
              <w:kinsoku w:val="0"/>
              <w:overflowPunct w:val="0"/>
              <w:jc w:val="both"/>
              <w:rPr>
                <w:b/>
                <w:bCs/>
                <w:noProof/>
              </w:rPr>
            </w:pPr>
            <w:r w:rsidRPr="007127B1">
              <w:rPr>
                <w:b/>
                <w:noProof/>
              </w:rPr>
              <w:t>NIE diapazons (%)</w:t>
            </w:r>
          </w:p>
        </w:tc>
        <w:tc>
          <w:tcPr>
            <w:tcW w:w="798" w:type="pct"/>
            <w:tcBorders>
              <w:top w:val="single" w:sz="4" w:space="0" w:color="auto"/>
              <w:left w:val="nil"/>
              <w:bottom w:val="nil"/>
              <w:right w:val="nil"/>
            </w:tcBorders>
            <w:shd w:val="clear" w:color="auto" w:fill="FFFFFF"/>
          </w:tcPr>
          <w:p w14:paraId="13FB0D82" w14:textId="77777777" w:rsidR="008E3F72" w:rsidRPr="007127B1" w:rsidRDefault="008E3F72" w:rsidP="0010018A">
            <w:pPr>
              <w:pStyle w:val="BodyText"/>
              <w:kinsoku w:val="0"/>
              <w:overflowPunct w:val="0"/>
              <w:jc w:val="both"/>
              <w:rPr>
                <w:b/>
                <w:bCs/>
                <w:noProof/>
              </w:rPr>
            </w:pPr>
            <w:r w:rsidRPr="007127B1">
              <w:rPr>
                <w:b/>
                <w:noProof/>
              </w:rPr>
              <w:t>Avots</w:t>
            </w:r>
          </w:p>
        </w:tc>
      </w:tr>
      <w:tr w:rsidR="008E3F72" w:rsidRPr="007127B1" w14:paraId="1B300CBB" w14:textId="77777777" w:rsidTr="0010018A">
        <w:tc>
          <w:tcPr>
            <w:tcW w:w="2501" w:type="pct"/>
            <w:tcBorders>
              <w:top w:val="single" w:sz="4" w:space="0" w:color="auto"/>
              <w:left w:val="nil"/>
              <w:bottom w:val="nil"/>
              <w:right w:val="nil"/>
            </w:tcBorders>
            <w:shd w:val="clear" w:color="auto" w:fill="FFFFFF"/>
            <w:vAlign w:val="bottom"/>
          </w:tcPr>
          <w:p w14:paraId="7BF4CCEF" w14:textId="77777777" w:rsidR="008E3F72" w:rsidRPr="007127B1" w:rsidRDefault="008E3F72" w:rsidP="0010018A">
            <w:pPr>
              <w:pStyle w:val="BodyText"/>
              <w:kinsoku w:val="0"/>
              <w:overflowPunct w:val="0"/>
              <w:jc w:val="both"/>
              <w:rPr>
                <w:noProof/>
              </w:rPr>
            </w:pPr>
            <w:r w:rsidRPr="007127B1">
              <w:t>Barībā esošā N pārveidošana pienā (NIEbarība)</w:t>
            </w:r>
          </w:p>
        </w:tc>
        <w:tc>
          <w:tcPr>
            <w:tcW w:w="976" w:type="pct"/>
            <w:tcBorders>
              <w:top w:val="single" w:sz="4" w:space="0" w:color="auto"/>
              <w:left w:val="nil"/>
              <w:bottom w:val="nil"/>
              <w:right w:val="nil"/>
            </w:tcBorders>
            <w:shd w:val="clear" w:color="auto" w:fill="FFFFFF"/>
            <w:vAlign w:val="bottom"/>
          </w:tcPr>
          <w:p w14:paraId="7966E66E" w14:textId="77777777" w:rsidR="008E3F72" w:rsidRPr="007127B1" w:rsidRDefault="008E3F72" w:rsidP="0010018A">
            <w:pPr>
              <w:pStyle w:val="BodyText"/>
              <w:kinsoku w:val="0"/>
              <w:overflowPunct w:val="0"/>
              <w:jc w:val="both"/>
              <w:rPr>
                <w:noProof/>
              </w:rPr>
            </w:pPr>
            <w:r w:rsidRPr="007127B1">
              <w:t xml:space="preserve">512–666 g uz govi </w:t>
            </w:r>
            <w:r w:rsidRPr="007127B1">
              <w:rPr>
                <w:noProof/>
                <w:vertAlign w:val="superscript"/>
              </w:rPr>
              <w:t xml:space="preserve">1 </w:t>
            </w:r>
            <w:r w:rsidRPr="007127B1">
              <w:t xml:space="preserve">dienā </w:t>
            </w:r>
            <w:r w:rsidRPr="007127B1">
              <w:rPr>
                <w:noProof/>
                <w:vertAlign w:val="superscript"/>
              </w:rPr>
              <w:t>1</w:t>
            </w:r>
          </w:p>
        </w:tc>
        <w:tc>
          <w:tcPr>
            <w:tcW w:w="724" w:type="pct"/>
            <w:tcBorders>
              <w:top w:val="single" w:sz="4" w:space="0" w:color="auto"/>
              <w:left w:val="nil"/>
              <w:bottom w:val="nil"/>
              <w:right w:val="nil"/>
            </w:tcBorders>
            <w:shd w:val="clear" w:color="auto" w:fill="FFFFFF"/>
            <w:vAlign w:val="bottom"/>
          </w:tcPr>
          <w:p w14:paraId="7BA302AB" w14:textId="77777777" w:rsidR="008E3F72" w:rsidRPr="007127B1" w:rsidRDefault="008E3F72" w:rsidP="0010018A">
            <w:pPr>
              <w:pStyle w:val="BodyText"/>
              <w:kinsoku w:val="0"/>
              <w:overflowPunct w:val="0"/>
              <w:jc w:val="both"/>
              <w:rPr>
                <w:noProof/>
              </w:rPr>
            </w:pPr>
            <w:r w:rsidRPr="007127B1">
              <w:t>26–33</w:t>
            </w:r>
          </w:p>
        </w:tc>
        <w:tc>
          <w:tcPr>
            <w:tcW w:w="798" w:type="pct"/>
            <w:tcBorders>
              <w:top w:val="single" w:sz="4" w:space="0" w:color="auto"/>
              <w:left w:val="nil"/>
              <w:bottom w:val="nil"/>
              <w:right w:val="nil"/>
            </w:tcBorders>
            <w:shd w:val="clear" w:color="auto" w:fill="FFFFFF"/>
            <w:vAlign w:val="bottom"/>
          </w:tcPr>
          <w:p w14:paraId="37AA4BF0" w14:textId="77777777" w:rsidR="008E3F72" w:rsidRPr="007127B1" w:rsidRDefault="008E3F72" w:rsidP="0010018A">
            <w:pPr>
              <w:pStyle w:val="BodyText"/>
              <w:kinsoku w:val="0"/>
              <w:overflowPunct w:val="0"/>
              <w:jc w:val="both"/>
              <w:rPr>
                <w:noProof/>
              </w:rPr>
            </w:pPr>
            <w:r w:rsidRPr="007127B1">
              <w:rPr>
                <w:i/>
              </w:rPr>
              <w:t>Powell et al.</w:t>
            </w:r>
            <w:r w:rsidRPr="007127B1">
              <w:t xml:space="preserve"> (2006a)</w:t>
            </w:r>
          </w:p>
        </w:tc>
      </w:tr>
      <w:tr w:rsidR="008E3F72" w:rsidRPr="007127B1" w14:paraId="0ECE6F9B" w14:textId="77777777" w:rsidTr="0010018A">
        <w:tc>
          <w:tcPr>
            <w:tcW w:w="2501" w:type="pct"/>
            <w:tcBorders>
              <w:top w:val="nil"/>
              <w:left w:val="nil"/>
              <w:bottom w:val="nil"/>
              <w:right w:val="nil"/>
            </w:tcBorders>
            <w:shd w:val="clear" w:color="auto" w:fill="FFFFFF"/>
          </w:tcPr>
          <w:p w14:paraId="1D6533E8" w14:textId="77777777" w:rsidR="008E3F72" w:rsidRPr="007127B1" w:rsidRDefault="008E3F72" w:rsidP="0010018A">
            <w:pPr>
              <w:pStyle w:val="BodyText"/>
              <w:kinsoku w:val="0"/>
              <w:overflowPunct w:val="0"/>
              <w:jc w:val="both"/>
              <w:rPr>
                <w:noProof/>
              </w:rPr>
            </w:pPr>
          </w:p>
        </w:tc>
        <w:tc>
          <w:tcPr>
            <w:tcW w:w="976" w:type="pct"/>
            <w:tcBorders>
              <w:top w:val="nil"/>
              <w:left w:val="nil"/>
              <w:bottom w:val="nil"/>
              <w:right w:val="nil"/>
            </w:tcBorders>
            <w:shd w:val="clear" w:color="auto" w:fill="FFFFFF"/>
          </w:tcPr>
          <w:p w14:paraId="4E851A2E" w14:textId="77777777" w:rsidR="008E3F72" w:rsidRPr="007127B1" w:rsidRDefault="008E3F72" w:rsidP="0010018A">
            <w:pPr>
              <w:pStyle w:val="BodyText"/>
              <w:kinsoku w:val="0"/>
              <w:overflowPunct w:val="0"/>
              <w:jc w:val="both"/>
              <w:rPr>
                <w:noProof/>
              </w:rPr>
            </w:pPr>
            <w:r w:rsidRPr="007127B1">
              <w:t xml:space="preserve">289–628 g uz govi </w:t>
            </w:r>
            <w:r w:rsidRPr="007127B1">
              <w:rPr>
                <w:noProof/>
                <w:vertAlign w:val="superscript"/>
              </w:rPr>
              <w:t xml:space="preserve">1 </w:t>
            </w:r>
            <w:r w:rsidRPr="007127B1">
              <w:t xml:space="preserve">dienā </w:t>
            </w:r>
            <w:r w:rsidRPr="007127B1">
              <w:rPr>
                <w:noProof/>
                <w:vertAlign w:val="superscript"/>
              </w:rPr>
              <w:t>1</w:t>
            </w:r>
          </w:p>
        </w:tc>
        <w:tc>
          <w:tcPr>
            <w:tcW w:w="724" w:type="pct"/>
            <w:tcBorders>
              <w:top w:val="nil"/>
              <w:left w:val="nil"/>
              <w:bottom w:val="nil"/>
              <w:right w:val="nil"/>
            </w:tcBorders>
            <w:shd w:val="clear" w:color="auto" w:fill="FFFFFF"/>
          </w:tcPr>
          <w:p w14:paraId="634A3AD0" w14:textId="77777777" w:rsidR="008E3F72" w:rsidRPr="007127B1" w:rsidRDefault="008E3F72" w:rsidP="0010018A">
            <w:pPr>
              <w:pStyle w:val="BodyText"/>
              <w:kinsoku w:val="0"/>
              <w:overflowPunct w:val="0"/>
              <w:jc w:val="both"/>
              <w:rPr>
                <w:noProof/>
              </w:rPr>
            </w:pPr>
            <w:r w:rsidRPr="007127B1">
              <w:t>22–29</w:t>
            </w:r>
          </w:p>
        </w:tc>
        <w:tc>
          <w:tcPr>
            <w:tcW w:w="798" w:type="pct"/>
            <w:tcBorders>
              <w:top w:val="nil"/>
              <w:left w:val="nil"/>
              <w:bottom w:val="nil"/>
              <w:right w:val="nil"/>
            </w:tcBorders>
            <w:shd w:val="clear" w:color="auto" w:fill="FFFFFF"/>
          </w:tcPr>
          <w:p w14:paraId="31BF312E" w14:textId="77777777" w:rsidR="008E3F72" w:rsidRPr="007127B1" w:rsidRDefault="008E3F72" w:rsidP="0010018A">
            <w:pPr>
              <w:pStyle w:val="BodyText"/>
              <w:kinsoku w:val="0"/>
              <w:overflowPunct w:val="0"/>
              <w:jc w:val="both"/>
              <w:rPr>
                <w:noProof/>
              </w:rPr>
            </w:pPr>
            <w:r w:rsidRPr="007127B1">
              <w:rPr>
                <w:i/>
              </w:rPr>
              <w:t>Kebreab et al.</w:t>
            </w:r>
            <w:r w:rsidRPr="007127B1">
              <w:t xml:space="preserve"> (2001)</w:t>
            </w:r>
          </w:p>
        </w:tc>
      </w:tr>
      <w:tr w:rsidR="008E3F72" w:rsidRPr="007127B1" w14:paraId="6AE5366F" w14:textId="77777777" w:rsidTr="0010018A">
        <w:tc>
          <w:tcPr>
            <w:tcW w:w="2501" w:type="pct"/>
            <w:tcBorders>
              <w:top w:val="nil"/>
              <w:left w:val="nil"/>
              <w:bottom w:val="nil"/>
              <w:right w:val="nil"/>
            </w:tcBorders>
            <w:shd w:val="clear" w:color="auto" w:fill="FFFFFF"/>
          </w:tcPr>
          <w:p w14:paraId="209C4223" w14:textId="77777777" w:rsidR="008E3F72" w:rsidRPr="007127B1" w:rsidRDefault="008E3F72" w:rsidP="0010018A">
            <w:pPr>
              <w:pStyle w:val="BodyText"/>
              <w:kinsoku w:val="0"/>
              <w:overflowPunct w:val="0"/>
              <w:jc w:val="both"/>
              <w:rPr>
                <w:noProof/>
              </w:rPr>
            </w:pPr>
          </w:p>
        </w:tc>
        <w:tc>
          <w:tcPr>
            <w:tcW w:w="976" w:type="pct"/>
            <w:tcBorders>
              <w:top w:val="nil"/>
              <w:left w:val="nil"/>
              <w:bottom w:val="nil"/>
              <w:right w:val="nil"/>
            </w:tcBorders>
            <w:shd w:val="clear" w:color="auto" w:fill="FFFFFF"/>
          </w:tcPr>
          <w:p w14:paraId="25A1EE5E" w14:textId="77777777" w:rsidR="008E3F72" w:rsidRPr="007127B1" w:rsidRDefault="008E3F72" w:rsidP="0010018A">
            <w:pPr>
              <w:pStyle w:val="BodyText"/>
              <w:kinsoku w:val="0"/>
              <w:overflowPunct w:val="0"/>
              <w:jc w:val="both"/>
              <w:rPr>
                <w:noProof/>
              </w:rPr>
            </w:pPr>
            <w:r w:rsidRPr="007127B1">
              <w:t xml:space="preserve">200–750 g uz govi </w:t>
            </w:r>
            <w:r w:rsidRPr="007127B1">
              <w:rPr>
                <w:noProof/>
                <w:vertAlign w:val="superscript"/>
              </w:rPr>
              <w:t xml:space="preserve">1 </w:t>
            </w:r>
            <w:r w:rsidRPr="007127B1">
              <w:t xml:space="preserve">dienā </w:t>
            </w:r>
            <w:r w:rsidRPr="007127B1">
              <w:rPr>
                <w:noProof/>
                <w:vertAlign w:val="superscript"/>
              </w:rPr>
              <w:t>1</w:t>
            </w:r>
          </w:p>
        </w:tc>
        <w:tc>
          <w:tcPr>
            <w:tcW w:w="724" w:type="pct"/>
            <w:tcBorders>
              <w:top w:val="nil"/>
              <w:left w:val="nil"/>
              <w:bottom w:val="nil"/>
              <w:right w:val="nil"/>
            </w:tcBorders>
            <w:shd w:val="clear" w:color="auto" w:fill="FFFFFF"/>
          </w:tcPr>
          <w:p w14:paraId="504241B9" w14:textId="77777777" w:rsidR="008E3F72" w:rsidRPr="007127B1" w:rsidRDefault="008E3F72" w:rsidP="0010018A">
            <w:pPr>
              <w:pStyle w:val="BodyText"/>
              <w:kinsoku w:val="0"/>
              <w:overflowPunct w:val="0"/>
              <w:jc w:val="both"/>
              <w:rPr>
                <w:noProof/>
              </w:rPr>
            </w:pPr>
            <w:r w:rsidRPr="007127B1">
              <w:t>21–32</w:t>
            </w:r>
          </w:p>
        </w:tc>
        <w:tc>
          <w:tcPr>
            <w:tcW w:w="798" w:type="pct"/>
            <w:tcBorders>
              <w:top w:val="nil"/>
              <w:left w:val="nil"/>
              <w:bottom w:val="nil"/>
              <w:right w:val="nil"/>
            </w:tcBorders>
            <w:shd w:val="clear" w:color="auto" w:fill="FFFFFF"/>
          </w:tcPr>
          <w:p w14:paraId="18E02B2E" w14:textId="77777777" w:rsidR="008E3F72" w:rsidRPr="007127B1" w:rsidRDefault="008E3F72" w:rsidP="0010018A">
            <w:pPr>
              <w:pStyle w:val="BodyText"/>
              <w:kinsoku w:val="0"/>
              <w:overflowPunct w:val="0"/>
              <w:jc w:val="both"/>
              <w:rPr>
                <w:noProof/>
              </w:rPr>
            </w:pPr>
            <w:r w:rsidRPr="007127B1">
              <w:rPr>
                <w:i/>
              </w:rPr>
              <w:t>Castillo et al.</w:t>
            </w:r>
            <w:r w:rsidRPr="007127B1">
              <w:t xml:space="preserve"> (2000)</w:t>
            </w:r>
          </w:p>
        </w:tc>
      </w:tr>
      <w:tr w:rsidR="008E3F72" w:rsidRPr="007127B1" w14:paraId="74FF1944" w14:textId="77777777" w:rsidTr="0010018A">
        <w:tc>
          <w:tcPr>
            <w:tcW w:w="2501" w:type="pct"/>
            <w:tcBorders>
              <w:top w:val="nil"/>
              <w:left w:val="nil"/>
              <w:bottom w:val="nil"/>
              <w:right w:val="nil"/>
            </w:tcBorders>
            <w:shd w:val="clear" w:color="auto" w:fill="FFFFFF"/>
          </w:tcPr>
          <w:p w14:paraId="76663F66" w14:textId="77777777" w:rsidR="008E3F72" w:rsidRPr="007127B1" w:rsidRDefault="008E3F72" w:rsidP="0010018A">
            <w:pPr>
              <w:pStyle w:val="BodyText"/>
              <w:kinsoku w:val="0"/>
              <w:overflowPunct w:val="0"/>
              <w:jc w:val="both"/>
              <w:rPr>
                <w:noProof/>
              </w:rPr>
            </w:pPr>
          </w:p>
        </w:tc>
        <w:tc>
          <w:tcPr>
            <w:tcW w:w="976" w:type="pct"/>
            <w:tcBorders>
              <w:top w:val="nil"/>
              <w:left w:val="nil"/>
              <w:bottom w:val="nil"/>
              <w:right w:val="nil"/>
            </w:tcBorders>
            <w:shd w:val="clear" w:color="auto" w:fill="FFFFFF"/>
          </w:tcPr>
          <w:p w14:paraId="4B9B2EA8" w14:textId="77777777" w:rsidR="008E3F72" w:rsidRPr="007127B1" w:rsidRDefault="008E3F72" w:rsidP="0010018A">
            <w:pPr>
              <w:pStyle w:val="BodyText"/>
              <w:kinsoku w:val="0"/>
              <w:overflowPunct w:val="0"/>
              <w:jc w:val="both"/>
              <w:rPr>
                <w:noProof/>
              </w:rPr>
            </w:pPr>
            <w:r w:rsidRPr="007127B1">
              <w:t xml:space="preserve">496–897 g uz govi </w:t>
            </w:r>
            <w:r w:rsidRPr="007127B1">
              <w:rPr>
                <w:noProof/>
                <w:vertAlign w:val="superscript"/>
              </w:rPr>
              <w:t xml:space="preserve">1 </w:t>
            </w:r>
            <w:r w:rsidRPr="007127B1">
              <w:t xml:space="preserve">dienā </w:t>
            </w:r>
            <w:r w:rsidRPr="007127B1">
              <w:rPr>
                <w:noProof/>
                <w:vertAlign w:val="superscript"/>
              </w:rPr>
              <w:t>1</w:t>
            </w:r>
          </w:p>
        </w:tc>
        <w:tc>
          <w:tcPr>
            <w:tcW w:w="724" w:type="pct"/>
            <w:tcBorders>
              <w:top w:val="nil"/>
              <w:left w:val="nil"/>
              <w:bottom w:val="nil"/>
              <w:right w:val="nil"/>
            </w:tcBorders>
            <w:shd w:val="clear" w:color="auto" w:fill="FFFFFF"/>
          </w:tcPr>
          <w:p w14:paraId="1B59AD96" w14:textId="77777777" w:rsidR="008E3F72" w:rsidRPr="007127B1" w:rsidRDefault="008E3F72" w:rsidP="0010018A">
            <w:pPr>
              <w:pStyle w:val="BodyText"/>
              <w:kinsoku w:val="0"/>
              <w:overflowPunct w:val="0"/>
              <w:jc w:val="both"/>
              <w:rPr>
                <w:noProof/>
              </w:rPr>
            </w:pPr>
            <w:r w:rsidRPr="007127B1">
              <w:t>21–36</w:t>
            </w:r>
          </w:p>
        </w:tc>
        <w:tc>
          <w:tcPr>
            <w:tcW w:w="798" w:type="pct"/>
            <w:tcBorders>
              <w:top w:val="nil"/>
              <w:left w:val="nil"/>
              <w:bottom w:val="nil"/>
              <w:right w:val="nil"/>
            </w:tcBorders>
            <w:shd w:val="clear" w:color="auto" w:fill="FFFFFF"/>
          </w:tcPr>
          <w:p w14:paraId="5A652311" w14:textId="77777777" w:rsidR="008E3F72" w:rsidRPr="007127B1" w:rsidRDefault="008E3F72" w:rsidP="0010018A">
            <w:pPr>
              <w:pStyle w:val="BodyText"/>
              <w:kinsoku w:val="0"/>
              <w:overflowPunct w:val="0"/>
              <w:jc w:val="both"/>
              <w:rPr>
                <w:noProof/>
              </w:rPr>
            </w:pPr>
            <w:r w:rsidRPr="007127B1">
              <w:rPr>
                <w:i/>
              </w:rPr>
              <w:t xml:space="preserve">Chase </w:t>
            </w:r>
            <w:r w:rsidRPr="007127B1">
              <w:t>(2004)</w:t>
            </w:r>
          </w:p>
        </w:tc>
      </w:tr>
      <w:tr w:rsidR="008E3F72" w:rsidRPr="007127B1" w14:paraId="0DDE1A48" w14:textId="77777777" w:rsidTr="0010018A">
        <w:tc>
          <w:tcPr>
            <w:tcW w:w="2501" w:type="pct"/>
            <w:tcBorders>
              <w:top w:val="nil"/>
              <w:left w:val="nil"/>
              <w:bottom w:val="nil"/>
              <w:right w:val="nil"/>
            </w:tcBorders>
            <w:shd w:val="clear" w:color="auto" w:fill="FFFFFF"/>
          </w:tcPr>
          <w:p w14:paraId="79793A97" w14:textId="77777777" w:rsidR="008E3F72" w:rsidRPr="007127B1" w:rsidRDefault="008E3F72" w:rsidP="0010018A">
            <w:pPr>
              <w:pStyle w:val="BodyText"/>
              <w:kinsoku w:val="0"/>
              <w:overflowPunct w:val="0"/>
              <w:jc w:val="both"/>
              <w:rPr>
                <w:noProof/>
              </w:rPr>
            </w:pPr>
          </w:p>
        </w:tc>
        <w:tc>
          <w:tcPr>
            <w:tcW w:w="976" w:type="pct"/>
            <w:tcBorders>
              <w:top w:val="nil"/>
              <w:left w:val="nil"/>
              <w:bottom w:val="nil"/>
              <w:right w:val="nil"/>
            </w:tcBorders>
            <w:shd w:val="clear" w:color="auto" w:fill="FFFFFF"/>
          </w:tcPr>
          <w:p w14:paraId="3AC99A7B" w14:textId="77777777" w:rsidR="008E3F72" w:rsidRPr="007127B1" w:rsidRDefault="008E3F72" w:rsidP="0010018A">
            <w:pPr>
              <w:pStyle w:val="BodyText"/>
              <w:kinsoku w:val="0"/>
              <w:overflowPunct w:val="0"/>
              <w:jc w:val="both"/>
              <w:rPr>
                <w:noProof/>
              </w:rPr>
            </w:pPr>
            <w:r w:rsidRPr="007127B1">
              <w:t xml:space="preserve">838–1360 g uz govi </w:t>
            </w:r>
            <w:r w:rsidRPr="007127B1">
              <w:rPr>
                <w:noProof/>
                <w:vertAlign w:val="superscript"/>
              </w:rPr>
              <w:t xml:space="preserve">1 </w:t>
            </w:r>
            <w:r w:rsidRPr="007127B1">
              <w:t xml:space="preserve">dienā </w:t>
            </w:r>
            <w:r w:rsidRPr="007127B1">
              <w:rPr>
                <w:noProof/>
                <w:vertAlign w:val="superscript"/>
              </w:rPr>
              <w:t>1</w:t>
            </w:r>
          </w:p>
        </w:tc>
        <w:tc>
          <w:tcPr>
            <w:tcW w:w="724" w:type="pct"/>
            <w:tcBorders>
              <w:top w:val="nil"/>
              <w:left w:val="nil"/>
              <w:bottom w:val="nil"/>
              <w:right w:val="nil"/>
            </w:tcBorders>
            <w:shd w:val="clear" w:color="auto" w:fill="FFFFFF"/>
          </w:tcPr>
          <w:p w14:paraId="6338429D" w14:textId="77777777" w:rsidR="008E3F72" w:rsidRPr="007127B1" w:rsidRDefault="008E3F72" w:rsidP="0010018A">
            <w:pPr>
              <w:pStyle w:val="BodyText"/>
              <w:kinsoku w:val="0"/>
              <w:overflowPunct w:val="0"/>
              <w:jc w:val="both"/>
              <w:rPr>
                <w:noProof/>
              </w:rPr>
            </w:pPr>
            <w:r w:rsidRPr="007127B1">
              <w:t>16–24</w:t>
            </w:r>
          </w:p>
        </w:tc>
        <w:tc>
          <w:tcPr>
            <w:tcW w:w="798" w:type="pct"/>
            <w:tcBorders>
              <w:top w:val="nil"/>
              <w:left w:val="nil"/>
              <w:bottom w:val="nil"/>
              <w:right w:val="nil"/>
            </w:tcBorders>
            <w:shd w:val="clear" w:color="auto" w:fill="FFFFFF"/>
          </w:tcPr>
          <w:p w14:paraId="00606A63" w14:textId="77777777" w:rsidR="008E3F72" w:rsidRPr="007127B1" w:rsidRDefault="008E3F72" w:rsidP="0010018A">
            <w:pPr>
              <w:pStyle w:val="BodyText"/>
              <w:kinsoku w:val="0"/>
              <w:overflowPunct w:val="0"/>
              <w:jc w:val="both"/>
              <w:rPr>
                <w:noProof/>
              </w:rPr>
            </w:pPr>
            <w:r w:rsidRPr="007127B1">
              <w:rPr>
                <w:i/>
              </w:rPr>
              <w:t>Aarts et al.</w:t>
            </w:r>
            <w:r w:rsidRPr="007127B1">
              <w:t xml:space="preserve"> (2000)</w:t>
            </w:r>
          </w:p>
        </w:tc>
      </w:tr>
      <w:tr w:rsidR="008E3F72" w:rsidRPr="007127B1" w14:paraId="2F33F573" w14:textId="77777777" w:rsidTr="0010018A">
        <w:tc>
          <w:tcPr>
            <w:tcW w:w="2501" w:type="pct"/>
            <w:tcBorders>
              <w:top w:val="nil"/>
              <w:left w:val="nil"/>
              <w:bottom w:val="nil"/>
              <w:right w:val="nil"/>
            </w:tcBorders>
            <w:shd w:val="clear" w:color="auto" w:fill="FFFFFF"/>
            <w:vAlign w:val="bottom"/>
          </w:tcPr>
          <w:p w14:paraId="1CA2E61F" w14:textId="36773917" w:rsidR="008E3F72" w:rsidRPr="007127B1" w:rsidRDefault="00B436FE" w:rsidP="0010018A">
            <w:pPr>
              <w:pStyle w:val="BodyText"/>
              <w:kinsoku w:val="0"/>
              <w:overflowPunct w:val="0"/>
              <w:jc w:val="both"/>
              <w:rPr>
                <w:noProof/>
              </w:rPr>
            </w:pPr>
            <w:r>
              <w:t>Kūtsmēsli un citi mēslošanas līdzekļi kultūraugiem un ganībām</w:t>
            </w:r>
            <w:r w:rsidR="008E3F72" w:rsidRPr="007127B1">
              <w:t xml:space="preserve"> (NIE-kūtsmēsli/citi mēslošanas līdzekļi)</w:t>
            </w:r>
          </w:p>
        </w:tc>
        <w:tc>
          <w:tcPr>
            <w:tcW w:w="976" w:type="pct"/>
            <w:tcBorders>
              <w:top w:val="nil"/>
              <w:left w:val="nil"/>
              <w:bottom w:val="nil"/>
              <w:right w:val="nil"/>
            </w:tcBorders>
            <w:shd w:val="clear" w:color="auto" w:fill="FFFFFF"/>
            <w:vAlign w:val="bottom"/>
          </w:tcPr>
          <w:p w14:paraId="3062EA51" w14:textId="77777777" w:rsidR="008E3F72" w:rsidRPr="007127B1" w:rsidRDefault="008E3F72" w:rsidP="0010018A">
            <w:pPr>
              <w:pStyle w:val="BodyText"/>
              <w:kinsoku w:val="0"/>
              <w:overflowPunct w:val="0"/>
              <w:jc w:val="both"/>
              <w:rPr>
                <w:noProof/>
              </w:rPr>
            </w:pPr>
            <w:r w:rsidRPr="007127B1">
              <w:t>359–749 kg ha</w:t>
            </w:r>
            <w:r w:rsidRPr="007127B1">
              <w:rPr>
                <w:noProof/>
                <w:vertAlign w:val="superscript"/>
              </w:rPr>
              <w:t>-1</w:t>
            </w:r>
          </w:p>
        </w:tc>
        <w:tc>
          <w:tcPr>
            <w:tcW w:w="724" w:type="pct"/>
            <w:tcBorders>
              <w:top w:val="nil"/>
              <w:left w:val="nil"/>
              <w:bottom w:val="nil"/>
              <w:right w:val="nil"/>
            </w:tcBorders>
            <w:shd w:val="clear" w:color="auto" w:fill="FFFFFF"/>
            <w:vAlign w:val="bottom"/>
          </w:tcPr>
          <w:p w14:paraId="5DC3F42D" w14:textId="77777777" w:rsidR="008E3F72" w:rsidRPr="007127B1" w:rsidRDefault="008E3F72" w:rsidP="0010018A">
            <w:pPr>
              <w:pStyle w:val="BodyText"/>
              <w:kinsoku w:val="0"/>
              <w:overflowPunct w:val="0"/>
              <w:jc w:val="both"/>
              <w:rPr>
                <w:noProof/>
              </w:rPr>
            </w:pPr>
            <w:r w:rsidRPr="007127B1">
              <w:t>53–77</w:t>
            </w:r>
          </w:p>
        </w:tc>
        <w:tc>
          <w:tcPr>
            <w:tcW w:w="798" w:type="pct"/>
            <w:tcBorders>
              <w:top w:val="nil"/>
              <w:left w:val="nil"/>
              <w:bottom w:val="nil"/>
              <w:right w:val="nil"/>
            </w:tcBorders>
            <w:shd w:val="clear" w:color="auto" w:fill="FFFFFF"/>
            <w:vAlign w:val="bottom"/>
          </w:tcPr>
          <w:p w14:paraId="417B3884" w14:textId="77777777" w:rsidR="008E3F72" w:rsidRPr="007127B1" w:rsidRDefault="008E3F72" w:rsidP="0010018A">
            <w:pPr>
              <w:pStyle w:val="BodyText"/>
              <w:kinsoku w:val="0"/>
              <w:overflowPunct w:val="0"/>
              <w:jc w:val="both"/>
              <w:rPr>
                <w:noProof/>
              </w:rPr>
            </w:pPr>
            <w:r w:rsidRPr="007127B1">
              <w:rPr>
                <w:i/>
              </w:rPr>
              <w:t>Aarts et al.</w:t>
            </w:r>
            <w:r w:rsidRPr="007127B1">
              <w:t xml:space="preserve"> (2000)</w:t>
            </w:r>
          </w:p>
        </w:tc>
      </w:tr>
      <w:tr w:rsidR="008E3F72" w:rsidRPr="007127B1" w14:paraId="16008B42" w14:textId="77777777" w:rsidTr="0010018A">
        <w:tc>
          <w:tcPr>
            <w:tcW w:w="2501" w:type="pct"/>
            <w:tcBorders>
              <w:top w:val="nil"/>
              <w:left w:val="nil"/>
              <w:bottom w:val="nil"/>
              <w:right w:val="nil"/>
            </w:tcBorders>
            <w:shd w:val="clear" w:color="auto" w:fill="FFFFFF"/>
          </w:tcPr>
          <w:p w14:paraId="775BF9EA" w14:textId="77777777" w:rsidR="008E3F72" w:rsidRPr="007127B1" w:rsidRDefault="008E3F72" w:rsidP="0010018A">
            <w:pPr>
              <w:pStyle w:val="BodyText"/>
              <w:kinsoku w:val="0"/>
              <w:overflowPunct w:val="0"/>
              <w:jc w:val="both"/>
              <w:rPr>
                <w:noProof/>
              </w:rPr>
            </w:pPr>
          </w:p>
        </w:tc>
        <w:tc>
          <w:tcPr>
            <w:tcW w:w="976" w:type="pct"/>
            <w:tcBorders>
              <w:top w:val="nil"/>
              <w:left w:val="nil"/>
              <w:bottom w:val="nil"/>
              <w:right w:val="nil"/>
            </w:tcBorders>
            <w:shd w:val="clear" w:color="auto" w:fill="FFFFFF"/>
          </w:tcPr>
          <w:p w14:paraId="1E8F8E9B" w14:textId="77777777" w:rsidR="008E3F72" w:rsidRPr="007127B1" w:rsidRDefault="008E3F72" w:rsidP="0010018A">
            <w:pPr>
              <w:pStyle w:val="BodyText"/>
              <w:kinsoku w:val="0"/>
              <w:overflowPunct w:val="0"/>
              <w:jc w:val="both"/>
              <w:rPr>
                <w:noProof/>
              </w:rPr>
            </w:pPr>
            <w:r w:rsidRPr="007127B1">
              <w:t>Nav datu</w:t>
            </w:r>
          </w:p>
        </w:tc>
        <w:tc>
          <w:tcPr>
            <w:tcW w:w="724" w:type="pct"/>
            <w:tcBorders>
              <w:top w:val="nil"/>
              <w:left w:val="nil"/>
              <w:bottom w:val="nil"/>
              <w:right w:val="nil"/>
            </w:tcBorders>
            <w:shd w:val="clear" w:color="auto" w:fill="FFFFFF"/>
          </w:tcPr>
          <w:p w14:paraId="045E88E2" w14:textId="77777777" w:rsidR="008E3F72" w:rsidRPr="007127B1" w:rsidRDefault="008E3F72" w:rsidP="0010018A">
            <w:pPr>
              <w:pStyle w:val="BodyText"/>
              <w:kinsoku w:val="0"/>
              <w:overflowPunct w:val="0"/>
              <w:jc w:val="both"/>
              <w:rPr>
                <w:noProof/>
              </w:rPr>
            </w:pPr>
            <w:r w:rsidRPr="007127B1">
              <w:t>16–57</w:t>
            </w:r>
          </w:p>
        </w:tc>
        <w:tc>
          <w:tcPr>
            <w:tcW w:w="798" w:type="pct"/>
            <w:tcBorders>
              <w:top w:val="nil"/>
              <w:left w:val="nil"/>
              <w:bottom w:val="nil"/>
              <w:right w:val="nil"/>
            </w:tcBorders>
            <w:shd w:val="clear" w:color="auto" w:fill="FFFFFF"/>
          </w:tcPr>
          <w:p w14:paraId="39B5FEE6" w14:textId="77777777" w:rsidR="008E3F72" w:rsidRPr="007127B1" w:rsidRDefault="008E3F72" w:rsidP="0010018A">
            <w:pPr>
              <w:pStyle w:val="BodyText"/>
              <w:kinsoku w:val="0"/>
              <w:overflowPunct w:val="0"/>
              <w:jc w:val="both"/>
              <w:rPr>
                <w:noProof/>
              </w:rPr>
            </w:pPr>
            <w:r w:rsidRPr="007127B1">
              <w:rPr>
                <w:i/>
              </w:rPr>
              <w:t>Beegle et al.</w:t>
            </w:r>
            <w:r w:rsidRPr="007127B1">
              <w:t xml:space="preserve"> (2008)</w:t>
            </w:r>
          </w:p>
        </w:tc>
      </w:tr>
      <w:tr w:rsidR="008E3F72" w:rsidRPr="007127B1" w14:paraId="6605F2AA" w14:textId="77777777" w:rsidTr="0010018A">
        <w:tc>
          <w:tcPr>
            <w:tcW w:w="2501" w:type="pct"/>
            <w:tcBorders>
              <w:top w:val="nil"/>
              <w:left w:val="nil"/>
              <w:bottom w:val="nil"/>
              <w:right w:val="nil"/>
            </w:tcBorders>
            <w:shd w:val="clear" w:color="auto" w:fill="FFFFFF"/>
            <w:vAlign w:val="bottom"/>
          </w:tcPr>
          <w:p w14:paraId="2DEB2451" w14:textId="77777777" w:rsidR="008E3F72" w:rsidRPr="007127B1" w:rsidRDefault="008E3F72" w:rsidP="0010018A">
            <w:pPr>
              <w:pStyle w:val="BodyText"/>
              <w:kinsoku w:val="0"/>
              <w:overflowPunct w:val="0"/>
              <w:jc w:val="both"/>
              <w:rPr>
                <w:noProof/>
              </w:rPr>
            </w:pPr>
            <w:r w:rsidRPr="007127B1">
              <w:t>Saimniecībā ienākošā un izejošā N attiecība (NIE-saimniecība kopumā)</w:t>
            </w:r>
          </w:p>
        </w:tc>
        <w:tc>
          <w:tcPr>
            <w:tcW w:w="976" w:type="pct"/>
            <w:tcBorders>
              <w:top w:val="nil"/>
              <w:left w:val="nil"/>
              <w:bottom w:val="nil"/>
              <w:right w:val="nil"/>
            </w:tcBorders>
            <w:shd w:val="clear" w:color="auto" w:fill="FFFFFF"/>
            <w:vAlign w:val="bottom"/>
          </w:tcPr>
          <w:p w14:paraId="30DCF9E3" w14:textId="77777777" w:rsidR="008E3F72" w:rsidRPr="007127B1" w:rsidRDefault="008E3F72" w:rsidP="0010018A">
            <w:pPr>
              <w:pStyle w:val="BodyText"/>
              <w:kinsoku w:val="0"/>
              <w:overflowPunct w:val="0"/>
              <w:jc w:val="both"/>
              <w:rPr>
                <w:noProof/>
              </w:rPr>
            </w:pPr>
            <w:r w:rsidRPr="007127B1">
              <w:t>215–568 kg ha</w:t>
            </w:r>
            <w:r w:rsidRPr="007127B1">
              <w:rPr>
                <w:noProof/>
                <w:vertAlign w:val="superscript"/>
              </w:rPr>
              <w:t>-1</w:t>
            </w:r>
          </w:p>
        </w:tc>
        <w:tc>
          <w:tcPr>
            <w:tcW w:w="724" w:type="pct"/>
            <w:tcBorders>
              <w:top w:val="nil"/>
              <w:left w:val="nil"/>
              <w:bottom w:val="nil"/>
              <w:right w:val="nil"/>
            </w:tcBorders>
            <w:shd w:val="clear" w:color="auto" w:fill="FFFFFF"/>
            <w:vAlign w:val="bottom"/>
          </w:tcPr>
          <w:p w14:paraId="286B57BA" w14:textId="77777777" w:rsidR="008E3F72" w:rsidRPr="007127B1" w:rsidRDefault="008E3F72" w:rsidP="0010018A">
            <w:pPr>
              <w:pStyle w:val="BodyText"/>
              <w:kinsoku w:val="0"/>
              <w:overflowPunct w:val="0"/>
              <w:jc w:val="both"/>
              <w:rPr>
                <w:noProof/>
              </w:rPr>
            </w:pPr>
            <w:r w:rsidRPr="007127B1">
              <w:t>14–55</w:t>
            </w:r>
          </w:p>
        </w:tc>
        <w:tc>
          <w:tcPr>
            <w:tcW w:w="798" w:type="pct"/>
            <w:tcBorders>
              <w:top w:val="nil"/>
              <w:left w:val="nil"/>
              <w:bottom w:val="nil"/>
              <w:right w:val="nil"/>
            </w:tcBorders>
            <w:shd w:val="clear" w:color="auto" w:fill="FFFFFF"/>
            <w:vAlign w:val="bottom"/>
          </w:tcPr>
          <w:p w14:paraId="39114161" w14:textId="77777777" w:rsidR="008E3F72" w:rsidRPr="007127B1" w:rsidRDefault="008E3F72" w:rsidP="0010018A">
            <w:pPr>
              <w:pStyle w:val="BodyText"/>
              <w:kinsoku w:val="0"/>
              <w:overflowPunct w:val="0"/>
              <w:jc w:val="both"/>
              <w:rPr>
                <w:noProof/>
              </w:rPr>
            </w:pPr>
            <w:r w:rsidRPr="007127B1">
              <w:rPr>
                <w:i/>
              </w:rPr>
              <w:t>Rotz et al.</w:t>
            </w:r>
            <w:r w:rsidRPr="007127B1">
              <w:t xml:space="preserve"> (2006)</w:t>
            </w:r>
          </w:p>
        </w:tc>
      </w:tr>
      <w:tr w:rsidR="008E3F72" w:rsidRPr="007127B1" w14:paraId="3B0FEF45" w14:textId="77777777" w:rsidTr="0010018A">
        <w:tc>
          <w:tcPr>
            <w:tcW w:w="2501" w:type="pct"/>
            <w:tcBorders>
              <w:top w:val="nil"/>
              <w:left w:val="nil"/>
              <w:bottom w:val="nil"/>
              <w:right w:val="nil"/>
            </w:tcBorders>
            <w:shd w:val="clear" w:color="auto" w:fill="FFFFFF"/>
          </w:tcPr>
          <w:p w14:paraId="0D3B4817" w14:textId="77777777" w:rsidR="008E3F72" w:rsidRPr="007127B1" w:rsidRDefault="008E3F72" w:rsidP="0010018A">
            <w:pPr>
              <w:pStyle w:val="BodyText"/>
              <w:kinsoku w:val="0"/>
              <w:overflowPunct w:val="0"/>
              <w:jc w:val="both"/>
              <w:rPr>
                <w:noProof/>
              </w:rPr>
            </w:pPr>
          </w:p>
        </w:tc>
        <w:tc>
          <w:tcPr>
            <w:tcW w:w="976" w:type="pct"/>
            <w:tcBorders>
              <w:top w:val="nil"/>
              <w:left w:val="nil"/>
              <w:bottom w:val="nil"/>
              <w:right w:val="nil"/>
            </w:tcBorders>
            <w:shd w:val="clear" w:color="auto" w:fill="FFFFFF"/>
          </w:tcPr>
          <w:p w14:paraId="36495626" w14:textId="77777777" w:rsidR="008E3F72" w:rsidRPr="007127B1" w:rsidRDefault="008E3F72" w:rsidP="0010018A">
            <w:pPr>
              <w:pStyle w:val="BodyText"/>
              <w:kinsoku w:val="0"/>
              <w:overflowPunct w:val="0"/>
              <w:jc w:val="both"/>
              <w:rPr>
                <w:noProof/>
              </w:rPr>
            </w:pPr>
            <w:r w:rsidRPr="007127B1">
              <w:t>150–370 kg ha</w:t>
            </w:r>
            <w:r w:rsidRPr="007127B1">
              <w:rPr>
                <w:noProof/>
                <w:vertAlign w:val="superscript"/>
              </w:rPr>
              <w:t>1</w:t>
            </w:r>
          </w:p>
        </w:tc>
        <w:tc>
          <w:tcPr>
            <w:tcW w:w="724" w:type="pct"/>
            <w:tcBorders>
              <w:top w:val="nil"/>
              <w:left w:val="nil"/>
              <w:bottom w:val="nil"/>
              <w:right w:val="nil"/>
            </w:tcBorders>
            <w:shd w:val="clear" w:color="auto" w:fill="FFFFFF"/>
          </w:tcPr>
          <w:p w14:paraId="367AC7B2" w14:textId="77777777" w:rsidR="008E3F72" w:rsidRPr="007127B1" w:rsidRDefault="008E3F72" w:rsidP="0010018A">
            <w:pPr>
              <w:pStyle w:val="BodyText"/>
              <w:kinsoku w:val="0"/>
              <w:overflowPunct w:val="0"/>
              <w:jc w:val="both"/>
              <w:rPr>
                <w:noProof/>
              </w:rPr>
            </w:pPr>
            <w:r w:rsidRPr="007127B1">
              <w:t>39–47</w:t>
            </w:r>
          </w:p>
        </w:tc>
        <w:tc>
          <w:tcPr>
            <w:tcW w:w="798" w:type="pct"/>
            <w:tcBorders>
              <w:top w:val="nil"/>
              <w:left w:val="nil"/>
              <w:bottom w:val="nil"/>
              <w:right w:val="nil"/>
            </w:tcBorders>
            <w:shd w:val="clear" w:color="auto" w:fill="FFFFFF"/>
          </w:tcPr>
          <w:p w14:paraId="1F4BD3FA" w14:textId="77777777" w:rsidR="008E3F72" w:rsidRPr="007127B1" w:rsidRDefault="008E3F72" w:rsidP="0010018A">
            <w:pPr>
              <w:pStyle w:val="BodyText"/>
              <w:kinsoku w:val="0"/>
              <w:overflowPunct w:val="0"/>
              <w:jc w:val="both"/>
              <w:rPr>
                <w:noProof/>
              </w:rPr>
            </w:pPr>
            <w:r w:rsidRPr="007127B1">
              <w:rPr>
                <w:i/>
              </w:rPr>
              <w:t>Rotz et al.</w:t>
            </w:r>
            <w:r w:rsidRPr="007127B1">
              <w:t xml:space="preserve"> (2006)</w:t>
            </w:r>
          </w:p>
        </w:tc>
      </w:tr>
      <w:tr w:rsidR="008E3F72" w:rsidRPr="007127B1" w14:paraId="446B7CD5" w14:textId="77777777" w:rsidTr="0010018A">
        <w:tc>
          <w:tcPr>
            <w:tcW w:w="2501" w:type="pct"/>
            <w:tcBorders>
              <w:top w:val="nil"/>
              <w:left w:val="nil"/>
              <w:bottom w:val="nil"/>
              <w:right w:val="nil"/>
            </w:tcBorders>
            <w:shd w:val="clear" w:color="auto" w:fill="FFFFFF"/>
          </w:tcPr>
          <w:p w14:paraId="6D5AEE8C" w14:textId="77777777" w:rsidR="008E3F72" w:rsidRPr="007127B1" w:rsidRDefault="008E3F72" w:rsidP="0010018A">
            <w:pPr>
              <w:pStyle w:val="BodyText"/>
              <w:kinsoku w:val="0"/>
              <w:overflowPunct w:val="0"/>
              <w:jc w:val="both"/>
              <w:rPr>
                <w:noProof/>
              </w:rPr>
            </w:pPr>
          </w:p>
        </w:tc>
        <w:tc>
          <w:tcPr>
            <w:tcW w:w="976" w:type="pct"/>
            <w:tcBorders>
              <w:top w:val="nil"/>
              <w:left w:val="nil"/>
              <w:bottom w:val="nil"/>
              <w:right w:val="nil"/>
            </w:tcBorders>
            <w:shd w:val="clear" w:color="auto" w:fill="FFFFFF"/>
          </w:tcPr>
          <w:p w14:paraId="547E71CF" w14:textId="77777777" w:rsidR="008E3F72" w:rsidRPr="007127B1" w:rsidRDefault="008E3F72" w:rsidP="0010018A">
            <w:pPr>
              <w:pStyle w:val="BodyText"/>
              <w:kinsoku w:val="0"/>
              <w:overflowPunct w:val="0"/>
              <w:jc w:val="both"/>
              <w:rPr>
                <w:noProof/>
              </w:rPr>
            </w:pPr>
            <w:r w:rsidRPr="007127B1">
              <w:t>260–380 kg ha</w:t>
            </w:r>
            <w:r w:rsidRPr="007127B1">
              <w:rPr>
                <w:noProof/>
                <w:vertAlign w:val="superscript"/>
              </w:rPr>
              <w:t>1</w:t>
            </w:r>
          </w:p>
        </w:tc>
        <w:tc>
          <w:tcPr>
            <w:tcW w:w="724" w:type="pct"/>
            <w:tcBorders>
              <w:top w:val="nil"/>
              <w:left w:val="nil"/>
              <w:bottom w:val="nil"/>
              <w:right w:val="nil"/>
            </w:tcBorders>
            <w:shd w:val="clear" w:color="auto" w:fill="FFFFFF"/>
          </w:tcPr>
          <w:p w14:paraId="11E10345" w14:textId="77777777" w:rsidR="008E3F72" w:rsidRPr="007127B1" w:rsidRDefault="008E3F72" w:rsidP="0010018A">
            <w:pPr>
              <w:pStyle w:val="BodyText"/>
              <w:kinsoku w:val="0"/>
              <w:overflowPunct w:val="0"/>
              <w:jc w:val="both"/>
              <w:rPr>
                <w:noProof/>
              </w:rPr>
            </w:pPr>
            <w:r w:rsidRPr="007127B1">
              <w:t>23–36</w:t>
            </w:r>
          </w:p>
        </w:tc>
        <w:tc>
          <w:tcPr>
            <w:tcW w:w="798" w:type="pct"/>
            <w:tcBorders>
              <w:top w:val="nil"/>
              <w:left w:val="nil"/>
              <w:bottom w:val="nil"/>
              <w:right w:val="nil"/>
            </w:tcBorders>
            <w:shd w:val="clear" w:color="auto" w:fill="FFFFFF"/>
          </w:tcPr>
          <w:p w14:paraId="00472538" w14:textId="77777777" w:rsidR="008E3F72" w:rsidRPr="007127B1" w:rsidRDefault="008E3F72" w:rsidP="0010018A">
            <w:pPr>
              <w:pStyle w:val="BodyText"/>
              <w:kinsoku w:val="0"/>
              <w:overflowPunct w:val="0"/>
              <w:jc w:val="both"/>
              <w:rPr>
                <w:noProof/>
              </w:rPr>
            </w:pPr>
            <w:r w:rsidRPr="007127B1">
              <w:rPr>
                <w:i/>
              </w:rPr>
              <w:t>Rotz et al.</w:t>
            </w:r>
            <w:r w:rsidRPr="007127B1">
              <w:t xml:space="preserve"> (2005)</w:t>
            </w:r>
          </w:p>
        </w:tc>
      </w:tr>
      <w:tr w:rsidR="008E3F72" w:rsidRPr="007127B1" w14:paraId="37722D52" w14:textId="77777777" w:rsidTr="0010018A">
        <w:tc>
          <w:tcPr>
            <w:tcW w:w="2501" w:type="pct"/>
            <w:tcBorders>
              <w:top w:val="nil"/>
              <w:left w:val="nil"/>
              <w:bottom w:val="nil"/>
              <w:right w:val="nil"/>
            </w:tcBorders>
            <w:shd w:val="clear" w:color="auto" w:fill="FFFFFF"/>
          </w:tcPr>
          <w:p w14:paraId="6AA0C6A7" w14:textId="77777777" w:rsidR="008E3F72" w:rsidRPr="007127B1" w:rsidRDefault="008E3F72" w:rsidP="0010018A">
            <w:pPr>
              <w:pStyle w:val="BodyText"/>
              <w:kinsoku w:val="0"/>
              <w:overflowPunct w:val="0"/>
              <w:jc w:val="both"/>
              <w:rPr>
                <w:noProof/>
              </w:rPr>
            </w:pPr>
          </w:p>
        </w:tc>
        <w:tc>
          <w:tcPr>
            <w:tcW w:w="976" w:type="pct"/>
            <w:tcBorders>
              <w:top w:val="nil"/>
              <w:left w:val="nil"/>
              <w:bottom w:val="nil"/>
              <w:right w:val="nil"/>
            </w:tcBorders>
            <w:shd w:val="clear" w:color="auto" w:fill="FFFFFF"/>
          </w:tcPr>
          <w:p w14:paraId="34F1E3A3" w14:textId="77777777" w:rsidR="008E3F72" w:rsidRPr="007127B1" w:rsidRDefault="008E3F72" w:rsidP="0010018A">
            <w:pPr>
              <w:pStyle w:val="BodyText"/>
              <w:kinsoku w:val="0"/>
              <w:overflowPunct w:val="0"/>
              <w:jc w:val="both"/>
              <w:rPr>
                <w:noProof/>
              </w:rPr>
            </w:pPr>
            <w:r w:rsidRPr="007127B1">
              <w:t>240–423 kg ha</w:t>
            </w:r>
            <w:r w:rsidRPr="007127B1">
              <w:rPr>
                <w:noProof/>
                <w:vertAlign w:val="superscript"/>
              </w:rPr>
              <w:t>1</w:t>
            </w:r>
          </w:p>
        </w:tc>
        <w:tc>
          <w:tcPr>
            <w:tcW w:w="724" w:type="pct"/>
            <w:tcBorders>
              <w:top w:val="nil"/>
              <w:left w:val="nil"/>
              <w:bottom w:val="nil"/>
              <w:right w:val="nil"/>
            </w:tcBorders>
            <w:shd w:val="clear" w:color="auto" w:fill="FFFFFF"/>
          </w:tcPr>
          <w:p w14:paraId="3EB6BE6E" w14:textId="77777777" w:rsidR="008E3F72" w:rsidRPr="007127B1" w:rsidRDefault="008E3F72" w:rsidP="0010018A">
            <w:pPr>
              <w:pStyle w:val="BodyText"/>
              <w:kinsoku w:val="0"/>
              <w:overflowPunct w:val="0"/>
              <w:jc w:val="both"/>
              <w:rPr>
                <w:noProof/>
              </w:rPr>
            </w:pPr>
            <w:r w:rsidRPr="007127B1">
              <w:t>34–46</w:t>
            </w:r>
          </w:p>
        </w:tc>
        <w:tc>
          <w:tcPr>
            <w:tcW w:w="798" w:type="pct"/>
            <w:tcBorders>
              <w:top w:val="nil"/>
              <w:left w:val="nil"/>
              <w:bottom w:val="nil"/>
              <w:right w:val="nil"/>
            </w:tcBorders>
            <w:shd w:val="clear" w:color="auto" w:fill="FFFFFF"/>
          </w:tcPr>
          <w:p w14:paraId="03B4501D" w14:textId="77777777" w:rsidR="008E3F72" w:rsidRPr="007127B1" w:rsidRDefault="008E3F72" w:rsidP="0010018A">
            <w:pPr>
              <w:pStyle w:val="BodyText"/>
              <w:kinsoku w:val="0"/>
              <w:overflowPunct w:val="0"/>
              <w:jc w:val="both"/>
              <w:rPr>
                <w:noProof/>
              </w:rPr>
            </w:pPr>
            <w:r w:rsidRPr="007127B1">
              <w:rPr>
                <w:i/>
              </w:rPr>
              <w:t>Rotz et al.</w:t>
            </w:r>
            <w:r w:rsidRPr="007127B1">
              <w:t xml:space="preserve"> (1999)</w:t>
            </w:r>
          </w:p>
        </w:tc>
      </w:tr>
      <w:tr w:rsidR="008E3F72" w:rsidRPr="007127B1" w14:paraId="1FE2772C" w14:textId="77777777" w:rsidTr="0010018A">
        <w:tc>
          <w:tcPr>
            <w:tcW w:w="2501" w:type="pct"/>
            <w:tcBorders>
              <w:top w:val="nil"/>
              <w:left w:val="nil"/>
              <w:bottom w:val="nil"/>
              <w:right w:val="nil"/>
            </w:tcBorders>
            <w:shd w:val="clear" w:color="auto" w:fill="FFFFFF"/>
          </w:tcPr>
          <w:p w14:paraId="324172E3" w14:textId="77777777" w:rsidR="008E3F72" w:rsidRPr="007127B1" w:rsidRDefault="008E3F72" w:rsidP="0010018A">
            <w:pPr>
              <w:pStyle w:val="BodyText"/>
              <w:kinsoku w:val="0"/>
              <w:overflowPunct w:val="0"/>
              <w:jc w:val="both"/>
              <w:rPr>
                <w:noProof/>
              </w:rPr>
            </w:pPr>
          </w:p>
        </w:tc>
        <w:tc>
          <w:tcPr>
            <w:tcW w:w="976" w:type="pct"/>
            <w:tcBorders>
              <w:top w:val="nil"/>
              <w:left w:val="nil"/>
              <w:bottom w:val="nil"/>
              <w:right w:val="nil"/>
            </w:tcBorders>
            <w:shd w:val="clear" w:color="auto" w:fill="FFFFFF"/>
          </w:tcPr>
          <w:p w14:paraId="13E14EFA" w14:textId="77777777" w:rsidR="008E3F72" w:rsidRPr="007127B1" w:rsidRDefault="008E3F72" w:rsidP="0010018A">
            <w:pPr>
              <w:pStyle w:val="BodyText"/>
              <w:kinsoku w:val="0"/>
              <w:overflowPunct w:val="0"/>
              <w:jc w:val="both"/>
              <w:rPr>
                <w:noProof/>
              </w:rPr>
            </w:pPr>
            <w:r w:rsidRPr="007127B1">
              <w:t>63–840 kg ha</w:t>
            </w:r>
            <w:r w:rsidRPr="007127B1">
              <w:rPr>
                <w:noProof/>
                <w:vertAlign w:val="superscript"/>
              </w:rPr>
              <w:t>1</w:t>
            </w:r>
          </w:p>
        </w:tc>
        <w:tc>
          <w:tcPr>
            <w:tcW w:w="724" w:type="pct"/>
            <w:tcBorders>
              <w:top w:val="nil"/>
              <w:left w:val="nil"/>
              <w:bottom w:val="nil"/>
              <w:right w:val="nil"/>
            </w:tcBorders>
            <w:shd w:val="clear" w:color="auto" w:fill="FFFFFF"/>
          </w:tcPr>
          <w:p w14:paraId="459F7E7F" w14:textId="77777777" w:rsidR="008E3F72" w:rsidRPr="007127B1" w:rsidRDefault="008E3F72" w:rsidP="0010018A">
            <w:pPr>
              <w:pStyle w:val="BodyText"/>
              <w:kinsoku w:val="0"/>
              <w:overflowPunct w:val="0"/>
              <w:jc w:val="both"/>
              <w:rPr>
                <w:noProof/>
              </w:rPr>
            </w:pPr>
            <w:r w:rsidRPr="007127B1">
              <w:t>8–55</w:t>
            </w:r>
          </w:p>
        </w:tc>
        <w:tc>
          <w:tcPr>
            <w:tcW w:w="798" w:type="pct"/>
            <w:tcBorders>
              <w:top w:val="nil"/>
              <w:left w:val="nil"/>
              <w:bottom w:val="nil"/>
              <w:right w:val="nil"/>
            </w:tcBorders>
            <w:shd w:val="clear" w:color="auto" w:fill="FFFFFF"/>
          </w:tcPr>
          <w:p w14:paraId="12C4B863" w14:textId="77777777" w:rsidR="008E3F72" w:rsidRPr="007127B1" w:rsidRDefault="008E3F72" w:rsidP="0010018A">
            <w:pPr>
              <w:pStyle w:val="BodyText"/>
              <w:kinsoku w:val="0"/>
              <w:overflowPunct w:val="0"/>
              <w:jc w:val="both"/>
              <w:rPr>
                <w:noProof/>
              </w:rPr>
            </w:pPr>
            <w:r w:rsidRPr="007127B1">
              <w:rPr>
                <w:i/>
              </w:rPr>
              <w:t>Ovens et al.</w:t>
            </w:r>
            <w:r w:rsidRPr="007127B1">
              <w:t xml:space="preserve"> (2008)</w:t>
            </w:r>
          </w:p>
        </w:tc>
      </w:tr>
      <w:tr w:rsidR="008E3F72" w:rsidRPr="007127B1" w14:paraId="1124F17D" w14:textId="77777777" w:rsidTr="0010018A">
        <w:tc>
          <w:tcPr>
            <w:tcW w:w="2501" w:type="pct"/>
            <w:tcBorders>
              <w:top w:val="nil"/>
              <w:left w:val="nil"/>
              <w:bottom w:val="nil"/>
              <w:right w:val="nil"/>
            </w:tcBorders>
            <w:shd w:val="clear" w:color="auto" w:fill="FFFFFF"/>
          </w:tcPr>
          <w:p w14:paraId="4E029838" w14:textId="77777777" w:rsidR="008E3F72" w:rsidRPr="007127B1" w:rsidRDefault="008E3F72" w:rsidP="0010018A">
            <w:pPr>
              <w:pStyle w:val="BodyText"/>
              <w:kinsoku w:val="0"/>
              <w:overflowPunct w:val="0"/>
              <w:jc w:val="both"/>
              <w:rPr>
                <w:noProof/>
              </w:rPr>
            </w:pPr>
          </w:p>
        </w:tc>
        <w:tc>
          <w:tcPr>
            <w:tcW w:w="976" w:type="pct"/>
            <w:tcBorders>
              <w:top w:val="nil"/>
              <w:left w:val="nil"/>
              <w:bottom w:val="nil"/>
              <w:right w:val="nil"/>
            </w:tcBorders>
            <w:shd w:val="clear" w:color="auto" w:fill="FFFFFF"/>
          </w:tcPr>
          <w:p w14:paraId="54966FE3" w14:textId="77777777" w:rsidR="008E3F72" w:rsidRPr="007127B1" w:rsidRDefault="008E3F72" w:rsidP="0010018A">
            <w:pPr>
              <w:pStyle w:val="BodyText"/>
              <w:kinsoku w:val="0"/>
              <w:overflowPunct w:val="0"/>
              <w:jc w:val="both"/>
              <w:rPr>
                <w:noProof/>
              </w:rPr>
            </w:pPr>
            <w:r w:rsidRPr="007127B1">
              <w:t>Nav datu</w:t>
            </w:r>
          </w:p>
        </w:tc>
        <w:tc>
          <w:tcPr>
            <w:tcW w:w="724" w:type="pct"/>
            <w:tcBorders>
              <w:top w:val="nil"/>
              <w:left w:val="nil"/>
              <w:bottom w:val="nil"/>
              <w:right w:val="nil"/>
            </w:tcBorders>
            <w:shd w:val="clear" w:color="auto" w:fill="FFFFFF"/>
          </w:tcPr>
          <w:p w14:paraId="2A4F459C" w14:textId="77777777" w:rsidR="008E3F72" w:rsidRPr="007127B1" w:rsidRDefault="008E3F72" w:rsidP="0010018A">
            <w:pPr>
              <w:pStyle w:val="BodyText"/>
              <w:kinsoku w:val="0"/>
              <w:overflowPunct w:val="0"/>
              <w:jc w:val="both"/>
              <w:rPr>
                <w:noProof/>
              </w:rPr>
            </w:pPr>
            <w:r w:rsidRPr="007127B1">
              <w:t>25–64</w:t>
            </w:r>
          </w:p>
        </w:tc>
        <w:tc>
          <w:tcPr>
            <w:tcW w:w="798" w:type="pct"/>
            <w:tcBorders>
              <w:top w:val="nil"/>
              <w:left w:val="nil"/>
              <w:bottom w:val="nil"/>
              <w:right w:val="nil"/>
            </w:tcBorders>
            <w:shd w:val="clear" w:color="auto" w:fill="FFFFFF"/>
          </w:tcPr>
          <w:p w14:paraId="3E2E4BF6" w14:textId="77777777" w:rsidR="008E3F72" w:rsidRPr="007127B1" w:rsidRDefault="008E3F72" w:rsidP="0010018A">
            <w:pPr>
              <w:pStyle w:val="BodyText"/>
              <w:kinsoku w:val="0"/>
              <w:overflowPunct w:val="0"/>
              <w:jc w:val="both"/>
              <w:rPr>
                <w:noProof/>
              </w:rPr>
            </w:pPr>
            <w:r w:rsidRPr="007127B1">
              <w:rPr>
                <w:i/>
              </w:rPr>
              <w:t>Histov et al.</w:t>
            </w:r>
            <w:r w:rsidRPr="007127B1">
              <w:t xml:space="preserve"> (2006)</w:t>
            </w:r>
          </w:p>
        </w:tc>
      </w:tr>
    </w:tbl>
    <w:p w14:paraId="51510913" w14:textId="77777777" w:rsidR="008E3F72" w:rsidRPr="00F35F4D" w:rsidRDefault="008E3F72" w:rsidP="008E3F72">
      <w:pPr>
        <w:pStyle w:val="BodyText"/>
        <w:widowControl/>
        <w:kinsoku w:val="0"/>
        <w:overflowPunct w:val="0"/>
        <w:spacing w:before="0"/>
        <w:ind w:left="0"/>
        <w:jc w:val="both"/>
        <w:rPr>
          <w:noProof/>
          <w:sz w:val="24"/>
          <w:szCs w:val="24"/>
        </w:rPr>
      </w:pPr>
    </w:p>
    <w:p w14:paraId="2CD5EE60"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rPr>
        <w:t>Avots</w:t>
      </w:r>
      <w:r w:rsidRPr="00F35F4D">
        <w:t xml:space="preserve"> –</w:t>
      </w:r>
      <w:r w:rsidRPr="00F35F4D">
        <w:rPr>
          <w:noProof/>
          <w:sz w:val="24"/>
        </w:rPr>
        <w:t xml:space="preserve"> </w:t>
      </w:r>
      <w:r w:rsidRPr="00F35F4D">
        <w:rPr>
          <w:i/>
          <w:noProof/>
          <w:sz w:val="24"/>
        </w:rPr>
        <w:t>Powell, Rotz, Weaver,</w:t>
      </w:r>
      <w:r w:rsidRPr="00F35F4D">
        <w:rPr>
          <w:noProof/>
          <w:sz w:val="24"/>
        </w:rPr>
        <w:t xml:space="preserve"> 2009.</w:t>
      </w:r>
    </w:p>
    <w:p w14:paraId="2626B5DD" w14:textId="77777777" w:rsidR="008E3F72" w:rsidRPr="00F35F4D" w:rsidRDefault="008E3F72" w:rsidP="008E3F72">
      <w:pPr>
        <w:pStyle w:val="BodyText"/>
        <w:widowControl/>
        <w:kinsoku w:val="0"/>
        <w:overflowPunct w:val="0"/>
        <w:spacing w:before="0"/>
        <w:ind w:left="0"/>
        <w:jc w:val="both"/>
        <w:rPr>
          <w:noProof/>
          <w:sz w:val="24"/>
          <w:szCs w:val="24"/>
        </w:rPr>
      </w:pPr>
    </w:p>
    <w:p w14:paraId="361BA2B9" w14:textId="77777777"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Lai izvērtētu rādītājus NIE-barība vai NIE-dzīvnieki, jāzina uzņemtās barības un rupjās lopbarības daudzums un N saturs barībā un rupjajā lopbarībā. Jāzina arī N daudzums dzīvnieku izcelsmes produktos (pienā, gaļā un olās esošajās olbaltumvielās). N vērtību noteikšanai piena olbaltumvielās, olās un liellopu, cūku un mājputnu dzīvsvarā, kautsvarā un gaļā var izmantot ieteiktās vērtības.</w:t>
      </w:r>
    </w:p>
    <w:p w14:paraId="5D3E58F7" w14:textId="77777777" w:rsidR="008E3F72" w:rsidRPr="00F35F4D" w:rsidRDefault="008E3F72" w:rsidP="008E3F72">
      <w:pPr>
        <w:pStyle w:val="BodyText"/>
        <w:widowControl/>
        <w:kinsoku w:val="0"/>
        <w:overflowPunct w:val="0"/>
        <w:spacing w:before="0"/>
        <w:ind w:left="0"/>
        <w:jc w:val="both"/>
        <w:rPr>
          <w:noProof/>
          <w:sz w:val="24"/>
          <w:szCs w:val="24"/>
        </w:rPr>
      </w:pPr>
    </w:p>
    <w:p w14:paraId="3BE7D9B1"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AI.2 tabula</w:t>
      </w:r>
    </w:p>
    <w:p w14:paraId="48972C99" w14:textId="77777777" w:rsidR="008E3F72" w:rsidRPr="00F35F4D" w:rsidRDefault="008E3F72" w:rsidP="008E3F72">
      <w:pPr>
        <w:pStyle w:val="BodyText"/>
        <w:widowControl/>
        <w:kinsoku w:val="0"/>
        <w:overflowPunct w:val="0"/>
        <w:spacing w:before="0"/>
        <w:ind w:left="0"/>
        <w:jc w:val="both"/>
        <w:rPr>
          <w:noProof/>
          <w:sz w:val="24"/>
          <w:szCs w:val="24"/>
        </w:rPr>
      </w:pPr>
    </w:p>
    <w:p w14:paraId="6A96C67E"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Npārpalikuma un NIE rādītāji saimniekošanas sistēmās, norādot specializētām augkopības saimniecībām, specializētām lopkopības saimniecībām un jauktas specializācijas saimniecībām raksturīgās vērtības</w:t>
      </w:r>
    </w:p>
    <w:p w14:paraId="3549B29B"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1760"/>
        <w:gridCol w:w="1176"/>
        <w:gridCol w:w="3206"/>
        <w:gridCol w:w="2084"/>
      </w:tblGrid>
      <w:tr w:rsidR="008E3F72" w:rsidRPr="007127B1" w14:paraId="60C2A420" w14:textId="77777777" w:rsidTr="0010018A">
        <w:tc>
          <w:tcPr>
            <w:tcW w:w="1069" w:type="pct"/>
            <w:tcBorders>
              <w:top w:val="single" w:sz="4" w:space="0" w:color="000000"/>
              <w:left w:val="nil"/>
              <w:bottom w:val="single" w:sz="12" w:space="0" w:color="000000"/>
              <w:right w:val="nil"/>
            </w:tcBorders>
          </w:tcPr>
          <w:p w14:paraId="6755AE30" w14:textId="77777777" w:rsidR="008E3F72" w:rsidRPr="007127B1" w:rsidRDefault="008E3F72" w:rsidP="0010018A">
            <w:pPr>
              <w:pStyle w:val="TableParagraph"/>
              <w:widowControl/>
              <w:kinsoku w:val="0"/>
              <w:overflowPunct w:val="0"/>
              <w:jc w:val="center"/>
              <w:rPr>
                <w:i/>
                <w:iCs/>
                <w:noProof/>
                <w:sz w:val="20"/>
                <w:szCs w:val="20"/>
              </w:rPr>
            </w:pPr>
            <w:r w:rsidRPr="007127B1">
              <w:rPr>
                <w:i/>
                <w:noProof/>
                <w:sz w:val="20"/>
                <w:szCs w:val="20"/>
              </w:rPr>
              <w:t>Rādītājs</w:t>
            </w:r>
          </w:p>
        </w:tc>
        <w:tc>
          <w:tcPr>
            <w:tcW w:w="715" w:type="pct"/>
            <w:tcBorders>
              <w:top w:val="single" w:sz="4" w:space="0" w:color="000000"/>
              <w:left w:val="nil"/>
              <w:bottom w:val="single" w:sz="12" w:space="0" w:color="000000"/>
              <w:right w:val="nil"/>
            </w:tcBorders>
          </w:tcPr>
          <w:p w14:paraId="5D084506" w14:textId="77777777" w:rsidR="008E3F72" w:rsidRPr="007127B1" w:rsidRDefault="008E3F72" w:rsidP="0010018A">
            <w:pPr>
              <w:pStyle w:val="TableParagraph"/>
              <w:widowControl/>
              <w:kinsoku w:val="0"/>
              <w:overflowPunct w:val="0"/>
              <w:jc w:val="center"/>
              <w:rPr>
                <w:i/>
                <w:iCs/>
                <w:noProof/>
                <w:sz w:val="20"/>
                <w:szCs w:val="20"/>
              </w:rPr>
            </w:pPr>
            <w:r w:rsidRPr="007127B1">
              <w:rPr>
                <w:i/>
                <w:noProof/>
                <w:sz w:val="20"/>
                <w:szCs w:val="20"/>
              </w:rPr>
              <w:t>Aprēķins</w:t>
            </w:r>
          </w:p>
        </w:tc>
        <w:tc>
          <w:tcPr>
            <w:tcW w:w="1949" w:type="pct"/>
            <w:tcBorders>
              <w:top w:val="single" w:sz="4" w:space="0" w:color="000000"/>
              <w:left w:val="nil"/>
              <w:bottom w:val="single" w:sz="12" w:space="0" w:color="000000"/>
              <w:right w:val="nil"/>
            </w:tcBorders>
          </w:tcPr>
          <w:p w14:paraId="214CCC00" w14:textId="77777777" w:rsidR="008E3F72" w:rsidRPr="007127B1" w:rsidRDefault="008E3F72" w:rsidP="0010018A">
            <w:pPr>
              <w:pStyle w:val="TableParagraph"/>
              <w:widowControl/>
              <w:kinsoku w:val="0"/>
              <w:overflowPunct w:val="0"/>
              <w:jc w:val="center"/>
              <w:rPr>
                <w:i/>
                <w:iCs/>
                <w:noProof/>
                <w:sz w:val="20"/>
                <w:szCs w:val="20"/>
              </w:rPr>
            </w:pPr>
            <w:r w:rsidRPr="007127B1">
              <w:rPr>
                <w:i/>
                <w:noProof/>
                <w:sz w:val="20"/>
                <w:szCs w:val="20"/>
              </w:rPr>
              <w:t>Skaidrojums</w:t>
            </w:r>
          </w:p>
        </w:tc>
        <w:tc>
          <w:tcPr>
            <w:tcW w:w="1268" w:type="pct"/>
            <w:tcBorders>
              <w:top w:val="single" w:sz="4" w:space="0" w:color="000000"/>
              <w:left w:val="nil"/>
              <w:bottom w:val="single" w:sz="12" w:space="0" w:color="000000"/>
              <w:right w:val="nil"/>
            </w:tcBorders>
          </w:tcPr>
          <w:p w14:paraId="1A3AE728" w14:textId="77777777" w:rsidR="008E3F72" w:rsidRPr="007127B1" w:rsidRDefault="008E3F72" w:rsidP="0010018A">
            <w:pPr>
              <w:pStyle w:val="TableParagraph"/>
              <w:widowControl/>
              <w:kinsoku w:val="0"/>
              <w:overflowPunct w:val="0"/>
              <w:jc w:val="center"/>
              <w:rPr>
                <w:i/>
                <w:iCs/>
                <w:noProof/>
                <w:sz w:val="20"/>
                <w:szCs w:val="20"/>
              </w:rPr>
            </w:pPr>
            <w:r w:rsidRPr="007127B1">
              <w:rPr>
                <w:i/>
                <w:noProof/>
                <w:sz w:val="20"/>
                <w:szCs w:val="20"/>
              </w:rPr>
              <w:t>Raksturīgie līmeņi</w:t>
            </w:r>
          </w:p>
        </w:tc>
      </w:tr>
      <w:tr w:rsidR="008E3F72" w:rsidRPr="007127B1" w14:paraId="67806FD2" w14:textId="77777777" w:rsidTr="0010018A">
        <w:tc>
          <w:tcPr>
            <w:tcW w:w="1069" w:type="pct"/>
            <w:tcBorders>
              <w:top w:val="single" w:sz="12" w:space="0" w:color="000000"/>
              <w:left w:val="nil"/>
              <w:bottom w:val="nil"/>
              <w:right w:val="nil"/>
            </w:tcBorders>
          </w:tcPr>
          <w:p w14:paraId="261F3B1D" w14:textId="77777777" w:rsidR="008E3F72" w:rsidRPr="007127B1" w:rsidRDefault="008E3F72" w:rsidP="0010018A">
            <w:pPr>
              <w:pStyle w:val="TableParagraph"/>
              <w:widowControl/>
              <w:kinsoku w:val="0"/>
              <w:overflowPunct w:val="0"/>
              <w:jc w:val="center"/>
              <w:rPr>
                <w:noProof/>
                <w:sz w:val="20"/>
                <w:szCs w:val="20"/>
              </w:rPr>
            </w:pPr>
            <w:r w:rsidRPr="007127B1">
              <w:rPr>
                <w:i/>
                <w:sz w:val="20"/>
                <w:szCs w:val="20"/>
              </w:rPr>
              <w:t>Npārpalikums</w:t>
            </w:r>
            <w:r w:rsidRPr="007127B1">
              <w:rPr>
                <w:sz w:val="20"/>
                <w:szCs w:val="20"/>
              </w:rPr>
              <w:t xml:space="preserve"> = visa ienākošā N summa, no kuras atskaitīts viss izejošais N pa saimniecības vārtiem, izteikta kg/ha gadā</w:t>
            </w:r>
          </w:p>
        </w:tc>
        <w:tc>
          <w:tcPr>
            <w:tcW w:w="715" w:type="pct"/>
            <w:tcBorders>
              <w:top w:val="single" w:sz="12" w:space="0" w:color="000000"/>
              <w:left w:val="nil"/>
              <w:bottom w:val="nil"/>
              <w:right w:val="nil"/>
            </w:tcBorders>
          </w:tcPr>
          <w:p w14:paraId="172B990F" w14:textId="77777777" w:rsidR="008E3F72" w:rsidRPr="007127B1" w:rsidRDefault="008E3F72" w:rsidP="0010018A">
            <w:pPr>
              <w:pStyle w:val="TableParagraph"/>
              <w:widowControl/>
              <w:kinsoku w:val="0"/>
              <w:overflowPunct w:val="0"/>
              <w:jc w:val="center"/>
              <w:rPr>
                <w:noProof/>
                <w:sz w:val="20"/>
                <w:szCs w:val="20"/>
              </w:rPr>
            </w:pPr>
            <w:r w:rsidRPr="007127B1">
              <w:rPr>
                <w:i/>
                <w:sz w:val="20"/>
                <w:szCs w:val="20"/>
              </w:rPr>
              <w:t>Npārpalikums</w:t>
            </w:r>
            <w:r w:rsidRPr="007127B1">
              <w:rPr>
                <w:sz w:val="20"/>
                <w:szCs w:val="20"/>
              </w:rPr>
              <w:t xml:space="preserve"> = Σ (ienākošais N daudzums) – Σ (izejošais N daudzums)</w:t>
            </w:r>
          </w:p>
        </w:tc>
        <w:tc>
          <w:tcPr>
            <w:tcW w:w="1949" w:type="pct"/>
            <w:tcBorders>
              <w:top w:val="single" w:sz="12" w:space="0" w:color="000000"/>
              <w:left w:val="nil"/>
              <w:bottom w:val="nil"/>
              <w:right w:val="nil"/>
            </w:tcBorders>
          </w:tcPr>
          <w:p w14:paraId="7E9B9FE6" w14:textId="35A5D8EB" w:rsidR="008E3F72" w:rsidRPr="007127B1" w:rsidRDefault="008E3F72" w:rsidP="0010018A">
            <w:pPr>
              <w:pStyle w:val="TableParagraph"/>
              <w:widowControl/>
              <w:kinsoku w:val="0"/>
              <w:overflowPunct w:val="0"/>
              <w:jc w:val="center"/>
              <w:rPr>
                <w:noProof/>
                <w:sz w:val="20"/>
                <w:szCs w:val="20"/>
              </w:rPr>
            </w:pPr>
            <w:r w:rsidRPr="007127B1">
              <w:rPr>
                <w:i/>
                <w:sz w:val="20"/>
                <w:szCs w:val="20"/>
              </w:rPr>
              <w:t>Npārpalikums</w:t>
            </w:r>
            <w:r w:rsidRPr="007127B1">
              <w:rPr>
                <w:sz w:val="20"/>
                <w:szCs w:val="20"/>
              </w:rPr>
              <w:t xml:space="preserve"> ir atkarīgs no saimniekošanas sistēmas veida, kultūraugiem un dzīvniekiem un N daudzuma, kas pieejams no vietējiem avotiem, N daudzuma, ko nodrošina no ārējiem avotiem (ar mēslošanas līdzekļiem </w:t>
            </w:r>
            <w:r w:rsidR="008222B2">
              <w:rPr>
                <w:sz w:val="20"/>
                <w:szCs w:val="20"/>
              </w:rPr>
              <w:t>un dzīvnieku barību), un apsaimniekošanas</w:t>
            </w:r>
            <w:r w:rsidRPr="007127B1">
              <w:rPr>
                <w:sz w:val="20"/>
                <w:szCs w:val="20"/>
              </w:rPr>
              <w:t xml:space="preserve"> un vides faktoriem.</w:t>
            </w:r>
          </w:p>
          <w:p w14:paraId="33523763" w14:textId="77777777" w:rsidR="008E3F72" w:rsidRPr="007127B1" w:rsidRDefault="008E3F72" w:rsidP="0010018A">
            <w:pPr>
              <w:pStyle w:val="TableParagraph"/>
              <w:widowControl/>
              <w:kinsoku w:val="0"/>
              <w:overflowPunct w:val="0"/>
              <w:jc w:val="center"/>
              <w:rPr>
                <w:b/>
                <w:bCs/>
                <w:noProof/>
                <w:sz w:val="20"/>
                <w:szCs w:val="20"/>
              </w:rPr>
            </w:pPr>
          </w:p>
          <w:p w14:paraId="74239C1D" w14:textId="77777777" w:rsidR="008E3F72" w:rsidRPr="007127B1" w:rsidRDefault="008E3F72" w:rsidP="0010018A">
            <w:pPr>
              <w:pStyle w:val="TableParagraph"/>
              <w:widowControl/>
              <w:kinsoku w:val="0"/>
              <w:overflowPunct w:val="0"/>
              <w:jc w:val="center"/>
              <w:rPr>
                <w:noProof/>
                <w:sz w:val="20"/>
                <w:szCs w:val="20"/>
              </w:rPr>
            </w:pPr>
            <w:r w:rsidRPr="007127B1">
              <w:rPr>
                <w:i/>
                <w:sz w:val="20"/>
                <w:szCs w:val="20"/>
              </w:rPr>
              <w:t>Npārpalikums</w:t>
            </w:r>
            <w:r w:rsidRPr="007127B1">
              <w:rPr>
                <w:sz w:val="20"/>
                <w:szCs w:val="20"/>
              </w:rPr>
              <w:t xml:space="preserve"> ir rādītājs, kas raksturo summāro N zudumu, kas nonāk vidē.</w:t>
            </w:r>
          </w:p>
          <w:p w14:paraId="15290BDC" w14:textId="77777777" w:rsidR="008E3F72" w:rsidRPr="007127B1" w:rsidRDefault="008E3F72" w:rsidP="0010018A">
            <w:pPr>
              <w:pStyle w:val="TableParagraph"/>
              <w:widowControl/>
              <w:kinsoku w:val="0"/>
              <w:overflowPunct w:val="0"/>
              <w:jc w:val="center"/>
              <w:rPr>
                <w:b/>
                <w:bCs/>
                <w:noProof/>
                <w:sz w:val="20"/>
                <w:szCs w:val="20"/>
              </w:rPr>
            </w:pPr>
          </w:p>
          <w:p w14:paraId="62B8AC32" w14:textId="77777777" w:rsidR="008E3F72" w:rsidRPr="007127B1" w:rsidRDefault="008E3F72" w:rsidP="0010018A">
            <w:pPr>
              <w:pStyle w:val="TableParagraph"/>
              <w:widowControl/>
              <w:kinsoku w:val="0"/>
              <w:overflowPunct w:val="0"/>
              <w:jc w:val="center"/>
              <w:rPr>
                <w:noProof/>
                <w:sz w:val="20"/>
                <w:szCs w:val="20"/>
              </w:rPr>
            </w:pPr>
            <w:r w:rsidRPr="007127B1">
              <w:rPr>
                <w:i/>
                <w:sz w:val="20"/>
                <w:szCs w:val="20"/>
              </w:rPr>
              <w:t>Ntrūkums</w:t>
            </w:r>
            <w:r w:rsidRPr="007127B1">
              <w:rPr>
                <w:sz w:val="20"/>
                <w:szCs w:val="20"/>
              </w:rPr>
              <w:t xml:space="preserve"> [Σ (ienākošais N daudzums) &lt; Σ (izejošais N daudzums] ir rādītājs, kas raksturo augsnē esošā N krājumu izsmelšanu.</w:t>
            </w:r>
          </w:p>
          <w:p w14:paraId="61B2D99F" w14:textId="77777777" w:rsidR="008E3F72" w:rsidRPr="007127B1" w:rsidRDefault="008E3F72" w:rsidP="0010018A">
            <w:pPr>
              <w:pStyle w:val="TableParagraph"/>
              <w:widowControl/>
              <w:kinsoku w:val="0"/>
              <w:overflowPunct w:val="0"/>
              <w:jc w:val="center"/>
              <w:rPr>
                <w:b/>
                <w:bCs/>
                <w:noProof/>
                <w:sz w:val="20"/>
                <w:szCs w:val="20"/>
              </w:rPr>
            </w:pPr>
          </w:p>
          <w:p w14:paraId="25539256" w14:textId="30EE634C" w:rsidR="008E3F72" w:rsidRPr="007127B1" w:rsidRDefault="008E3F72" w:rsidP="0010018A">
            <w:pPr>
              <w:pStyle w:val="TableParagraph"/>
              <w:widowControl/>
              <w:kinsoku w:val="0"/>
              <w:overflowPunct w:val="0"/>
              <w:jc w:val="center"/>
              <w:rPr>
                <w:noProof/>
                <w:sz w:val="20"/>
                <w:szCs w:val="20"/>
              </w:rPr>
            </w:pPr>
            <w:r w:rsidRPr="007127B1">
              <w:rPr>
                <w:sz w:val="20"/>
                <w:szCs w:val="20"/>
              </w:rPr>
              <w:t>Specializētās (bezzemes) dzīvnieku audzēšanas sistēmās Npārpalikums var būt ļoti liels atkarībā arī no potenciālā izejoš</w:t>
            </w:r>
            <w:r w:rsidR="008222B2">
              <w:rPr>
                <w:sz w:val="20"/>
                <w:szCs w:val="20"/>
              </w:rPr>
              <w:t>ā N daudzuma kūtsmēslu pārstrādes</w:t>
            </w:r>
            <w:r w:rsidRPr="007127B1">
              <w:rPr>
                <w:sz w:val="20"/>
                <w:szCs w:val="20"/>
              </w:rPr>
              <w:t xml:space="preserve"> un izvešanas rezultātā.</w:t>
            </w:r>
          </w:p>
        </w:tc>
        <w:tc>
          <w:tcPr>
            <w:tcW w:w="1268" w:type="pct"/>
            <w:tcBorders>
              <w:top w:val="single" w:sz="12" w:space="0" w:color="000000"/>
              <w:left w:val="nil"/>
              <w:bottom w:val="nil"/>
              <w:right w:val="nil"/>
            </w:tcBorders>
          </w:tcPr>
          <w:p w14:paraId="1221C476" w14:textId="77777777" w:rsidR="008E3F72" w:rsidRPr="007127B1" w:rsidRDefault="008E3F72" w:rsidP="0010018A">
            <w:pPr>
              <w:pStyle w:val="TableParagraph"/>
              <w:widowControl/>
              <w:kinsoku w:val="0"/>
              <w:overflowPunct w:val="0"/>
              <w:jc w:val="center"/>
              <w:rPr>
                <w:noProof/>
                <w:sz w:val="20"/>
                <w:szCs w:val="20"/>
              </w:rPr>
            </w:pPr>
            <w:r w:rsidRPr="007127B1">
              <w:rPr>
                <w:sz w:val="20"/>
                <w:szCs w:val="20"/>
              </w:rPr>
              <w:lastRenderedPageBreak/>
              <w:t>Atkarībā no saimniekošanas sistēmas, kultūraugiem un dzīvniekiem.</w:t>
            </w:r>
          </w:p>
          <w:p w14:paraId="347AA6D4" w14:textId="77777777" w:rsidR="008E3F72" w:rsidRPr="007127B1" w:rsidRDefault="008E3F72" w:rsidP="0010018A">
            <w:pPr>
              <w:pStyle w:val="TableParagraph"/>
              <w:widowControl/>
              <w:kinsoku w:val="0"/>
              <w:overflowPunct w:val="0"/>
              <w:jc w:val="center"/>
              <w:rPr>
                <w:b/>
                <w:bCs/>
                <w:noProof/>
                <w:sz w:val="20"/>
                <w:szCs w:val="20"/>
              </w:rPr>
            </w:pPr>
          </w:p>
          <w:p w14:paraId="605EE330" w14:textId="77777777" w:rsidR="008E3F72" w:rsidRPr="007127B1" w:rsidRDefault="008E3F72" w:rsidP="0010018A">
            <w:pPr>
              <w:pStyle w:val="TableParagraph"/>
              <w:widowControl/>
              <w:kinsoku w:val="0"/>
              <w:overflowPunct w:val="0"/>
              <w:jc w:val="center"/>
              <w:rPr>
                <w:noProof/>
                <w:sz w:val="20"/>
                <w:szCs w:val="20"/>
              </w:rPr>
            </w:pPr>
            <w:r w:rsidRPr="007127B1">
              <w:rPr>
                <w:sz w:val="20"/>
                <w:szCs w:val="20"/>
              </w:rPr>
              <w:t>Augkopība – 0–50 kg/ha</w:t>
            </w:r>
          </w:p>
          <w:p w14:paraId="333E8FEA" w14:textId="77777777" w:rsidR="008E3F72" w:rsidRPr="007127B1" w:rsidRDefault="008E3F72" w:rsidP="0010018A">
            <w:pPr>
              <w:pStyle w:val="TableParagraph"/>
              <w:widowControl/>
              <w:kinsoku w:val="0"/>
              <w:overflowPunct w:val="0"/>
              <w:jc w:val="center"/>
              <w:rPr>
                <w:b/>
                <w:bCs/>
                <w:noProof/>
                <w:sz w:val="20"/>
                <w:szCs w:val="20"/>
              </w:rPr>
            </w:pPr>
          </w:p>
          <w:p w14:paraId="0223D7EE" w14:textId="77777777" w:rsidR="008E3F72" w:rsidRPr="007127B1" w:rsidRDefault="008E3F72" w:rsidP="0010018A">
            <w:pPr>
              <w:pStyle w:val="TableParagraph"/>
              <w:widowControl/>
              <w:kinsoku w:val="0"/>
              <w:overflowPunct w:val="0"/>
              <w:jc w:val="center"/>
              <w:rPr>
                <w:noProof/>
                <w:sz w:val="20"/>
                <w:szCs w:val="20"/>
              </w:rPr>
            </w:pPr>
            <w:r w:rsidRPr="007127B1">
              <w:rPr>
                <w:sz w:val="20"/>
                <w:szCs w:val="20"/>
              </w:rPr>
              <w:t>Jaukta specializācija – 0–200 kg/ha</w:t>
            </w:r>
          </w:p>
          <w:p w14:paraId="341F89B9" w14:textId="77777777" w:rsidR="008E3F72" w:rsidRPr="007127B1" w:rsidRDefault="008E3F72" w:rsidP="0010018A">
            <w:pPr>
              <w:pStyle w:val="TableParagraph"/>
              <w:widowControl/>
              <w:kinsoku w:val="0"/>
              <w:overflowPunct w:val="0"/>
              <w:jc w:val="center"/>
              <w:rPr>
                <w:b/>
                <w:bCs/>
                <w:noProof/>
                <w:sz w:val="20"/>
                <w:szCs w:val="20"/>
              </w:rPr>
            </w:pPr>
          </w:p>
          <w:p w14:paraId="38F343E5" w14:textId="77777777" w:rsidR="008E3F72" w:rsidRPr="007127B1" w:rsidRDefault="008E3F72" w:rsidP="0010018A">
            <w:pPr>
              <w:pStyle w:val="TableParagraph"/>
              <w:widowControl/>
              <w:kinsoku w:val="0"/>
              <w:overflowPunct w:val="0"/>
              <w:jc w:val="center"/>
              <w:rPr>
                <w:noProof/>
                <w:sz w:val="20"/>
                <w:szCs w:val="20"/>
              </w:rPr>
            </w:pPr>
            <w:r w:rsidRPr="007127B1">
              <w:rPr>
                <w:sz w:val="20"/>
                <w:szCs w:val="20"/>
              </w:rPr>
              <w:lastRenderedPageBreak/>
              <w:t>Lauksaimniecības dzīvnieku audzēšana – 0–1000 kg/ha</w:t>
            </w:r>
          </w:p>
        </w:tc>
      </w:tr>
      <w:tr w:rsidR="008E3F72" w:rsidRPr="007127B1" w14:paraId="63C838EE" w14:textId="77777777" w:rsidTr="0010018A">
        <w:tc>
          <w:tcPr>
            <w:tcW w:w="1069" w:type="pct"/>
            <w:tcBorders>
              <w:top w:val="nil"/>
              <w:left w:val="nil"/>
              <w:bottom w:val="single" w:sz="12" w:space="0" w:color="000000"/>
              <w:right w:val="nil"/>
            </w:tcBorders>
          </w:tcPr>
          <w:p w14:paraId="454EBE01" w14:textId="77777777" w:rsidR="008E3F72" w:rsidRPr="007127B1" w:rsidRDefault="008E3F72" w:rsidP="0010018A">
            <w:pPr>
              <w:pStyle w:val="TableParagraph"/>
              <w:widowControl/>
              <w:kinsoku w:val="0"/>
              <w:overflowPunct w:val="0"/>
              <w:jc w:val="center"/>
              <w:rPr>
                <w:b/>
                <w:bCs/>
                <w:noProof/>
                <w:sz w:val="20"/>
                <w:szCs w:val="20"/>
              </w:rPr>
            </w:pPr>
          </w:p>
          <w:p w14:paraId="78DC09B9" w14:textId="77777777" w:rsidR="008E3F72" w:rsidRPr="007127B1" w:rsidRDefault="008E3F72" w:rsidP="0010018A">
            <w:pPr>
              <w:pStyle w:val="TableParagraph"/>
              <w:widowControl/>
              <w:kinsoku w:val="0"/>
              <w:overflowPunct w:val="0"/>
              <w:jc w:val="center"/>
              <w:rPr>
                <w:noProof/>
                <w:sz w:val="20"/>
                <w:szCs w:val="20"/>
              </w:rPr>
            </w:pPr>
            <w:r w:rsidRPr="007127B1">
              <w:rPr>
                <w:b/>
                <w:sz w:val="20"/>
                <w:szCs w:val="20"/>
              </w:rPr>
              <w:t>NIE</w:t>
            </w:r>
            <w:r w:rsidRPr="007127B1">
              <w:rPr>
                <w:b/>
                <w:noProof/>
                <w:sz w:val="20"/>
                <w:szCs w:val="20"/>
              </w:rPr>
              <w:t xml:space="preserve"> </w:t>
            </w:r>
            <w:r w:rsidRPr="007127B1">
              <w:rPr>
                <w:sz w:val="20"/>
                <w:szCs w:val="20"/>
              </w:rPr>
              <w:t>= N izmantošanas efektivitāte, t. i., izejošais N daudzums lietderīgos produktos, kas dalīts ar summāro ienākošo N daudzumu</w:t>
            </w:r>
          </w:p>
        </w:tc>
        <w:tc>
          <w:tcPr>
            <w:tcW w:w="715" w:type="pct"/>
            <w:tcBorders>
              <w:top w:val="nil"/>
              <w:left w:val="nil"/>
              <w:bottom w:val="single" w:sz="12" w:space="0" w:color="000000"/>
              <w:right w:val="nil"/>
            </w:tcBorders>
          </w:tcPr>
          <w:p w14:paraId="2C6DE47C" w14:textId="77777777" w:rsidR="008E3F72" w:rsidRPr="007127B1" w:rsidRDefault="008E3F72" w:rsidP="0010018A">
            <w:pPr>
              <w:pStyle w:val="TableParagraph"/>
              <w:widowControl/>
              <w:kinsoku w:val="0"/>
              <w:overflowPunct w:val="0"/>
              <w:jc w:val="center"/>
              <w:rPr>
                <w:b/>
                <w:bCs/>
                <w:noProof/>
                <w:sz w:val="20"/>
                <w:szCs w:val="20"/>
              </w:rPr>
            </w:pPr>
          </w:p>
          <w:p w14:paraId="0EE340A4" w14:textId="77777777" w:rsidR="008E3F72" w:rsidRPr="007127B1" w:rsidRDefault="008E3F72" w:rsidP="0010018A">
            <w:pPr>
              <w:pStyle w:val="TableParagraph"/>
              <w:widowControl/>
              <w:kinsoku w:val="0"/>
              <w:overflowPunct w:val="0"/>
              <w:jc w:val="center"/>
              <w:rPr>
                <w:noProof/>
                <w:sz w:val="20"/>
                <w:szCs w:val="20"/>
              </w:rPr>
            </w:pPr>
            <w:r w:rsidRPr="007127B1">
              <w:rPr>
                <w:sz w:val="20"/>
                <w:szCs w:val="20"/>
              </w:rPr>
              <w:t>NIE =</w:t>
            </w:r>
          </w:p>
          <w:p w14:paraId="3F339404" w14:textId="77777777" w:rsidR="008E3F72" w:rsidRPr="007127B1" w:rsidRDefault="008E3F72" w:rsidP="0010018A">
            <w:pPr>
              <w:pStyle w:val="TableParagraph"/>
              <w:widowControl/>
              <w:kinsoku w:val="0"/>
              <w:overflowPunct w:val="0"/>
              <w:jc w:val="center"/>
              <w:rPr>
                <w:noProof/>
                <w:sz w:val="20"/>
                <w:szCs w:val="20"/>
              </w:rPr>
            </w:pPr>
            <w:r w:rsidRPr="007127B1">
              <w:rPr>
                <w:sz w:val="20"/>
                <w:szCs w:val="20"/>
              </w:rPr>
              <w:t>Σ (izejošais N daudzums) / Σ (ienākošais N daudzums)</w:t>
            </w:r>
          </w:p>
        </w:tc>
        <w:tc>
          <w:tcPr>
            <w:tcW w:w="1949" w:type="pct"/>
            <w:tcBorders>
              <w:top w:val="nil"/>
              <w:left w:val="nil"/>
              <w:bottom w:val="single" w:sz="12" w:space="0" w:color="000000"/>
              <w:right w:val="nil"/>
            </w:tcBorders>
          </w:tcPr>
          <w:p w14:paraId="38C23F63" w14:textId="77777777" w:rsidR="008E3F72" w:rsidRPr="007127B1" w:rsidRDefault="008E3F72" w:rsidP="0010018A">
            <w:pPr>
              <w:pStyle w:val="TableParagraph"/>
              <w:widowControl/>
              <w:kinsoku w:val="0"/>
              <w:overflowPunct w:val="0"/>
              <w:jc w:val="center"/>
              <w:rPr>
                <w:b/>
                <w:bCs/>
                <w:noProof/>
                <w:sz w:val="20"/>
                <w:szCs w:val="20"/>
              </w:rPr>
            </w:pPr>
          </w:p>
          <w:p w14:paraId="0F067BF4" w14:textId="19B0D8ED" w:rsidR="008E3F72" w:rsidRPr="007127B1" w:rsidRDefault="008E3F72" w:rsidP="0010018A">
            <w:pPr>
              <w:pStyle w:val="TableParagraph"/>
              <w:widowControl/>
              <w:kinsoku w:val="0"/>
              <w:overflowPunct w:val="0"/>
              <w:jc w:val="center"/>
              <w:rPr>
                <w:noProof/>
                <w:sz w:val="20"/>
                <w:szCs w:val="20"/>
              </w:rPr>
            </w:pPr>
            <w:r w:rsidRPr="007127B1">
              <w:rPr>
                <w:sz w:val="20"/>
                <w:szCs w:val="20"/>
              </w:rPr>
              <w:t xml:space="preserve">NIE ir atkarīga no saimniekošanas sistēmas veida, kultūraugiem un dzīvniekiem un N daudzuma, kas pieejams no vietējiem avotiem, N daudzuma, ko nodrošina no ārējiem avotiem (ar mēslošanas līdzekļiem </w:t>
            </w:r>
            <w:r w:rsidR="008222B2">
              <w:rPr>
                <w:sz w:val="20"/>
                <w:szCs w:val="20"/>
              </w:rPr>
              <w:t>un dzīvnieku barību), un apsaimniekošanas</w:t>
            </w:r>
            <w:r w:rsidRPr="007127B1">
              <w:rPr>
                <w:sz w:val="20"/>
                <w:szCs w:val="20"/>
              </w:rPr>
              <w:t xml:space="preserve"> un vides faktoriem.</w:t>
            </w:r>
          </w:p>
          <w:p w14:paraId="06CE01F5" w14:textId="77777777" w:rsidR="008E3F72" w:rsidRPr="007127B1" w:rsidRDefault="008E3F72" w:rsidP="0010018A">
            <w:pPr>
              <w:pStyle w:val="TableParagraph"/>
              <w:widowControl/>
              <w:kinsoku w:val="0"/>
              <w:overflowPunct w:val="0"/>
              <w:jc w:val="center"/>
              <w:rPr>
                <w:b/>
                <w:bCs/>
                <w:noProof/>
                <w:sz w:val="20"/>
                <w:szCs w:val="20"/>
              </w:rPr>
            </w:pPr>
          </w:p>
          <w:p w14:paraId="282DBDF7" w14:textId="77777777" w:rsidR="008E3F72" w:rsidRPr="007127B1" w:rsidRDefault="008E3F72" w:rsidP="0010018A">
            <w:pPr>
              <w:pStyle w:val="TableParagraph"/>
              <w:widowControl/>
              <w:kinsoku w:val="0"/>
              <w:overflowPunct w:val="0"/>
              <w:jc w:val="center"/>
              <w:rPr>
                <w:noProof/>
                <w:sz w:val="20"/>
                <w:szCs w:val="20"/>
              </w:rPr>
            </w:pPr>
            <w:r w:rsidRPr="007127B1">
              <w:rPr>
                <w:sz w:val="20"/>
                <w:szCs w:val="20"/>
              </w:rPr>
              <w:t>Specializētās (bezzemes) dzīvnieku audzēšanas sistēmās var būt izejošais N daudzums kūtsmēslu pārstrādes un izvešanas rezultātā.</w:t>
            </w:r>
          </w:p>
        </w:tc>
        <w:tc>
          <w:tcPr>
            <w:tcW w:w="1268" w:type="pct"/>
            <w:tcBorders>
              <w:top w:val="nil"/>
              <w:left w:val="nil"/>
              <w:bottom w:val="single" w:sz="12" w:space="0" w:color="000000"/>
              <w:right w:val="nil"/>
            </w:tcBorders>
          </w:tcPr>
          <w:p w14:paraId="7DDD7BC7" w14:textId="77777777" w:rsidR="008E3F72" w:rsidRPr="007127B1" w:rsidRDefault="008E3F72" w:rsidP="0010018A">
            <w:pPr>
              <w:pStyle w:val="TableParagraph"/>
              <w:widowControl/>
              <w:kinsoku w:val="0"/>
              <w:overflowPunct w:val="0"/>
              <w:jc w:val="center"/>
              <w:rPr>
                <w:b/>
                <w:bCs/>
                <w:noProof/>
                <w:sz w:val="20"/>
                <w:szCs w:val="20"/>
              </w:rPr>
            </w:pPr>
          </w:p>
          <w:p w14:paraId="34E27356" w14:textId="77777777" w:rsidR="008E3F72" w:rsidRPr="007127B1" w:rsidRDefault="008E3F72" w:rsidP="0010018A">
            <w:pPr>
              <w:pStyle w:val="TableParagraph"/>
              <w:widowControl/>
              <w:kinsoku w:val="0"/>
              <w:overflowPunct w:val="0"/>
              <w:jc w:val="center"/>
              <w:rPr>
                <w:noProof/>
                <w:sz w:val="20"/>
                <w:szCs w:val="20"/>
              </w:rPr>
            </w:pPr>
            <w:r w:rsidRPr="007127B1">
              <w:rPr>
                <w:sz w:val="20"/>
                <w:szCs w:val="20"/>
              </w:rPr>
              <w:t>Atkarībā no saimniekošanas sistēmas, kultūraugiem un dzīvniekiem.</w:t>
            </w:r>
          </w:p>
          <w:p w14:paraId="6E6F6F66" w14:textId="77777777" w:rsidR="008E3F72" w:rsidRPr="007127B1" w:rsidRDefault="008E3F72" w:rsidP="0010018A">
            <w:pPr>
              <w:pStyle w:val="TableParagraph"/>
              <w:widowControl/>
              <w:kinsoku w:val="0"/>
              <w:overflowPunct w:val="0"/>
              <w:jc w:val="center"/>
              <w:rPr>
                <w:b/>
                <w:bCs/>
                <w:noProof/>
                <w:sz w:val="20"/>
                <w:szCs w:val="20"/>
              </w:rPr>
            </w:pPr>
          </w:p>
          <w:p w14:paraId="44118EFF" w14:textId="77777777" w:rsidR="008E3F72" w:rsidRPr="007127B1" w:rsidRDefault="008E3F72" w:rsidP="0010018A">
            <w:pPr>
              <w:pStyle w:val="TableParagraph"/>
              <w:widowControl/>
              <w:kinsoku w:val="0"/>
              <w:overflowPunct w:val="0"/>
              <w:jc w:val="center"/>
              <w:rPr>
                <w:noProof/>
                <w:sz w:val="20"/>
                <w:szCs w:val="20"/>
              </w:rPr>
            </w:pPr>
            <w:r w:rsidRPr="007127B1">
              <w:rPr>
                <w:sz w:val="20"/>
                <w:szCs w:val="20"/>
              </w:rPr>
              <w:t>Augkopība – 0,6–1,0</w:t>
            </w:r>
          </w:p>
          <w:p w14:paraId="70A798B0" w14:textId="77777777" w:rsidR="008E3F72" w:rsidRPr="007127B1" w:rsidRDefault="008E3F72" w:rsidP="0010018A">
            <w:pPr>
              <w:pStyle w:val="TableParagraph"/>
              <w:widowControl/>
              <w:kinsoku w:val="0"/>
              <w:overflowPunct w:val="0"/>
              <w:jc w:val="center"/>
              <w:rPr>
                <w:b/>
                <w:bCs/>
                <w:noProof/>
                <w:sz w:val="20"/>
                <w:szCs w:val="20"/>
              </w:rPr>
            </w:pPr>
          </w:p>
          <w:p w14:paraId="68997FC9" w14:textId="77777777" w:rsidR="008E3F72" w:rsidRPr="007127B1" w:rsidRDefault="008E3F72" w:rsidP="0010018A">
            <w:pPr>
              <w:pStyle w:val="TableParagraph"/>
              <w:widowControl/>
              <w:kinsoku w:val="0"/>
              <w:overflowPunct w:val="0"/>
              <w:jc w:val="center"/>
              <w:rPr>
                <w:noProof/>
                <w:sz w:val="20"/>
                <w:szCs w:val="20"/>
              </w:rPr>
            </w:pPr>
            <w:r w:rsidRPr="007127B1">
              <w:rPr>
                <w:sz w:val="20"/>
                <w:szCs w:val="20"/>
              </w:rPr>
              <w:t>Jaukta specializācija – 0,5–0,6</w:t>
            </w:r>
            <w:r w:rsidRPr="007127B1">
              <w:rPr>
                <w:i/>
                <w:sz w:val="20"/>
                <w:szCs w:val="20"/>
              </w:rPr>
              <w:t>a</w:t>
            </w:r>
            <w:r w:rsidRPr="007127B1">
              <w:rPr>
                <w:sz w:val="20"/>
                <w:szCs w:val="20"/>
              </w:rPr>
              <w:t xml:space="preserve"> Lauksaimniecības dzīvnieku audzēšana – 0,8–0,95</w:t>
            </w:r>
            <w:r w:rsidRPr="007127B1">
              <w:rPr>
                <w:i/>
                <w:sz w:val="20"/>
                <w:szCs w:val="20"/>
              </w:rPr>
              <w:t>b</w:t>
            </w:r>
          </w:p>
        </w:tc>
      </w:tr>
    </w:tbl>
    <w:p w14:paraId="133CE66B" w14:textId="77777777" w:rsidR="008E3F72" w:rsidRPr="00F35F4D" w:rsidRDefault="008E3F72" w:rsidP="008E3F72">
      <w:pPr>
        <w:pStyle w:val="BodyText"/>
        <w:widowControl/>
        <w:kinsoku w:val="0"/>
        <w:overflowPunct w:val="0"/>
        <w:spacing w:before="0"/>
        <w:ind w:left="0"/>
        <w:jc w:val="both"/>
        <w:rPr>
          <w:i/>
          <w:iCs/>
          <w:noProof/>
          <w:sz w:val="24"/>
          <w:szCs w:val="24"/>
        </w:rPr>
      </w:pPr>
    </w:p>
    <w:p w14:paraId="22605630"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vertAlign w:val="superscript"/>
        </w:rPr>
        <w:t>a</w:t>
      </w:r>
      <w:r w:rsidRPr="00F35F4D">
        <w:t xml:space="preserve"> Kūtsmēsli netiek izvesti.</w:t>
      </w:r>
    </w:p>
    <w:p w14:paraId="64D73592"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vertAlign w:val="superscript"/>
        </w:rPr>
        <w:t>b</w:t>
      </w:r>
      <w:r w:rsidRPr="00F35F4D">
        <w:t xml:space="preserve"> Bezzemes saimniecības, visi kūtsmēsli tiek izvesti no saimniecības.</w:t>
      </w:r>
    </w:p>
    <w:p w14:paraId="2F2EFC7B" w14:textId="77777777" w:rsidR="008E3F72" w:rsidRPr="00F35F4D" w:rsidRDefault="008E3F72" w:rsidP="008E3F72">
      <w:pPr>
        <w:pStyle w:val="BodyText"/>
        <w:widowControl/>
        <w:kinsoku w:val="0"/>
        <w:overflowPunct w:val="0"/>
        <w:spacing w:before="0"/>
        <w:ind w:left="0"/>
        <w:jc w:val="both"/>
        <w:rPr>
          <w:noProof/>
          <w:sz w:val="24"/>
          <w:szCs w:val="24"/>
        </w:rPr>
      </w:pPr>
    </w:p>
    <w:p w14:paraId="3898B760" w14:textId="1B0D8664"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 xml:space="preserve"> Kūtsmēslos/mēslošanas līdzekļos esošā N efektivitātes izvērtēšanai (NIE-kūtsmēsli/citi mēslošanas līdzekļi) ir lietderīgi nošķirt dažādus ienākošā N daudzuma avotus. „Mēslošanas līdzekļa N ekvivalences vērtība” norāda, cik labi tiek izmantots</w:t>
      </w:r>
      <w:r w:rsidR="008222B2">
        <w:rPr>
          <w:noProof/>
          <w:sz w:val="24"/>
        </w:rPr>
        <w:t xml:space="preserve"> kūtsmēslos, kompostā un augu atliekās</w:t>
      </w:r>
      <w:r w:rsidRPr="00F35F4D">
        <w:rPr>
          <w:noProof/>
          <w:sz w:val="24"/>
        </w:rPr>
        <w:t xml:space="preserve"> esošais N salīdzinājumā ar atsauces mēslošanas līdzekli (parasti mēslošanas līdzekļi, kam pamatā ir NH4NO3), ko pieņem par 100 %. Augsta vērtība norāda uz augstu NIE. Mēslošanas līdzekļa N ekvivalences vērtība ir atkarīga no kūtsmēslu veida (cietie, pusšķidrie vai šķidrie mēsli) un izcelsmes (liellopu, cūku, mājputnu mēsli) un laikposma (ietekme mēslošanas gadā vai ilgā laika posmā). Tā ir atkarīga arī no kultūraugu veida un vides apstākļiem (augsnes veida, temperatūras, nokrišņiem). Ļoti būtisks faktors, kas nosaka augstu mēslošanas līdzekļa N</w:t>
      </w:r>
      <w:r w:rsidR="008222B2">
        <w:rPr>
          <w:noProof/>
          <w:sz w:val="24"/>
        </w:rPr>
        <w:t xml:space="preserve"> ekvivalences vērtību, ir apsaimniekošana</w:t>
      </w:r>
      <w:r w:rsidRPr="00F35F4D">
        <w:rPr>
          <w:noProof/>
          <w:sz w:val="24"/>
        </w:rPr>
        <w:t xml:space="preserve">, t. i., mēslošanas laiks un paņēmiens. Liellopu, cūku un mājputnu kūtsmēslu, pusšķidro mēslu un šķidro </w:t>
      </w:r>
      <w:r w:rsidR="008222B2">
        <w:rPr>
          <w:noProof/>
          <w:sz w:val="24"/>
        </w:rPr>
        <w:t>kūts</w:t>
      </w:r>
      <w:r w:rsidRPr="00F35F4D">
        <w:rPr>
          <w:noProof/>
          <w:sz w:val="24"/>
        </w:rPr>
        <w:t>mēslu mēslošanas līdzekļa N ekvivalences vērtību diapazoni, kas konstatēti literatūrā, ir norādīti AI.3. tabulā. Organiskā N avotos parasti ir ievērojama daļa organiski saistītā slāpekļa, kas kļūst pieejams augošajiem kultūraugiem pēc mineralizācijas. Tāpēc nošķir īstermiņa (t. i., augšanas sezonā tūlīt pēc organiskā N avota lietošanas) un ilgtermiņa mēslošanas līdzekļa N ekvivalences vērtību; turklāt pēdējā no minētajām vērtībām ir augstāka nekā pirmā. Dažos organiskā N avotos ir tikai minerālais N un organiskais N, kas ātri mineralizējas, un rezultātā starp īstermiņa un ilgtermiņa vērtību nav būtiskas atšķirības.</w:t>
      </w:r>
    </w:p>
    <w:p w14:paraId="55BFBCA9" w14:textId="77777777" w:rsidR="008E3F72" w:rsidRPr="00F35F4D" w:rsidRDefault="008E3F72" w:rsidP="008E3F72">
      <w:pPr>
        <w:pStyle w:val="BodyText"/>
        <w:widowControl/>
        <w:kinsoku w:val="0"/>
        <w:overflowPunct w:val="0"/>
        <w:spacing w:before="0"/>
        <w:ind w:left="0"/>
        <w:jc w:val="both"/>
        <w:rPr>
          <w:noProof/>
          <w:sz w:val="24"/>
          <w:szCs w:val="24"/>
        </w:rPr>
      </w:pPr>
    </w:p>
    <w:p w14:paraId="37B5709E"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AI.3 tabula</w:t>
      </w:r>
    </w:p>
    <w:p w14:paraId="46AE3357"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Mēslošanai izmantoto kūtsmēslu un augu atlieku īstermiņa un ilgtermiņa mēslošanas līdzekļa N ekvivalences vērtību (MLNEV) diapazoni, kas izteikti procentos, par atsauces mēslošanas līdzekli uzskatot amonija nitrātu</w:t>
      </w:r>
    </w:p>
    <w:p w14:paraId="23F4778F"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4595"/>
        <w:gridCol w:w="1382"/>
        <w:gridCol w:w="2249"/>
      </w:tblGrid>
      <w:tr w:rsidR="008E3F72" w:rsidRPr="007127B1" w14:paraId="0A82AD40" w14:textId="77777777" w:rsidTr="0010018A">
        <w:tc>
          <w:tcPr>
            <w:tcW w:w="5000" w:type="pct"/>
            <w:gridSpan w:val="3"/>
            <w:tcBorders>
              <w:top w:val="single" w:sz="4" w:space="0" w:color="000000"/>
              <w:left w:val="nil"/>
              <w:bottom w:val="nil"/>
              <w:right w:val="nil"/>
            </w:tcBorders>
          </w:tcPr>
          <w:p w14:paraId="749B7273" w14:textId="77777777" w:rsidR="008E3F72" w:rsidRPr="007127B1" w:rsidRDefault="008E3F72" w:rsidP="0010018A">
            <w:pPr>
              <w:pStyle w:val="TableParagraph"/>
              <w:widowControl/>
              <w:kinsoku w:val="0"/>
              <w:overflowPunct w:val="0"/>
              <w:jc w:val="both"/>
              <w:rPr>
                <w:i/>
                <w:iCs/>
                <w:noProof/>
                <w:sz w:val="20"/>
                <w:szCs w:val="20"/>
              </w:rPr>
            </w:pPr>
            <w:r w:rsidRPr="007127B1">
              <w:rPr>
                <w:i/>
                <w:noProof/>
                <w:sz w:val="20"/>
                <w:szCs w:val="20"/>
              </w:rPr>
              <w:lastRenderedPageBreak/>
              <w:t>Mēslošanas līdzekļa N ekvivalences vērtība (%)</w:t>
            </w:r>
          </w:p>
        </w:tc>
      </w:tr>
      <w:tr w:rsidR="008E3F72" w:rsidRPr="007127B1" w14:paraId="0D976869" w14:textId="77777777" w:rsidTr="0010018A">
        <w:tc>
          <w:tcPr>
            <w:tcW w:w="2793" w:type="pct"/>
            <w:tcBorders>
              <w:top w:val="nil"/>
              <w:left w:val="nil"/>
              <w:bottom w:val="single" w:sz="12" w:space="0" w:color="000000"/>
              <w:right w:val="nil"/>
            </w:tcBorders>
          </w:tcPr>
          <w:p w14:paraId="523D334F" w14:textId="77777777" w:rsidR="008E3F72" w:rsidRPr="007127B1" w:rsidRDefault="008E3F72" w:rsidP="0010018A">
            <w:pPr>
              <w:pStyle w:val="TableParagraph"/>
              <w:widowControl/>
              <w:kinsoku w:val="0"/>
              <w:overflowPunct w:val="0"/>
              <w:jc w:val="both"/>
              <w:rPr>
                <w:i/>
                <w:iCs/>
                <w:noProof/>
                <w:sz w:val="20"/>
                <w:szCs w:val="20"/>
              </w:rPr>
            </w:pPr>
            <w:r w:rsidRPr="007127B1">
              <w:rPr>
                <w:i/>
                <w:noProof/>
                <w:sz w:val="20"/>
                <w:szCs w:val="20"/>
              </w:rPr>
              <w:t>Slāpekļa avoti</w:t>
            </w:r>
          </w:p>
        </w:tc>
        <w:tc>
          <w:tcPr>
            <w:tcW w:w="840" w:type="pct"/>
            <w:tcBorders>
              <w:top w:val="single" w:sz="4" w:space="0" w:color="000000"/>
              <w:left w:val="nil"/>
              <w:bottom w:val="single" w:sz="12" w:space="0" w:color="000000"/>
              <w:right w:val="nil"/>
            </w:tcBorders>
          </w:tcPr>
          <w:p w14:paraId="10E64D58" w14:textId="77777777" w:rsidR="008E3F72" w:rsidRPr="007127B1" w:rsidRDefault="008E3F72" w:rsidP="0010018A">
            <w:pPr>
              <w:pStyle w:val="TableParagraph"/>
              <w:widowControl/>
              <w:kinsoku w:val="0"/>
              <w:overflowPunct w:val="0"/>
              <w:jc w:val="both"/>
              <w:rPr>
                <w:i/>
                <w:iCs/>
                <w:noProof/>
                <w:sz w:val="20"/>
                <w:szCs w:val="20"/>
              </w:rPr>
            </w:pPr>
            <w:r w:rsidRPr="007127B1">
              <w:rPr>
                <w:i/>
                <w:noProof/>
                <w:sz w:val="20"/>
                <w:szCs w:val="20"/>
              </w:rPr>
              <w:t>Īstermiņa vērtība</w:t>
            </w:r>
          </w:p>
        </w:tc>
        <w:tc>
          <w:tcPr>
            <w:tcW w:w="1367" w:type="pct"/>
            <w:tcBorders>
              <w:top w:val="single" w:sz="4" w:space="0" w:color="000000"/>
              <w:left w:val="nil"/>
              <w:bottom w:val="single" w:sz="12" w:space="0" w:color="000000"/>
              <w:right w:val="nil"/>
            </w:tcBorders>
          </w:tcPr>
          <w:p w14:paraId="6E31F52B" w14:textId="77777777" w:rsidR="008E3F72" w:rsidRPr="007127B1" w:rsidRDefault="008E3F72" w:rsidP="0010018A">
            <w:pPr>
              <w:pStyle w:val="TableParagraph"/>
              <w:widowControl/>
              <w:kinsoku w:val="0"/>
              <w:overflowPunct w:val="0"/>
              <w:jc w:val="both"/>
              <w:rPr>
                <w:i/>
                <w:iCs/>
                <w:noProof/>
                <w:sz w:val="20"/>
                <w:szCs w:val="20"/>
              </w:rPr>
            </w:pPr>
            <w:r w:rsidRPr="007127B1">
              <w:rPr>
                <w:i/>
                <w:noProof/>
                <w:sz w:val="20"/>
                <w:szCs w:val="20"/>
              </w:rPr>
              <w:t>Ilgtermiņa vērtība</w:t>
            </w:r>
          </w:p>
        </w:tc>
      </w:tr>
      <w:tr w:rsidR="008E3F72" w:rsidRPr="007127B1" w14:paraId="1AB701AC" w14:textId="77777777" w:rsidTr="0010018A">
        <w:tc>
          <w:tcPr>
            <w:tcW w:w="2793" w:type="pct"/>
            <w:tcBorders>
              <w:top w:val="single" w:sz="12" w:space="0" w:color="000000"/>
              <w:left w:val="nil"/>
              <w:bottom w:val="nil"/>
              <w:right w:val="nil"/>
            </w:tcBorders>
          </w:tcPr>
          <w:p w14:paraId="048D4C4E" w14:textId="477ACE92" w:rsidR="008E3F72" w:rsidRPr="007127B1" w:rsidRDefault="008E3F72" w:rsidP="0010018A">
            <w:pPr>
              <w:pStyle w:val="TableParagraph"/>
              <w:widowControl/>
              <w:kinsoku w:val="0"/>
              <w:overflowPunct w:val="0"/>
              <w:jc w:val="both"/>
              <w:rPr>
                <w:noProof/>
                <w:sz w:val="20"/>
                <w:szCs w:val="20"/>
              </w:rPr>
            </w:pPr>
            <w:r w:rsidRPr="007127B1">
              <w:rPr>
                <w:sz w:val="20"/>
                <w:szCs w:val="20"/>
              </w:rPr>
              <w:t xml:space="preserve">Atdalīti liellopu un cūku šķidrie </w:t>
            </w:r>
            <w:r w:rsidR="008222B2">
              <w:rPr>
                <w:sz w:val="20"/>
                <w:szCs w:val="20"/>
              </w:rPr>
              <w:t>kūts</w:t>
            </w:r>
            <w:r w:rsidRPr="007127B1">
              <w:rPr>
                <w:sz w:val="20"/>
                <w:szCs w:val="20"/>
              </w:rPr>
              <w:t>mēsli</w:t>
            </w:r>
          </w:p>
        </w:tc>
        <w:tc>
          <w:tcPr>
            <w:tcW w:w="840" w:type="pct"/>
            <w:tcBorders>
              <w:top w:val="single" w:sz="12" w:space="0" w:color="000000"/>
              <w:left w:val="nil"/>
              <w:bottom w:val="nil"/>
              <w:right w:val="nil"/>
            </w:tcBorders>
          </w:tcPr>
          <w:p w14:paraId="3BB4FCBD"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70–100</w:t>
            </w:r>
          </w:p>
        </w:tc>
        <w:tc>
          <w:tcPr>
            <w:tcW w:w="1367" w:type="pct"/>
            <w:tcBorders>
              <w:top w:val="single" w:sz="12" w:space="0" w:color="000000"/>
              <w:left w:val="nil"/>
              <w:bottom w:val="nil"/>
              <w:right w:val="nil"/>
            </w:tcBorders>
          </w:tcPr>
          <w:p w14:paraId="2950C58A"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70–100</w:t>
            </w:r>
          </w:p>
        </w:tc>
      </w:tr>
      <w:tr w:rsidR="008E3F72" w:rsidRPr="007127B1" w14:paraId="011BFCF9" w14:textId="77777777" w:rsidTr="0010018A">
        <w:tc>
          <w:tcPr>
            <w:tcW w:w="2793" w:type="pct"/>
            <w:tcBorders>
              <w:top w:val="nil"/>
              <w:left w:val="nil"/>
              <w:bottom w:val="nil"/>
              <w:right w:val="nil"/>
            </w:tcBorders>
          </w:tcPr>
          <w:p w14:paraId="79C7E259"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Hidrolizēti liellopu un cūku pusšķidrie mēsli</w:t>
            </w:r>
          </w:p>
        </w:tc>
        <w:tc>
          <w:tcPr>
            <w:tcW w:w="840" w:type="pct"/>
            <w:tcBorders>
              <w:top w:val="nil"/>
              <w:left w:val="nil"/>
              <w:bottom w:val="nil"/>
              <w:right w:val="nil"/>
            </w:tcBorders>
          </w:tcPr>
          <w:p w14:paraId="04435963"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40–60</w:t>
            </w:r>
          </w:p>
        </w:tc>
        <w:tc>
          <w:tcPr>
            <w:tcW w:w="1367" w:type="pct"/>
            <w:tcBorders>
              <w:top w:val="nil"/>
              <w:left w:val="nil"/>
              <w:bottom w:val="nil"/>
              <w:right w:val="nil"/>
            </w:tcBorders>
          </w:tcPr>
          <w:p w14:paraId="26C8D18E"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50–80</w:t>
            </w:r>
          </w:p>
        </w:tc>
      </w:tr>
      <w:tr w:rsidR="008E3F72" w:rsidRPr="007127B1" w14:paraId="077F27FA" w14:textId="77777777" w:rsidTr="0010018A">
        <w:tc>
          <w:tcPr>
            <w:tcW w:w="2793" w:type="pct"/>
            <w:tcBorders>
              <w:top w:val="nil"/>
              <w:left w:val="nil"/>
              <w:bottom w:val="nil"/>
              <w:right w:val="nil"/>
            </w:tcBorders>
          </w:tcPr>
          <w:p w14:paraId="29C47B67"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Liellopu pusšķidrie mēsli</w:t>
            </w:r>
          </w:p>
        </w:tc>
        <w:tc>
          <w:tcPr>
            <w:tcW w:w="840" w:type="pct"/>
            <w:tcBorders>
              <w:top w:val="nil"/>
              <w:left w:val="nil"/>
              <w:bottom w:val="nil"/>
              <w:right w:val="nil"/>
            </w:tcBorders>
          </w:tcPr>
          <w:p w14:paraId="71BEF8EE"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30–50</w:t>
            </w:r>
          </w:p>
        </w:tc>
        <w:tc>
          <w:tcPr>
            <w:tcW w:w="1367" w:type="pct"/>
            <w:tcBorders>
              <w:top w:val="nil"/>
              <w:left w:val="nil"/>
              <w:bottom w:val="nil"/>
              <w:right w:val="nil"/>
            </w:tcBorders>
          </w:tcPr>
          <w:p w14:paraId="4660B7FC"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50–80</w:t>
            </w:r>
          </w:p>
        </w:tc>
      </w:tr>
      <w:tr w:rsidR="008E3F72" w:rsidRPr="007127B1" w14:paraId="4A760946" w14:textId="77777777" w:rsidTr="0010018A">
        <w:tc>
          <w:tcPr>
            <w:tcW w:w="2793" w:type="pct"/>
            <w:tcBorders>
              <w:top w:val="nil"/>
              <w:left w:val="nil"/>
              <w:bottom w:val="nil"/>
              <w:right w:val="nil"/>
            </w:tcBorders>
          </w:tcPr>
          <w:p w14:paraId="342D44BD"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Cūku pusšķidrie mēsli</w:t>
            </w:r>
          </w:p>
        </w:tc>
        <w:tc>
          <w:tcPr>
            <w:tcW w:w="840" w:type="pct"/>
            <w:tcBorders>
              <w:top w:val="nil"/>
              <w:left w:val="nil"/>
              <w:bottom w:val="nil"/>
              <w:right w:val="nil"/>
            </w:tcBorders>
          </w:tcPr>
          <w:p w14:paraId="47B2D2DD"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30–65</w:t>
            </w:r>
          </w:p>
        </w:tc>
        <w:tc>
          <w:tcPr>
            <w:tcW w:w="1367" w:type="pct"/>
            <w:tcBorders>
              <w:top w:val="nil"/>
              <w:left w:val="nil"/>
              <w:bottom w:val="nil"/>
              <w:right w:val="nil"/>
            </w:tcBorders>
          </w:tcPr>
          <w:p w14:paraId="325037B6"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50–80</w:t>
            </w:r>
          </w:p>
        </w:tc>
      </w:tr>
      <w:tr w:rsidR="008E3F72" w:rsidRPr="007127B1" w14:paraId="247258A3" w14:textId="77777777" w:rsidTr="0010018A">
        <w:tc>
          <w:tcPr>
            <w:tcW w:w="2793" w:type="pct"/>
            <w:tcBorders>
              <w:top w:val="nil"/>
              <w:left w:val="nil"/>
              <w:bottom w:val="nil"/>
              <w:right w:val="nil"/>
            </w:tcBorders>
          </w:tcPr>
          <w:p w14:paraId="2D4E9933"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Mājputnu pusšķidrie mēsli</w:t>
            </w:r>
          </w:p>
        </w:tc>
        <w:tc>
          <w:tcPr>
            <w:tcW w:w="840" w:type="pct"/>
            <w:tcBorders>
              <w:top w:val="nil"/>
              <w:left w:val="nil"/>
              <w:bottom w:val="nil"/>
              <w:right w:val="nil"/>
            </w:tcBorders>
          </w:tcPr>
          <w:p w14:paraId="3B57FA0B"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30–65</w:t>
            </w:r>
          </w:p>
        </w:tc>
        <w:tc>
          <w:tcPr>
            <w:tcW w:w="1367" w:type="pct"/>
            <w:tcBorders>
              <w:top w:val="nil"/>
              <w:left w:val="nil"/>
              <w:bottom w:val="nil"/>
              <w:right w:val="nil"/>
            </w:tcBorders>
          </w:tcPr>
          <w:p w14:paraId="39203A88"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50–80</w:t>
            </w:r>
          </w:p>
        </w:tc>
      </w:tr>
      <w:tr w:rsidR="008E3F72" w:rsidRPr="007127B1" w14:paraId="7D999837" w14:textId="77777777" w:rsidTr="0010018A">
        <w:tc>
          <w:tcPr>
            <w:tcW w:w="2793" w:type="pct"/>
            <w:tcBorders>
              <w:top w:val="nil"/>
              <w:left w:val="nil"/>
              <w:bottom w:val="nil"/>
              <w:right w:val="nil"/>
            </w:tcBorders>
          </w:tcPr>
          <w:p w14:paraId="51BF27E6" w14:textId="1BCCC3B0" w:rsidR="008E3F72" w:rsidRPr="007127B1" w:rsidRDefault="008E3F72" w:rsidP="0010018A">
            <w:pPr>
              <w:pStyle w:val="TableParagraph"/>
              <w:widowControl/>
              <w:kinsoku w:val="0"/>
              <w:overflowPunct w:val="0"/>
              <w:jc w:val="both"/>
              <w:rPr>
                <w:noProof/>
                <w:sz w:val="20"/>
                <w:szCs w:val="20"/>
              </w:rPr>
            </w:pPr>
            <w:r w:rsidRPr="007127B1">
              <w:rPr>
                <w:sz w:val="20"/>
                <w:szCs w:val="20"/>
              </w:rPr>
              <w:t xml:space="preserve">Cietie liellopu, cūku un mājputnu </w:t>
            </w:r>
            <w:r w:rsidR="008222B2">
              <w:rPr>
                <w:sz w:val="20"/>
                <w:szCs w:val="20"/>
              </w:rPr>
              <w:t>kūts</w:t>
            </w:r>
            <w:r w:rsidRPr="007127B1">
              <w:rPr>
                <w:sz w:val="20"/>
                <w:szCs w:val="20"/>
              </w:rPr>
              <w:t>mēsli</w:t>
            </w:r>
          </w:p>
        </w:tc>
        <w:tc>
          <w:tcPr>
            <w:tcW w:w="840" w:type="pct"/>
            <w:tcBorders>
              <w:top w:val="nil"/>
              <w:left w:val="nil"/>
              <w:bottom w:val="nil"/>
              <w:right w:val="nil"/>
            </w:tcBorders>
          </w:tcPr>
          <w:p w14:paraId="2D6A95B9"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20–40</w:t>
            </w:r>
          </w:p>
        </w:tc>
        <w:tc>
          <w:tcPr>
            <w:tcW w:w="1367" w:type="pct"/>
            <w:tcBorders>
              <w:top w:val="nil"/>
              <w:left w:val="nil"/>
              <w:bottom w:val="nil"/>
              <w:right w:val="nil"/>
            </w:tcBorders>
          </w:tcPr>
          <w:p w14:paraId="6CFE94A6"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40–60</w:t>
            </w:r>
          </w:p>
        </w:tc>
      </w:tr>
      <w:tr w:rsidR="008E3F72" w:rsidRPr="007127B1" w14:paraId="2FBCAC69" w14:textId="77777777" w:rsidTr="0010018A">
        <w:tc>
          <w:tcPr>
            <w:tcW w:w="2793" w:type="pct"/>
            <w:tcBorders>
              <w:top w:val="nil"/>
              <w:left w:val="nil"/>
              <w:bottom w:val="nil"/>
              <w:right w:val="nil"/>
            </w:tcBorders>
          </w:tcPr>
          <w:p w14:paraId="08717630" w14:textId="41867A0F" w:rsidR="008E3F72" w:rsidRPr="007127B1" w:rsidRDefault="008E3F72" w:rsidP="0010018A">
            <w:pPr>
              <w:pStyle w:val="TableParagraph"/>
              <w:widowControl/>
              <w:kinsoku w:val="0"/>
              <w:overflowPunct w:val="0"/>
              <w:jc w:val="both"/>
              <w:rPr>
                <w:noProof/>
                <w:sz w:val="20"/>
                <w:szCs w:val="20"/>
              </w:rPr>
            </w:pPr>
            <w:r w:rsidRPr="007127B1">
              <w:rPr>
                <w:sz w:val="20"/>
                <w:szCs w:val="20"/>
              </w:rPr>
              <w:t xml:space="preserve">Kompostēti liellopu, cūku un mājputnu </w:t>
            </w:r>
            <w:r w:rsidR="008222B2">
              <w:rPr>
                <w:sz w:val="20"/>
                <w:szCs w:val="20"/>
              </w:rPr>
              <w:t>kūts</w:t>
            </w:r>
            <w:r w:rsidRPr="007127B1">
              <w:rPr>
                <w:sz w:val="20"/>
                <w:szCs w:val="20"/>
              </w:rPr>
              <w:t>mēsli</w:t>
            </w:r>
          </w:p>
        </w:tc>
        <w:tc>
          <w:tcPr>
            <w:tcW w:w="840" w:type="pct"/>
            <w:tcBorders>
              <w:top w:val="nil"/>
              <w:left w:val="nil"/>
              <w:bottom w:val="nil"/>
              <w:right w:val="nil"/>
            </w:tcBorders>
          </w:tcPr>
          <w:p w14:paraId="03CFBAD3"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20–40</w:t>
            </w:r>
          </w:p>
        </w:tc>
        <w:tc>
          <w:tcPr>
            <w:tcW w:w="1367" w:type="pct"/>
            <w:tcBorders>
              <w:top w:val="nil"/>
              <w:left w:val="nil"/>
              <w:bottom w:val="nil"/>
              <w:right w:val="nil"/>
            </w:tcBorders>
          </w:tcPr>
          <w:p w14:paraId="533EEAA5"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40–60</w:t>
            </w:r>
          </w:p>
        </w:tc>
      </w:tr>
      <w:tr w:rsidR="008E3F72" w:rsidRPr="007127B1" w14:paraId="284F004A" w14:textId="77777777" w:rsidTr="0010018A">
        <w:tc>
          <w:tcPr>
            <w:tcW w:w="2793" w:type="pct"/>
            <w:tcBorders>
              <w:top w:val="nil"/>
              <w:left w:val="nil"/>
              <w:bottom w:val="nil"/>
              <w:right w:val="nil"/>
            </w:tcBorders>
          </w:tcPr>
          <w:p w14:paraId="742F0445" w14:textId="7FE4242A" w:rsidR="008E3F72" w:rsidRPr="007127B1" w:rsidRDefault="008222B2" w:rsidP="0010018A">
            <w:pPr>
              <w:pStyle w:val="TableParagraph"/>
              <w:widowControl/>
              <w:kinsoku w:val="0"/>
              <w:overflowPunct w:val="0"/>
              <w:jc w:val="both"/>
              <w:rPr>
                <w:noProof/>
                <w:sz w:val="20"/>
                <w:szCs w:val="20"/>
              </w:rPr>
            </w:pPr>
            <w:r>
              <w:rPr>
                <w:sz w:val="20"/>
                <w:szCs w:val="20"/>
              </w:rPr>
              <w:t>Ganībās esošo</w:t>
            </w:r>
            <w:r w:rsidR="008E3F72" w:rsidRPr="007127B1">
              <w:rPr>
                <w:sz w:val="20"/>
                <w:szCs w:val="20"/>
              </w:rPr>
              <w:t xml:space="preserve"> dzīvnieku urīns un </w:t>
            </w:r>
            <w:r>
              <w:rPr>
                <w:sz w:val="20"/>
                <w:szCs w:val="20"/>
              </w:rPr>
              <w:t>kūts</w:t>
            </w:r>
            <w:r w:rsidR="008E3F72" w:rsidRPr="007127B1">
              <w:rPr>
                <w:sz w:val="20"/>
                <w:szCs w:val="20"/>
              </w:rPr>
              <w:t>mēsli</w:t>
            </w:r>
          </w:p>
        </w:tc>
        <w:tc>
          <w:tcPr>
            <w:tcW w:w="840" w:type="pct"/>
            <w:tcBorders>
              <w:top w:val="nil"/>
              <w:left w:val="nil"/>
              <w:bottom w:val="nil"/>
              <w:right w:val="nil"/>
            </w:tcBorders>
          </w:tcPr>
          <w:p w14:paraId="4AC3B9E3"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10–20</w:t>
            </w:r>
          </w:p>
        </w:tc>
        <w:tc>
          <w:tcPr>
            <w:tcW w:w="1367" w:type="pct"/>
            <w:tcBorders>
              <w:top w:val="nil"/>
              <w:left w:val="nil"/>
              <w:bottom w:val="nil"/>
              <w:right w:val="nil"/>
            </w:tcBorders>
          </w:tcPr>
          <w:p w14:paraId="51BF05D1"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20–40</w:t>
            </w:r>
          </w:p>
        </w:tc>
      </w:tr>
      <w:tr w:rsidR="008E3F72" w:rsidRPr="007127B1" w14:paraId="628B1121" w14:textId="77777777" w:rsidTr="0010018A">
        <w:tc>
          <w:tcPr>
            <w:tcW w:w="2793" w:type="pct"/>
            <w:tcBorders>
              <w:top w:val="nil"/>
              <w:left w:val="nil"/>
              <w:bottom w:val="nil"/>
              <w:right w:val="nil"/>
            </w:tcBorders>
          </w:tcPr>
          <w:p w14:paraId="79CAD6CB"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Augu atliekas, kuras ir vairāk nekā 2,5 % N</w:t>
            </w:r>
          </w:p>
        </w:tc>
        <w:tc>
          <w:tcPr>
            <w:tcW w:w="840" w:type="pct"/>
            <w:tcBorders>
              <w:top w:val="nil"/>
              <w:left w:val="nil"/>
              <w:bottom w:val="nil"/>
              <w:right w:val="nil"/>
            </w:tcBorders>
          </w:tcPr>
          <w:p w14:paraId="759F279F"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10–40</w:t>
            </w:r>
          </w:p>
        </w:tc>
        <w:tc>
          <w:tcPr>
            <w:tcW w:w="1367" w:type="pct"/>
            <w:tcBorders>
              <w:top w:val="nil"/>
              <w:left w:val="nil"/>
              <w:bottom w:val="nil"/>
              <w:right w:val="nil"/>
            </w:tcBorders>
          </w:tcPr>
          <w:p w14:paraId="75C004F5"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30–50</w:t>
            </w:r>
          </w:p>
        </w:tc>
      </w:tr>
      <w:tr w:rsidR="008E3F72" w:rsidRPr="007127B1" w14:paraId="0C1C73C3" w14:textId="77777777" w:rsidTr="0010018A">
        <w:tc>
          <w:tcPr>
            <w:tcW w:w="2793" w:type="pct"/>
            <w:tcBorders>
              <w:top w:val="nil"/>
              <w:left w:val="nil"/>
              <w:bottom w:val="nil"/>
              <w:right w:val="nil"/>
            </w:tcBorders>
          </w:tcPr>
          <w:p w14:paraId="0C1D0F02"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Augu atliekas, kuras ir no 1,5 % līdz 2,5 % N</w:t>
            </w:r>
          </w:p>
        </w:tc>
        <w:tc>
          <w:tcPr>
            <w:tcW w:w="840" w:type="pct"/>
            <w:tcBorders>
              <w:top w:val="nil"/>
              <w:left w:val="nil"/>
              <w:bottom w:val="nil"/>
              <w:right w:val="nil"/>
            </w:tcBorders>
          </w:tcPr>
          <w:p w14:paraId="51D58868"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0–30</w:t>
            </w:r>
          </w:p>
        </w:tc>
        <w:tc>
          <w:tcPr>
            <w:tcW w:w="1367" w:type="pct"/>
            <w:tcBorders>
              <w:top w:val="nil"/>
              <w:left w:val="nil"/>
              <w:bottom w:val="nil"/>
              <w:right w:val="nil"/>
            </w:tcBorders>
          </w:tcPr>
          <w:p w14:paraId="07DEDEF8"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20–40</w:t>
            </w:r>
          </w:p>
        </w:tc>
      </w:tr>
      <w:tr w:rsidR="008E3F72" w:rsidRPr="007127B1" w14:paraId="7139F408" w14:textId="77777777" w:rsidTr="0010018A">
        <w:tc>
          <w:tcPr>
            <w:tcW w:w="2793" w:type="pct"/>
            <w:tcBorders>
              <w:top w:val="nil"/>
              <w:left w:val="nil"/>
              <w:bottom w:val="single" w:sz="12" w:space="0" w:color="000000"/>
              <w:right w:val="nil"/>
            </w:tcBorders>
          </w:tcPr>
          <w:p w14:paraId="3A91C500"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Augu atliekas, kuras ir mazāk nekā 1,5% N</w:t>
            </w:r>
          </w:p>
        </w:tc>
        <w:tc>
          <w:tcPr>
            <w:tcW w:w="840" w:type="pct"/>
            <w:tcBorders>
              <w:top w:val="nil"/>
              <w:left w:val="nil"/>
              <w:bottom w:val="single" w:sz="12" w:space="0" w:color="000000"/>
              <w:right w:val="nil"/>
            </w:tcBorders>
          </w:tcPr>
          <w:p w14:paraId="053F5D95"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0</w:t>
            </w:r>
          </w:p>
        </w:tc>
        <w:tc>
          <w:tcPr>
            <w:tcW w:w="1367" w:type="pct"/>
            <w:tcBorders>
              <w:top w:val="nil"/>
              <w:left w:val="nil"/>
              <w:bottom w:val="single" w:sz="12" w:space="0" w:color="000000"/>
              <w:right w:val="nil"/>
            </w:tcBorders>
          </w:tcPr>
          <w:p w14:paraId="6AF5C2AA" w14:textId="77777777" w:rsidR="008E3F72" w:rsidRPr="007127B1" w:rsidRDefault="008E3F72" w:rsidP="0010018A">
            <w:pPr>
              <w:pStyle w:val="TableParagraph"/>
              <w:widowControl/>
              <w:kinsoku w:val="0"/>
              <w:overflowPunct w:val="0"/>
              <w:jc w:val="both"/>
              <w:rPr>
                <w:noProof/>
                <w:sz w:val="20"/>
                <w:szCs w:val="20"/>
              </w:rPr>
            </w:pPr>
            <w:r w:rsidRPr="007127B1">
              <w:rPr>
                <w:sz w:val="20"/>
                <w:szCs w:val="20"/>
              </w:rPr>
              <w:t>0–20</w:t>
            </w:r>
          </w:p>
        </w:tc>
      </w:tr>
    </w:tbl>
    <w:p w14:paraId="5753D5E9" w14:textId="77777777" w:rsidR="008E3F72" w:rsidRPr="00F35F4D" w:rsidRDefault="008E3F72" w:rsidP="008E3F72">
      <w:pPr>
        <w:pStyle w:val="BodyText"/>
        <w:widowControl/>
        <w:kinsoku w:val="0"/>
        <w:overflowPunct w:val="0"/>
        <w:spacing w:before="0"/>
        <w:ind w:left="0"/>
        <w:jc w:val="both"/>
        <w:rPr>
          <w:i/>
          <w:iCs/>
          <w:noProof/>
          <w:sz w:val="24"/>
          <w:szCs w:val="24"/>
        </w:rPr>
      </w:pPr>
    </w:p>
    <w:p w14:paraId="464220FD"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Avoti – Berntsen et al.</w:t>
      </w:r>
      <w:r w:rsidRPr="00F35F4D">
        <w:rPr>
          <w:noProof/>
          <w:sz w:val="24"/>
        </w:rPr>
        <w:t xml:space="preserve">, 2007; </w:t>
      </w:r>
      <w:r w:rsidRPr="00F35F4D">
        <w:rPr>
          <w:i/>
          <w:noProof/>
          <w:sz w:val="24"/>
        </w:rPr>
        <w:t>Bittman et al.</w:t>
      </w:r>
      <w:r w:rsidRPr="00F35F4D">
        <w:rPr>
          <w:noProof/>
          <w:sz w:val="24"/>
        </w:rPr>
        <w:t xml:space="preserve">, 2007; </w:t>
      </w:r>
      <w:r w:rsidRPr="00F35F4D">
        <w:rPr>
          <w:i/>
          <w:noProof/>
          <w:sz w:val="24"/>
        </w:rPr>
        <w:t>Burton, Turner</w:t>
      </w:r>
      <w:r w:rsidRPr="00F35F4D">
        <w:rPr>
          <w:noProof/>
          <w:sz w:val="24"/>
        </w:rPr>
        <w:t xml:space="preserve">, 2003; </w:t>
      </w:r>
      <w:r w:rsidRPr="00F35F4D">
        <w:rPr>
          <w:i/>
          <w:noProof/>
          <w:sz w:val="24"/>
        </w:rPr>
        <w:t>Chadwick et al.</w:t>
      </w:r>
      <w:r w:rsidRPr="00F35F4D">
        <w:rPr>
          <w:noProof/>
          <w:sz w:val="24"/>
        </w:rPr>
        <w:t xml:space="preserve">, 2000; </w:t>
      </w:r>
      <w:r w:rsidRPr="00F35F4D">
        <w:rPr>
          <w:i/>
          <w:noProof/>
          <w:sz w:val="24"/>
        </w:rPr>
        <w:t>Gutser et al.,</w:t>
      </w:r>
      <w:r w:rsidRPr="00F35F4D">
        <w:rPr>
          <w:noProof/>
          <w:sz w:val="24"/>
        </w:rPr>
        <w:t xml:space="preserve"> 2005; </w:t>
      </w:r>
      <w:r w:rsidRPr="00F35F4D">
        <w:rPr>
          <w:i/>
          <w:noProof/>
          <w:sz w:val="24"/>
        </w:rPr>
        <w:t>Hadas et al.</w:t>
      </w:r>
      <w:r w:rsidRPr="00F35F4D">
        <w:rPr>
          <w:noProof/>
          <w:sz w:val="24"/>
        </w:rPr>
        <w:t xml:space="preserve">, 2002; </w:t>
      </w:r>
      <w:r w:rsidRPr="00F35F4D">
        <w:rPr>
          <w:i/>
          <w:noProof/>
          <w:sz w:val="24"/>
        </w:rPr>
        <w:t>Hart et al</w:t>
      </w:r>
      <w:r w:rsidRPr="00F35F4D">
        <w:rPr>
          <w:noProof/>
          <w:sz w:val="24"/>
        </w:rPr>
        <w:t xml:space="preserve">., 1993; </w:t>
      </w:r>
      <w:r w:rsidRPr="00F35F4D">
        <w:rPr>
          <w:i/>
          <w:noProof/>
          <w:sz w:val="24"/>
        </w:rPr>
        <w:t>Hatch et al.</w:t>
      </w:r>
      <w:r w:rsidRPr="00F35F4D">
        <w:rPr>
          <w:noProof/>
          <w:sz w:val="24"/>
        </w:rPr>
        <w:t xml:space="preserve">, 2004; </w:t>
      </w:r>
      <w:r w:rsidRPr="00F35F4D">
        <w:rPr>
          <w:i/>
          <w:noProof/>
          <w:sz w:val="24"/>
        </w:rPr>
        <w:t>Janssen,</w:t>
      </w:r>
      <w:r w:rsidRPr="00F35F4D">
        <w:rPr>
          <w:noProof/>
          <w:sz w:val="24"/>
        </w:rPr>
        <w:t xml:space="preserve"> 1984; </w:t>
      </w:r>
      <w:r w:rsidRPr="00F35F4D">
        <w:rPr>
          <w:i/>
          <w:noProof/>
          <w:sz w:val="24"/>
        </w:rPr>
        <w:t>Jenkinson, Smith,</w:t>
      </w:r>
      <w:r w:rsidRPr="00F35F4D">
        <w:rPr>
          <w:noProof/>
          <w:sz w:val="24"/>
        </w:rPr>
        <w:t xml:space="preserve"> 1988; </w:t>
      </w:r>
      <w:r w:rsidRPr="00F35F4D">
        <w:rPr>
          <w:i/>
          <w:noProof/>
          <w:sz w:val="24"/>
        </w:rPr>
        <w:t>Kolenbrander, De La Lande Cremer,</w:t>
      </w:r>
      <w:r w:rsidRPr="00F35F4D">
        <w:rPr>
          <w:noProof/>
          <w:sz w:val="24"/>
        </w:rPr>
        <w:t xml:space="preserve"> 1967; </w:t>
      </w:r>
      <w:r w:rsidRPr="00F35F4D">
        <w:rPr>
          <w:i/>
          <w:noProof/>
          <w:sz w:val="24"/>
        </w:rPr>
        <w:t>Langmeier et al.</w:t>
      </w:r>
      <w:r w:rsidRPr="00F35F4D">
        <w:rPr>
          <w:noProof/>
          <w:sz w:val="24"/>
        </w:rPr>
        <w:t xml:space="preserve">, 2002; </w:t>
      </w:r>
      <w:r w:rsidRPr="00F35F4D">
        <w:rPr>
          <w:i/>
          <w:noProof/>
          <w:sz w:val="24"/>
        </w:rPr>
        <w:t>MacDonald et al.</w:t>
      </w:r>
      <w:r w:rsidRPr="00F35F4D">
        <w:rPr>
          <w:noProof/>
          <w:sz w:val="24"/>
        </w:rPr>
        <w:t xml:space="preserve">, 1997; </w:t>
      </w:r>
      <w:r w:rsidRPr="00F35F4D">
        <w:rPr>
          <w:i/>
          <w:noProof/>
          <w:sz w:val="24"/>
        </w:rPr>
        <w:t>Mosier, Syers, Freney</w:t>
      </w:r>
      <w:r w:rsidRPr="00F35F4D">
        <w:rPr>
          <w:noProof/>
          <w:sz w:val="24"/>
        </w:rPr>
        <w:t xml:space="preserve">, 2004; </w:t>
      </w:r>
      <w:r w:rsidRPr="00F35F4D">
        <w:rPr>
          <w:i/>
          <w:noProof/>
          <w:sz w:val="24"/>
        </w:rPr>
        <w:t>Nevens, Reheul</w:t>
      </w:r>
      <w:r w:rsidRPr="00F35F4D">
        <w:rPr>
          <w:noProof/>
          <w:sz w:val="24"/>
        </w:rPr>
        <w:t xml:space="preserve">, 2005; </w:t>
      </w:r>
      <w:r w:rsidRPr="00F35F4D">
        <w:rPr>
          <w:i/>
          <w:noProof/>
          <w:sz w:val="24"/>
        </w:rPr>
        <w:t>Rufino et al.</w:t>
      </w:r>
      <w:r w:rsidRPr="00F35F4D">
        <w:rPr>
          <w:noProof/>
          <w:sz w:val="24"/>
        </w:rPr>
        <w:t xml:space="preserve">, 2006; </w:t>
      </w:r>
      <w:r w:rsidRPr="00F35F4D">
        <w:rPr>
          <w:i/>
          <w:noProof/>
          <w:sz w:val="24"/>
        </w:rPr>
        <w:t>Rufino et al.</w:t>
      </w:r>
      <w:r w:rsidRPr="00F35F4D">
        <w:rPr>
          <w:noProof/>
          <w:sz w:val="24"/>
        </w:rPr>
        <w:t xml:space="preserve">, 2007; </w:t>
      </w:r>
      <w:r w:rsidRPr="00F35F4D">
        <w:rPr>
          <w:i/>
          <w:noProof/>
          <w:sz w:val="24"/>
        </w:rPr>
        <w:t>Schils, Kok</w:t>
      </w:r>
      <w:r w:rsidRPr="00F35F4D">
        <w:rPr>
          <w:noProof/>
          <w:sz w:val="24"/>
        </w:rPr>
        <w:t xml:space="preserve">, 2003; </w:t>
      </w:r>
      <w:r w:rsidRPr="00F35F4D">
        <w:rPr>
          <w:i/>
          <w:noProof/>
          <w:sz w:val="24"/>
        </w:rPr>
        <w:t>Schröder et al.</w:t>
      </w:r>
      <w:r w:rsidRPr="00F35F4D">
        <w:rPr>
          <w:noProof/>
          <w:sz w:val="24"/>
        </w:rPr>
        <w:t xml:space="preserve">, 2000; </w:t>
      </w:r>
      <w:r w:rsidRPr="00F35F4D">
        <w:rPr>
          <w:i/>
          <w:noProof/>
          <w:sz w:val="24"/>
        </w:rPr>
        <w:t>Schröder, Stevens</w:t>
      </w:r>
      <w:r w:rsidRPr="00F35F4D">
        <w:rPr>
          <w:noProof/>
          <w:sz w:val="24"/>
        </w:rPr>
        <w:t xml:space="preserve">, 2004; </w:t>
      </w:r>
      <w:r w:rsidRPr="00F35F4D">
        <w:rPr>
          <w:i/>
          <w:noProof/>
          <w:sz w:val="24"/>
        </w:rPr>
        <w:t>Schröder</w:t>
      </w:r>
      <w:r w:rsidRPr="00F35F4D">
        <w:rPr>
          <w:noProof/>
          <w:sz w:val="24"/>
        </w:rPr>
        <w:t xml:space="preserve"> 2005; </w:t>
      </w:r>
      <w:r w:rsidRPr="00F35F4D">
        <w:rPr>
          <w:i/>
          <w:noProof/>
          <w:sz w:val="24"/>
        </w:rPr>
        <w:t>Schröder, Jansen, Hilhorst</w:t>
      </w:r>
      <w:r w:rsidRPr="00F35F4D">
        <w:rPr>
          <w:noProof/>
          <w:sz w:val="24"/>
        </w:rPr>
        <w:t xml:space="preserve">, 2005; </w:t>
      </w:r>
      <w:r w:rsidRPr="00F35F4D">
        <w:rPr>
          <w:i/>
          <w:noProof/>
          <w:sz w:val="24"/>
        </w:rPr>
        <w:t>Schröder, Uenk, Hilhorst,</w:t>
      </w:r>
      <w:r w:rsidRPr="00F35F4D">
        <w:rPr>
          <w:noProof/>
          <w:sz w:val="24"/>
        </w:rPr>
        <w:t xml:space="preserve"> 2007; </w:t>
      </w:r>
      <w:r w:rsidRPr="00F35F4D">
        <w:rPr>
          <w:i/>
          <w:noProof/>
          <w:sz w:val="24"/>
        </w:rPr>
        <w:t>Sommerfeldt, Chang, Entz,</w:t>
      </w:r>
      <w:r w:rsidRPr="00F35F4D">
        <w:rPr>
          <w:noProof/>
          <w:sz w:val="24"/>
        </w:rPr>
        <w:t xml:space="preserve"> 1988; </w:t>
      </w:r>
      <w:r w:rsidRPr="00F35F4D">
        <w:rPr>
          <w:i/>
          <w:noProof/>
          <w:sz w:val="24"/>
        </w:rPr>
        <w:t>Sørensen,</w:t>
      </w:r>
      <w:r w:rsidRPr="00F35F4D">
        <w:rPr>
          <w:noProof/>
          <w:sz w:val="24"/>
        </w:rPr>
        <w:t xml:space="preserve"> 2004; </w:t>
      </w:r>
      <w:r w:rsidRPr="00F35F4D">
        <w:rPr>
          <w:i/>
          <w:noProof/>
          <w:sz w:val="24"/>
        </w:rPr>
        <w:t>Sørensen, Amato</w:t>
      </w:r>
      <w:r w:rsidRPr="00F35F4D">
        <w:rPr>
          <w:noProof/>
          <w:sz w:val="24"/>
        </w:rPr>
        <w:t xml:space="preserve">, 2002; </w:t>
      </w:r>
      <w:r w:rsidRPr="00F35F4D">
        <w:rPr>
          <w:i/>
          <w:noProof/>
          <w:sz w:val="24"/>
        </w:rPr>
        <w:t>Sørensen, Weisbjerg, Lund,</w:t>
      </w:r>
      <w:r w:rsidRPr="00F35F4D">
        <w:rPr>
          <w:noProof/>
          <w:sz w:val="24"/>
        </w:rPr>
        <w:t xml:space="preserve"> 2003; </w:t>
      </w:r>
      <w:r w:rsidRPr="00F35F4D">
        <w:rPr>
          <w:i/>
          <w:noProof/>
          <w:sz w:val="24"/>
        </w:rPr>
        <w:t>Sørensen, Thomsen,</w:t>
      </w:r>
      <w:r w:rsidRPr="00F35F4D">
        <w:rPr>
          <w:noProof/>
          <w:sz w:val="24"/>
        </w:rPr>
        <w:t xml:space="preserve"> 2005; </w:t>
      </w:r>
      <w:r w:rsidRPr="00F35F4D">
        <w:rPr>
          <w:i/>
          <w:noProof/>
          <w:sz w:val="24"/>
        </w:rPr>
        <w:t>Van der Meer et al.</w:t>
      </w:r>
      <w:r w:rsidRPr="00F35F4D">
        <w:rPr>
          <w:noProof/>
          <w:sz w:val="24"/>
        </w:rPr>
        <w:t xml:space="preserve">, 1987; </w:t>
      </w:r>
      <w:r w:rsidRPr="00F35F4D">
        <w:rPr>
          <w:i/>
          <w:noProof/>
          <w:sz w:val="24"/>
        </w:rPr>
        <w:t>Velthof et al.</w:t>
      </w:r>
      <w:r w:rsidRPr="00F35F4D">
        <w:rPr>
          <w:noProof/>
          <w:sz w:val="24"/>
        </w:rPr>
        <w:t>, 1998.</w:t>
      </w:r>
    </w:p>
    <w:p w14:paraId="71F85F7A" w14:textId="77777777" w:rsidR="008E3F72" w:rsidRPr="00F35F4D" w:rsidRDefault="008E3F72" w:rsidP="008E3F72">
      <w:pPr>
        <w:pStyle w:val="BodyText"/>
        <w:widowControl/>
        <w:kinsoku w:val="0"/>
        <w:overflowPunct w:val="0"/>
        <w:spacing w:before="0"/>
        <w:ind w:left="0"/>
        <w:jc w:val="both"/>
        <w:rPr>
          <w:noProof/>
          <w:sz w:val="24"/>
          <w:szCs w:val="24"/>
        </w:rPr>
      </w:pPr>
    </w:p>
    <w:p w14:paraId="6073B5CB" w14:textId="77777777" w:rsidR="008E3F72" w:rsidRPr="00F35F4D" w:rsidRDefault="008E3F72" w:rsidP="008E3F72">
      <w:pPr>
        <w:pStyle w:val="BodyText"/>
        <w:widowControl/>
        <w:kinsoku w:val="0"/>
        <w:overflowPunct w:val="0"/>
        <w:spacing w:before="0"/>
        <w:ind w:left="0"/>
        <w:jc w:val="both"/>
        <w:rPr>
          <w:noProof/>
          <w:sz w:val="24"/>
          <w:szCs w:val="24"/>
        </w:rPr>
      </w:pPr>
      <w:r w:rsidRPr="00F35F4D">
        <w:t>Piezīmes.</w:t>
      </w:r>
      <w:r w:rsidRPr="00F35F4D">
        <w:rPr>
          <w:noProof/>
          <w:sz w:val="24"/>
        </w:rPr>
        <w:t xml:space="preserve"> Mēslošanu veic ar parastajām zema emisiju līmeņa metodēm. Īstermiņa mēslošanas līdzekļa N ekvivalences vērtības atbilst mēslošanas līdzekļa N ekvivalences vērtībai mēslošanas gadā, veicot mēslošanu atbilstīgā laikā. Ilgtermiņa mēslošanas līdzekļa N ekvivalences vērtībās iekļauj reziduālo ietekmi, un pieņem, ka mēslošana tiek veikta katru gadu atkārtoti.</w:t>
      </w:r>
    </w:p>
    <w:p w14:paraId="52120AEE" w14:textId="77777777" w:rsidR="008E3F72" w:rsidRPr="00F35F4D" w:rsidRDefault="008E3F72" w:rsidP="008E3F72">
      <w:pPr>
        <w:pStyle w:val="BodyText"/>
        <w:widowControl/>
        <w:kinsoku w:val="0"/>
        <w:overflowPunct w:val="0"/>
        <w:spacing w:before="0"/>
        <w:ind w:left="0"/>
        <w:jc w:val="both"/>
        <w:rPr>
          <w:noProof/>
          <w:sz w:val="24"/>
          <w:szCs w:val="24"/>
        </w:rPr>
      </w:pPr>
    </w:p>
    <w:p w14:paraId="193A32AA" w14:textId="77777777" w:rsidR="008E3F72" w:rsidRPr="00F35F4D" w:rsidRDefault="008E3F72" w:rsidP="007127B1">
      <w:pPr>
        <w:pStyle w:val="BodyText"/>
        <w:widowControl/>
        <w:numPr>
          <w:ilvl w:val="0"/>
          <w:numId w:val="5"/>
        </w:numPr>
        <w:kinsoku w:val="0"/>
        <w:overflowPunct w:val="0"/>
        <w:spacing w:before="0"/>
        <w:ind w:left="0" w:firstLine="0"/>
        <w:jc w:val="both"/>
        <w:rPr>
          <w:noProof/>
          <w:sz w:val="24"/>
          <w:szCs w:val="24"/>
        </w:rPr>
      </w:pPr>
      <w:r w:rsidRPr="00F35F4D">
        <w:rPr>
          <w:noProof/>
          <w:sz w:val="24"/>
        </w:rPr>
        <w:t>Specializētu augkopības saimniecību gadījumā Npārpalikumu un NIE saimniecībai kopumā aprēķina šādi:</w:t>
      </w:r>
    </w:p>
    <w:p w14:paraId="68B6744E"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Npārpalikums = [Nmēslošanas līdz. + Nkūtsmēsli + Nkomposts + NBF + Natm. + Nsēkla] – [Nk-augi] [1], NIEk-augi = [Nk-augi] / [Nmēslošanas līdz. + Nkūtsmēsli + Nkomposts + NBF + Natm. + Nsēkla] [2],</w:t>
      </w:r>
    </w:p>
    <w:p w14:paraId="3A98B84A" w14:textId="77777777" w:rsidR="008E3F72" w:rsidRPr="00F35F4D" w:rsidRDefault="008E3F72" w:rsidP="008E3F72">
      <w:pPr>
        <w:pStyle w:val="BodyText"/>
        <w:widowControl/>
        <w:kinsoku w:val="0"/>
        <w:overflowPunct w:val="0"/>
        <w:spacing w:before="0"/>
        <w:ind w:left="0"/>
        <w:jc w:val="both"/>
        <w:rPr>
          <w:noProof/>
          <w:sz w:val="24"/>
          <w:szCs w:val="24"/>
        </w:rPr>
      </w:pPr>
    </w:p>
    <w:p w14:paraId="0FE2D490"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kur</w:t>
      </w:r>
    </w:p>
    <w:p w14:paraId="0C015E73"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Npārpalikums = N pārpalikums saimniecībā, kg/ha</w:t>
      </w:r>
    </w:p>
    <w:p w14:paraId="2B9115DB"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NIEk-augi = N izmantošanas efektivitāte saimniecībā, masu attiecība (bez mērvienības) Nmēslošanas līdz. = saimniecībā ievestajā slāpekļa mēslojumā esošais N daudzums, kg/ha Nkūtsmēsli = saimniecībā ievestajos kūtsmēslos esošais N daudzums, kg/ha</w:t>
      </w:r>
    </w:p>
    <w:p w14:paraId="78002F3F" w14:textId="77777777" w:rsidR="008E3F72" w:rsidRPr="00F35F4D" w:rsidRDefault="008E3F72" w:rsidP="008E3F72">
      <w:pPr>
        <w:pStyle w:val="BodyText"/>
        <w:widowControl/>
        <w:tabs>
          <w:tab w:val="left" w:pos="817"/>
          <w:tab w:val="left" w:pos="1537"/>
        </w:tabs>
        <w:kinsoku w:val="0"/>
        <w:overflowPunct w:val="0"/>
        <w:spacing w:before="0"/>
        <w:ind w:left="0"/>
        <w:jc w:val="both"/>
        <w:rPr>
          <w:noProof/>
          <w:sz w:val="24"/>
          <w:szCs w:val="24"/>
        </w:rPr>
      </w:pPr>
      <w:r w:rsidRPr="00F35F4D">
        <w:rPr>
          <w:noProof/>
          <w:sz w:val="24"/>
        </w:rPr>
        <w:t>Nkomposts =</w:t>
      </w:r>
      <w:r w:rsidRPr="00F35F4D">
        <w:t xml:space="preserve"> saimniecībā ievestajā kompostā esošais N daudzums</w:t>
      </w:r>
      <w:r w:rsidRPr="00F35F4D">
        <w:rPr>
          <w:noProof/>
          <w:sz w:val="24"/>
        </w:rPr>
        <w:t>, kg/ha NBF=</w:t>
      </w:r>
      <w:r w:rsidRPr="00F35F4D">
        <w:t xml:space="preserve"> pākšaugos bioloģiski fiksētā </w:t>
      </w:r>
      <w:r w:rsidRPr="00F35F4D">
        <w:rPr>
          <w:noProof/>
          <w:sz w:val="24"/>
        </w:rPr>
        <w:t>N2 daudzums, kg/ha Natm. = atmosfēras slāpekļa nosēšanās rezultātā ienākošais N daudzums, kg/ha</w:t>
      </w:r>
    </w:p>
    <w:p w14:paraId="3A218909"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Nsēkla = saimniecībā ievestajās sēklās un stādos esošais N daudzums, kg/ha</w:t>
      </w:r>
    </w:p>
    <w:p w14:paraId="3392EF91"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Nk-augi = no saimniecības izvestajos kultūraugos, tostarp augu atliekās, esošais N daudzums, kg/ha.</w:t>
      </w:r>
    </w:p>
    <w:p w14:paraId="26FD6A97" w14:textId="77777777" w:rsidR="008E3F72" w:rsidRPr="00F35F4D" w:rsidRDefault="008E3F72" w:rsidP="008E3F72">
      <w:pPr>
        <w:pStyle w:val="BodyText"/>
        <w:widowControl/>
        <w:kinsoku w:val="0"/>
        <w:overflowPunct w:val="0"/>
        <w:spacing w:before="0"/>
        <w:ind w:left="0"/>
        <w:jc w:val="both"/>
        <w:rPr>
          <w:noProof/>
          <w:sz w:val="24"/>
          <w:szCs w:val="24"/>
        </w:rPr>
      </w:pPr>
    </w:p>
    <w:p w14:paraId="62EEDF52" w14:textId="77777777" w:rsidR="008E3F72" w:rsidRPr="007127B1"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 xml:space="preserve">Saimniecībā var ienākt papildu N daudzums, piemēram N2 autotrofās fiksācijas rezultātā, ar augu aizsardzības līdzekļiem, apūdeņošanai izmantoto ūdeni, bioloģiskajām cietvielām un mulču. Šie ienākošie daudzumi parasti ir relatīvi mazi salīdzinājumā ar iepriekš minētajiem, un to plūsmu ir arī grūti vadīt. Tāpēc šo papildu </w:t>
      </w:r>
      <w:r w:rsidRPr="00F35F4D">
        <w:rPr>
          <w:noProof/>
          <w:sz w:val="24"/>
        </w:rPr>
        <w:lastRenderedPageBreak/>
        <w:t>ienākošo N daudzumu bieži neņem vērā. Tomēr tad, ja šie ienākošie daudzumi veido ievērojamu daļu no kopējā ienākošā N daudzuma (&gt; 10%), tie jāiekļauj bilancē. Tas var attiekties uz saimniecībām ar organiski bagātu augsni, kur organiski saistītā N summārās mineralizācijas rezultātā gadā var atbrīvoties 20–200 kg N no hektāra atkarībā no kūdras trofiskā līmeņa un drenāžas apstākļiem.</w:t>
      </w:r>
    </w:p>
    <w:p w14:paraId="2AB1A726" w14:textId="77777777" w:rsidR="007127B1" w:rsidRPr="00F35F4D" w:rsidRDefault="007127B1" w:rsidP="007127B1">
      <w:pPr>
        <w:pStyle w:val="BodyText"/>
        <w:widowControl/>
        <w:tabs>
          <w:tab w:val="left" w:pos="861"/>
        </w:tabs>
        <w:kinsoku w:val="0"/>
        <w:overflowPunct w:val="0"/>
        <w:spacing w:before="0"/>
        <w:ind w:left="0"/>
        <w:jc w:val="both"/>
        <w:rPr>
          <w:noProof/>
          <w:sz w:val="24"/>
          <w:szCs w:val="24"/>
        </w:rPr>
      </w:pPr>
    </w:p>
    <w:p w14:paraId="00FA3D09" w14:textId="77777777"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Precīzākai NIE un Npārpalikuma rādītāju izteikšanai specializētās augkopības saimniecībās ņem vērā atšķirības mēslošanas līdzekļa N ekvivalences vērtībās kūtsmēsliem, kompostam un slāpekļa bioloģiskajai fiksācijai, un aprēķinu veic šādi:</w:t>
      </w:r>
    </w:p>
    <w:p w14:paraId="1B04397F" w14:textId="77777777" w:rsidR="008E3F72" w:rsidRPr="00F35F4D" w:rsidRDefault="008E3F72" w:rsidP="008E3F72">
      <w:pPr>
        <w:pStyle w:val="BodyText"/>
        <w:widowControl/>
        <w:kinsoku w:val="0"/>
        <w:overflowPunct w:val="0"/>
        <w:spacing w:before="0"/>
        <w:ind w:left="0"/>
        <w:jc w:val="both"/>
        <w:rPr>
          <w:noProof/>
          <w:sz w:val="24"/>
          <w:szCs w:val="24"/>
        </w:rPr>
      </w:pPr>
    </w:p>
    <w:p w14:paraId="0C1E6B99"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NIEk-augi = [Nk-augi] / [Nmēslošanas līdz. + (Nkūtsmēsli x MLNEVkūtsmēsli) + (Nkomposts x MLNEVkomposts) + (NBF) + Natm. + Nsēkla] [7],</w:t>
      </w:r>
    </w:p>
    <w:p w14:paraId="06127CE1" w14:textId="77777777" w:rsidR="008E3F72" w:rsidRPr="00F35F4D" w:rsidRDefault="008E3F72" w:rsidP="008E3F72">
      <w:pPr>
        <w:pStyle w:val="BodyText"/>
        <w:widowControl/>
        <w:kinsoku w:val="0"/>
        <w:overflowPunct w:val="0"/>
        <w:spacing w:before="0"/>
        <w:ind w:left="0"/>
        <w:jc w:val="both"/>
        <w:rPr>
          <w:noProof/>
          <w:sz w:val="24"/>
          <w:szCs w:val="24"/>
        </w:rPr>
      </w:pPr>
    </w:p>
    <w:p w14:paraId="0E4D669F"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kur</w:t>
      </w:r>
    </w:p>
    <w:p w14:paraId="4A66974C" w14:textId="77777777" w:rsidR="008E3F72" w:rsidRPr="00F35F4D" w:rsidRDefault="008E3F72" w:rsidP="008E3F72">
      <w:pPr>
        <w:pStyle w:val="BodyText"/>
        <w:widowControl/>
        <w:kinsoku w:val="0"/>
        <w:overflowPunct w:val="0"/>
        <w:spacing w:before="0"/>
        <w:ind w:left="0"/>
        <w:jc w:val="both"/>
        <w:rPr>
          <w:noProof/>
          <w:sz w:val="24"/>
          <w:szCs w:val="24"/>
        </w:rPr>
      </w:pPr>
    </w:p>
    <w:p w14:paraId="5CC72346"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MLNEVkūtsmēsli = mēslošanas līdzekļa N ekvivalences vērtība kūtsmēsliem, kg/kg</w:t>
      </w:r>
    </w:p>
    <w:p w14:paraId="5EA122B9"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MLNEVkomposts = mēslošanas līdzekļa N ekvivalences vērtība kompostam, kg/kg</w:t>
      </w:r>
    </w:p>
    <w:p w14:paraId="66BDFB6E" w14:textId="77777777" w:rsidR="008E3F72" w:rsidRPr="00F35F4D" w:rsidRDefault="008E3F72" w:rsidP="008E3F72">
      <w:pPr>
        <w:pStyle w:val="BodyText"/>
        <w:widowControl/>
        <w:kinsoku w:val="0"/>
        <w:overflowPunct w:val="0"/>
        <w:spacing w:before="0"/>
        <w:ind w:left="0"/>
        <w:jc w:val="both"/>
        <w:rPr>
          <w:noProof/>
          <w:sz w:val="24"/>
          <w:szCs w:val="24"/>
        </w:rPr>
      </w:pPr>
    </w:p>
    <w:p w14:paraId="21639E34" w14:textId="77777777"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 xml:space="preserve"> Specializētās bezzemes lopkopības saimniecībās Npārpalikumu un NIE aprēķina šādi: Npārpalikums = [Nbarība] – [Ndzīvnieki + Nkūtsmēsli] [3],</w:t>
      </w:r>
    </w:p>
    <w:p w14:paraId="05B8F24F"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NIEdzīvnieki = [Ndzīvnieki + Nkūtsmēsli] / [Nbarība] [4],</w:t>
      </w:r>
    </w:p>
    <w:p w14:paraId="233463C5" w14:textId="77777777" w:rsidR="008E3F72" w:rsidRPr="00F35F4D" w:rsidRDefault="008E3F72" w:rsidP="008E3F72">
      <w:pPr>
        <w:pStyle w:val="BodyText"/>
        <w:widowControl/>
        <w:kinsoku w:val="0"/>
        <w:overflowPunct w:val="0"/>
        <w:spacing w:before="0"/>
        <w:ind w:left="0"/>
        <w:jc w:val="both"/>
        <w:rPr>
          <w:noProof/>
          <w:sz w:val="24"/>
          <w:szCs w:val="24"/>
        </w:rPr>
      </w:pPr>
    </w:p>
    <w:p w14:paraId="2BE43058"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kur</w:t>
      </w:r>
    </w:p>
    <w:p w14:paraId="6C1F6726" w14:textId="77777777" w:rsidR="008E3F72" w:rsidRPr="00F35F4D" w:rsidRDefault="008E3F72" w:rsidP="008E3F72">
      <w:pPr>
        <w:pStyle w:val="BodyText"/>
        <w:widowControl/>
        <w:kinsoku w:val="0"/>
        <w:overflowPunct w:val="0"/>
        <w:spacing w:before="0"/>
        <w:ind w:left="0"/>
        <w:jc w:val="both"/>
        <w:rPr>
          <w:noProof/>
          <w:sz w:val="24"/>
          <w:szCs w:val="24"/>
        </w:rPr>
      </w:pPr>
    </w:p>
    <w:p w14:paraId="0BC50C14"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Npārpalikums = N pārpalikums saimniecībā, kg</w:t>
      </w:r>
    </w:p>
    <w:p w14:paraId="216D04B4"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NIEdzīvnieki = N izmantošanas efektivitāte saimniecībā, masas attiecībās (bez mērvienības)</w:t>
      </w:r>
    </w:p>
    <w:p w14:paraId="6E5A3206"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Nbarība = saimniecībā ievestajā barībā esošais tīrais N daudzums, kg</w:t>
      </w:r>
    </w:p>
    <w:p w14:paraId="153DF8B5"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Ndzīvnieki = no saimniecības izvestajos dzīvniekos esošais tīrais N daudzums (t. i., ieskaitot nedzīvos dzīvniekus un veicot korekciju, lai ņemtu vērā ievestos dzīvniekus), kg</w:t>
      </w:r>
    </w:p>
    <w:p w14:paraId="057AFA38"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Nkūtsmēsli = no saimniecības izvestajos kūtsmēslos esošais tīrais N daudzums (ieskaitot barības atliekas), kg.</w:t>
      </w:r>
    </w:p>
    <w:p w14:paraId="59DDEE3D" w14:textId="77777777" w:rsidR="008E3F72" w:rsidRPr="00F35F4D" w:rsidRDefault="008E3F72" w:rsidP="008E3F72">
      <w:pPr>
        <w:pStyle w:val="BodyText"/>
        <w:widowControl/>
        <w:kinsoku w:val="0"/>
        <w:overflowPunct w:val="0"/>
        <w:spacing w:before="0"/>
        <w:ind w:left="0"/>
        <w:jc w:val="both"/>
        <w:rPr>
          <w:noProof/>
          <w:sz w:val="24"/>
          <w:szCs w:val="24"/>
        </w:rPr>
      </w:pPr>
    </w:p>
    <w:p w14:paraId="32098755"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Saimniecībā ir arī nelieli ienākošā N papildu daudzumi, piemēram, ar dzirdināšanai un uzkopšanai paredzēto ūdeni, pakaišiem (pakaišu materiālu) un zālēm, bet šie ienākošie daudzumi parasti ir relatīvi mazi (&lt; 5%) salīdzinājumā ar iepriekš minētajiem, un tos šajā gadījumā var neņemt vērā.</w:t>
      </w:r>
    </w:p>
    <w:p w14:paraId="3299944F" w14:textId="77777777" w:rsidR="008E3F72" w:rsidRPr="00F35F4D" w:rsidRDefault="008E3F72" w:rsidP="008E3F72">
      <w:pPr>
        <w:pStyle w:val="BodyText"/>
        <w:widowControl/>
        <w:kinsoku w:val="0"/>
        <w:overflowPunct w:val="0"/>
        <w:spacing w:before="0"/>
        <w:ind w:left="0"/>
        <w:jc w:val="both"/>
        <w:rPr>
          <w:noProof/>
          <w:sz w:val="24"/>
          <w:szCs w:val="24"/>
        </w:rPr>
      </w:pPr>
    </w:p>
    <w:p w14:paraId="48DB58AA" w14:textId="77777777"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Jauktas specializācijas augkopības un lopkopības saimniecībās N pārpalikumu un NIE aprēķina šādi:</w:t>
      </w:r>
    </w:p>
    <w:p w14:paraId="21E553EB" w14:textId="77777777" w:rsidR="008E3F72" w:rsidRPr="00F35F4D" w:rsidRDefault="008E3F72" w:rsidP="008E3F72">
      <w:pPr>
        <w:pStyle w:val="BodyText"/>
        <w:widowControl/>
        <w:tabs>
          <w:tab w:val="left" w:pos="861"/>
        </w:tabs>
        <w:kinsoku w:val="0"/>
        <w:overflowPunct w:val="0"/>
        <w:spacing w:before="0"/>
        <w:ind w:left="0"/>
        <w:jc w:val="both"/>
        <w:rPr>
          <w:noProof/>
          <w:sz w:val="24"/>
          <w:szCs w:val="24"/>
        </w:rPr>
      </w:pPr>
    </w:p>
    <w:p w14:paraId="75D10FE5"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Npārpalikums = [Nmēslošanas līdz. + Nbarība + Ni.kūtsmēsli +Nkomposts + NBF + Natm. + Nsēkla] –[Ndzīvnieki + Nk-augi + Ne.kūtsmēsli] [5],</w:t>
      </w:r>
    </w:p>
    <w:p w14:paraId="705BC6DD" w14:textId="77777777" w:rsidR="008E3F72" w:rsidRPr="00F35F4D" w:rsidRDefault="008E3F72" w:rsidP="008E3F72">
      <w:pPr>
        <w:pStyle w:val="BodyText"/>
        <w:widowControl/>
        <w:kinsoku w:val="0"/>
        <w:overflowPunct w:val="0"/>
        <w:spacing w:before="0"/>
        <w:ind w:left="0"/>
        <w:jc w:val="both"/>
        <w:rPr>
          <w:noProof/>
          <w:sz w:val="24"/>
          <w:szCs w:val="24"/>
        </w:rPr>
      </w:pPr>
    </w:p>
    <w:p w14:paraId="0BE90419"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NIEjaukta saimniecība = [Ndzīvnieki + Nraža + Ne.kūtsmēsli] / [Nmēslošanas līdz. + Nbarība + Ni.kūtsmēsli + Nkomposts + NBF + Natm. + Nsēkla] [6],</w:t>
      </w:r>
    </w:p>
    <w:p w14:paraId="054EF7A5" w14:textId="77777777" w:rsidR="008E3F72" w:rsidRPr="00F35F4D" w:rsidRDefault="008E3F72" w:rsidP="008E3F72">
      <w:pPr>
        <w:pStyle w:val="BodyText"/>
        <w:widowControl/>
        <w:kinsoku w:val="0"/>
        <w:overflowPunct w:val="0"/>
        <w:spacing w:before="0"/>
        <w:ind w:left="0"/>
        <w:jc w:val="both"/>
        <w:rPr>
          <w:noProof/>
          <w:sz w:val="24"/>
          <w:szCs w:val="24"/>
        </w:rPr>
      </w:pPr>
    </w:p>
    <w:p w14:paraId="417F3023"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kur</w:t>
      </w:r>
    </w:p>
    <w:p w14:paraId="47667539" w14:textId="77777777" w:rsidR="008E3F72" w:rsidRPr="00F35F4D" w:rsidRDefault="008E3F72" w:rsidP="008E3F72">
      <w:pPr>
        <w:pStyle w:val="BodyText"/>
        <w:widowControl/>
        <w:kinsoku w:val="0"/>
        <w:overflowPunct w:val="0"/>
        <w:spacing w:before="0"/>
        <w:ind w:left="0"/>
        <w:jc w:val="both"/>
        <w:rPr>
          <w:noProof/>
          <w:sz w:val="24"/>
          <w:szCs w:val="24"/>
        </w:rPr>
      </w:pPr>
    </w:p>
    <w:p w14:paraId="40ABE2A0"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lastRenderedPageBreak/>
        <w:t>Npārpalikums = N pārpalikums saimniecībā, kg/ha</w:t>
      </w:r>
    </w:p>
    <w:p w14:paraId="1D21E294" w14:textId="7BCC3B9A" w:rsidR="008E3F72" w:rsidRPr="00F35F4D" w:rsidRDefault="008E3F72" w:rsidP="008E3F72">
      <w:pPr>
        <w:pStyle w:val="BodyText"/>
        <w:widowControl/>
        <w:tabs>
          <w:tab w:val="left" w:pos="817"/>
        </w:tabs>
        <w:kinsoku w:val="0"/>
        <w:overflowPunct w:val="0"/>
        <w:spacing w:before="0"/>
        <w:ind w:left="0"/>
        <w:jc w:val="both"/>
        <w:rPr>
          <w:noProof/>
          <w:sz w:val="24"/>
          <w:szCs w:val="24"/>
        </w:rPr>
      </w:pPr>
      <w:r w:rsidRPr="00F35F4D">
        <w:rPr>
          <w:noProof/>
          <w:sz w:val="24"/>
        </w:rPr>
        <w:t>Nmēslošanas līdz. = saimniec</w:t>
      </w:r>
      <w:r w:rsidR="008222B2">
        <w:rPr>
          <w:noProof/>
          <w:sz w:val="24"/>
        </w:rPr>
        <w:t>ībā ievestajā slāpekļa mēslošanas līdzeklī</w:t>
      </w:r>
      <w:r w:rsidRPr="00F35F4D">
        <w:rPr>
          <w:noProof/>
          <w:sz w:val="24"/>
        </w:rPr>
        <w:t xml:space="preserve"> esošais N daudzums, kg/ha</w:t>
      </w:r>
    </w:p>
    <w:p w14:paraId="37FE0210" w14:textId="77777777" w:rsidR="008E3F72" w:rsidRPr="00F35F4D" w:rsidRDefault="008E3F72" w:rsidP="008E3F72">
      <w:pPr>
        <w:pStyle w:val="BodyText"/>
        <w:widowControl/>
        <w:tabs>
          <w:tab w:val="left" w:pos="817"/>
        </w:tabs>
        <w:kinsoku w:val="0"/>
        <w:overflowPunct w:val="0"/>
        <w:spacing w:before="0"/>
        <w:ind w:left="0"/>
        <w:jc w:val="both"/>
        <w:rPr>
          <w:noProof/>
          <w:sz w:val="24"/>
          <w:szCs w:val="24"/>
        </w:rPr>
      </w:pPr>
      <w:r w:rsidRPr="00F35F4D">
        <w:rPr>
          <w:noProof/>
          <w:sz w:val="24"/>
        </w:rPr>
        <w:t>Nbarība = saimniecībā ievestajā barībā esošais N daudzums, kg/ha</w:t>
      </w:r>
    </w:p>
    <w:p w14:paraId="26A1DF6E" w14:textId="77777777" w:rsidR="008E3F72" w:rsidRPr="00F35F4D" w:rsidRDefault="008E3F72" w:rsidP="008E3F72">
      <w:pPr>
        <w:pStyle w:val="BodyText"/>
        <w:widowControl/>
        <w:tabs>
          <w:tab w:val="left" w:pos="817"/>
        </w:tabs>
        <w:kinsoku w:val="0"/>
        <w:overflowPunct w:val="0"/>
        <w:spacing w:before="0"/>
        <w:ind w:left="0"/>
        <w:jc w:val="both"/>
        <w:rPr>
          <w:noProof/>
          <w:sz w:val="24"/>
          <w:szCs w:val="24"/>
        </w:rPr>
      </w:pPr>
      <w:r w:rsidRPr="00F35F4D">
        <w:rPr>
          <w:noProof/>
          <w:sz w:val="24"/>
        </w:rPr>
        <w:t>Ni.kūtsmēsli = saimniecībā ievestajos kūtsmēslos esošais N daudzums, kg/ha</w:t>
      </w:r>
    </w:p>
    <w:p w14:paraId="2B053A9B" w14:textId="77777777" w:rsidR="008E3F72" w:rsidRPr="00F35F4D" w:rsidRDefault="008E3F72" w:rsidP="008E3F72">
      <w:pPr>
        <w:pStyle w:val="BodyText"/>
        <w:widowControl/>
        <w:tabs>
          <w:tab w:val="left" w:pos="817"/>
        </w:tabs>
        <w:kinsoku w:val="0"/>
        <w:overflowPunct w:val="0"/>
        <w:spacing w:before="0"/>
        <w:ind w:left="0"/>
        <w:jc w:val="both"/>
        <w:rPr>
          <w:noProof/>
          <w:sz w:val="24"/>
          <w:szCs w:val="24"/>
        </w:rPr>
      </w:pPr>
      <w:r w:rsidRPr="00F35F4D">
        <w:rPr>
          <w:noProof/>
          <w:sz w:val="24"/>
        </w:rPr>
        <w:t>Nkomposts = saimniecībā ievestajā kompostā esošais N daudzums, kg/ha</w:t>
      </w:r>
    </w:p>
    <w:p w14:paraId="02A61644" w14:textId="77777777" w:rsidR="008E3F72" w:rsidRPr="00F35F4D" w:rsidRDefault="008E3F72" w:rsidP="008E3F72">
      <w:pPr>
        <w:pStyle w:val="BodyText"/>
        <w:widowControl/>
        <w:tabs>
          <w:tab w:val="left" w:pos="817"/>
        </w:tabs>
        <w:kinsoku w:val="0"/>
        <w:overflowPunct w:val="0"/>
        <w:spacing w:before="0"/>
        <w:ind w:left="0"/>
        <w:jc w:val="both"/>
        <w:rPr>
          <w:noProof/>
          <w:sz w:val="24"/>
          <w:szCs w:val="24"/>
        </w:rPr>
      </w:pPr>
      <w:r w:rsidRPr="00F35F4D">
        <w:rPr>
          <w:noProof/>
          <w:sz w:val="24"/>
        </w:rPr>
        <w:t>NBF=</w:t>
      </w:r>
      <w:r w:rsidRPr="00F35F4D">
        <w:t xml:space="preserve"> pākšaugos bioloģiski fiksētais </w:t>
      </w:r>
      <w:r w:rsidRPr="00F35F4D">
        <w:rPr>
          <w:noProof/>
          <w:sz w:val="24"/>
        </w:rPr>
        <w:t>N2, kg/ha</w:t>
      </w:r>
    </w:p>
    <w:p w14:paraId="38B0ECE5" w14:textId="77777777" w:rsidR="008E3F72" w:rsidRPr="00F35F4D" w:rsidRDefault="008E3F72" w:rsidP="008E3F72">
      <w:pPr>
        <w:pStyle w:val="BodyText"/>
        <w:widowControl/>
        <w:tabs>
          <w:tab w:val="left" w:pos="817"/>
        </w:tabs>
        <w:kinsoku w:val="0"/>
        <w:overflowPunct w:val="0"/>
        <w:spacing w:before="0"/>
        <w:ind w:left="0"/>
        <w:jc w:val="both"/>
        <w:rPr>
          <w:noProof/>
          <w:sz w:val="24"/>
          <w:szCs w:val="24"/>
        </w:rPr>
      </w:pPr>
      <w:r w:rsidRPr="00F35F4D">
        <w:rPr>
          <w:noProof/>
          <w:sz w:val="24"/>
        </w:rPr>
        <w:t>Natm. = atmosfēras slāpekļa nosēšanās rezultātā ienākošais N daudzums, kg/ha</w:t>
      </w:r>
    </w:p>
    <w:p w14:paraId="767CDDE3"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Nsēkla = saimniecībā ievestajās sēklās un stādos esošais N daudzums, kg/ha</w:t>
      </w:r>
    </w:p>
    <w:p w14:paraId="2F59565C"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Nk-augi = no saimniecības izvesto kultūraugu ražā esošais N daudzums, ieskaitot augu atliekas, kg/ha</w:t>
      </w:r>
    </w:p>
    <w:p w14:paraId="1152DBDF"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Ndzīvnieki = no saimniecības izvestajos dzīvniekos esošais N daudzums (t. i., ieskaitot nedzīvos dzīvniekus un veicot korekciju, lai ņemtu vērā ievestos dzīvniekus), kg</w:t>
      </w:r>
    </w:p>
    <w:p w14:paraId="32C9A253"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Ne.kūtsmēsli = no saimniecības izvestajos kūtsmēslos esošais N daudzums, kg/ha.</w:t>
      </w:r>
    </w:p>
    <w:p w14:paraId="7C651959" w14:textId="77777777" w:rsidR="008E3F72" w:rsidRPr="00F35F4D" w:rsidRDefault="008E3F72" w:rsidP="008E3F72">
      <w:pPr>
        <w:pStyle w:val="BodyText"/>
        <w:widowControl/>
        <w:kinsoku w:val="0"/>
        <w:overflowPunct w:val="0"/>
        <w:spacing w:before="0"/>
        <w:ind w:left="0"/>
        <w:jc w:val="both"/>
        <w:rPr>
          <w:noProof/>
          <w:sz w:val="24"/>
          <w:szCs w:val="24"/>
        </w:rPr>
      </w:pPr>
    </w:p>
    <w:p w14:paraId="4D8A6B4F" w14:textId="498AB9EB" w:rsidR="008E3F72" w:rsidRPr="007127B1"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Ar laiku panāktie uz</w:t>
      </w:r>
      <w:r w:rsidR="008222B2">
        <w:rPr>
          <w:noProof/>
          <w:sz w:val="24"/>
        </w:rPr>
        <w:t>labojumi slāpekļa apsaimniekošanā</w:t>
      </w:r>
      <w:r w:rsidRPr="00F35F4D">
        <w:rPr>
          <w:noProof/>
          <w:sz w:val="24"/>
        </w:rPr>
        <w:t xml:space="preserve"> (un tā rezultātā – slāpekļa zuduma samazinājums) ir saistīti ar Npārpalikuma samazināšanos un NIE paaugst</w:t>
      </w:r>
      <w:r w:rsidR="008222B2">
        <w:rPr>
          <w:noProof/>
          <w:sz w:val="24"/>
        </w:rPr>
        <w:t>ināšanos. Tātad N apsaimniekošanā</w:t>
      </w:r>
      <w:r w:rsidRPr="00F35F4D">
        <w:rPr>
          <w:noProof/>
          <w:sz w:val="24"/>
        </w:rPr>
        <w:t xml:space="preserve"> sasniegto progresu var izvērtēt, veicot Npārpalikuma un NIE monitoringu saimniecībā pa gadiem. Lai ņemtu vērā pa gadiem vērojamās svārstības laika apstākļos un gadījuma rakstura notikumus, ieteicams aprēķināt Npārpalikuma un NIE piecu gadu vidējo vērtību.</w:t>
      </w:r>
    </w:p>
    <w:p w14:paraId="7C66197E" w14:textId="77777777" w:rsidR="007127B1" w:rsidRPr="00F35F4D" w:rsidRDefault="007127B1" w:rsidP="007127B1">
      <w:pPr>
        <w:pStyle w:val="BodyText"/>
        <w:widowControl/>
        <w:tabs>
          <w:tab w:val="left" w:pos="861"/>
        </w:tabs>
        <w:kinsoku w:val="0"/>
        <w:overflowPunct w:val="0"/>
        <w:spacing w:before="0"/>
        <w:ind w:left="0"/>
        <w:jc w:val="both"/>
        <w:rPr>
          <w:noProof/>
          <w:sz w:val="24"/>
          <w:szCs w:val="24"/>
        </w:rPr>
      </w:pPr>
    </w:p>
    <w:p w14:paraId="524398D4" w14:textId="7155E982" w:rsidR="008E3F72" w:rsidRPr="007127B1" w:rsidRDefault="008222B2" w:rsidP="008E3F72">
      <w:pPr>
        <w:pStyle w:val="BodyText"/>
        <w:widowControl/>
        <w:numPr>
          <w:ilvl w:val="0"/>
          <w:numId w:val="5"/>
        </w:numPr>
        <w:tabs>
          <w:tab w:val="left" w:pos="861"/>
        </w:tabs>
        <w:kinsoku w:val="0"/>
        <w:overflowPunct w:val="0"/>
        <w:spacing w:before="0"/>
        <w:ind w:left="0" w:firstLine="0"/>
        <w:jc w:val="both"/>
        <w:rPr>
          <w:noProof/>
          <w:sz w:val="24"/>
          <w:szCs w:val="24"/>
        </w:rPr>
      </w:pPr>
      <w:r>
        <w:rPr>
          <w:noProof/>
          <w:sz w:val="24"/>
        </w:rPr>
        <w:t>Relatīvos N apsaimniekošanas</w:t>
      </w:r>
      <w:r w:rsidR="008E3F72" w:rsidRPr="00F35F4D">
        <w:rPr>
          <w:noProof/>
          <w:sz w:val="24"/>
        </w:rPr>
        <w:t xml:space="preserve"> rezultātus saimniecībās var vērtēt, salīdzinot tos ar rezultātiem citās saimniecībās, paraugsaimniecībās un eksperimentālajās saimniecībās. Specializēto augkopības sistēmu Npārpalikuma un NIE mērķvērtības var noteikt, pamatojoties uz vislabāk pārvaldītajām augkopības sistēmām, kas īstenotas praksē (eksperimentālajām/paraugsaimniecībām), ņemot vērā augsnes faktorus.</w:t>
      </w:r>
    </w:p>
    <w:p w14:paraId="73ECFBEB" w14:textId="77777777" w:rsidR="007127B1" w:rsidRPr="00F35F4D" w:rsidRDefault="007127B1" w:rsidP="007127B1">
      <w:pPr>
        <w:pStyle w:val="BodyText"/>
        <w:widowControl/>
        <w:tabs>
          <w:tab w:val="left" w:pos="861"/>
        </w:tabs>
        <w:kinsoku w:val="0"/>
        <w:overflowPunct w:val="0"/>
        <w:spacing w:before="0"/>
        <w:ind w:left="0"/>
        <w:jc w:val="both"/>
        <w:rPr>
          <w:noProof/>
          <w:sz w:val="24"/>
          <w:szCs w:val="24"/>
        </w:rPr>
      </w:pPr>
    </w:p>
    <w:p w14:paraId="064AE2C6" w14:textId="77777777" w:rsidR="008E3F72" w:rsidRPr="007127B1"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Kultūraugiem ir atšķirīga spēja uzņemt augsnē esošo N, kas saistīta ar atšķirībām saknes garumā un formā un veģetācijas perioda ilgumā. Graudzālēm (graudaugiem un zālei) ir augsta uzņemšanas spēja; lapu dārzeņiem (salātiem, spinātiem) – zema uzņemšanas spēja. Npārpalikuma un NIE orientējošās mērķvērtības būtu jānosaka saskaņā ar daļu, ko saimniecības kopplatībā aizņem graudaugi un zāles platības (piemēram, pa piecām grupām – &lt; 25 %; 25–50 %, 50–75 %, 75–90 % un &gt; 90 %) (AI.4. tabula).</w:t>
      </w:r>
    </w:p>
    <w:p w14:paraId="61E935E4" w14:textId="77777777" w:rsidR="007127B1" w:rsidRPr="00F35F4D" w:rsidRDefault="007127B1" w:rsidP="007127B1">
      <w:pPr>
        <w:pStyle w:val="BodyText"/>
        <w:widowControl/>
        <w:tabs>
          <w:tab w:val="left" w:pos="861"/>
        </w:tabs>
        <w:kinsoku w:val="0"/>
        <w:overflowPunct w:val="0"/>
        <w:spacing w:before="0"/>
        <w:ind w:left="0"/>
        <w:jc w:val="both"/>
        <w:rPr>
          <w:noProof/>
          <w:sz w:val="24"/>
          <w:szCs w:val="24"/>
        </w:rPr>
      </w:pPr>
    </w:p>
    <w:p w14:paraId="01EA6CAC" w14:textId="402939B5"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Specializētās augkopības saimniecībās, kur graudaugi aizņem vairāk nekā 90 % no platības, saskaņā ar vienādojuma [7] ievades datiem un AI.3. tabulā norādītajām mēslošanas līdzekļa N ekvivalences vērtībām (MLNEV), N daudzums ražā ir aptuveni vienāds ar summāro faktisko ienākošā N daudzumu un N izmantošanas efektivitāte kultūraugos (NIEk-augi) var sasniegt 100 %. Tomēr N izmantošanas efektivitāte kultūraugos samazinās, palielinotie</w:t>
      </w:r>
      <w:r w:rsidR="008222B2">
        <w:rPr>
          <w:noProof/>
          <w:sz w:val="24"/>
        </w:rPr>
        <w:t>s ienākošā N daudzumam, kaitīgo organismu ietekmes vai citu barības elementu</w:t>
      </w:r>
      <w:r w:rsidRPr="00F35F4D">
        <w:rPr>
          <w:noProof/>
          <w:sz w:val="24"/>
        </w:rPr>
        <w:t xml:space="preserve"> ierobežošanas rezultātā; uzdevums ir noskaidrot optimālo N mēslojuma līmeni, kas nodrošina augstu kultūraugu ražu, kvalitāti un NIE un zemu Npārpalikumu. Samazinoties graudaugu relatīvajai platībai augsekā, NIE mērķvērtība samazinās un Npārpalikums palielinās atkarībā arī no faktiskā ienākošā N daudzuma (AI.4. tabula). Npārpalikuma un NIE vērtība ir atkarīga a</w:t>
      </w:r>
      <w:r w:rsidR="000F4940">
        <w:rPr>
          <w:noProof/>
          <w:sz w:val="24"/>
        </w:rPr>
        <w:t>rī no tā, kas notiek ar augu atliekām</w:t>
      </w:r>
      <w:r w:rsidRPr="00F35F4D">
        <w:rPr>
          <w:noProof/>
          <w:sz w:val="24"/>
        </w:rPr>
        <w:t xml:space="preserve">; rugāju novākšana un aizvākšana palielina NIE un samazina Npārpalikumu, </w:t>
      </w:r>
      <w:r w:rsidR="000F4940">
        <w:rPr>
          <w:noProof/>
          <w:sz w:val="24"/>
        </w:rPr>
        <w:t>jo īpaši īstermiņā. Tomēr augu atlieku</w:t>
      </w:r>
      <w:r w:rsidRPr="00F35F4D">
        <w:rPr>
          <w:noProof/>
          <w:sz w:val="24"/>
        </w:rPr>
        <w:t xml:space="preserve"> novākšana ilgākā laika posma var samazināt augsnē uzkrātās organiskas vielas un N. Jāatzīmē, ka </w:t>
      </w:r>
      <w:r w:rsidRPr="00F35F4D">
        <w:rPr>
          <w:noProof/>
          <w:sz w:val="24"/>
        </w:rPr>
        <w:lastRenderedPageBreak/>
        <w:t>saistība starp NIE un Npārpalikumu ir apgriezti proporcionāla (AI.4. tabula). Tomēr dažos gadījumos tā nav; ir iespējamas situācijas, kurās NIE palielināšanās ir saistīta ar nelielu Npārpalikuma palielinājumu.</w:t>
      </w:r>
    </w:p>
    <w:p w14:paraId="1957B271" w14:textId="77777777" w:rsidR="008E3F72" w:rsidRPr="00F35F4D" w:rsidRDefault="008E3F72" w:rsidP="008E3F72">
      <w:pPr>
        <w:pStyle w:val="BodyText"/>
        <w:widowControl/>
        <w:kinsoku w:val="0"/>
        <w:overflowPunct w:val="0"/>
        <w:spacing w:before="0"/>
        <w:ind w:left="0"/>
        <w:jc w:val="both"/>
        <w:rPr>
          <w:noProof/>
          <w:sz w:val="24"/>
          <w:szCs w:val="24"/>
        </w:rPr>
      </w:pPr>
    </w:p>
    <w:p w14:paraId="5465561E" w14:textId="77777777"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Specializētās lopkopības saimniecībās un jauktas specializācijas saimniecības NIE ir daļēji atkarīga no „nenovēršamiem” gāzveida N zudumiem, ko rada kūtsmēsli dzīvnieku novietnēs un krātuvēs NH3 iztvaikošanas un nitrifikācija-denitrifikācijas procesu rezultātā. Nenovēršamie N zudumi ir N zudumi, kas rodas, neraugoties uz labāko pieejamo metožu (LPM) izmantošanu. Dzīvniekos esošā N izmantošanas efektivitātes (NIEdzīvnieki) mērķvērtība jānosaka, pamatojoties uz šādu vienādojumu:</w:t>
      </w:r>
    </w:p>
    <w:p w14:paraId="4EA5AF2A" w14:textId="77777777" w:rsidR="008E3F72" w:rsidRPr="00F35F4D" w:rsidRDefault="008E3F72" w:rsidP="008E3F72">
      <w:pPr>
        <w:pStyle w:val="ListParagraph"/>
        <w:rPr>
          <w:noProof/>
        </w:rPr>
      </w:pPr>
    </w:p>
    <w:p w14:paraId="453DB82C"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MērķaNIEdzīvnieki= [Ndzīvnieki + (Nekskrēcija– Nkūtsmēslu zudumi)] / [Nbarība] [8],</w:t>
      </w:r>
    </w:p>
    <w:p w14:paraId="6BCF489F"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kur</w:t>
      </w:r>
    </w:p>
    <w:p w14:paraId="0A21F766" w14:textId="77777777" w:rsidR="008E3F72" w:rsidRPr="00F35F4D" w:rsidRDefault="008E3F72" w:rsidP="008E3F72">
      <w:pPr>
        <w:pStyle w:val="BodyText"/>
        <w:widowControl/>
        <w:kinsoku w:val="0"/>
        <w:overflowPunct w:val="0"/>
        <w:spacing w:before="0"/>
        <w:ind w:left="0"/>
        <w:jc w:val="both"/>
        <w:rPr>
          <w:noProof/>
          <w:sz w:val="24"/>
          <w:szCs w:val="24"/>
        </w:rPr>
      </w:pPr>
    </w:p>
    <w:p w14:paraId="541CAC71" w14:textId="77777777" w:rsidR="008E3F72" w:rsidRPr="00F35F4D" w:rsidRDefault="008E3F72" w:rsidP="008E3F72">
      <w:pPr>
        <w:pStyle w:val="BodyText"/>
        <w:widowControl/>
        <w:tabs>
          <w:tab w:val="left" w:pos="2258"/>
        </w:tabs>
        <w:kinsoku w:val="0"/>
        <w:overflowPunct w:val="0"/>
        <w:spacing w:before="0"/>
        <w:ind w:left="0"/>
        <w:jc w:val="both"/>
        <w:rPr>
          <w:noProof/>
          <w:sz w:val="24"/>
          <w:szCs w:val="24"/>
        </w:rPr>
      </w:pPr>
      <w:r w:rsidRPr="00F35F4D">
        <w:t>MērķaNIEdzīvnieki= N izmantošanas efektivitāte saimniecībā, masas attiecībās (bez mērvienībām)</w:t>
      </w:r>
    </w:p>
    <w:p w14:paraId="6B104137" w14:textId="77777777" w:rsidR="008E3F72" w:rsidRPr="00F35F4D" w:rsidRDefault="008E3F72" w:rsidP="008E3F72">
      <w:pPr>
        <w:pStyle w:val="BodyText"/>
        <w:widowControl/>
        <w:tabs>
          <w:tab w:val="left" w:pos="2258"/>
        </w:tabs>
        <w:kinsoku w:val="0"/>
        <w:overflowPunct w:val="0"/>
        <w:spacing w:before="0"/>
        <w:ind w:left="0"/>
        <w:jc w:val="both"/>
        <w:rPr>
          <w:noProof/>
          <w:sz w:val="24"/>
          <w:szCs w:val="24"/>
        </w:rPr>
      </w:pPr>
    </w:p>
    <w:p w14:paraId="69A2D6D6"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Ndzīvnieki = no saimniecības izvestajos dzīvniekos esošais tīrais N daudzums (t. i., ieskaitot nedzīvos dzīvniekus un veicot korekciju, lai ņemtu vērā ievestos dzīvniekus), kg</w:t>
      </w:r>
    </w:p>
    <w:p w14:paraId="2718B353" w14:textId="77777777" w:rsidR="008E3F72" w:rsidRPr="00F35F4D" w:rsidRDefault="008E3F72" w:rsidP="008E3F72">
      <w:pPr>
        <w:pStyle w:val="BodyText"/>
        <w:widowControl/>
        <w:kinsoku w:val="0"/>
        <w:overflowPunct w:val="0"/>
        <w:spacing w:before="0"/>
        <w:ind w:left="0"/>
        <w:jc w:val="both"/>
        <w:rPr>
          <w:noProof/>
          <w:sz w:val="24"/>
          <w:szCs w:val="24"/>
        </w:rPr>
      </w:pPr>
    </w:p>
    <w:p w14:paraId="79A439FC"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Nbarība = saimniecībā ievestajā barībā esošais tīrais N daudzums, kg Nekskrēcija = dzīvnieku ekskrementos izdalītais N daudzums laikā, kad tie atrodas novietnēs, kg</w:t>
      </w:r>
    </w:p>
    <w:p w14:paraId="2C5179A6" w14:textId="77777777" w:rsidR="008E3F72" w:rsidRPr="00F35F4D" w:rsidRDefault="008E3F72" w:rsidP="008E3F72">
      <w:pPr>
        <w:pStyle w:val="BodyText"/>
        <w:widowControl/>
        <w:kinsoku w:val="0"/>
        <w:overflowPunct w:val="0"/>
        <w:spacing w:before="0"/>
        <w:ind w:left="0"/>
        <w:jc w:val="both"/>
        <w:rPr>
          <w:noProof/>
          <w:sz w:val="24"/>
          <w:szCs w:val="24"/>
        </w:rPr>
      </w:pPr>
    </w:p>
    <w:p w14:paraId="4CB4ADF2"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Nkūtsmēslu zudumi = neizbēgamie N zudumi no kūtsmēsliem dzīvnieku novietnēs un krātuvēs NH3 iztvaikošanas un nitrifikācija-denitrifikacijas procesu rezultātā, kg</w:t>
      </w:r>
    </w:p>
    <w:p w14:paraId="4A81F22F" w14:textId="77777777" w:rsidR="008E3F72" w:rsidRPr="00F35F4D" w:rsidRDefault="008E3F72" w:rsidP="008E3F72">
      <w:pPr>
        <w:pStyle w:val="BodyText"/>
        <w:widowControl/>
        <w:kinsoku w:val="0"/>
        <w:overflowPunct w:val="0"/>
        <w:spacing w:before="0"/>
        <w:ind w:left="0"/>
        <w:jc w:val="both"/>
        <w:rPr>
          <w:noProof/>
          <w:sz w:val="24"/>
          <w:szCs w:val="24"/>
        </w:rPr>
      </w:pPr>
    </w:p>
    <w:p w14:paraId="7634C3AC"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Nekskrēcija – Nkūtsmēslu zudumi = no saimniecības izvestajos kūtsmēslos esošais N daudzums.</w:t>
      </w:r>
    </w:p>
    <w:p w14:paraId="61438C14" w14:textId="77777777" w:rsidR="008E3F72" w:rsidRPr="00F35F4D" w:rsidRDefault="008E3F72" w:rsidP="008E3F72">
      <w:pPr>
        <w:pStyle w:val="BodyText"/>
        <w:widowControl/>
        <w:kinsoku w:val="0"/>
        <w:overflowPunct w:val="0"/>
        <w:spacing w:before="0"/>
        <w:ind w:left="0"/>
        <w:jc w:val="both"/>
        <w:rPr>
          <w:noProof/>
          <w:sz w:val="24"/>
          <w:szCs w:val="24"/>
        </w:rPr>
      </w:pPr>
    </w:p>
    <w:p w14:paraId="7761B8FF"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AI.4 tabula</w:t>
      </w:r>
    </w:p>
    <w:p w14:paraId="7B0317C1"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NIE un Npārpalikumu orientējošās vērtības specializētās augkopības saimniecībās ar mērenu un augstu ienākošo N daudzumu un atkarībā no graudaugu procentuālās daļas augsekā</w:t>
      </w:r>
    </w:p>
    <w:p w14:paraId="40B3308A"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1263"/>
        <w:gridCol w:w="780"/>
        <w:gridCol w:w="1829"/>
        <w:gridCol w:w="796"/>
        <w:gridCol w:w="816"/>
        <w:gridCol w:w="1352"/>
        <w:gridCol w:w="1390"/>
      </w:tblGrid>
      <w:tr w:rsidR="008E3F72" w:rsidRPr="00DE2C08" w14:paraId="601DE31B" w14:textId="77777777" w:rsidTr="0010018A">
        <w:tc>
          <w:tcPr>
            <w:tcW w:w="767" w:type="pct"/>
            <w:tcBorders>
              <w:top w:val="single" w:sz="4" w:space="0" w:color="auto"/>
              <w:left w:val="nil"/>
              <w:bottom w:val="nil"/>
              <w:right w:val="nil"/>
            </w:tcBorders>
            <w:shd w:val="clear" w:color="auto" w:fill="FFFFFF"/>
          </w:tcPr>
          <w:p w14:paraId="3559E77D" w14:textId="77777777" w:rsidR="008E3F72" w:rsidRPr="00DE2C08" w:rsidRDefault="008E3F72" w:rsidP="0010018A">
            <w:pPr>
              <w:pStyle w:val="BodyText"/>
              <w:kinsoku w:val="0"/>
              <w:overflowPunct w:val="0"/>
              <w:jc w:val="both"/>
              <w:rPr>
                <w:noProof/>
              </w:rPr>
            </w:pPr>
          </w:p>
        </w:tc>
        <w:tc>
          <w:tcPr>
            <w:tcW w:w="1586" w:type="pct"/>
            <w:gridSpan w:val="2"/>
            <w:tcBorders>
              <w:top w:val="single" w:sz="4" w:space="0" w:color="auto"/>
              <w:left w:val="nil"/>
              <w:bottom w:val="nil"/>
              <w:right w:val="nil"/>
            </w:tcBorders>
            <w:shd w:val="clear" w:color="auto" w:fill="FFFFFF"/>
            <w:vAlign w:val="bottom"/>
          </w:tcPr>
          <w:p w14:paraId="55127994" w14:textId="77777777" w:rsidR="008E3F72" w:rsidRPr="00DE2C08" w:rsidRDefault="008E3F72" w:rsidP="0010018A">
            <w:pPr>
              <w:pStyle w:val="BodyText"/>
              <w:kinsoku w:val="0"/>
              <w:overflowPunct w:val="0"/>
              <w:jc w:val="both"/>
              <w:rPr>
                <w:i/>
                <w:iCs/>
                <w:noProof/>
              </w:rPr>
            </w:pPr>
            <w:r w:rsidRPr="00DE2C08">
              <w:rPr>
                <w:i/>
                <w:noProof/>
              </w:rPr>
              <w:t>Mērens ienākošais N daudzums</w:t>
            </w:r>
          </w:p>
        </w:tc>
        <w:tc>
          <w:tcPr>
            <w:tcW w:w="484" w:type="pct"/>
            <w:tcBorders>
              <w:top w:val="single" w:sz="4" w:space="0" w:color="auto"/>
              <w:left w:val="nil"/>
              <w:bottom w:val="nil"/>
              <w:right w:val="nil"/>
            </w:tcBorders>
            <w:shd w:val="clear" w:color="auto" w:fill="FFFFFF"/>
          </w:tcPr>
          <w:p w14:paraId="40CF146F" w14:textId="77777777" w:rsidR="008E3F72" w:rsidRPr="00DE2C08" w:rsidRDefault="008E3F72" w:rsidP="0010018A">
            <w:pPr>
              <w:pStyle w:val="BodyText"/>
              <w:kinsoku w:val="0"/>
              <w:overflowPunct w:val="0"/>
              <w:jc w:val="both"/>
              <w:rPr>
                <w:noProof/>
              </w:rPr>
            </w:pPr>
          </w:p>
        </w:tc>
        <w:tc>
          <w:tcPr>
            <w:tcW w:w="496" w:type="pct"/>
            <w:tcBorders>
              <w:top w:val="single" w:sz="4" w:space="0" w:color="auto"/>
              <w:left w:val="nil"/>
              <w:bottom w:val="nil"/>
              <w:right w:val="nil"/>
            </w:tcBorders>
            <w:shd w:val="clear" w:color="auto" w:fill="FFFFFF"/>
          </w:tcPr>
          <w:p w14:paraId="634FAEDA" w14:textId="77777777" w:rsidR="008E3F72" w:rsidRPr="00DE2C08" w:rsidRDefault="008E3F72" w:rsidP="0010018A">
            <w:pPr>
              <w:pStyle w:val="BodyText"/>
              <w:kinsoku w:val="0"/>
              <w:overflowPunct w:val="0"/>
              <w:jc w:val="both"/>
              <w:rPr>
                <w:noProof/>
              </w:rPr>
            </w:pPr>
          </w:p>
        </w:tc>
        <w:tc>
          <w:tcPr>
            <w:tcW w:w="1667" w:type="pct"/>
            <w:gridSpan w:val="2"/>
            <w:tcBorders>
              <w:top w:val="single" w:sz="4" w:space="0" w:color="auto"/>
              <w:left w:val="nil"/>
              <w:bottom w:val="nil"/>
              <w:right w:val="nil"/>
            </w:tcBorders>
            <w:shd w:val="clear" w:color="auto" w:fill="FFFFFF"/>
            <w:vAlign w:val="bottom"/>
          </w:tcPr>
          <w:p w14:paraId="02F3DACF" w14:textId="77777777" w:rsidR="008E3F72" w:rsidRPr="00DE2C08" w:rsidRDefault="008E3F72" w:rsidP="0010018A">
            <w:pPr>
              <w:pStyle w:val="BodyText"/>
              <w:kinsoku w:val="0"/>
              <w:overflowPunct w:val="0"/>
              <w:jc w:val="both"/>
              <w:rPr>
                <w:i/>
                <w:iCs/>
                <w:noProof/>
              </w:rPr>
            </w:pPr>
            <w:r w:rsidRPr="00DE2C08">
              <w:rPr>
                <w:i/>
                <w:noProof/>
              </w:rPr>
              <w:t>Augsts ienākošais N daudzums</w:t>
            </w:r>
          </w:p>
        </w:tc>
      </w:tr>
      <w:tr w:rsidR="008E3F72" w:rsidRPr="00DE2C08" w14:paraId="6DA45BF7" w14:textId="77777777" w:rsidTr="0010018A">
        <w:tc>
          <w:tcPr>
            <w:tcW w:w="767" w:type="pct"/>
            <w:vMerge w:val="restart"/>
            <w:tcBorders>
              <w:top w:val="nil"/>
              <w:left w:val="nil"/>
              <w:bottom w:val="nil"/>
              <w:right w:val="nil"/>
            </w:tcBorders>
            <w:shd w:val="clear" w:color="auto" w:fill="FFFFFF"/>
            <w:vAlign w:val="bottom"/>
          </w:tcPr>
          <w:p w14:paraId="759E6D95" w14:textId="77777777" w:rsidR="008E3F72" w:rsidRPr="00DE2C08" w:rsidRDefault="008E3F72" w:rsidP="0010018A">
            <w:pPr>
              <w:pStyle w:val="BodyText"/>
              <w:kinsoku w:val="0"/>
              <w:overflowPunct w:val="0"/>
              <w:jc w:val="both"/>
              <w:rPr>
                <w:i/>
                <w:iCs/>
                <w:noProof/>
              </w:rPr>
            </w:pPr>
            <w:r w:rsidRPr="00DE2C08">
              <w:rPr>
                <w:i/>
                <w:noProof/>
              </w:rPr>
              <w:t>Graudaugi (%)</w:t>
            </w:r>
          </w:p>
        </w:tc>
        <w:tc>
          <w:tcPr>
            <w:tcW w:w="474" w:type="pct"/>
            <w:vMerge w:val="restart"/>
            <w:tcBorders>
              <w:top w:val="single" w:sz="4" w:space="0" w:color="auto"/>
              <w:left w:val="nil"/>
              <w:bottom w:val="nil"/>
              <w:right w:val="nil"/>
            </w:tcBorders>
            <w:shd w:val="clear" w:color="auto" w:fill="FFFFFF"/>
            <w:vAlign w:val="bottom"/>
          </w:tcPr>
          <w:p w14:paraId="59DED7C0" w14:textId="77777777" w:rsidR="008E3F72" w:rsidRPr="00DE2C08" w:rsidRDefault="008E3F72" w:rsidP="0010018A">
            <w:pPr>
              <w:pStyle w:val="BodyText"/>
              <w:kinsoku w:val="0"/>
              <w:overflowPunct w:val="0"/>
              <w:jc w:val="both"/>
              <w:rPr>
                <w:i/>
                <w:iCs/>
                <w:noProof/>
              </w:rPr>
            </w:pPr>
            <w:r w:rsidRPr="00DE2C08">
              <w:rPr>
                <w:i/>
                <w:noProof/>
              </w:rPr>
              <w:t>NIE</w:t>
            </w:r>
          </w:p>
          <w:p w14:paraId="5507CCDF" w14:textId="77777777" w:rsidR="008E3F72" w:rsidRPr="00DE2C08" w:rsidRDefault="008E3F72" w:rsidP="0010018A">
            <w:pPr>
              <w:pStyle w:val="BodyText"/>
              <w:kinsoku w:val="0"/>
              <w:overflowPunct w:val="0"/>
              <w:jc w:val="both"/>
              <w:rPr>
                <w:i/>
                <w:iCs/>
                <w:noProof/>
              </w:rPr>
            </w:pPr>
            <w:r w:rsidRPr="00DE2C08">
              <w:rPr>
                <w:i/>
                <w:noProof/>
              </w:rPr>
              <w:t>(%)</w:t>
            </w:r>
          </w:p>
        </w:tc>
        <w:tc>
          <w:tcPr>
            <w:tcW w:w="1112" w:type="pct"/>
            <w:tcBorders>
              <w:top w:val="single" w:sz="4" w:space="0" w:color="auto"/>
              <w:left w:val="nil"/>
              <w:bottom w:val="nil"/>
              <w:right w:val="nil"/>
            </w:tcBorders>
            <w:shd w:val="clear" w:color="auto" w:fill="FFFFFF"/>
            <w:vAlign w:val="center"/>
          </w:tcPr>
          <w:p w14:paraId="274B64F9" w14:textId="77777777" w:rsidR="008E3F72" w:rsidRPr="00DE2C08" w:rsidRDefault="008E3F72" w:rsidP="0010018A">
            <w:pPr>
              <w:pStyle w:val="BodyText"/>
              <w:kinsoku w:val="0"/>
              <w:overflowPunct w:val="0"/>
              <w:jc w:val="both"/>
              <w:rPr>
                <w:i/>
                <w:iCs/>
                <w:noProof/>
              </w:rPr>
            </w:pPr>
            <w:r w:rsidRPr="00DE2C08">
              <w:rPr>
                <w:i/>
                <w:noProof/>
              </w:rPr>
              <w:t>Npārpalikums</w:t>
            </w:r>
          </w:p>
        </w:tc>
        <w:tc>
          <w:tcPr>
            <w:tcW w:w="484" w:type="pct"/>
            <w:tcBorders>
              <w:top w:val="single" w:sz="4" w:space="0" w:color="auto"/>
              <w:left w:val="nil"/>
              <w:bottom w:val="nil"/>
              <w:right w:val="nil"/>
            </w:tcBorders>
            <w:shd w:val="clear" w:color="auto" w:fill="FFFFFF"/>
          </w:tcPr>
          <w:p w14:paraId="126D75C2" w14:textId="77777777" w:rsidR="008E3F72" w:rsidRPr="00DE2C08" w:rsidRDefault="008E3F72" w:rsidP="0010018A">
            <w:pPr>
              <w:pStyle w:val="BodyText"/>
              <w:kinsoku w:val="0"/>
              <w:overflowPunct w:val="0"/>
              <w:jc w:val="both"/>
              <w:rPr>
                <w:noProof/>
              </w:rPr>
            </w:pPr>
          </w:p>
        </w:tc>
        <w:tc>
          <w:tcPr>
            <w:tcW w:w="496" w:type="pct"/>
            <w:tcBorders>
              <w:top w:val="single" w:sz="4" w:space="0" w:color="auto"/>
              <w:left w:val="nil"/>
              <w:bottom w:val="nil"/>
              <w:right w:val="nil"/>
            </w:tcBorders>
            <w:shd w:val="clear" w:color="auto" w:fill="FFFFFF"/>
          </w:tcPr>
          <w:p w14:paraId="0C4B4A07" w14:textId="77777777" w:rsidR="008E3F72" w:rsidRPr="00DE2C08" w:rsidRDefault="008E3F72" w:rsidP="0010018A">
            <w:pPr>
              <w:pStyle w:val="BodyText"/>
              <w:kinsoku w:val="0"/>
              <w:overflowPunct w:val="0"/>
              <w:jc w:val="both"/>
              <w:rPr>
                <w:noProof/>
              </w:rPr>
            </w:pPr>
          </w:p>
        </w:tc>
        <w:tc>
          <w:tcPr>
            <w:tcW w:w="1667" w:type="pct"/>
            <w:gridSpan w:val="2"/>
            <w:tcBorders>
              <w:top w:val="single" w:sz="4" w:space="0" w:color="auto"/>
              <w:left w:val="nil"/>
              <w:bottom w:val="nil"/>
              <w:right w:val="nil"/>
            </w:tcBorders>
            <w:shd w:val="clear" w:color="auto" w:fill="FFFFFF"/>
            <w:vAlign w:val="center"/>
          </w:tcPr>
          <w:p w14:paraId="3F63AB03" w14:textId="77777777" w:rsidR="008E3F72" w:rsidRPr="00DE2C08" w:rsidRDefault="008E3F72" w:rsidP="0010018A">
            <w:pPr>
              <w:pStyle w:val="BodyText"/>
              <w:kinsoku w:val="0"/>
              <w:overflowPunct w:val="0"/>
              <w:jc w:val="both"/>
              <w:rPr>
                <w:i/>
                <w:iCs/>
                <w:noProof/>
              </w:rPr>
            </w:pPr>
            <w:r w:rsidRPr="00DE2C08">
              <w:rPr>
                <w:i/>
                <w:noProof/>
              </w:rPr>
              <w:t>Npārpalikums</w:t>
            </w:r>
          </w:p>
        </w:tc>
      </w:tr>
      <w:tr w:rsidR="008E3F72" w:rsidRPr="00DE2C08" w14:paraId="0797D61B" w14:textId="77777777" w:rsidTr="0010018A">
        <w:tc>
          <w:tcPr>
            <w:tcW w:w="767" w:type="pct"/>
            <w:vMerge/>
            <w:tcBorders>
              <w:top w:val="nil"/>
              <w:left w:val="nil"/>
              <w:bottom w:val="nil"/>
              <w:right w:val="nil"/>
            </w:tcBorders>
            <w:shd w:val="clear" w:color="auto" w:fill="FFFFFF"/>
            <w:vAlign w:val="bottom"/>
          </w:tcPr>
          <w:p w14:paraId="556916AE" w14:textId="77777777" w:rsidR="008E3F72" w:rsidRPr="00DE2C08" w:rsidRDefault="008E3F72" w:rsidP="0010018A">
            <w:pPr>
              <w:pStyle w:val="BodyText"/>
              <w:kinsoku w:val="0"/>
              <w:overflowPunct w:val="0"/>
              <w:jc w:val="both"/>
              <w:rPr>
                <w:noProof/>
              </w:rPr>
            </w:pPr>
          </w:p>
        </w:tc>
        <w:tc>
          <w:tcPr>
            <w:tcW w:w="474" w:type="pct"/>
            <w:vMerge/>
            <w:tcBorders>
              <w:top w:val="nil"/>
              <w:left w:val="nil"/>
              <w:bottom w:val="nil"/>
              <w:right w:val="nil"/>
            </w:tcBorders>
            <w:shd w:val="clear" w:color="auto" w:fill="FFFFFF"/>
            <w:vAlign w:val="bottom"/>
          </w:tcPr>
          <w:p w14:paraId="3B97E61B" w14:textId="77777777" w:rsidR="008E3F72" w:rsidRPr="00DE2C08" w:rsidRDefault="008E3F72" w:rsidP="0010018A">
            <w:pPr>
              <w:pStyle w:val="BodyText"/>
              <w:kinsoku w:val="0"/>
              <w:overflowPunct w:val="0"/>
              <w:jc w:val="both"/>
              <w:rPr>
                <w:noProof/>
              </w:rPr>
            </w:pPr>
          </w:p>
        </w:tc>
        <w:tc>
          <w:tcPr>
            <w:tcW w:w="1596" w:type="pct"/>
            <w:gridSpan w:val="2"/>
            <w:tcBorders>
              <w:top w:val="single" w:sz="4" w:space="0" w:color="auto"/>
              <w:left w:val="nil"/>
              <w:bottom w:val="nil"/>
              <w:right w:val="nil"/>
            </w:tcBorders>
            <w:shd w:val="clear" w:color="auto" w:fill="FFFFFF"/>
            <w:vAlign w:val="bottom"/>
          </w:tcPr>
          <w:p w14:paraId="4D636BEE" w14:textId="77777777" w:rsidR="008E3F72" w:rsidRPr="00DE2C08" w:rsidRDefault="008E3F72" w:rsidP="0010018A">
            <w:pPr>
              <w:pStyle w:val="BodyText"/>
              <w:kinsoku w:val="0"/>
              <w:overflowPunct w:val="0"/>
              <w:jc w:val="both"/>
              <w:rPr>
                <w:i/>
                <w:iCs/>
                <w:noProof/>
              </w:rPr>
            </w:pPr>
            <w:r w:rsidRPr="00DE2C08">
              <w:rPr>
                <w:i/>
                <w:noProof/>
              </w:rPr>
              <w:t>50 kg/ha gadā 100 kg/ha gadā</w:t>
            </w:r>
          </w:p>
        </w:tc>
        <w:tc>
          <w:tcPr>
            <w:tcW w:w="496" w:type="pct"/>
            <w:tcBorders>
              <w:top w:val="single" w:sz="4" w:space="0" w:color="auto"/>
              <w:left w:val="nil"/>
              <w:bottom w:val="nil"/>
              <w:right w:val="nil"/>
            </w:tcBorders>
            <w:shd w:val="clear" w:color="auto" w:fill="FFFFFF"/>
            <w:vAlign w:val="center"/>
          </w:tcPr>
          <w:p w14:paraId="7A30664B" w14:textId="77777777" w:rsidR="008E3F72" w:rsidRPr="00DE2C08" w:rsidRDefault="008E3F72" w:rsidP="0010018A">
            <w:pPr>
              <w:pStyle w:val="BodyText"/>
              <w:kinsoku w:val="0"/>
              <w:overflowPunct w:val="0"/>
              <w:jc w:val="both"/>
              <w:rPr>
                <w:i/>
                <w:iCs/>
                <w:noProof/>
              </w:rPr>
            </w:pPr>
            <w:r w:rsidRPr="00DE2C08">
              <w:rPr>
                <w:i/>
                <w:noProof/>
              </w:rPr>
              <w:t>NIE</w:t>
            </w:r>
          </w:p>
          <w:p w14:paraId="2DD14D79" w14:textId="77777777" w:rsidR="008E3F72" w:rsidRPr="00DE2C08" w:rsidRDefault="008E3F72" w:rsidP="0010018A">
            <w:pPr>
              <w:pStyle w:val="BodyText"/>
              <w:kinsoku w:val="0"/>
              <w:overflowPunct w:val="0"/>
              <w:jc w:val="both"/>
              <w:rPr>
                <w:i/>
                <w:iCs/>
                <w:noProof/>
              </w:rPr>
            </w:pPr>
            <w:r w:rsidRPr="00DE2C08">
              <w:rPr>
                <w:i/>
                <w:noProof/>
              </w:rPr>
              <w:t>(%)</w:t>
            </w:r>
          </w:p>
        </w:tc>
        <w:tc>
          <w:tcPr>
            <w:tcW w:w="822" w:type="pct"/>
            <w:tcBorders>
              <w:top w:val="single" w:sz="4" w:space="0" w:color="auto"/>
              <w:left w:val="nil"/>
              <w:bottom w:val="nil"/>
              <w:right w:val="nil"/>
            </w:tcBorders>
            <w:shd w:val="clear" w:color="auto" w:fill="FFFFFF"/>
            <w:vAlign w:val="bottom"/>
          </w:tcPr>
          <w:p w14:paraId="5195E91B" w14:textId="77777777" w:rsidR="008E3F72" w:rsidRPr="00DE2C08" w:rsidRDefault="008E3F72" w:rsidP="0010018A">
            <w:pPr>
              <w:pStyle w:val="BodyText"/>
              <w:kinsoku w:val="0"/>
              <w:overflowPunct w:val="0"/>
              <w:jc w:val="both"/>
              <w:rPr>
                <w:i/>
                <w:iCs/>
                <w:noProof/>
              </w:rPr>
            </w:pPr>
            <w:r w:rsidRPr="00DE2C08">
              <w:rPr>
                <w:i/>
                <w:noProof/>
              </w:rPr>
              <w:t>150 kg/ha gadā</w:t>
            </w:r>
          </w:p>
        </w:tc>
        <w:tc>
          <w:tcPr>
            <w:tcW w:w="845" w:type="pct"/>
            <w:tcBorders>
              <w:top w:val="single" w:sz="4" w:space="0" w:color="auto"/>
              <w:left w:val="nil"/>
              <w:bottom w:val="nil"/>
              <w:right w:val="nil"/>
            </w:tcBorders>
            <w:shd w:val="clear" w:color="auto" w:fill="FFFFFF"/>
            <w:vAlign w:val="bottom"/>
          </w:tcPr>
          <w:p w14:paraId="7F1C9BF4" w14:textId="77777777" w:rsidR="008E3F72" w:rsidRPr="00DE2C08" w:rsidRDefault="008E3F72" w:rsidP="0010018A">
            <w:pPr>
              <w:pStyle w:val="BodyText"/>
              <w:kinsoku w:val="0"/>
              <w:overflowPunct w:val="0"/>
              <w:jc w:val="both"/>
              <w:rPr>
                <w:i/>
                <w:iCs/>
                <w:noProof/>
              </w:rPr>
            </w:pPr>
            <w:r w:rsidRPr="00DE2C08">
              <w:rPr>
                <w:i/>
                <w:noProof/>
              </w:rPr>
              <w:t>200 kg/ha gadā</w:t>
            </w:r>
          </w:p>
        </w:tc>
      </w:tr>
      <w:tr w:rsidR="008E3F72" w:rsidRPr="00DE2C08" w14:paraId="3F67C67A" w14:textId="77777777" w:rsidTr="0010018A">
        <w:tc>
          <w:tcPr>
            <w:tcW w:w="767" w:type="pct"/>
            <w:tcBorders>
              <w:top w:val="single" w:sz="4" w:space="0" w:color="auto"/>
              <w:left w:val="nil"/>
              <w:bottom w:val="nil"/>
              <w:right w:val="nil"/>
            </w:tcBorders>
            <w:shd w:val="clear" w:color="auto" w:fill="FFFFFF"/>
            <w:vAlign w:val="bottom"/>
          </w:tcPr>
          <w:p w14:paraId="66FD8407" w14:textId="77777777" w:rsidR="008E3F72" w:rsidRPr="00DE2C08" w:rsidRDefault="008E3F72" w:rsidP="0010018A">
            <w:pPr>
              <w:pStyle w:val="BodyText"/>
              <w:kinsoku w:val="0"/>
              <w:overflowPunct w:val="0"/>
              <w:jc w:val="both"/>
              <w:rPr>
                <w:noProof/>
              </w:rPr>
            </w:pPr>
            <w:r w:rsidRPr="00DE2C08">
              <w:rPr>
                <w:noProof/>
              </w:rPr>
              <w:t>90–100</w:t>
            </w:r>
          </w:p>
        </w:tc>
        <w:tc>
          <w:tcPr>
            <w:tcW w:w="474" w:type="pct"/>
            <w:tcBorders>
              <w:top w:val="single" w:sz="4" w:space="0" w:color="auto"/>
              <w:left w:val="nil"/>
              <w:bottom w:val="nil"/>
              <w:right w:val="nil"/>
            </w:tcBorders>
            <w:shd w:val="clear" w:color="auto" w:fill="FFFFFF"/>
            <w:vAlign w:val="bottom"/>
          </w:tcPr>
          <w:p w14:paraId="26BEDF8E" w14:textId="77777777" w:rsidR="008E3F72" w:rsidRPr="00DE2C08" w:rsidRDefault="008E3F72" w:rsidP="0010018A">
            <w:pPr>
              <w:pStyle w:val="BodyText"/>
              <w:kinsoku w:val="0"/>
              <w:overflowPunct w:val="0"/>
              <w:jc w:val="both"/>
              <w:rPr>
                <w:noProof/>
              </w:rPr>
            </w:pPr>
            <w:r w:rsidRPr="00DE2C08">
              <w:rPr>
                <w:noProof/>
              </w:rPr>
              <w:t>100</w:t>
            </w:r>
          </w:p>
        </w:tc>
        <w:tc>
          <w:tcPr>
            <w:tcW w:w="1112" w:type="pct"/>
            <w:tcBorders>
              <w:top w:val="single" w:sz="4" w:space="0" w:color="auto"/>
              <w:left w:val="nil"/>
              <w:bottom w:val="nil"/>
              <w:right w:val="nil"/>
            </w:tcBorders>
            <w:shd w:val="clear" w:color="auto" w:fill="FFFFFF"/>
            <w:vAlign w:val="bottom"/>
          </w:tcPr>
          <w:p w14:paraId="03930A5B" w14:textId="77777777" w:rsidR="008E3F72" w:rsidRPr="00DE2C08" w:rsidRDefault="008E3F72" w:rsidP="0010018A">
            <w:pPr>
              <w:pStyle w:val="BodyText"/>
              <w:kinsoku w:val="0"/>
              <w:overflowPunct w:val="0"/>
              <w:jc w:val="both"/>
              <w:rPr>
                <w:noProof/>
              </w:rPr>
            </w:pPr>
            <w:r w:rsidRPr="00DE2C08">
              <w:rPr>
                <w:noProof/>
              </w:rPr>
              <w:t>0</w:t>
            </w:r>
          </w:p>
        </w:tc>
        <w:tc>
          <w:tcPr>
            <w:tcW w:w="484" w:type="pct"/>
            <w:tcBorders>
              <w:top w:val="single" w:sz="4" w:space="0" w:color="auto"/>
              <w:left w:val="nil"/>
              <w:bottom w:val="nil"/>
              <w:right w:val="nil"/>
            </w:tcBorders>
            <w:shd w:val="clear" w:color="auto" w:fill="FFFFFF"/>
            <w:vAlign w:val="bottom"/>
          </w:tcPr>
          <w:p w14:paraId="3B00E847" w14:textId="77777777" w:rsidR="008E3F72" w:rsidRPr="00DE2C08" w:rsidRDefault="008E3F72" w:rsidP="0010018A">
            <w:pPr>
              <w:pStyle w:val="BodyText"/>
              <w:kinsoku w:val="0"/>
              <w:overflowPunct w:val="0"/>
              <w:jc w:val="both"/>
              <w:rPr>
                <w:noProof/>
              </w:rPr>
            </w:pPr>
            <w:r w:rsidRPr="00DE2C08">
              <w:rPr>
                <w:noProof/>
              </w:rPr>
              <w:t>0</w:t>
            </w:r>
          </w:p>
        </w:tc>
        <w:tc>
          <w:tcPr>
            <w:tcW w:w="496" w:type="pct"/>
            <w:tcBorders>
              <w:top w:val="single" w:sz="4" w:space="0" w:color="auto"/>
              <w:left w:val="nil"/>
              <w:bottom w:val="nil"/>
              <w:right w:val="nil"/>
            </w:tcBorders>
            <w:shd w:val="clear" w:color="auto" w:fill="FFFFFF"/>
            <w:vAlign w:val="bottom"/>
          </w:tcPr>
          <w:p w14:paraId="2CDBAD82" w14:textId="77777777" w:rsidR="008E3F72" w:rsidRPr="00DE2C08" w:rsidRDefault="008E3F72" w:rsidP="0010018A">
            <w:pPr>
              <w:pStyle w:val="BodyText"/>
              <w:kinsoku w:val="0"/>
              <w:overflowPunct w:val="0"/>
              <w:jc w:val="both"/>
              <w:rPr>
                <w:noProof/>
              </w:rPr>
            </w:pPr>
            <w:r w:rsidRPr="00DE2C08">
              <w:rPr>
                <w:noProof/>
              </w:rPr>
              <w:t>80</w:t>
            </w:r>
          </w:p>
        </w:tc>
        <w:tc>
          <w:tcPr>
            <w:tcW w:w="822" w:type="pct"/>
            <w:tcBorders>
              <w:top w:val="single" w:sz="4" w:space="0" w:color="auto"/>
              <w:left w:val="nil"/>
              <w:bottom w:val="nil"/>
              <w:right w:val="nil"/>
            </w:tcBorders>
            <w:shd w:val="clear" w:color="auto" w:fill="FFFFFF"/>
            <w:vAlign w:val="bottom"/>
          </w:tcPr>
          <w:p w14:paraId="029C132C" w14:textId="77777777" w:rsidR="008E3F72" w:rsidRPr="00DE2C08" w:rsidRDefault="008E3F72" w:rsidP="0010018A">
            <w:pPr>
              <w:pStyle w:val="BodyText"/>
              <w:kinsoku w:val="0"/>
              <w:overflowPunct w:val="0"/>
              <w:jc w:val="both"/>
              <w:rPr>
                <w:noProof/>
              </w:rPr>
            </w:pPr>
            <w:r w:rsidRPr="00DE2C08">
              <w:rPr>
                <w:noProof/>
              </w:rPr>
              <w:t>30</w:t>
            </w:r>
          </w:p>
        </w:tc>
        <w:tc>
          <w:tcPr>
            <w:tcW w:w="845" w:type="pct"/>
            <w:tcBorders>
              <w:top w:val="single" w:sz="4" w:space="0" w:color="auto"/>
              <w:left w:val="nil"/>
              <w:bottom w:val="nil"/>
              <w:right w:val="nil"/>
            </w:tcBorders>
            <w:shd w:val="clear" w:color="auto" w:fill="FFFFFF"/>
            <w:vAlign w:val="bottom"/>
          </w:tcPr>
          <w:p w14:paraId="38982247" w14:textId="77777777" w:rsidR="008E3F72" w:rsidRPr="00DE2C08" w:rsidRDefault="008E3F72" w:rsidP="0010018A">
            <w:pPr>
              <w:pStyle w:val="BodyText"/>
              <w:kinsoku w:val="0"/>
              <w:overflowPunct w:val="0"/>
              <w:jc w:val="both"/>
              <w:rPr>
                <w:noProof/>
              </w:rPr>
            </w:pPr>
            <w:r w:rsidRPr="00DE2C08">
              <w:rPr>
                <w:noProof/>
              </w:rPr>
              <w:t>40</w:t>
            </w:r>
          </w:p>
        </w:tc>
      </w:tr>
      <w:tr w:rsidR="008E3F72" w:rsidRPr="00DE2C08" w14:paraId="3A4EE0FF" w14:textId="77777777" w:rsidTr="0010018A">
        <w:tc>
          <w:tcPr>
            <w:tcW w:w="767" w:type="pct"/>
            <w:tcBorders>
              <w:top w:val="nil"/>
              <w:left w:val="nil"/>
              <w:bottom w:val="nil"/>
              <w:right w:val="nil"/>
            </w:tcBorders>
            <w:shd w:val="clear" w:color="auto" w:fill="FFFFFF"/>
          </w:tcPr>
          <w:p w14:paraId="0B360825" w14:textId="77777777" w:rsidR="008E3F72" w:rsidRPr="00DE2C08" w:rsidRDefault="008E3F72" w:rsidP="0010018A">
            <w:pPr>
              <w:pStyle w:val="BodyText"/>
              <w:kinsoku w:val="0"/>
              <w:overflowPunct w:val="0"/>
              <w:jc w:val="both"/>
              <w:rPr>
                <w:noProof/>
              </w:rPr>
            </w:pPr>
            <w:r w:rsidRPr="00DE2C08">
              <w:rPr>
                <w:noProof/>
              </w:rPr>
              <w:t>75–90</w:t>
            </w:r>
          </w:p>
        </w:tc>
        <w:tc>
          <w:tcPr>
            <w:tcW w:w="474" w:type="pct"/>
            <w:tcBorders>
              <w:top w:val="nil"/>
              <w:left w:val="nil"/>
              <w:bottom w:val="nil"/>
              <w:right w:val="nil"/>
            </w:tcBorders>
            <w:shd w:val="clear" w:color="auto" w:fill="FFFFFF"/>
          </w:tcPr>
          <w:p w14:paraId="32E33468" w14:textId="77777777" w:rsidR="008E3F72" w:rsidRPr="00DE2C08" w:rsidRDefault="008E3F72" w:rsidP="0010018A">
            <w:pPr>
              <w:pStyle w:val="BodyText"/>
              <w:kinsoku w:val="0"/>
              <w:overflowPunct w:val="0"/>
              <w:jc w:val="both"/>
              <w:rPr>
                <w:noProof/>
              </w:rPr>
            </w:pPr>
            <w:r w:rsidRPr="00DE2C08">
              <w:rPr>
                <w:noProof/>
              </w:rPr>
              <w:t>95</w:t>
            </w:r>
          </w:p>
        </w:tc>
        <w:tc>
          <w:tcPr>
            <w:tcW w:w="1112" w:type="pct"/>
            <w:tcBorders>
              <w:top w:val="nil"/>
              <w:left w:val="nil"/>
              <w:bottom w:val="nil"/>
              <w:right w:val="nil"/>
            </w:tcBorders>
            <w:shd w:val="clear" w:color="auto" w:fill="FFFFFF"/>
          </w:tcPr>
          <w:p w14:paraId="515E3FC3" w14:textId="77777777" w:rsidR="008E3F72" w:rsidRPr="00DE2C08" w:rsidRDefault="008E3F72" w:rsidP="0010018A">
            <w:pPr>
              <w:pStyle w:val="BodyText"/>
              <w:kinsoku w:val="0"/>
              <w:overflowPunct w:val="0"/>
              <w:jc w:val="both"/>
              <w:rPr>
                <w:noProof/>
              </w:rPr>
            </w:pPr>
            <w:r w:rsidRPr="00DE2C08">
              <w:rPr>
                <w:noProof/>
              </w:rPr>
              <w:t>2,5</w:t>
            </w:r>
          </w:p>
        </w:tc>
        <w:tc>
          <w:tcPr>
            <w:tcW w:w="484" w:type="pct"/>
            <w:tcBorders>
              <w:top w:val="nil"/>
              <w:left w:val="nil"/>
              <w:bottom w:val="nil"/>
              <w:right w:val="nil"/>
            </w:tcBorders>
            <w:shd w:val="clear" w:color="auto" w:fill="FFFFFF"/>
          </w:tcPr>
          <w:p w14:paraId="27C10EB5" w14:textId="77777777" w:rsidR="008E3F72" w:rsidRPr="00DE2C08" w:rsidRDefault="008E3F72" w:rsidP="0010018A">
            <w:pPr>
              <w:pStyle w:val="BodyText"/>
              <w:kinsoku w:val="0"/>
              <w:overflowPunct w:val="0"/>
              <w:jc w:val="both"/>
              <w:rPr>
                <w:noProof/>
              </w:rPr>
            </w:pPr>
            <w:r w:rsidRPr="00DE2C08">
              <w:rPr>
                <w:noProof/>
              </w:rPr>
              <w:t>5</w:t>
            </w:r>
          </w:p>
        </w:tc>
        <w:tc>
          <w:tcPr>
            <w:tcW w:w="496" w:type="pct"/>
            <w:tcBorders>
              <w:top w:val="nil"/>
              <w:left w:val="nil"/>
              <w:bottom w:val="nil"/>
              <w:right w:val="nil"/>
            </w:tcBorders>
            <w:shd w:val="clear" w:color="auto" w:fill="FFFFFF"/>
          </w:tcPr>
          <w:p w14:paraId="345DFAB0" w14:textId="77777777" w:rsidR="008E3F72" w:rsidRPr="00DE2C08" w:rsidRDefault="008E3F72" w:rsidP="0010018A">
            <w:pPr>
              <w:pStyle w:val="BodyText"/>
              <w:kinsoku w:val="0"/>
              <w:overflowPunct w:val="0"/>
              <w:jc w:val="both"/>
              <w:rPr>
                <w:noProof/>
              </w:rPr>
            </w:pPr>
            <w:r w:rsidRPr="00DE2C08">
              <w:rPr>
                <w:noProof/>
              </w:rPr>
              <w:t>75</w:t>
            </w:r>
          </w:p>
        </w:tc>
        <w:tc>
          <w:tcPr>
            <w:tcW w:w="822" w:type="pct"/>
            <w:tcBorders>
              <w:top w:val="nil"/>
              <w:left w:val="nil"/>
              <w:bottom w:val="nil"/>
              <w:right w:val="nil"/>
            </w:tcBorders>
            <w:shd w:val="clear" w:color="auto" w:fill="FFFFFF"/>
          </w:tcPr>
          <w:p w14:paraId="14670FFA" w14:textId="77777777" w:rsidR="008E3F72" w:rsidRPr="00DE2C08" w:rsidRDefault="008E3F72" w:rsidP="0010018A">
            <w:pPr>
              <w:pStyle w:val="BodyText"/>
              <w:kinsoku w:val="0"/>
              <w:overflowPunct w:val="0"/>
              <w:jc w:val="both"/>
              <w:rPr>
                <w:noProof/>
              </w:rPr>
            </w:pPr>
            <w:r w:rsidRPr="00DE2C08">
              <w:rPr>
                <w:noProof/>
              </w:rPr>
              <w:t>37,5</w:t>
            </w:r>
          </w:p>
        </w:tc>
        <w:tc>
          <w:tcPr>
            <w:tcW w:w="845" w:type="pct"/>
            <w:tcBorders>
              <w:top w:val="nil"/>
              <w:left w:val="nil"/>
              <w:bottom w:val="nil"/>
              <w:right w:val="nil"/>
            </w:tcBorders>
            <w:shd w:val="clear" w:color="auto" w:fill="FFFFFF"/>
          </w:tcPr>
          <w:p w14:paraId="50DC9BB9" w14:textId="77777777" w:rsidR="008E3F72" w:rsidRPr="00DE2C08" w:rsidRDefault="008E3F72" w:rsidP="0010018A">
            <w:pPr>
              <w:pStyle w:val="BodyText"/>
              <w:kinsoku w:val="0"/>
              <w:overflowPunct w:val="0"/>
              <w:jc w:val="both"/>
              <w:rPr>
                <w:noProof/>
              </w:rPr>
            </w:pPr>
            <w:r w:rsidRPr="00DE2C08">
              <w:rPr>
                <w:noProof/>
              </w:rPr>
              <w:t>50</w:t>
            </w:r>
          </w:p>
        </w:tc>
      </w:tr>
      <w:tr w:rsidR="008E3F72" w:rsidRPr="00DE2C08" w14:paraId="295417E1" w14:textId="77777777" w:rsidTr="0010018A">
        <w:tc>
          <w:tcPr>
            <w:tcW w:w="767" w:type="pct"/>
            <w:tcBorders>
              <w:top w:val="nil"/>
              <w:left w:val="nil"/>
              <w:bottom w:val="nil"/>
              <w:right w:val="nil"/>
            </w:tcBorders>
            <w:shd w:val="clear" w:color="auto" w:fill="FFFFFF"/>
            <w:vAlign w:val="center"/>
          </w:tcPr>
          <w:p w14:paraId="7F1A79D7" w14:textId="77777777" w:rsidR="008E3F72" w:rsidRPr="00DE2C08" w:rsidRDefault="008E3F72" w:rsidP="0010018A">
            <w:pPr>
              <w:pStyle w:val="BodyText"/>
              <w:kinsoku w:val="0"/>
              <w:overflowPunct w:val="0"/>
              <w:jc w:val="both"/>
              <w:rPr>
                <w:noProof/>
              </w:rPr>
            </w:pPr>
            <w:r w:rsidRPr="00DE2C08">
              <w:rPr>
                <w:noProof/>
              </w:rPr>
              <w:t>50–75</w:t>
            </w:r>
          </w:p>
        </w:tc>
        <w:tc>
          <w:tcPr>
            <w:tcW w:w="474" w:type="pct"/>
            <w:tcBorders>
              <w:top w:val="nil"/>
              <w:left w:val="nil"/>
              <w:bottom w:val="nil"/>
              <w:right w:val="nil"/>
            </w:tcBorders>
            <w:shd w:val="clear" w:color="auto" w:fill="FFFFFF"/>
            <w:vAlign w:val="center"/>
          </w:tcPr>
          <w:p w14:paraId="35C119D4" w14:textId="77777777" w:rsidR="008E3F72" w:rsidRPr="00DE2C08" w:rsidRDefault="008E3F72" w:rsidP="0010018A">
            <w:pPr>
              <w:pStyle w:val="BodyText"/>
              <w:kinsoku w:val="0"/>
              <w:overflowPunct w:val="0"/>
              <w:jc w:val="both"/>
              <w:rPr>
                <w:noProof/>
              </w:rPr>
            </w:pPr>
            <w:r w:rsidRPr="00DE2C08">
              <w:rPr>
                <w:noProof/>
              </w:rPr>
              <w:t>90</w:t>
            </w:r>
          </w:p>
        </w:tc>
        <w:tc>
          <w:tcPr>
            <w:tcW w:w="1112" w:type="pct"/>
            <w:tcBorders>
              <w:top w:val="nil"/>
              <w:left w:val="nil"/>
              <w:bottom w:val="nil"/>
              <w:right w:val="nil"/>
            </w:tcBorders>
            <w:shd w:val="clear" w:color="auto" w:fill="FFFFFF"/>
            <w:vAlign w:val="center"/>
          </w:tcPr>
          <w:p w14:paraId="4C08A312" w14:textId="77777777" w:rsidR="008E3F72" w:rsidRPr="00DE2C08" w:rsidRDefault="008E3F72" w:rsidP="0010018A">
            <w:pPr>
              <w:pStyle w:val="BodyText"/>
              <w:kinsoku w:val="0"/>
              <w:overflowPunct w:val="0"/>
              <w:jc w:val="both"/>
              <w:rPr>
                <w:noProof/>
              </w:rPr>
            </w:pPr>
            <w:r w:rsidRPr="00DE2C08">
              <w:rPr>
                <w:noProof/>
              </w:rPr>
              <w:t>5</w:t>
            </w:r>
          </w:p>
        </w:tc>
        <w:tc>
          <w:tcPr>
            <w:tcW w:w="484" w:type="pct"/>
            <w:tcBorders>
              <w:top w:val="nil"/>
              <w:left w:val="nil"/>
              <w:bottom w:val="nil"/>
              <w:right w:val="nil"/>
            </w:tcBorders>
            <w:shd w:val="clear" w:color="auto" w:fill="FFFFFF"/>
            <w:vAlign w:val="center"/>
          </w:tcPr>
          <w:p w14:paraId="0264C734" w14:textId="77777777" w:rsidR="008E3F72" w:rsidRPr="00DE2C08" w:rsidRDefault="008E3F72" w:rsidP="0010018A">
            <w:pPr>
              <w:pStyle w:val="BodyText"/>
              <w:kinsoku w:val="0"/>
              <w:overflowPunct w:val="0"/>
              <w:jc w:val="both"/>
              <w:rPr>
                <w:noProof/>
              </w:rPr>
            </w:pPr>
            <w:r w:rsidRPr="00DE2C08">
              <w:rPr>
                <w:noProof/>
              </w:rPr>
              <w:t>10</w:t>
            </w:r>
          </w:p>
        </w:tc>
        <w:tc>
          <w:tcPr>
            <w:tcW w:w="496" w:type="pct"/>
            <w:tcBorders>
              <w:top w:val="nil"/>
              <w:left w:val="nil"/>
              <w:bottom w:val="nil"/>
              <w:right w:val="nil"/>
            </w:tcBorders>
            <w:shd w:val="clear" w:color="auto" w:fill="FFFFFF"/>
            <w:vAlign w:val="center"/>
          </w:tcPr>
          <w:p w14:paraId="6F3ACB50" w14:textId="77777777" w:rsidR="008E3F72" w:rsidRPr="00DE2C08" w:rsidRDefault="008E3F72" w:rsidP="0010018A">
            <w:pPr>
              <w:pStyle w:val="BodyText"/>
              <w:kinsoku w:val="0"/>
              <w:overflowPunct w:val="0"/>
              <w:jc w:val="both"/>
              <w:rPr>
                <w:noProof/>
              </w:rPr>
            </w:pPr>
            <w:r w:rsidRPr="00DE2C08">
              <w:rPr>
                <w:noProof/>
              </w:rPr>
              <w:t>70</w:t>
            </w:r>
          </w:p>
        </w:tc>
        <w:tc>
          <w:tcPr>
            <w:tcW w:w="822" w:type="pct"/>
            <w:tcBorders>
              <w:top w:val="nil"/>
              <w:left w:val="nil"/>
              <w:bottom w:val="nil"/>
              <w:right w:val="nil"/>
            </w:tcBorders>
            <w:shd w:val="clear" w:color="auto" w:fill="FFFFFF"/>
            <w:vAlign w:val="center"/>
          </w:tcPr>
          <w:p w14:paraId="3D96A976" w14:textId="77777777" w:rsidR="008E3F72" w:rsidRPr="00DE2C08" w:rsidRDefault="008E3F72" w:rsidP="0010018A">
            <w:pPr>
              <w:pStyle w:val="BodyText"/>
              <w:kinsoku w:val="0"/>
              <w:overflowPunct w:val="0"/>
              <w:jc w:val="both"/>
              <w:rPr>
                <w:noProof/>
              </w:rPr>
            </w:pPr>
            <w:r w:rsidRPr="00DE2C08">
              <w:rPr>
                <w:noProof/>
              </w:rPr>
              <w:t>45</w:t>
            </w:r>
          </w:p>
        </w:tc>
        <w:tc>
          <w:tcPr>
            <w:tcW w:w="845" w:type="pct"/>
            <w:tcBorders>
              <w:top w:val="nil"/>
              <w:left w:val="nil"/>
              <w:bottom w:val="nil"/>
              <w:right w:val="nil"/>
            </w:tcBorders>
            <w:shd w:val="clear" w:color="auto" w:fill="FFFFFF"/>
            <w:vAlign w:val="center"/>
          </w:tcPr>
          <w:p w14:paraId="57EFE5EA" w14:textId="77777777" w:rsidR="008E3F72" w:rsidRPr="00DE2C08" w:rsidRDefault="008E3F72" w:rsidP="0010018A">
            <w:pPr>
              <w:pStyle w:val="BodyText"/>
              <w:kinsoku w:val="0"/>
              <w:overflowPunct w:val="0"/>
              <w:jc w:val="both"/>
              <w:rPr>
                <w:noProof/>
              </w:rPr>
            </w:pPr>
            <w:r w:rsidRPr="00DE2C08">
              <w:rPr>
                <w:noProof/>
              </w:rPr>
              <w:t>60</w:t>
            </w:r>
          </w:p>
        </w:tc>
      </w:tr>
      <w:tr w:rsidR="008E3F72" w:rsidRPr="00DE2C08" w14:paraId="4DA4CCB0" w14:textId="77777777" w:rsidTr="0010018A">
        <w:tc>
          <w:tcPr>
            <w:tcW w:w="767" w:type="pct"/>
            <w:tcBorders>
              <w:top w:val="nil"/>
              <w:left w:val="nil"/>
              <w:bottom w:val="nil"/>
              <w:right w:val="nil"/>
            </w:tcBorders>
            <w:shd w:val="clear" w:color="auto" w:fill="FFFFFF"/>
            <w:vAlign w:val="center"/>
          </w:tcPr>
          <w:p w14:paraId="1A24CC5C" w14:textId="77777777" w:rsidR="008E3F72" w:rsidRPr="00DE2C08" w:rsidRDefault="008E3F72" w:rsidP="0010018A">
            <w:pPr>
              <w:pStyle w:val="BodyText"/>
              <w:kinsoku w:val="0"/>
              <w:overflowPunct w:val="0"/>
              <w:jc w:val="both"/>
              <w:rPr>
                <w:noProof/>
              </w:rPr>
            </w:pPr>
            <w:r w:rsidRPr="00DE2C08">
              <w:rPr>
                <w:noProof/>
              </w:rPr>
              <w:t>25–50</w:t>
            </w:r>
          </w:p>
        </w:tc>
        <w:tc>
          <w:tcPr>
            <w:tcW w:w="474" w:type="pct"/>
            <w:tcBorders>
              <w:top w:val="nil"/>
              <w:left w:val="nil"/>
              <w:bottom w:val="nil"/>
              <w:right w:val="nil"/>
            </w:tcBorders>
            <w:shd w:val="clear" w:color="auto" w:fill="FFFFFF"/>
            <w:vAlign w:val="bottom"/>
          </w:tcPr>
          <w:p w14:paraId="10C0B30D" w14:textId="77777777" w:rsidR="008E3F72" w:rsidRPr="00DE2C08" w:rsidRDefault="008E3F72" w:rsidP="0010018A">
            <w:pPr>
              <w:pStyle w:val="BodyText"/>
              <w:kinsoku w:val="0"/>
              <w:overflowPunct w:val="0"/>
              <w:jc w:val="both"/>
              <w:rPr>
                <w:noProof/>
              </w:rPr>
            </w:pPr>
            <w:r w:rsidRPr="00DE2C08">
              <w:rPr>
                <w:noProof/>
              </w:rPr>
              <w:t>80</w:t>
            </w:r>
          </w:p>
        </w:tc>
        <w:tc>
          <w:tcPr>
            <w:tcW w:w="1112" w:type="pct"/>
            <w:tcBorders>
              <w:top w:val="nil"/>
              <w:left w:val="nil"/>
              <w:bottom w:val="nil"/>
              <w:right w:val="nil"/>
            </w:tcBorders>
            <w:shd w:val="clear" w:color="auto" w:fill="FFFFFF"/>
            <w:vAlign w:val="bottom"/>
          </w:tcPr>
          <w:p w14:paraId="4BA1B417" w14:textId="77777777" w:rsidR="008E3F72" w:rsidRPr="00DE2C08" w:rsidRDefault="008E3F72" w:rsidP="0010018A">
            <w:pPr>
              <w:pStyle w:val="BodyText"/>
              <w:kinsoku w:val="0"/>
              <w:overflowPunct w:val="0"/>
              <w:jc w:val="both"/>
              <w:rPr>
                <w:noProof/>
              </w:rPr>
            </w:pPr>
            <w:r w:rsidRPr="00DE2C08">
              <w:rPr>
                <w:noProof/>
              </w:rPr>
              <w:t>10</w:t>
            </w:r>
          </w:p>
        </w:tc>
        <w:tc>
          <w:tcPr>
            <w:tcW w:w="484" w:type="pct"/>
            <w:tcBorders>
              <w:top w:val="nil"/>
              <w:left w:val="nil"/>
              <w:bottom w:val="nil"/>
              <w:right w:val="nil"/>
            </w:tcBorders>
            <w:shd w:val="clear" w:color="auto" w:fill="FFFFFF"/>
            <w:vAlign w:val="bottom"/>
          </w:tcPr>
          <w:p w14:paraId="1586C34E" w14:textId="77777777" w:rsidR="008E3F72" w:rsidRPr="00DE2C08" w:rsidRDefault="008E3F72" w:rsidP="0010018A">
            <w:pPr>
              <w:pStyle w:val="BodyText"/>
              <w:kinsoku w:val="0"/>
              <w:overflowPunct w:val="0"/>
              <w:jc w:val="both"/>
              <w:rPr>
                <w:noProof/>
              </w:rPr>
            </w:pPr>
            <w:r w:rsidRPr="00DE2C08">
              <w:rPr>
                <w:noProof/>
              </w:rPr>
              <w:t>20</w:t>
            </w:r>
          </w:p>
        </w:tc>
        <w:tc>
          <w:tcPr>
            <w:tcW w:w="496" w:type="pct"/>
            <w:tcBorders>
              <w:top w:val="nil"/>
              <w:left w:val="nil"/>
              <w:bottom w:val="nil"/>
              <w:right w:val="nil"/>
            </w:tcBorders>
            <w:shd w:val="clear" w:color="auto" w:fill="FFFFFF"/>
            <w:vAlign w:val="bottom"/>
          </w:tcPr>
          <w:p w14:paraId="6DFF3EDB" w14:textId="77777777" w:rsidR="008E3F72" w:rsidRPr="00DE2C08" w:rsidRDefault="008E3F72" w:rsidP="0010018A">
            <w:pPr>
              <w:pStyle w:val="BodyText"/>
              <w:kinsoku w:val="0"/>
              <w:overflowPunct w:val="0"/>
              <w:jc w:val="both"/>
              <w:rPr>
                <w:noProof/>
              </w:rPr>
            </w:pPr>
            <w:r w:rsidRPr="00DE2C08">
              <w:rPr>
                <w:noProof/>
              </w:rPr>
              <w:t>60</w:t>
            </w:r>
          </w:p>
        </w:tc>
        <w:tc>
          <w:tcPr>
            <w:tcW w:w="822" w:type="pct"/>
            <w:tcBorders>
              <w:top w:val="nil"/>
              <w:left w:val="nil"/>
              <w:bottom w:val="nil"/>
              <w:right w:val="nil"/>
            </w:tcBorders>
            <w:shd w:val="clear" w:color="auto" w:fill="FFFFFF"/>
            <w:vAlign w:val="bottom"/>
          </w:tcPr>
          <w:p w14:paraId="741B483F" w14:textId="77777777" w:rsidR="008E3F72" w:rsidRPr="00DE2C08" w:rsidRDefault="008E3F72" w:rsidP="0010018A">
            <w:pPr>
              <w:pStyle w:val="BodyText"/>
              <w:kinsoku w:val="0"/>
              <w:overflowPunct w:val="0"/>
              <w:jc w:val="both"/>
              <w:rPr>
                <w:noProof/>
              </w:rPr>
            </w:pPr>
            <w:r w:rsidRPr="00DE2C08">
              <w:rPr>
                <w:noProof/>
              </w:rPr>
              <w:t>60</w:t>
            </w:r>
          </w:p>
        </w:tc>
        <w:tc>
          <w:tcPr>
            <w:tcW w:w="845" w:type="pct"/>
            <w:tcBorders>
              <w:top w:val="nil"/>
              <w:left w:val="nil"/>
              <w:bottom w:val="nil"/>
              <w:right w:val="nil"/>
            </w:tcBorders>
            <w:shd w:val="clear" w:color="auto" w:fill="FFFFFF"/>
            <w:vAlign w:val="bottom"/>
          </w:tcPr>
          <w:p w14:paraId="55AFA048" w14:textId="77777777" w:rsidR="008E3F72" w:rsidRPr="00DE2C08" w:rsidRDefault="008E3F72" w:rsidP="0010018A">
            <w:pPr>
              <w:pStyle w:val="BodyText"/>
              <w:kinsoku w:val="0"/>
              <w:overflowPunct w:val="0"/>
              <w:jc w:val="both"/>
              <w:rPr>
                <w:noProof/>
              </w:rPr>
            </w:pPr>
            <w:r w:rsidRPr="00DE2C08">
              <w:rPr>
                <w:noProof/>
              </w:rPr>
              <w:t>80</w:t>
            </w:r>
          </w:p>
        </w:tc>
      </w:tr>
      <w:tr w:rsidR="008E3F72" w:rsidRPr="00DE2C08" w14:paraId="56C85058" w14:textId="77777777" w:rsidTr="0010018A">
        <w:tc>
          <w:tcPr>
            <w:tcW w:w="767" w:type="pct"/>
            <w:tcBorders>
              <w:top w:val="nil"/>
              <w:left w:val="nil"/>
              <w:bottom w:val="single" w:sz="4" w:space="0" w:color="auto"/>
              <w:right w:val="nil"/>
            </w:tcBorders>
            <w:shd w:val="clear" w:color="auto" w:fill="FFFFFF"/>
            <w:vAlign w:val="center"/>
          </w:tcPr>
          <w:p w14:paraId="464D504F" w14:textId="77777777" w:rsidR="008E3F72" w:rsidRPr="00DE2C08" w:rsidRDefault="008E3F72" w:rsidP="0010018A">
            <w:pPr>
              <w:pStyle w:val="BodyText"/>
              <w:kinsoku w:val="0"/>
              <w:overflowPunct w:val="0"/>
              <w:jc w:val="both"/>
              <w:rPr>
                <w:noProof/>
              </w:rPr>
            </w:pPr>
            <w:r w:rsidRPr="00DE2C08">
              <w:rPr>
                <w:noProof/>
              </w:rPr>
              <w:t>&lt; 25</w:t>
            </w:r>
          </w:p>
        </w:tc>
        <w:tc>
          <w:tcPr>
            <w:tcW w:w="474" w:type="pct"/>
            <w:tcBorders>
              <w:top w:val="nil"/>
              <w:left w:val="nil"/>
              <w:bottom w:val="single" w:sz="4" w:space="0" w:color="auto"/>
              <w:right w:val="nil"/>
            </w:tcBorders>
            <w:shd w:val="clear" w:color="auto" w:fill="FFFFFF"/>
            <w:vAlign w:val="center"/>
          </w:tcPr>
          <w:p w14:paraId="1F0EAE68" w14:textId="77777777" w:rsidR="008E3F72" w:rsidRPr="00DE2C08" w:rsidRDefault="008E3F72" w:rsidP="0010018A">
            <w:pPr>
              <w:pStyle w:val="BodyText"/>
              <w:kinsoku w:val="0"/>
              <w:overflowPunct w:val="0"/>
              <w:jc w:val="both"/>
              <w:rPr>
                <w:noProof/>
              </w:rPr>
            </w:pPr>
            <w:r w:rsidRPr="00DE2C08">
              <w:rPr>
                <w:noProof/>
              </w:rPr>
              <w:t>70</w:t>
            </w:r>
          </w:p>
        </w:tc>
        <w:tc>
          <w:tcPr>
            <w:tcW w:w="1112" w:type="pct"/>
            <w:tcBorders>
              <w:top w:val="nil"/>
              <w:left w:val="nil"/>
              <w:bottom w:val="single" w:sz="4" w:space="0" w:color="auto"/>
              <w:right w:val="nil"/>
            </w:tcBorders>
            <w:shd w:val="clear" w:color="auto" w:fill="FFFFFF"/>
            <w:vAlign w:val="center"/>
          </w:tcPr>
          <w:p w14:paraId="11459F1B" w14:textId="77777777" w:rsidR="008E3F72" w:rsidRPr="00DE2C08" w:rsidRDefault="008E3F72" w:rsidP="0010018A">
            <w:pPr>
              <w:pStyle w:val="BodyText"/>
              <w:kinsoku w:val="0"/>
              <w:overflowPunct w:val="0"/>
              <w:jc w:val="both"/>
              <w:rPr>
                <w:noProof/>
              </w:rPr>
            </w:pPr>
            <w:r w:rsidRPr="00DE2C08">
              <w:rPr>
                <w:noProof/>
              </w:rPr>
              <w:t>15</w:t>
            </w:r>
          </w:p>
        </w:tc>
        <w:tc>
          <w:tcPr>
            <w:tcW w:w="484" w:type="pct"/>
            <w:tcBorders>
              <w:top w:val="nil"/>
              <w:left w:val="nil"/>
              <w:bottom w:val="single" w:sz="4" w:space="0" w:color="auto"/>
              <w:right w:val="nil"/>
            </w:tcBorders>
            <w:shd w:val="clear" w:color="auto" w:fill="FFFFFF"/>
            <w:vAlign w:val="center"/>
          </w:tcPr>
          <w:p w14:paraId="36F581B0" w14:textId="77777777" w:rsidR="008E3F72" w:rsidRPr="00DE2C08" w:rsidRDefault="008E3F72" w:rsidP="0010018A">
            <w:pPr>
              <w:pStyle w:val="BodyText"/>
              <w:kinsoku w:val="0"/>
              <w:overflowPunct w:val="0"/>
              <w:jc w:val="both"/>
              <w:rPr>
                <w:noProof/>
              </w:rPr>
            </w:pPr>
            <w:r w:rsidRPr="00DE2C08">
              <w:rPr>
                <w:noProof/>
              </w:rPr>
              <w:t>30</w:t>
            </w:r>
          </w:p>
        </w:tc>
        <w:tc>
          <w:tcPr>
            <w:tcW w:w="496" w:type="pct"/>
            <w:tcBorders>
              <w:top w:val="nil"/>
              <w:left w:val="nil"/>
              <w:bottom w:val="single" w:sz="4" w:space="0" w:color="auto"/>
              <w:right w:val="nil"/>
            </w:tcBorders>
            <w:shd w:val="clear" w:color="auto" w:fill="FFFFFF"/>
            <w:vAlign w:val="center"/>
          </w:tcPr>
          <w:p w14:paraId="037CFD3B" w14:textId="77777777" w:rsidR="008E3F72" w:rsidRPr="00DE2C08" w:rsidRDefault="008E3F72" w:rsidP="0010018A">
            <w:pPr>
              <w:pStyle w:val="BodyText"/>
              <w:kinsoku w:val="0"/>
              <w:overflowPunct w:val="0"/>
              <w:jc w:val="both"/>
              <w:rPr>
                <w:noProof/>
              </w:rPr>
            </w:pPr>
            <w:r w:rsidRPr="00DE2C08">
              <w:rPr>
                <w:noProof/>
              </w:rPr>
              <w:t>50</w:t>
            </w:r>
          </w:p>
        </w:tc>
        <w:tc>
          <w:tcPr>
            <w:tcW w:w="822" w:type="pct"/>
            <w:tcBorders>
              <w:top w:val="nil"/>
              <w:left w:val="nil"/>
              <w:bottom w:val="single" w:sz="4" w:space="0" w:color="auto"/>
              <w:right w:val="nil"/>
            </w:tcBorders>
            <w:shd w:val="clear" w:color="auto" w:fill="FFFFFF"/>
            <w:vAlign w:val="center"/>
          </w:tcPr>
          <w:p w14:paraId="6D0B6E10" w14:textId="77777777" w:rsidR="008E3F72" w:rsidRPr="00DE2C08" w:rsidRDefault="008E3F72" w:rsidP="0010018A">
            <w:pPr>
              <w:pStyle w:val="BodyText"/>
              <w:kinsoku w:val="0"/>
              <w:overflowPunct w:val="0"/>
              <w:jc w:val="both"/>
              <w:rPr>
                <w:noProof/>
              </w:rPr>
            </w:pPr>
            <w:r w:rsidRPr="00DE2C08">
              <w:rPr>
                <w:noProof/>
              </w:rPr>
              <w:t>75</w:t>
            </w:r>
          </w:p>
        </w:tc>
        <w:tc>
          <w:tcPr>
            <w:tcW w:w="845" w:type="pct"/>
            <w:tcBorders>
              <w:top w:val="nil"/>
              <w:left w:val="nil"/>
              <w:bottom w:val="single" w:sz="4" w:space="0" w:color="auto"/>
              <w:right w:val="nil"/>
            </w:tcBorders>
            <w:shd w:val="clear" w:color="auto" w:fill="FFFFFF"/>
            <w:vAlign w:val="center"/>
          </w:tcPr>
          <w:p w14:paraId="6A8A4D67" w14:textId="77777777" w:rsidR="008E3F72" w:rsidRPr="00DE2C08" w:rsidRDefault="008E3F72" w:rsidP="0010018A">
            <w:pPr>
              <w:pStyle w:val="BodyText"/>
              <w:kinsoku w:val="0"/>
              <w:overflowPunct w:val="0"/>
              <w:jc w:val="both"/>
              <w:rPr>
                <w:noProof/>
              </w:rPr>
            </w:pPr>
            <w:r w:rsidRPr="00DE2C08">
              <w:rPr>
                <w:noProof/>
              </w:rPr>
              <w:t>100</w:t>
            </w:r>
          </w:p>
        </w:tc>
      </w:tr>
    </w:tbl>
    <w:p w14:paraId="5DBF1755" w14:textId="77777777" w:rsidR="008E3F72" w:rsidRPr="00F35F4D" w:rsidRDefault="008E3F72" w:rsidP="008E3F72">
      <w:pPr>
        <w:pStyle w:val="BodyText"/>
        <w:widowControl/>
        <w:kinsoku w:val="0"/>
        <w:overflowPunct w:val="0"/>
        <w:spacing w:before="0"/>
        <w:ind w:left="0"/>
        <w:jc w:val="both"/>
        <w:rPr>
          <w:i/>
          <w:iCs/>
          <w:noProof/>
          <w:sz w:val="24"/>
          <w:szCs w:val="24"/>
        </w:rPr>
      </w:pPr>
    </w:p>
    <w:p w14:paraId="06EF1025" w14:textId="2DA91E07" w:rsidR="008E3F72" w:rsidRPr="00DE2C08"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 xml:space="preserve">N zudumi no kūtsmēsliem (Nkūtsmēslu zudumi) ir atkarīgi no dzīvnieku novietņu sistēmas, kūtsmēslu apsaimniekošanas sistēmas un saimniecība piekoptās prakses. Saimniecībās, kur liellopus un cūkas visu gadu tur novietnēs ar šķidro </w:t>
      </w:r>
      <w:r w:rsidRPr="00F35F4D">
        <w:rPr>
          <w:noProof/>
          <w:sz w:val="24"/>
        </w:rPr>
        <w:lastRenderedPageBreak/>
        <w:t>kūtsmēslu sistēmu un noslēgtām kūtsmēslu krātuvēm, N zudumi no kūtsmēsliem ir aptuveni 5–20 % no novietnē saražotajos dzīvnieku ekskrementos esošā slāpekļa, kur zemākā no vērtībām attiecas uz zema emisiju līmeņa novietnēm (un steliņģiem, kur dzīvniekus tur piesietus) un augstākā no vērtībām – uz novietnēm ar redeļu grīdas laukumu, bet ņemot vērā arī klimatisko apstākļu ietekmi (</w:t>
      </w:r>
      <w:r w:rsidRPr="00F35F4D">
        <w:rPr>
          <w:i/>
          <w:noProof/>
          <w:sz w:val="24"/>
        </w:rPr>
        <w:t>Amon et al.</w:t>
      </w:r>
      <w:r w:rsidRPr="00F35F4D">
        <w:rPr>
          <w:noProof/>
          <w:sz w:val="24"/>
        </w:rPr>
        <w:t xml:space="preserve">, 2001; </w:t>
      </w:r>
      <w:r w:rsidRPr="00F35F4D">
        <w:rPr>
          <w:i/>
          <w:noProof/>
          <w:sz w:val="24"/>
        </w:rPr>
        <w:t>Monteny, Erisman</w:t>
      </w:r>
      <w:r w:rsidRPr="00F35F4D">
        <w:rPr>
          <w:noProof/>
          <w:sz w:val="24"/>
        </w:rPr>
        <w:t xml:space="preserve">, 1998; </w:t>
      </w:r>
      <w:r w:rsidRPr="00F35F4D">
        <w:rPr>
          <w:i/>
          <w:noProof/>
          <w:sz w:val="24"/>
        </w:rPr>
        <w:t>O. Oenema et al</w:t>
      </w:r>
      <w:r w:rsidRPr="00F35F4D">
        <w:rPr>
          <w:noProof/>
          <w:sz w:val="24"/>
        </w:rPr>
        <w:t>., 2008). Ja dzīvniekus tur novietnēs tikai ziemas sezonā, to izdalītā N daudzums novietnēs ir mazāks, un N zudumi no kūtsmēsliem uz vienu dzīvnie</w:t>
      </w:r>
      <w:r w:rsidR="0022094F">
        <w:rPr>
          <w:noProof/>
          <w:sz w:val="24"/>
        </w:rPr>
        <w:t>ku ir zemāki. Novietnēs ar</w:t>
      </w:r>
      <w:r w:rsidR="000F4940">
        <w:rPr>
          <w:noProof/>
          <w:sz w:val="24"/>
        </w:rPr>
        <w:t xml:space="preserve"> pakaišu</w:t>
      </w:r>
      <w:r w:rsidRPr="00F35F4D">
        <w:rPr>
          <w:noProof/>
          <w:sz w:val="24"/>
        </w:rPr>
        <w:t xml:space="preserve"> kūtsmēslu sistēmu N zudumi no kūtsmēsliem mēdz būt lielāki (20–40 %, ja lopus novietnēs tur visu gadu), jo kūtsmēslu </w:t>
      </w:r>
      <w:r w:rsidR="000F4940">
        <w:rPr>
          <w:noProof/>
          <w:sz w:val="24"/>
        </w:rPr>
        <w:t>uz</w:t>
      </w:r>
      <w:r w:rsidRPr="00F35F4D">
        <w:rPr>
          <w:noProof/>
          <w:sz w:val="24"/>
        </w:rPr>
        <w:t>glabāšanas laikā ir lielāki zudumi nitrifikācijas-denitrifikācijas procesu rezultātā.</w:t>
      </w:r>
    </w:p>
    <w:p w14:paraId="6D66524D" w14:textId="77777777" w:rsidR="00DE2C08" w:rsidRPr="00F35F4D" w:rsidRDefault="00DE2C08" w:rsidP="00DE2C08">
      <w:pPr>
        <w:pStyle w:val="BodyText"/>
        <w:widowControl/>
        <w:tabs>
          <w:tab w:val="left" w:pos="861"/>
        </w:tabs>
        <w:kinsoku w:val="0"/>
        <w:overflowPunct w:val="0"/>
        <w:spacing w:before="0"/>
        <w:ind w:left="0"/>
        <w:jc w:val="both"/>
        <w:rPr>
          <w:noProof/>
          <w:sz w:val="24"/>
          <w:szCs w:val="24"/>
        </w:rPr>
      </w:pPr>
    </w:p>
    <w:p w14:paraId="1C4AFD03" w14:textId="77777777" w:rsidR="008E3F72" w:rsidRPr="00DE2C08"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N zudumi no mājputnu mēsliem ir 10–50 % diapazonā no ekskrementos esošā N (Nekskrēcija), kur zemākā no vērtībām attiecas uz zema emisiju līmeņa novietņu sistēmām un augstākā no vērtībām – uz novietnēm ar dziļajām zemgrīdas krātuvēm un pakaišu sistēmām turēšanai uz grīdas bez gaisa attīrīšanas un izplūdes gaisā esošā NH3 uztveršanas (</w:t>
      </w:r>
      <w:r w:rsidRPr="00F35F4D">
        <w:rPr>
          <w:i/>
          <w:noProof/>
          <w:sz w:val="24"/>
        </w:rPr>
        <w:t>Groot Koerkamp, Groenestein,</w:t>
      </w:r>
      <w:r w:rsidRPr="00F35F4D">
        <w:rPr>
          <w:noProof/>
          <w:sz w:val="24"/>
        </w:rPr>
        <w:t xml:space="preserve"> 2008).</w:t>
      </w:r>
    </w:p>
    <w:p w14:paraId="0970421F" w14:textId="77777777" w:rsidR="00DE2C08" w:rsidRPr="00F35F4D" w:rsidRDefault="00DE2C08" w:rsidP="00DE2C08">
      <w:pPr>
        <w:pStyle w:val="BodyText"/>
        <w:widowControl/>
        <w:tabs>
          <w:tab w:val="left" w:pos="861"/>
        </w:tabs>
        <w:kinsoku w:val="0"/>
        <w:overflowPunct w:val="0"/>
        <w:spacing w:before="0"/>
        <w:ind w:left="0"/>
        <w:jc w:val="both"/>
        <w:rPr>
          <w:noProof/>
          <w:sz w:val="24"/>
          <w:szCs w:val="24"/>
        </w:rPr>
      </w:pPr>
    </w:p>
    <w:p w14:paraId="03D91DF5" w14:textId="1DFC356E"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NIE specializētās lopkopības saimniecībās paaugstinās, saglabājot lielāku daudzumu barībā esošā N un samazinot „nenovēršamos gāzveida N zudumus” (AI.5. tabula, AI.4. attēls). Barībā esošā N saglabāšana ir atkarīga no lauksaimniecības dzīvnieku</w:t>
      </w:r>
      <w:r w:rsidR="000F4940">
        <w:rPr>
          <w:noProof/>
          <w:sz w:val="24"/>
        </w:rPr>
        <w:t xml:space="preserve"> veida, to ražīguma un ēdināšanas</w:t>
      </w:r>
      <w:r w:rsidRPr="00F35F4D">
        <w:rPr>
          <w:noProof/>
          <w:sz w:val="24"/>
        </w:rPr>
        <w:t>. „Nenovēršamie gāzveida N zudumi” ir atkarīgi no novietņu sistēmas un kūtsmēslu apsaimniekošanas, tostarp apsaimniekošanas sistēmās ar zemu N emisijas līmeni. Tāpēc NIE specializētajās lopkopības saimniecībās ir ļoti atkarīga no gāzveida N zudumiem, tostarp NH3 iztvaikošanas rezultātā; slāpekļa izmantošanas efektivitāt</w:t>
      </w:r>
      <w:r w:rsidR="000F4940">
        <w:rPr>
          <w:noProof/>
          <w:sz w:val="24"/>
        </w:rPr>
        <w:t>e ir integrēts N apsaimniekošanas</w:t>
      </w:r>
      <w:r w:rsidRPr="00F35F4D">
        <w:rPr>
          <w:noProof/>
          <w:sz w:val="24"/>
        </w:rPr>
        <w:t xml:space="preserve"> rādītājs.</w:t>
      </w:r>
    </w:p>
    <w:p w14:paraId="3B5EE685" w14:textId="77777777" w:rsidR="008E3F72" w:rsidRPr="00F35F4D" w:rsidRDefault="008E3F72" w:rsidP="008E3F72">
      <w:pPr>
        <w:pStyle w:val="BodyText"/>
        <w:widowControl/>
        <w:kinsoku w:val="0"/>
        <w:overflowPunct w:val="0"/>
        <w:spacing w:before="0"/>
        <w:ind w:left="0"/>
        <w:jc w:val="both"/>
        <w:rPr>
          <w:noProof/>
          <w:sz w:val="24"/>
          <w:szCs w:val="24"/>
        </w:rPr>
      </w:pPr>
    </w:p>
    <w:p w14:paraId="42BE3DBB"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AI.5 tabula</w:t>
      </w:r>
    </w:p>
    <w:p w14:paraId="1752F85E"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NIE, kas aprēķināta specializētām lopkopības saimniecībām atkarībā no saglabātās</w:t>
      </w:r>
    </w:p>
    <w:p w14:paraId="650EE1EC" w14:textId="6F9A83FE" w:rsidR="008E3F72" w:rsidRPr="00F35F4D" w:rsidRDefault="008E3F72" w:rsidP="008E3F72">
      <w:pPr>
        <w:pStyle w:val="BodyText"/>
        <w:widowControl/>
        <w:kinsoku w:val="0"/>
        <w:overflowPunct w:val="0"/>
        <w:spacing w:before="0"/>
        <w:ind w:left="0"/>
        <w:jc w:val="both"/>
        <w:rPr>
          <w:b/>
          <w:bCs/>
          <w:noProof/>
          <w:sz w:val="24"/>
          <w:szCs w:val="24"/>
        </w:rPr>
      </w:pPr>
      <w:r w:rsidRPr="00F35F4D">
        <w:rPr>
          <w:b/>
          <w:noProof/>
          <w:sz w:val="24"/>
        </w:rPr>
        <w:t xml:space="preserve">barībā esošā N procentuālās daļas un procentos izteiktajiem „nenovēršamajiem N zudumiem”, kas rodas laikā, kad dzīvnieki atrodas novietnēs, un kūtsmēslu </w:t>
      </w:r>
      <w:r w:rsidR="000F4940">
        <w:rPr>
          <w:b/>
          <w:noProof/>
          <w:sz w:val="24"/>
        </w:rPr>
        <w:t>uz</w:t>
      </w:r>
      <w:r w:rsidRPr="00F35F4D">
        <w:rPr>
          <w:b/>
          <w:noProof/>
          <w:sz w:val="24"/>
        </w:rPr>
        <w:t>glabāšanas laikā (saskaņā ar vienādojumu [8])</w:t>
      </w:r>
    </w:p>
    <w:p w14:paraId="06FE0849"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2797"/>
        <w:gridCol w:w="1372"/>
        <w:gridCol w:w="1098"/>
        <w:gridCol w:w="1076"/>
        <w:gridCol w:w="1083"/>
        <w:gridCol w:w="790"/>
      </w:tblGrid>
      <w:tr w:rsidR="008E3F72" w:rsidRPr="00F35F4D" w14:paraId="460EF15C" w14:textId="77777777" w:rsidTr="0010018A">
        <w:tc>
          <w:tcPr>
            <w:tcW w:w="1702" w:type="pct"/>
            <w:vMerge w:val="restart"/>
            <w:tcBorders>
              <w:top w:val="single" w:sz="4" w:space="0" w:color="000000"/>
              <w:left w:val="single" w:sz="4" w:space="0" w:color="000000"/>
              <w:bottom w:val="nil"/>
              <w:right w:val="single" w:sz="4" w:space="0" w:color="000000"/>
            </w:tcBorders>
            <w:shd w:val="clear" w:color="auto" w:fill="D9D9D9"/>
          </w:tcPr>
          <w:p w14:paraId="5A907B0F" w14:textId="77777777" w:rsidR="008E3F72" w:rsidRPr="00F35F4D" w:rsidRDefault="008E3F72" w:rsidP="0010018A">
            <w:pPr>
              <w:pStyle w:val="TableParagraph"/>
              <w:widowControl/>
              <w:kinsoku w:val="0"/>
              <w:overflowPunct w:val="0"/>
              <w:jc w:val="both"/>
              <w:rPr>
                <w:b/>
                <w:bCs/>
                <w:noProof/>
              </w:rPr>
            </w:pPr>
          </w:p>
          <w:p w14:paraId="73CDE489" w14:textId="77777777" w:rsidR="008E3F72" w:rsidRPr="00F35F4D" w:rsidRDefault="008E3F72" w:rsidP="0010018A">
            <w:pPr>
              <w:pStyle w:val="TableParagraph"/>
              <w:widowControl/>
              <w:kinsoku w:val="0"/>
              <w:overflowPunct w:val="0"/>
              <w:jc w:val="both"/>
              <w:rPr>
                <w:i/>
                <w:iCs/>
                <w:noProof/>
              </w:rPr>
            </w:pPr>
            <w:r w:rsidRPr="00F35F4D">
              <w:rPr>
                <w:i/>
                <w:noProof/>
              </w:rPr>
              <w:t>Barībā esošā N saglabāšana (%)</w:t>
            </w:r>
          </w:p>
        </w:tc>
        <w:tc>
          <w:tcPr>
            <w:tcW w:w="835" w:type="pct"/>
            <w:tcBorders>
              <w:top w:val="single" w:sz="4" w:space="0" w:color="000000"/>
              <w:left w:val="single" w:sz="4" w:space="0" w:color="000000"/>
              <w:bottom w:val="nil"/>
              <w:right w:val="nil"/>
            </w:tcBorders>
            <w:shd w:val="clear" w:color="auto" w:fill="F1F1F1"/>
          </w:tcPr>
          <w:p w14:paraId="3CC53FCD" w14:textId="77777777" w:rsidR="008E3F72" w:rsidRPr="00F35F4D" w:rsidRDefault="008E3F72" w:rsidP="0010018A">
            <w:pPr>
              <w:widowControl/>
              <w:jc w:val="both"/>
              <w:rPr>
                <w:noProof/>
              </w:rPr>
            </w:pPr>
          </w:p>
        </w:tc>
        <w:tc>
          <w:tcPr>
            <w:tcW w:w="2462" w:type="pct"/>
            <w:gridSpan w:val="4"/>
            <w:tcBorders>
              <w:top w:val="single" w:sz="4" w:space="0" w:color="000000"/>
              <w:left w:val="nil"/>
              <w:bottom w:val="nil"/>
              <w:right w:val="single" w:sz="4" w:space="0" w:color="000000"/>
            </w:tcBorders>
            <w:shd w:val="clear" w:color="auto" w:fill="F1F1F1"/>
          </w:tcPr>
          <w:p w14:paraId="762D61D4" w14:textId="77777777" w:rsidR="008E3F72" w:rsidRPr="00F35F4D" w:rsidRDefault="008E3F72" w:rsidP="0010018A">
            <w:pPr>
              <w:pStyle w:val="TableParagraph"/>
              <w:widowControl/>
              <w:kinsoku w:val="0"/>
              <w:overflowPunct w:val="0"/>
              <w:jc w:val="both"/>
              <w:rPr>
                <w:i/>
                <w:iCs/>
                <w:noProof/>
              </w:rPr>
            </w:pPr>
            <w:r w:rsidRPr="00F35F4D">
              <w:rPr>
                <w:i/>
                <w:noProof/>
              </w:rPr>
              <w:t>„nenovēršamie N zudumi” kā % no ekskrementos izdalītā N</w:t>
            </w:r>
          </w:p>
        </w:tc>
      </w:tr>
      <w:tr w:rsidR="008E3F72" w:rsidRPr="00F35F4D" w14:paraId="32B4FCCD" w14:textId="77777777" w:rsidTr="0010018A">
        <w:tc>
          <w:tcPr>
            <w:tcW w:w="1702" w:type="pct"/>
            <w:vMerge/>
            <w:tcBorders>
              <w:top w:val="single" w:sz="4" w:space="0" w:color="000000"/>
              <w:left w:val="single" w:sz="4" w:space="0" w:color="000000"/>
              <w:bottom w:val="nil"/>
              <w:right w:val="single" w:sz="4" w:space="0" w:color="000000"/>
            </w:tcBorders>
            <w:shd w:val="clear" w:color="auto" w:fill="D9D9D9"/>
          </w:tcPr>
          <w:p w14:paraId="464E2D44" w14:textId="77777777" w:rsidR="008E3F72" w:rsidRPr="00F35F4D" w:rsidRDefault="008E3F72" w:rsidP="0010018A">
            <w:pPr>
              <w:pStyle w:val="TableParagraph"/>
              <w:widowControl/>
              <w:kinsoku w:val="0"/>
              <w:overflowPunct w:val="0"/>
              <w:jc w:val="both"/>
              <w:rPr>
                <w:noProof/>
              </w:rPr>
            </w:pPr>
          </w:p>
        </w:tc>
        <w:tc>
          <w:tcPr>
            <w:tcW w:w="835" w:type="pct"/>
            <w:tcBorders>
              <w:top w:val="nil"/>
              <w:left w:val="single" w:sz="4" w:space="0" w:color="000000"/>
              <w:bottom w:val="single" w:sz="4" w:space="0" w:color="000000"/>
              <w:right w:val="nil"/>
            </w:tcBorders>
            <w:shd w:val="clear" w:color="auto" w:fill="F1F1F1"/>
          </w:tcPr>
          <w:p w14:paraId="402B512F" w14:textId="77777777" w:rsidR="008E3F72" w:rsidRPr="00F35F4D" w:rsidRDefault="008E3F72" w:rsidP="0010018A">
            <w:pPr>
              <w:pStyle w:val="TableParagraph"/>
              <w:widowControl/>
              <w:kinsoku w:val="0"/>
              <w:overflowPunct w:val="0"/>
              <w:jc w:val="both"/>
              <w:rPr>
                <w:b/>
                <w:bCs/>
                <w:noProof/>
              </w:rPr>
            </w:pPr>
            <w:r w:rsidRPr="00F35F4D">
              <w:rPr>
                <w:b/>
                <w:noProof/>
              </w:rPr>
              <w:t>5</w:t>
            </w:r>
          </w:p>
        </w:tc>
        <w:tc>
          <w:tcPr>
            <w:tcW w:w="2462" w:type="pct"/>
            <w:gridSpan w:val="4"/>
            <w:tcBorders>
              <w:top w:val="nil"/>
              <w:left w:val="nil"/>
              <w:bottom w:val="single" w:sz="4" w:space="0" w:color="000000"/>
              <w:right w:val="single" w:sz="4" w:space="0" w:color="000000"/>
            </w:tcBorders>
            <w:shd w:val="clear" w:color="auto" w:fill="F1F1F1"/>
          </w:tcPr>
          <w:p w14:paraId="58D65CDA" w14:textId="77777777" w:rsidR="008E3F72" w:rsidRPr="00F35F4D" w:rsidRDefault="008E3F72" w:rsidP="0010018A">
            <w:pPr>
              <w:pStyle w:val="TableParagraph"/>
              <w:widowControl/>
              <w:tabs>
                <w:tab w:val="left" w:pos="1361"/>
                <w:tab w:val="left" w:pos="2311"/>
                <w:tab w:val="left" w:pos="3272"/>
              </w:tabs>
              <w:kinsoku w:val="0"/>
              <w:overflowPunct w:val="0"/>
              <w:jc w:val="both"/>
              <w:rPr>
                <w:b/>
                <w:bCs/>
                <w:noProof/>
              </w:rPr>
            </w:pPr>
            <w:r w:rsidRPr="00F35F4D">
              <w:rPr>
                <w:b/>
                <w:noProof/>
              </w:rPr>
              <w:t>10</w:t>
            </w:r>
            <w:r w:rsidRPr="00F35F4D">
              <w:tab/>
            </w:r>
            <w:r w:rsidRPr="00F35F4D">
              <w:rPr>
                <w:b/>
                <w:noProof/>
              </w:rPr>
              <w:t>20</w:t>
            </w:r>
            <w:r w:rsidRPr="00F35F4D">
              <w:tab/>
            </w:r>
            <w:r w:rsidRPr="00F35F4D">
              <w:rPr>
                <w:b/>
                <w:noProof/>
              </w:rPr>
              <w:t>40</w:t>
            </w:r>
            <w:r w:rsidRPr="00F35F4D">
              <w:tab/>
            </w:r>
            <w:r w:rsidRPr="00F35F4D">
              <w:rPr>
                <w:b/>
                <w:noProof/>
              </w:rPr>
              <w:t>60</w:t>
            </w:r>
          </w:p>
        </w:tc>
      </w:tr>
      <w:tr w:rsidR="008E3F72" w:rsidRPr="00F35F4D" w14:paraId="5746C712" w14:textId="77777777" w:rsidTr="0010018A">
        <w:tc>
          <w:tcPr>
            <w:tcW w:w="1702" w:type="pct"/>
            <w:tcBorders>
              <w:top w:val="nil"/>
              <w:left w:val="single" w:sz="4" w:space="0" w:color="000000"/>
              <w:bottom w:val="nil"/>
              <w:right w:val="single" w:sz="4" w:space="0" w:color="000000"/>
            </w:tcBorders>
            <w:shd w:val="clear" w:color="auto" w:fill="D9D9D9"/>
          </w:tcPr>
          <w:p w14:paraId="645303A3" w14:textId="77777777" w:rsidR="008E3F72" w:rsidRPr="00F35F4D" w:rsidRDefault="008E3F72" w:rsidP="0010018A">
            <w:pPr>
              <w:pStyle w:val="TableParagraph"/>
              <w:widowControl/>
              <w:kinsoku w:val="0"/>
              <w:overflowPunct w:val="0"/>
              <w:jc w:val="both"/>
              <w:rPr>
                <w:b/>
                <w:bCs/>
                <w:noProof/>
              </w:rPr>
            </w:pPr>
            <w:r w:rsidRPr="00F35F4D">
              <w:rPr>
                <w:b/>
                <w:noProof/>
              </w:rPr>
              <w:t>5</w:t>
            </w:r>
          </w:p>
        </w:tc>
        <w:tc>
          <w:tcPr>
            <w:tcW w:w="835" w:type="pct"/>
            <w:tcBorders>
              <w:top w:val="single" w:sz="4" w:space="0" w:color="000000"/>
              <w:left w:val="single" w:sz="4" w:space="0" w:color="000000"/>
              <w:bottom w:val="nil"/>
              <w:right w:val="nil"/>
            </w:tcBorders>
          </w:tcPr>
          <w:p w14:paraId="5FBF62C6" w14:textId="77777777" w:rsidR="008E3F72" w:rsidRPr="00F35F4D" w:rsidRDefault="008E3F72" w:rsidP="0010018A">
            <w:pPr>
              <w:pStyle w:val="TableParagraph"/>
              <w:widowControl/>
              <w:kinsoku w:val="0"/>
              <w:overflowPunct w:val="0"/>
              <w:jc w:val="both"/>
              <w:rPr>
                <w:noProof/>
              </w:rPr>
            </w:pPr>
            <w:r w:rsidRPr="00F35F4D">
              <w:t>95</w:t>
            </w:r>
          </w:p>
        </w:tc>
        <w:tc>
          <w:tcPr>
            <w:tcW w:w="668" w:type="pct"/>
            <w:tcBorders>
              <w:top w:val="single" w:sz="4" w:space="0" w:color="000000"/>
              <w:left w:val="nil"/>
              <w:bottom w:val="nil"/>
              <w:right w:val="nil"/>
            </w:tcBorders>
          </w:tcPr>
          <w:p w14:paraId="4C3D289C" w14:textId="77777777" w:rsidR="008E3F72" w:rsidRPr="00F35F4D" w:rsidRDefault="008E3F72" w:rsidP="0010018A">
            <w:pPr>
              <w:pStyle w:val="TableParagraph"/>
              <w:widowControl/>
              <w:kinsoku w:val="0"/>
              <w:overflowPunct w:val="0"/>
              <w:jc w:val="both"/>
              <w:rPr>
                <w:noProof/>
              </w:rPr>
            </w:pPr>
            <w:r w:rsidRPr="00F35F4D">
              <w:t>91</w:t>
            </w:r>
          </w:p>
        </w:tc>
        <w:tc>
          <w:tcPr>
            <w:tcW w:w="655" w:type="pct"/>
            <w:tcBorders>
              <w:top w:val="single" w:sz="4" w:space="0" w:color="000000"/>
              <w:left w:val="nil"/>
              <w:bottom w:val="nil"/>
              <w:right w:val="nil"/>
            </w:tcBorders>
          </w:tcPr>
          <w:p w14:paraId="614BCAFA" w14:textId="77777777" w:rsidR="008E3F72" w:rsidRPr="00F35F4D" w:rsidRDefault="008E3F72" w:rsidP="0010018A">
            <w:pPr>
              <w:pStyle w:val="TableParagraph"/>
              <w:widowControl/>
              <w:kinsoku w:val="0"/>
              <w:overflowPunct w:val="0"/>
              <w:jc w:val="both"/>
              <w:rPr>
                <w:noProof/>
              </w:rPr>
            </w:pPr>
            <w:r w:rsidRPr="00F35F4D">
              <w:t>81</w:t>
            </w:r>
          </w:p>
        </w:tc>
        <w:tc>
          <w:tcPr>
            <w:tcW w:w="659" w:type="pct"/>
            <w:tcBorders>
              <w:top w:val="single" w:sz="4" w:space="0" w:color="000000"/>
              <w:left w:val="nil"/>
              <w:bottom w:val="nil"/>
              <w:right w:val="nil"/>
            </w:tcBorders>
          </w:tcPr>
          <w:p w14:paraId="33B6BEA6" w14:textId="77777777" w:rsidR="008E3F72" w:rsidRPr="00F35F4D" w:rsidRDefault="008E3F72" w:rsidP="0010018A">
            <w:pPr>
              <w:pStyle w:val="TableParagraph"/>
              <w:widowControl/>
              <w:kinsoku w:val="0"/>
              <w:overflowPunct w:val="0"/>
              <w:jc w:val="both"/>
              <w:rPr>
                <w:noProof/>
              </w:rPr>
            </w:pPr>
            <w:r w:rsidRPr="00F35F4D">
              <w:t>62</w:t>
            </w:r>
          </w:p>
        </w:tc>
        <w:tc>
          <w:tcPr>
            <w:tcW w:w="481" w:type="pct"/>
            <w:tcBorders>
              <w:top w:val="single" w:sz="4" w:space="0" w:color="000000"/>
              <w:left w:val="nil"/>
              <w:bottom w:val="nil"/>
              <w:right w:val="single" w:sz="4" w:space="0" w:color="000000"/>
            </w:tcBorders>
          </w:tcPr>
          <w:p w14:paraId="04BCBA61" w14:textId="77777777" w:rsidR="008E3F72" w:rsidRPr="00F35F4D" w:rsidRDefault="008E3F72" w:rsidP="0010018A">
            <w:pPr>
              <w:pStyle w:val="TableParagraph"/>
              <w:widowControl/>
              <w:kinsoku w:val="0"/>
              <w:overflowPunct w:val="0"/>
              <w:jc w:val="both"/>
              <w:rPr>
                <w:noProof/>
              </w:rPr>
            </w:pPr>
            <w:r w:rsidRPr="00F35F4D">
              <w:t>43</w:t>
            </w:r>
          </w:p>
        </w:tc>
      </w:tr>
      <w:tr w:rsidR="008E3F72" w:rsidRPr="00F35F4D" w14:paraId="3A90BB25" w14:textId="77777777" w:rsidTr="0010018A">
        <w:tc>
          <w:tcPr>
            <w:tcW w:w="1702" w:type="pct"/>
            <w:tcBorders>
              <w:top w:val="nil"/>
              <w:left w:val="single" w:sz="4" w:space="0" w:color="000000"/>
              <w:bottom w:val="nil"/>
              <w:right w:val="single" w:sz="4" w:space="0" w:color="000000"/>
            </w:tcBorders>
            <w:shd w:val="clear" w:color="auto" w:fill="D9D9D9"/>
          </w:tcPr>
          <w:p w14:paraId="514FE158" w14:textId="77777777" w:rsidR="008E3F72" w:rsidRPr="00F35F4D" w:rsidRDefault="008E3F72" w:rsidP="0010018A">
            <w:pPr>
              <w:pStyle w:val="TableParagraph"/>
              <w:widowControl/>
              <w:kinsoku w:val="0"/>
              <w:overflowPunct w:val="0"/>
              <w:jc w:val="both"/>
              <w:rPr>
                <w:b/>
                <w:bCs/>
                <w:noProof/>
              </w:rPr>
            </w:pPr>
            <w:r w:rsidRPr="00F35F4D">
              <w:rPr>
                <w:b/>
                <w:noProof/>
              </w:rPr>
              <w:t>10</w:t>
            </w:r>
          </w:p>
        </w:tc>
        <w:tc>
          <w:tcPr>
            <w:tcW w:w="835" w:type="pct"/>
            <w:tcBorders>
              <w:top w:val="nil"/>
              <w:left w:val="single" w:sz="4" w:space="0" w:color="000000"/>
              <w:bottom w:val="nil"/>
              <w:right w:val="nil"/>
            </w:tcBorders>
          </w:tcPr>
          <w:p w14:paraId="0084C4B7" w14:textId="77777777" w:rsidR="008E3F72" w:rsidRPr="00F35F4D" w:rsidRDefault="008E3F72" w:rsidP="0010018A">
            <w:pPr>
              <w:pStyle w:val="TableParagraph"/>
              <w:widowControl/>
              <w:kinsoku w:val="0"/>
              <w:overflowPunct w:val="0"/>
              <w:jc w:val="both"/>
              <w:rPr>
                <w:noProof/>
              </w:rPr>
            </w:pPr>
            <w:r w:rsidRPr="00F35F4D">
              <w:t>96</w:t>
            </w:r>
          </w:p>
        </w:tc>
        <w:tc>
          <w:tcPr>
            <w:tcW w:w="668" w:type="pct"/>
            <w:tcBorders>
              <w:top w:val="nil"/>
              <w:left w:val="nil"/>
              <w:bottom w:val="nil"/>
              <w:right w:val="nil"/>
            </w:tcBorders>
          </w:tcPr>
          <w:p w14:paraId="007B487F" w14:textId="77777777" w:rsidR="008E3F72" w:rsidRPr="00F35F4D" w:rsidRDefault="008E3F72" w:rsidP="0010018A">
            <w:pPr>
              <w:pStyle w:val="TableParagraph"/>
              <w:widowControl/>
              <w:kinsoku w:val="0"/>
              <w:overflowPunct w:val="0"/>
              <w:jc w:val="both"/>
              <w:rPr>
                <w:noProof/>
              </w:rPr>
            </w:pPr>
            <w:r w:rsidRPr="00F35F4D">
              <w:t>91</w:t>
            </w:r>
          </w:p>
        </w:tc>
        <w:tc>
          <w:tcPr>
            <w:tcW w:w="655" w:type="pct"/>
            <w:tcBorders>
              <w:top w:val="nil"/>
              <w:left w:val="nil"/>
              <w:bottom w:val="nil"/>
              <w:right w:val="nil"/>
            </w:tcBorders>
          </w:tcPr>
          <w:p w14:paraId="1498E377" w14:textId="77777777" w:rsidR="008E3F72" w:rsidRPr="00F35F4D" w:rsidRDefault="008E3F72" w:rsidP="0010018A">
            <w:pPr>
              <w:pStyle w:val="TableParagraph"/>
              <w:widowControl/>
              <w:kinsoku w:val="0"/>
              <w:overflowPunct w:val="0"/>
              <w:jc w:val="both"/>
              <w:rPr>
                <w:noProof/>
              </w:rPr>
            </w:pPr>
            <w:r w:rsidRPr="00F35F4D">
              <w:t>82</w:t>
            </w:r>
          </w:p>
        </w:tc>
        <w:tc>
          <w:tcPr>
            <w:tcW w:w="659" w:type="pct"/>
            <w:tcBorders>
              <w:top w:val="nil"/>
              <w:left w:val="nil"/>
              <w:bottom w:val="nil"/>
              <w:right w:val="nil"/>
            </w:tcBorders>
          </w:tcPr>
          <w:p w14:paraId="485B1B77" w14:textId="77777777" w:rsidR="008E3F72" w:rsidRPr="00F35F4D" w:rsidRDefault="008E3F72" w:rsidP="0010018A">
            <w:pPr>
              <w:pStyle w:val="TableParagraph"/>
              <w:widowControl/>
              <w:kinsoku w:val="0"/>
              <w:overflowPunct w:val="0"/>
              <w:jc w:val="both"/>
              <w:rPr>
                <w:noProof/>
              </w:rPr>
            </w:pPr>
            <w:r w:rsidRPr="00F35F4D">
              <w:t>64</w:t>
            </w:r>
          </w:p>
        </w:tc>
        <w:tc>
          <w:tcPr>
            <w:tcW w:w="481" w:type="pct"/>
            <w:tcBorders>
              <w:top w:val="nil"/>
              <w:left w:val="nil"/>
              <w:bottom w:val="nil"/>
              <w:right w:val="single" w:sz="4" w:space="0" w:color="000000"/>
            </w:tcBorders>
          </w:tcPr>
          <w:p w14:paraId="6A397D81" w14:textId="77777777" w:rsidR="008E3F72" w:rsidRPr="00F35F4D" w:rsidRDefault="008E3F72" w:rsidP="0010018A">
            <w:pPr>
              <w:pStyle w:val="TableParagraph"/>
              <w:widowControl/>
              <w:kinsoku w:val="0"/>
              <w:overflowPunct w:val="0"/>
              <w:jc w:val="both"/>
              <w:rPr>
                <w:noProof/>
              </w:rPr>
            </w:pPr>
            <w:r w:rsidRPr="00F35F4D">
              <w:t>46</w:t>
            </w:r>
          </w:p>
        </w:tc>
      </w:tr>
      <w:tr w:rsidR="008E3F72" w:rsidRPr="00F35F4D" w14:paraId="2805C816" w14:textId="77777777" w:rsidTr="0010018A">
        <w:tc>
          <w:tcPr>
            <w:tcW w:w="1702" w:type="pct"/>
            <w:tcBorders>
              <w:top w:val="nil"/>
              <w:left w:val="single" w:sz="4" w:space="0" w:color="000000"/>
              <w:bottom w:val="nil"/>
              <w:right w:val="single" w:sz="4" w:space="0" w:color="000000"/>
            </w:tcBorders>
            <w:shd w:val="clear" w:color="auto" w:fill="D9D9D9"/>
          </w:tcPr>
          <w:p w14:paraId="5D6848E4" w14:textId="77777777" w:rsidR="008E3F72" w:rsidRPr="00F35F4D" w:rsidRDefault="008E3F72" w:rsidP="0010018A">
            <w:pPr>
              <w:pStyle w:val="TableParagraph"/>
              <w:widowControl/>
              <w:kinsoku w:val="0"/>
              <w:overflowPunct w:val="0"/>
              <w:jc w:val="both"/>
              <w:rPr>
                <w:b/>
                <w:bCs/>
                <w:noProof/>
              </w:rPr>
            </w:pPr>
            <w:r w:rsidRPr="00F35F4D">
              <w:rPr>
                <w:b/>
                <w:noProof/>
              </w:rPr>
              <w:t>20</w:t>
            </w:r>
          </w:p>
        </w:tc>
        <w:tc>
          <w:tcPr>
            <w:tcW w:w="835" w:type="pct"/>
            <w:tcBorders>
              <w:top w:val="nil"/>
              <w:left w:val="single" w:sz="4" w:space="0" w:color="000000"/>
              <w:bottom w:val="nil"/>
              <w:right w:val="nil"/>
            </w:tcBorders>
          </w:tcPr>
          <w:p w14:paraId="04C1337D" w14:textId="77777777" w:rsidR="008E3F72" w:rsidRPr="00F35F4D" w:rsidRDefault="008E3F72" w:rsidP="0010018A">
            <w:pPr>
              <w:pStyle w:val="TableParagraph"/>
              <w:widowControl/>
              <w:kinsoku w:val="0"/>
              <w:overflowPunct w:val="0"/>
              <w:jc w:val="both"/>
              <w:rPr>
                <w:noProof/>
              </w:rPr>
            </w:pPr>
            <w:r w:rsidRPr="00F35F4D">
              <w:t>96</w:t>
            </w:r>
          </w:p>
        </w:tc>
        <w:tc>
          <w:tcPr>
            <w:tcW w:w="668" w:type="pct"/>
            <w:tcBorders>
              <w:top w:val="nil"/>
              <w:left w:val="nil"/>
              <w:bottom w:val="nil"/>
              <w:right w:val="nil"/>
            </w:tcBorders>
          </w:tcPr>
          <w:p w14:paraId="02E10207" w14:textId="77777777" w:rsidR="008E3F72" w:rsidRPr="00F35F4D" w:rsidRDefault="008E3F72" w:rsidP="0010018A">
            <w:pPr>
              <w:pStyle w:val="TableParagraph"/>
              <w:widowControl/>
              <w:kinsoku w:val="0"/>
              <w:overflowPunct w:val="0"/>
              <w:jc w:val="both"/>
              <w:rPr>
                <w:noProof/>
              </w:rPr>
            </w:pPr>
            <w:r w:rsidRPr="00F35F4D">
              <w:t>92</w:t>
            </w:r>
          </w:p>
        </w:tc>
        <w:tc>
          <w:tcPr>
            <w:tcW w:w="655" w:type="pct"/>
            <w:tcBorders>
              <w:top w:val="nil"/>
              <w:left w:val="nil"/>
              <w:bottom w:val="nil"/>
              <w:right w:val="nil"/>
            </w:tcBorders>
          </w:tcPr>
          <w:p w14:paraId="0D178230" w14:textId="77777777" w:rsidR="008E3F72" w:rsidRPr="00F35F4D" w:rsidRDefault="008E3F72" w:rsidP="0010018A">
            <w:pPr>
              <w:pStyle w:val="TableParagraph"/>
              <w:widowControl/>
              <w:kinsoku w:val="0"/>
              <w:overflowPunct w:val="0"/>
              <w:jc w:val="both"/>
              <w:rPr>
                <w:noProof/>
              </w:rPr>
            </w:pPr>
            <w:r w:rsidRPr="00F35F4D">
              <w:t>84</w:t>
            </w:r>
          </w:p>
        </w:tc>
        <w:tc>
          <w:tcPr>
            <w:tcW w:w="659" w:type="pct"/>
            <w:tcBorders>
              <w:top w:val="nil"/>
              <w:left w:val="nil"/>
              <w:bottom w:val="nil"/>
              <w:right w:val="nil"/>
            </w:tcBorders>
          </w:tcPr>
          <w:p w14:paraId="59EA3565" w14:textId="77777777" w:rsidR="008E3F72" w:rsidRPr="00F35F4D" w:rsidRDefault="008E3F72" w:rsidP="0010018A">
            <w:pPr>
              <w:pStyle w:val="TableParagraph"/>
              <w:widowControl/>
              <w:kinsoku w:val="0"/>
              <w:overflowPunct w:val="0"/>
              <w:jc w:val="both"/>
              <w:rPr>
                <w:noProof/>
              </w:rPr>
            </w:pPr>
            <w:r w:rsidRPr="00F35F4D">
              <w:t>68</w:t>
            </w:r>
          </w:p>
        </w:tc>
        <w:tc>
          <w:tcPr>
            <w:tcW w:w="481" w:type="pct"/>
            <w:tcBorders>
              <w:top w:val="nil"/>
              <w:left w:val="nil"/>
              <w:bottom w:val="nil"/>
              <w:right w:val="single" w:sz="4" w:space="0" w:color="000000"/>
            </w:tcBorders>
          </w:tcPr>
          <w:p w14:paraId="090F38E1" w14:textId="77777777" w:rsidR="008E3F72" w:rsidRPr="00F35F4D" w:rsidRDefault="008E3F72" w:rsidP="0010018A">
            <w:pPr>
              <w:pStyle w:val="TableParagraph"/>
              <w:widowControl/>
              <w:kinsoku w:val="0"/>
              <w:overflowPunct w:val="0"/>
              <w:jc w:val="both"/>
              <w:rPr>
                <w:noProof/>
              </w:rPr>
            </w:pPr>
            <w:r w:rsidRPr="00F35F4D">
              <w:t>52</w:t>
            </w:r>
          </w:p>
        </w:tc>
      </w:tr>
      <w:tr w:rsidR="008E3F72" w:rsidRPr="00F35F4D" w14:paraId="4A074AB4" w14:textId="77777777" w:rsidTr="0010018A">
        <w:tc>
          <w:tcPr>
            <w:tcW w:w="1702" w:type="pct"/>
            <w:tcBorders>
              <w:top w:val="nil"/>
              <w:left w:val="single" w:sz="4" w:space="0" w:color="000000"/>
              <w:bottom w:val="nil"/>
              <w:right w:val="single" w:sz="4" w:space="0" w:color="000000"/>
            </w:tcBorders>
            <w:shd w:val="clear" w:color="auto" w:fill="D9D9D9"/>
          </w:tcPr>
          <w:p w14:paraId="00D9BE40" w14:textId="77777777" w:rsidR="008E3F72" w:rsidRPr="00F35F4D" w:rsidRDefault="008E3F72" w:rsidP="0010018A">
            <w:pPr>
              <w:pStyle w:val="TableParagraph"/>
              <w:widowControl/>
              <w:kinsoku w:val="0"/>
              <w:overflowPunct w:val="0"/>
              <w:jc w:val="both"/>
              <w:rPr>
                <w:b/>
                <w:bCs/>
                <w:noProof/>
              </w:rPr>
            </w:pPr>
            <w:r w:rsidRPr="00F35F4D">
              <w:rPr>
                <w:b/>
                <w:noProof/>
              </w:rPr>
              <w:t>30</w:t>
            </w:r>
          </w:p>
        </w:tc>
        <w:tc>
          <w:tcPr>
            <w:tcW w:w="835" w:type="pct"/>
            <w:tcBorders>
              <w:top w:val="nil"/>
              <w:left w:val="single" w:sz="4" w:space="0" w:color="000000"/>
              <w:bottom w:val="nil"/>
              <w:right w:val="nil"/>
            </w:tcBorders>
          </w:tcPr>
          <w:p w14:paraId="3C6450F3" w14:textId="77777777" w:rsidR="008E3F72" w:rsidRPr="00F35F4D" w:rsidRDefault="008E3F72" w:rsidP="0010018A">
            <w:pPr>
              <w:pStyle w:val="TableParagraph"/>
              <w:widowControl/>
              <w:kinsoku w:val="0"/>
              <w:overflowPunct w:val="0"/>
              <w:jc w:val="both"/>
              <w:rPr>
                <w:noProof/>
              </w:rPr>
            </w:pPr>
            <w:r w:rsidRPr="00F35F4D">
              <w:t>97</w:t>
            </w:r>
          </w:p>
        </w:tc>
        <w:tc>
          <w:tcPr>
            <w:tcW w:w="668" w:type="pct"/>
            <w:tcBorders>
              <w:top w:val="nil"/>
              <w:left w:val="nil"/>
              <w:bottom w:val="nil"/>
              <w:right w:val="nil"/>
            </w:tcBorders>
          </w:tcPr>
          <w:p w14:paraId="6F8260DA" w14:textId="77777777" w:rsidR="008E3F72" w:rsidRPr="00F35F4D" w:rsidRDefault="008E3F72" w:rsidP="0010018A">
            <w:pPr>
              <w:pStyle w:val="TableParagraph"/>
              <w:widowControl/>
              <w:kinsoku w:val="0"/>
              <w:overflowPunct w:val="0"/>
              <w:jc w:val="both"/>
              <w:rPr>
                <w:noProof/>
              </w:rPr>
            </w:pPr>
            <w:r w:rsidRPr="00F35F4D">
              <w:t>93</w:t>
            </w:r>
          </w:p>
        </w:tc>
        <w:tc>
          <w:tcPr>
            <w:tcW w:w="655" w:type="pct"/>
            <w:tcBorders>
              <w:top w:val="nil"/>
              <w:left w:val="nil"/>
              <w:bottom w:val="nil"/>
              <w:right w:val="nil"/>
            </w:tcBorders>
          </w:tcPr>
          <w:p w14:paraId="77CA8A0C" w14:textId="77777777" w:rsidR="008E3F72" w:rsidRPr="00F35F4D" w:rsidRDefault="008E3F72" w:rsidP="0010018A">
            <w:pPr>
              <w:pStyle w:val="TableParagraph"/>
              <w:widowControl/>
              <w:kinsoku w:val="0"/>
              <w:overflowPunct w:val="0"/>
              <w:jc w:val="both"/>
              <w:rPr>
                <w:noProof/>
              </w:rPr>
            </w:pPr>
            <w:r w:rsidRPr="00F35F4D">
              <w:t>86</w:t>
            </w:r>
          </w:p>
        </w:tc>
        <w:tc>
          <w:tcPr>
            <w:tcW w:w="659" w:type="pct"/>
            <w:tcBorders>
              <w:top w:val="nil"/>
              <w:left w:val="nil"/>
              <w:bottom w:val="nil"/>
              <w:right w:val="nil"/>
            </w:tcBorders>
          </w:tcPr>
          <w:p w14:paraId="301EDC21" w14:textId="77777777" w:rsidR="008E3F72" w:rsidRPr="00F35F4D" w:rsidRDefault="008E3F72" w:rsidP="0010018A">
            <w:pPr>
              <w:pStyle w:val="TableParagraph"/>
              <w:widowControl/>
              <w:kinsoku w:val="0"/>
              <w:overflowPunct w:val="0"/>
              <w:jc w:val="both"/>
              <w:rPr>
                <w:noProof/>
              </w:rPr>
            </w:pPr>
            <w:r w:rsidRPr="00F35F4D">
              <w:t>72</w:t>
            </w:r>
          </w:p>
        </w:tc>
        <w:tc>
          <w:tcPr>
            <w:tcW w:w="481" w:type="pct"/>
            <w:tcBorders>
              <w:top w:val="nil"/>
              <w:left w:val="nil"/>
              <w:bottom w:val="nil"/>
              <w:right w:val="single" w:sz="4" w:space="0" w:color="000000"/>
            </w:tcBorders>
          </w:tcPr>
          <w:p w14:paraId="2AEFBBE0" w14:textId="77777777" w:rsidR="008E3F72" w:rsidRPr="00F35F4D" w:rsidRDefault="008E3F72" w:rsidP="0010018A">
            <w:pPr>
              <w:pStyle w:val="TableParagraph"/>
              <w:widowControl/>
              <w:kinsoku w:val="0"/>
              <w:overflowPunct w:val="0"/>
              <w:jc w:val="both"/>
              <w:rPr>
                <w:noProof/>
              </w:rPr>
            </w:pPr>
            <w:r w:rsidRPr="00F35F4D">
              <w:t>58</w:t>
            </w:r>
          </w:p>
        </w:tc>
      </w:tr>
      <w:tr w:rsidR="008E3F72" w:rsidRPr="00F35F4D" w14:paraId="6A34B9D5" w14:textId="77777777" w:rsidTr="0010018A">
        <w:tc>
          <w:tcPr>
            <w:tcW w:w="1702" w:type="pct"/>
            <w:tcBorders>
              <w:top w:val="nil"/>
              <w:left w:val="single" w:sz="4" w:space="0" w:color="000000"/>
              <w:bottom w:val="single" w:sz="4" w:space="0" w:color="000000"/>
              <w:right w:val="single" w:sz="4" w:space="0" w:color="000000"/>
            </w:tcBorders>
            <w:shd w:val="clear" w:color="auto" w:fill="D9D9D9"/>
          </w:tcPr>
          <w:p w14:paraId="14C9BC6D" w14:textId="77777777" w:rsidR="008E3F72" w:rsidRPr="00F35F4D" w:rsidRDefault="008E3F72" w:rsidP="0010018A">
            <w:pPr>
              <w:pStyle w:val="TableParagraph"/>
              <w:widowControl/>
              <w:kinsoku w:val="0"/>
              <w:overflowPunct w:val="0"/>
              <w:jc w:val="both"/>
              <w:rPr>
                <w:b/>
                <w:bCs/>
                <w:noProof/>
              </w:rPr>
            </w:pPr>
            <w:r w:rsidRPr="00F35F4D">
              <w:rPr>
                <w:b/>
                <w:noProof/>
              </w:rPr>
              <w:t>40</w:t>
            </w:r>
          </w:p>
        </w:tc>
        <w:tc>
          <w:tcPr>
            <w:tcW w:w="835" w:type="pct"/>
            <w:tcBorders>
              <w:top w:val="nil"/>
              <w:left w:val="single" w:sz="4" w:space="0" w:color="000000"/>
              <w:bottom w:val="single" w:sz="4" w:space="0" w:color="000000"/>
              <w:right w:val="nil"/>
            </w:tcBorders>
          </w:tcPr>
          <w:p w14:paraId="1A4E5DB1" w14:textId="77777777" w:rsidR="008E3F72" w:rsidRPr="00F35F4D" w:rsidRDefault="008E3F72" w:rsidP="0010018A">
            <w:pPr>
              <w:pStyle w:val="TableParagraph"/>
              <w:widowControl/>
              <w:kinsoku w:val="0"/>
              <w:overflowPunct w:val="0"/>
              <w:jc w:val="both"/>
              <w:rPr>
                <w:noProof/>
              </w:rPr>
            </w:pPr>
            <w:r w:rsidRPr="00F35F4D">
              <w:t>97</w:t>
            </w:r>
          </w:p>
        </w:tc>
        <w:tc>
          <w:tcPr>
            <w:tcW w:w="668" w:type="pct"/>
            <w:tcBorders>
              <w:top w:val="nil"/>
              <w:left w:val="nil"/>
              <w:bottom w:val="single" w:sz="4" w:space="0" w:color="000000"/>
              <w:right w:val="nil"/>
            </w:tcBorders>
          </w:tcPr>
          <w:p w14:paraId="4B6D1CB4" w14:textId="77777777" w:rsidR="008E3F72" w:rsidRPr="00F35F4D" w:rsidRDefault="008E3F72" w:rsidP="0010018A">
            <w:pPr>
              <w:pStyle w:val="TableParagraph"/>
              <w:widowControl/>
              <w:kinsoku w:val="0"/>
              <w:overflowPunct w:val="0"/>
              <w:jc w:val="both"/>
              <w:rPr>
                <w:noProof/>
              </w:rPr>
            </w:pPr>
            <w:r w:rsidRPr="00F35F4D">
              <w:t>94</w:t>
            </w:r>
          </w:p>
        </w:tc>
        <w:tc>
          <w:tcPr>
            <w:tcW w:w="655" w:type="pct"/>
            <w:tcBorders>
              <w:top w:val="nil"/>
              <w:left w:val="nil"/>
              <w:bottom w:val="single" w:sz="4" w:space="0" w:color="000000"/>
              <w:right w:val="nil"/>
            </w:tcBorders>
          </w:tcPr>
          <w:p w14:paraId="33F2F138" w14:textId="77777777" w:rsidR="008E3F72" w:rsidRPr="00F35F4D" w:rsidRDefault="008E3F72" w:rsidP="0010018A">
            <w:pPr>
              <w:pStyle w:val="TableParagraph"/>
              <w:widowControl/>
              <w:kinsoku w:val="0"/>
              <w:overflowPunct w:val="0"/>
              <w:jc w:val="both"/>
              <w:rPr>
                <w:noProof/>
              </w:rPr>
            </w:pPr>
            <w:r w:rsidRPr="00F35F4D">
              <w:t>88</w:t>
            </w:r>
          </w:p>
        </w:tc>
        <w:tc>
          <w:tcPr>
            <w:tcW w:w="659" w:type="pct"/>
            <w:tcBorders>
              <w:top w:val="nil"/>
              <w:left w:val="nil"/>
              <w:bottom w:val="single" w:sz="4" w:space="0" w:color="000000"/>
              <w:right w:val="nil"/>
            </w:tcBorders>
          </w:tcPr>
          <w:p w14:paraId="0A1CC44B" w14:textId="77777777" w:rsidR="008E3F72" w:rsidRPr="00F35F4D" w:rsidRDefault="008E3F72" w:rsidP="0010018A">
            <w:pPr>
              <w:pStyle w:val="TableParagraph"/>
              <w:widowControl/>
              <w:kinsoku w:val="0"/>
              <w:overflowPunct w:val="0"/>
              <w:jc w:val="both"/>
              <w:rPr>
                <w:noProof/>
              </w:rPr>
            </w:pPr>
            <w:r w:rsidRPr="00F35F4D">
              <w:t>76</w:t>
            </w:r>
          </w:p>
        </w:tc>
        <w:tc>
          <w:tcPr>
            <w:tcW w:w="481" w:type="pct"/>
            <w:tcBorders>
              <w:top w:val="nil"/>
              <w:left w:val="nil"/>
              <w:bottom w:val="single" w:sz="4" w:space="0" w:color="000000"/>
              <w:right w:val="single" w:sz="4" w:space="0" w:color="000000"/>
            </w:tcBorders>
          </w:tcPr>
          <w:p w14:paraId="0CA327A6" w14:textId="77777777" w:rsidR="008E3F72" w:rsidRPr="00F35F4D" w:rsidRDefault="008E3F72" w:rsidP="0010018A">
            <w:pPr>
              <w:pStyle w:val="TableParagraph"/>
              <w:widowControl/>
              <w:kinsoku w:val="0"/>
              <w:overflowPunct w:val="0"/>
              <w:jc w:val="both"/>
              <w:rPr>
                <w:noProof/>
              </w:rPr>
            </w:pPr>
            <w:r w:rsidRPr="00F35F4D">
              <w:t>64</w:t>
            </w:r>
          </w:p>
        </w:tc>
      </w:tr>
    </w:tbl>
    <w:p w14:paraId="03CA18DE" w14:textId="77777777" w:rsidR="008E3F72" w:rsidRPr="00F35F4D" w:rsidRDefault="008E3F72" w:rsidP="008E3F72">
      <w:pPr>
        <w:pStyle w:val="BodyText"/>
        <w:widowControl/>
        <w:kinsoku w:val="0"/>
        <w:overflowPunct w:val="0"/>
        <w:spacing w:before="0"/>
        <w:ind w:left="0"/>
        <w:jc w:val="both"/>
        <w:rPr>
          <w:i/>
          <w:iCs/>
          <w:noProof/>
          <w:sz w:val="24"/>
          <w:szCs w:val="24"/>
        </w:rPr>
      </w:pPr>
    </w:p>
    <w:p w14:paraId="7B28B31E"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rPr>
        <w:t>Piezīme.</w:t>
      </w:r>
      <w:r w:rsidRPr="00F35F4D">
        <w:rPr>
          <w:noProof/>
          <w:sz w:val="24"/>
        </w:rPr>
        <w:t xml:space="preserve"> Pieņem, ka visus dzīvnieku izcelsmes produktus, tostarp kūtsmēslus, izved no saimniecības.</w:t>
      </w:r>
    </w:p>
    <w:p w14:paraId="636C881F"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AI.4. attēls</w:t>
      </w:r>
    </w:p>
    <w:p w14:paraId="55AF01C6" w14:textId="15C6889C"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 xml:space="preserve">NIE, kas aprēķināta specializētām lopkopības saimniecībām atkarībā no saglabātās barībā esošā N procentuālās daļas un procentos izteiktajiem „nenovēršamajiem N zudumiem”, kas rodas kūtsmēslu </w:t>
      </w:r>
      <w:r w:rsidR="000F4940">
        <w:rPr>
          <w:noProof/>
          <w:sz w:val="24"/>
        </w:rPr>
        <w:t>uz</w:t>
      </w:r>
      <w:r w:rsidRPr="00F35F4D">
        <w:rPr>
          <w:noProof/>
          <w:sz w:val="24"/>
        </w:rPr>
        <w:t>glabāšanas laikā (saskaņā ar vienādojumu [8])</w:t>
      </w:r>
    </w:p>
    <w:p w14:paraId="35E3F414" w14:textId="77777777" w:rsidR="008E3F72" w:rsidRPr="00F35F4D" w:rsidRDefault="008E3F72" w:rsidP="008E3F72">
      <w:pPr>
        <w:pStyle w:val="BodyText"/>
        <w:widowControl/>
        <w:kinsoku w:val="0"/>
        <w:overflowPunct w:val="0"/>
        <w:spacing w:before="0"/>
        <w:ind w:left="0"/>
        <w:jc w:val="both"/>
        <w:rPr>
          <w:b/>
          <w:bCs/>
          <w:noProof/>
          <w:sz w:val="24"/>
          <w:szCs w:val="24"/>
        </w:rPr>
      </w:pPr>
    </w:p>
    <w:p w14:paraId="0517735E" w14:textId="47920A70" w:rsidR="008E3F72" w:rsidRPr="00F35F4D" w:rsidRDefault="00DE2C08" w:rsidP="008E3F72">
      <w:pPr>
        <w:pStyle w:val="BodyText"/>
        <w:widowControl/>
        <w:kinsoku w:val="0"/>
        <w:overflowPunct w:val="0"/>
        <w:spacing w:before="0"/>
        <w:ind w:left="0"/>
        <w:jc w:val="center"/>
        <w:rPr>
          <w:b/>
          <w:bCs/>
          <w:noProof/>
          <w:sz w:val="24"/>
          <w:szCs w:val="24"/>
        </w:rPr>
      </w:pPr>
      <w:r w:rsidRPr="00DE2C08">
        <w:rPr>
          <w:b/>
          <w:bCs/>
          <w:noProof/>
          <w:sz w:val="24"/>
          <w:szCs w:val="24"/>
          <w:lang w:bidi="ar-SA"/>
        </w:rPr>
        <w:lastRenderedPageBreak/>
        <w:drawing>
          <wp:inline distT="0" distB="0" distL="0" distR="0" wp14:anchorId="14CDDF60" wp14:editId="607B9C14">
            <wp:extent cx="5223510" cy="3027901"/>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23510" cy="3027901"/>
                    </a:xfrm>
                    <a:prstGeom prst="rect">
                      <a:avLst/>
                    </a:prstGeom>
                    <a:noFill/>
                    <a:ln>
                      <a:noFill/>
                    </a:ln>
                  </pic:spPr>
                </pic:pic>
              </a:graphicData>
            </a:graphic>
          </wp:inline>
        </w:drawing>
      </w:r>
    </w:p>
    <w:p w14:paraId="27000BF3" w14:textId="77777777" w:rsidR="008E3F72" w:rsidRPr="00F35F4D" w:rsidRDefault="008E3F72" w:rsidP="008E3F72">
      <w:pPr>
        <w:pStyle w:val="BodyText"/>
        <w:widowControl/>
        <w:kinsoku w:val="0"/>
        <w:overflowPunct w:val="0"/>
        <w:spacing w:before="0"/>
        <w:ind w:left="0"/>
        <w:jc w:val="both"/>
        <w:rPr>
          <w:bCs/>
          <w:noProof/>
          <w:sz w:val="24"/>
          <w:szCs w:val="24"/>
        </w:rPr>
      </w:pPr>
    </w:p>
    <w:p w14:paraId="47D73BD9"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rPr>
        <w:t>Piezīme.</w:t>
      </w:r>
      <w:r w:rsidRPr="00F35F4D">
        <w:rPr>
          <w:noProof/>
          <w:sz w:val="24"/>
        </w:rPr>
        <w:t xml:space="preserve"> Pieņem, ka visus dzīvnieku izcelsmes produktus, tostarp kūtsmēslus, izved no saimniecības.</w:t>
      </w:r>
    </w:p>
    <w:p w14:paraId="271FD41E" w14:textId="77777777" w:rsidR="008E3F72" w:rsidRPr="00F35F4D" w:rsidRDefault="008E3F72" w:rsidP="008E3F72">
      <w:pPr>
        <w:pStyle w:val="BodyText"/>
        <w:widowControl/>
        <w:kinsoku w:val="0"/>
        <w:overflowPunct w:val="0"/>
        <w:spacing w:before="0"/>
        <w:ind w:left="0"/>
        <w:jc w:val="both"/>
        <w:rPr>
          <w:noProof/>
          <w:sz w:val="24"/>
          <w:szCs w:val="24"/>
        </w:rPr>
      </w:pPr>
    </w:p>
    <w:p w14:paraId="0B19460A" w14:textId="77777777" w:rsidR="008E3F72" w:rsidRPr="00DE2C08"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N bilance saimniecībai kopumā un NIE ir rādītāji, ko izmanto, lai noteiktu uz vidi radīto N spiedienu un N resursa izmantošanas efektivitāti. Dažās valstīs (piemēram, Dānijā un Nīderlandē) N bilances un N pārpalikumu izmanto un arī iepriekš izmantoja kā vienotus normatīvos instrumentus N zudumu samazināšanai, slāpeklim nonākot vidē, pat neesot pieredzei par N pārpalikuma un NIE rādītāju tiešu izmantošanu NH3 emisijas samazinājuma panākšanai. Tomēr ir stabils teorētiskais pamats un arī empīriskie pierādījumi tam, ka lielāka NIE ir saistīta ar mazākiem N zudumiem uz saražotā produkta vienību. Līdzīgā kārtā NIE palielinājums lopkopības sistēmā un jauktās ražošanas sistēmās parasti ir saistīts ar NH3 zudumu samazināšanos uz saražotā produkta vienību, kā tas, piemēram, ir Dānijā (</w:t>
      </w:r>
      <w:r w:rsidRPr="00F35F4D">
        <w:rPr>
          <w:i/>
          <w:noProof/>
          <w:sz w:val="24"/>
        </w:rPr>
        <w:t>Mikkelsen et al.</w:t>
      </w:r>
      <w:r w:rsidRPr="00F35F4D">
        <w:rPr>
          <w:noProof/>
          <w:sz w:val="24"/>
        </w:rPr>
        <w:t xml:space="preserve">, 2010; </w:t>
      </w:r>
      <w:r w:rsidRPr="00F35F4D">
        <w:rPr>
          <w:i/>
          <w:noProof/>
          <w:sz w:val="24"/>
        </w:rPr>
        <w:t>Nørregaard Hansen et al</w:t>
      </w:r>
      <w:r w:rsidRPr="00F35F4D">
        <w:rPr>
          <w:noProof/>
          <w:sz w:val="24"/>
        </w:rPr>
        <w:t xml:space="preserve">., 2008; </w:t>
      </w:r>
      <w:r w:rsidRPr="00F35F4D">
        <w:rPr>
          <w:i/>
          <w:noProof/>
          <w:sz w:val="24"/>
        </w:rPr>
        <w:t>Anonymous,</w:t>
      </w:r>
      <w:r w:rsidRPr="00F35F4D">
        <w:rPr>
          <w:noProof/>
          <w:sz w:val="24"/>
        </w:rPr>
        <w:t xml:space="preserve"> 2008).</w:t>
      </w:r>
    </w:p>
    <w:p w14:paraId="011F9A63" w14:textId="77777777" w:rsidR="00DE2C08" w:rsidRPr="00F35F4D" w:rsidRDefault="00DE2C08" w:rsidP="00DE2C08">
      <w:pPr>
        <w:pStyle w:val="BodyText"/>
        <w:widowControl/>
        <w:tabs>
          <w:tab w:val="left" w:pos="861"/>
        </w:tabs>
        <w:kinsoku w:val="0"/>
        <w:overflowPunct w:val="0"/>
        <w:spacing w:before="0"/>
        <w:ind w:left="0"/>
        <w:jc w:val="both"/>
        <w:rPr>
          <w:noProof/>
          <w:sz w:val="24"/>
          <w:szCs w:val="24"/>
        </w:rPr>
      </w:pPr>
    </w:p>
    <w:p w14:paraId="63A09784" w14:textId="77777777" w:rsidR="008E3F72" w:rsidRPr="00DE2C08"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Dānijas un Nīderlandes pieredze parāda, ka lielākā lauksaimnieku daļa bez grūtībām spēj saprast N bilances un NIE rādītājus un, pamatojoties uz grāmatvedības uzskaiti un N standartvērtībām dažādos produkcijas veidos, spēj arī sastādīt N bilanci un noteikt NIE rādītājus. Palīdzēt var arī apmācība un dalība lauksaimnieku interešu grupās. Citkārt N bilanču un NIE aprēķinu var veikt arī grāmatveži, pamatojoties uz grāmatvedības uzskaiti un N standartvērtībām dažādos produkcijas veidos. N bilances sastādīšana un NIE rādītāju noteikšana vidēji gadā saimniecībai izmaksā 200–500 €.</w:t>
      </w:r>
    </w:p>
    <w:p w14:paraId="347289C1" w14:textId="77777777" w:rsidR="00DE2C08" w:rsidRPr="00F35F4D" w:rsidRDefault="00DE2C08" w:rsidP="00DE2C08">
      <w:pPr>
        <w:pStyle w:val="BodyText"/>
        <w:widowControl/>
        <w:tabs>
          <w:tab w:val="left" w:pos="861"/>
        </w:tabs>
        <w:kinsoku w:val="0"/>
        <w:overflowPunct w:val="0"/>
        <w:spacing w:before="0"/>
        <w:ind w:left="0"/>
        <w:jc w:val="both"/>
        <w:rPr>
          <w:noProof/>
          <w:sz w:val="24"/>
          <w:szCs w:val="24"/>
        </w:rPr>
      </w:pPr>
    </w:p>
    <w:p w14:paraId="1DB1F238" w14:textId="5415417C" w:rsidR="00DE2C08" w:rsidRDefault="008E3F72" w:rsidP="00DE2C08">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 xml:space="preserve">Kopumā var izšķirt šādas trīs stratēģijas NIE palielināšanai un N pārpalikuma samazināšanai: a) palielināt izejošo N daudzumu, paaugstinot kultūraugu ražīgumu un lauksaimniecības dzīvnieku produktivitāti un saglabājot aptuveni nemainīgu ienākošā N daudzumu; b) samazināt ar mēslošanas līdzekļiem un pirkto dzīvnieku barību ienākošo N daudzumu, saglabājot aptuveni nemainīgu kultūraugu ražīgumu un lauksaimniecības dzīvnieku produktivitāti, un izejošo N daudzumu, un c) samazināt N zudumus, izmantojot paņēmienus N taupīšanai (zema emisiju līmeņa tehnoloģijas, virsaugus, pareizāku laika izvēli mēslošanai ar N utt.) un šādi samazinot ienākošā N daudzumu pie aptuveni nemainīga izejošā N daudzuma. Pēdējā no minētajām stratēģijām daļēji ir saistīta ar citiem Gēteborgas protokola IX pielikumā izklāstītajiem </w:t>
      </w:r>
      <w:r w:rsidRPr="00F35F4D">
        <w:rPr>
          <w:noProof/>
          <w:sz w:val="24"/>
        </w:rPr>
        <w:lastRenderedPageBreak/>
        <w:t>pasākumiem; uzsvars tajā ir likts uz N ietaupījumu izmantošanu, pārstrādājot slāpekli atkārtoti un vienlaicīgi samazinot ienākošo slāpekļa daudzumu. Vislabākie rezultāti ir tad, kad zudumu samazināšanās ir saistīta ar mazāku ienākošo daudzumu, kas samazina darbības izmaksas, un lielāku izejošo daudzumu, kas vajadzīgs peļņas gūšanai. No tā secināms, ka pieeja N pārpalikuma samazināšanai un NIE palielināšanai ir atkarīga no saimniecības; nav vienotas pieejas, kas būtu piemērota visām saimniekošanas sistēmām.</w:t>
      </w:r>
    </w:p>
    <w:p w14:paraId="4E7E05BE" w14:textId="77777777" w:rsidR="00DE2C08" w:rsidRPr="00DE2C08" w:rsidRDefault="00DE2C08" w:rsidP="00DE2C08">
      <w:pPr>
        <w:pStyle w:val="BodyText"/>
        <w:widowControl/>
        <w:tabs>
          <w:tab w:val="left" w:pos="861"/>
        </w:tabs>
        <w:kinsoku w:val="0"/>
        <w:overflowPunct w:val="0"/>
        <w:spacing w:before="0"/>
        <w:ind w:left="0"/>
        <w:jc w:val="both"/>
        <w:rPr>
          <w:noProof/>
          <w:sz w:val="24"/>
          <w:szCs w:val="24"/>
        </w:rPr>
      </w:pPr>
    </w:p>
    <w:p w14:paraId="4293C5DA" w14:textId="79AE6643" w:rsidR="008E3F72" w:rsidRPr="00DE2C08"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 xml:space="preserve">Ir pieejams plašs informācijas klāsts par to, kā palielināt NIE un samazināt N pārpalikumu augkopības sistēmā. Daudzas iestādes un mēslošanas līdzekļu ražotāji ir snieguši skaidri saprotamas vadlīnijas. </w:t>
      </w:r>
      <w:r w:rsidRPr="00F35F4D">
        <w:t>Starptautiskā Augu barības vielu institūta (</w:t>
      </w:r>
      <w:r w:rsidRPr="00F35F4D">
        <w:rPr>
          <w:i/>
        </w:rPr>
        <w:t>International Plant Nutrition Institute (IPNI</w:t>
      </w:r>
      <w:r w:rsidRPr="00F35F4D">
        <w:t xml:space="preserve">)) tīmekļa vietnē ir sniegti saprotami un viegli pieejami metodiskie norādījumi un videomateriāli </w:t>
      </w:r>
      <w:r w:rsidRPr="00F35F4D">
        <w:rPr>
          <w:noProof/>
          <w:sz w:val="24"/>
        </w:rPr>
        <w:t>(</w:t>
      </w:r>
      <w:hyperlink r:id="rId20">
        <w:r w:rsidRPr="00F35F4D">
          <w:rPr>
            <w:noProof/>
            <w:sz w:val="24"/>
          </w:rPr>
          <w:t>http://www.ipni.net/4r</w:t>
        </w:r>
      </w:hyperlink>
      <w:r w:rsidRPr="00F35F4D">
        <w:rPr>
          <w:noProof/>
          <w:sz w:val="24"/>
        </w:rPr>
        <w:t xml:space="preserve">) par to, kā efektīvi un taupīgi izmantot </w:t>
      </w:r>
      <w:r w:rsidR="000F4940">
        <w:rPr>
          <w:noProof/>
          <w:sz w:val="24"/>
        </w:rPr>
        <w:t>minerālmēslojumu. Labākā apsaimniekošanas</w:t>
      </w:r>
      <w:r w:rsidRPr="00F35F4D">
        <w:rPr>
          <w:noProof/>
          <w:sz w:val="24"/>
        </w:rPr>
        <w:t xml:space="preserve"> prakse mēslošanas līdzekļu izmantošanā ir tā sau</w:t>
      </w:r>
      <w:r w:rsidR="000F4940">
        <w:rPr>
          <w:noProof/>
          <w:sz w:val="24"/>
        </w:rPr>
        <w:t>ktā „4R koncepcija barības elementu</w:t>
      </w:r>
      <w:r w:rsidRPr="00F35F4D">
        <w:rPr>
          <w:noProof/>
          <w:sz w:val="24"/>
        </w:rPr>
        <w:t xml:space="preserve"> racionālai izmantošanai”, proti, nodrošinot pareizo avotu (</w:t>
      </w:r>
      <w:r w:rsidRPr="00F35F4D">
        <w:rPr>
          <w:i/>
          <w:noProof/>
          <w:sz w:val="24"/>
        </w:rPr>
        <w:t>Right Source</w:t>
      </w:r>
      <w:r w:rsidRPr="00F35F4D">
        <w:rPr>
          <w:noProof/>
          <w:sz w:val="24"/>
        </w:rPr>
        <w:t xml:space="preserve">), pareizo devu ( </w:t>
      </w:r>
      <w:r w:rsidRPr="00F35F4D">
        <w:rPr>
          <w:i/>
          <w:noProof/>
          <w:sz w:val="24"/>
        </w:rPr>
        <w:t>Right Rate</w:t>
      </w:r>
      <w:r w:rsidRPr="00F35F4D">
        <w:rPr>
          <w:noProof/>
          <w:sz w:val="24"/>
        </w:rPr>
        <w:t>), pareizo laiku (</w:t>
      </w:r>
      <w:r w:rsidRPr="00F35F4D">
        <w:rPr>
          <w:i/>
          <w:noProof/>
          <w:sz w:val="24"/>
        </w:rPr>
        <w:t>Right Time</w:t>
      </w:r>
      <w:r w:rsidRPr="00F35F4D">
        <w:rPr>
          <w:noProof/>
          <w:sz w:val="24"/>
        </w:rPr>
        <w:t>) un pareizo vietu (</w:t>
      </w:r>
      <w:r w:rsidRPr="00F35F4D">
        <w:rPr>
          <w:i/>
          <w:noProof/>
          <w:sz w:val="24"/>
        </w:rPr>
        <w:t>Right Place</w:t>
      </w:r>
      <w:r w:rsidRPr="00F35F4D">
        <w:rPr>
          <w:noProof/>
          <w:sz w:val="24"/>
        </w:rPr>
        <w:t>). To var piemērot vai nu kultūraugu barības vielu aprites vadīšanai kopumā (tostarp no organiskajiem avotiem)</w:t>
      </w:r>
      <w:r w:rsidR="000F4940">
        <w:rPr>
          <w:noProof/>
          <w:sz w:val="24"/>
        </w:rPr>
        <w:t>, vai arī konkrēti mēslošanas līdzekļiem</w:t>
      </w:r>
      <w:r w:rsidRPr="00F35F4D">
        <w:rPr>
          <w:noProof/>
          <w:sz w:val="24"/>
        </w:rPr>
        <w:t>. Šī koncepcija var palīdzēt lauksaimniekiem un plašākai sabiedrība</w:t>
      </w:r>
      <w:r w:rsidR="000F4940">
        <w:rPr>
          <w:noProof/>
          <w:sz w:val="24"/>
        </w:rPr>
        <w:t>i saprast to, kā pareiza apsaimniekošanas</w:t>
      </w:r>
      <w:r w:rsidRPr="00F35F4D">
        <w:rPr>
          <w:noProof/>
          <w:sz w:val="24"/>
        </w:rPr>
        <w:t xml:space="preserve"> prakse mēslošanas līdzekļu izmantošanā palīdz nodrošināt ilgtspējību lauksaimniecībā.</w:t>
      </w:r>
    </w:p>
    <w:p w14:paraId="53AF1FBE" w14:textId="77777777" w:rsidR="00DE2C08" w:rsidRPr="00F35F4D" w:rsidRDefault="00DE2C08" w:rsidP="00DE2C08">
      <w:pPr>
        <w:pStyle w:val="BodyText"/>
        <w:widowControl/>
        <w:tabs>
          <w:tab w:val="left" w:pos="861"/>
        </w:tabs>
        <w:kinsoku w:val="0"/>
        <w:overflowPunct w:val="0"/>
        <w:spacing w:before="0"/>
        <w:ind w:left="0"/>
        <w:jc w:val="both"/>
        <w:rPr>
          <w:noProof/>
          <w:sz w:val="24"/>
          <w:szCs w:val="24"/>
        </w:rPr>
      </w:pPr>
    </w:p>
    <w:p w14:paraId="3A1A2732" w14:textId="59CE0ACB" w:rsidR="008E3F72" w:rsidRDefault="008E3F72" w:rsidP="008E3F72">
      <w:pPr>
        <w:pStyle w:val="BodyText"/>
        <w:widowControl/>
        <w:kinsoku w:val="0"/>
        <w:overflowPunct w:val="0"/>
        <w:spacing w:before="0"/>
        <w:ind w:left="0"/>
        <w:jc w:val="both"/>
        <w:rPr>
          <w:noProof/>
          <w:sz w:val="24"/>
        </w:rPr>
      </w:pPr>
      <w:r w:rsidRPr="00F35F4D">
        <w:rPr>
          <w:noProof/>
          <w:sz w:val="24"/>
        </w:rPr>
        <w:t>Ī</w:t>
      </w:r>
      <w:r w:rsidR="000F4940">
        <w:rPr>
          <w:noProof/>
          <w:sz w:val="24"/>
        </w:rPr>
        <w:t>sumā 4R koncepcija barības elementu</w:t>
      </w:r>
      <w:r w:rsidRPr="00F35F4D">
        <w:rPr>
          <w:noProof/>
          <w:sz w:val="24"/>
        </w:rPr>
        <w:t xml:space="preserve"> racionālai izmantošanai aicina kultūraugu audzētājus un to konsultantus izvēlēties pareizo avota-devas-laika-vietas kombināciju no prakses, kas apstiprināta agronomu veiktajos zinātniskajos pētījumos. Ekonomiskās, vides un sociālās attīstības mērķus ir noteikušas kultūraugu ražošanā ieinteresētās puses, un izvēlētie efektivitātes rādītāji tos atspoguļo. Visus tos uzskata par 1. kategorijas paņēmieniem. Nespēja prognozēt laika apstākļus vēl aizvien ir galvenais šķērslis kultūraugu NIE uzlabošanai; citu fak</w:t>
      </w:r>
      <w:r w:rsidR="000F4940">
        <w:rPr>
          <w:noProof/>
          <w:sz w:val="24"/>
        </w:rPr>
        <w:t>toru vidū ir kultūraugu kaitīgie organismi</w:t>
      </w:r>
      <w:r w:rsidRPr="00F35F4D">
        <w:rPr>
          <w:noProof/>
          <w:sz w:val="24"/>
        </w:rPr>
        <w:t>, nabadzīga augsne utt.</w:t>
      </w:r>
    </w:p>
    <w:p w14:paraId="025F5BC5" w14:textId="77777777" w:rsidR="00DE2C08" w:rsidRPr="00F35F4D" w:rsidRDefault="00DE2C08" w:rsidP="008E3F72">
      <w:pPr>
        <w:pStyle w:val="BodyText"/>
        <w:widowControl/>
        <w:kinsoku w:val="0"/>
        <w:overflowPunct w:val="0"/>
        <w:spacing w:before="0"/>
        <w:ind w:left="0"/>
        <w:jc w:val="both"/>
        <w:rPr>
          <w:noProof/>
          <w:sz w:val="24"/>
          <w:szCs w:val="24"/>
        </w:rPr>
      </w:pPr>
    </w:p>
    <w:p w14:paraId="185E6B54" w14:textId="68662D73" w:rsidR="008E3F72" w:rsidRPr="00DE2C08"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NIE paaugstināšanai un N pārpalikuma samazināšanai jauktās augkopības un lopkopības sistēmās ir jāveic pasākumi un darbības, kas vajadzīgas kultūraugu audzēšanai (piemēram, iepriekšminētā 4R koncepcija), kā arī pasākumi un darbības, kas paredzētas lauksaimniecības dzīvniek</w:t>
      </w:r>
      <w:r w:rsidR="000F4940">
        <w:rPr>
          <w:noProof/>
          <w:sz w:val="24"/>
        </w:rPr>
        <w:t>u audzēšanai (dzīvnieku ēdināšana, turēšana un apsaimniekošana</w:t>
      </w:r>
      <w:r w:rsidRPr="00F35F4D">
        <w:rPr>
          <w:noProof/>
          <w:sz w:val="24"/>
        </w:rPr>
        <w:t>) un saistītas ar kūtsmēslu uzkrāšanu un apsaimniekošanu.</w:t>
      </w:r>
    </w:p>
    <w:p w14:paraId="1F504A38" w14:textId="77777777" w:rsidR="00DE2C08" w:rsidRPr="00F35F4D" w:rsidRDefault="00DE2C08" w:rsidP="00DE2C08">
      <w:pPr>
        <w:pStyle w:val="BodyText"/>
        <w:widowControl/>
        <w:tabs>
          <w:tab w:val="left" w:pos="861"/>
        </w:tabs>
        <w:kinsoku w:val="0"/>
        <w:overflowPunct w:val="0"/>
        <w:spacing w:before="0"/>
        <w:ind w:left="0"/>
        <w:jc w:val="both"/>
        <w:rPr>
          <w:noProof/>
          <w:sz w:val="24"/>
          <w:szCs w:val="24"/>
        </w:rPr>
      </w:pPr>
    </w:p>
    <w:p w14:paraId="794837E6" w14:textId="29DF36B3" w:rsidR="008E3F72" w:rsidRPr="00F35F4D" w:rsidRDefault="008E3F72" w:rsidP="008E3F72">
      <w:pPr>
        <w:pStyle w:val="BodyText"/>
        <w:widowControl/>
        <w:numPr>
          <w:ilvl w:val="0"/>
          <w:numId w:val="5"/>
        </w:numPr>
        <w:tabs>
          <w:tab w:val="left" w:pos="861"/>
        </w:tabs>
        <w:kinsoku w:val="0"/>
        <w:overflowPunct w:val="0"/>
        <w:spacing w:before="0"/>
        <w:ind w:left="0" w:firstLine="0"/>
        <w:jc w:val="both"/>
        <w:rPr>
          <w:noProof/>
          <w:sz w:val="24"/>
          <w:szCs w:val="24"/>
        </w:rPr>
      </w:pPr>
      <w:r w:rsidRPr="00F35F4D">
        <w:rPr>
          <w:noProof/>
          <w:sz w:val="24"/>
        </w:rPr>
        <w:t>Empīriskas informācijas par NIE palielināšanas ekonomiskajām izmaksām un N pārpalikuma samazināšanas tiešajām ekonomiskajām izmaksām nav daudz. Tiešo ekonomisko izmaksu aprēķināšana arī nav viegls uzdevums; tā veikšanai atbilstīgi jādefinē darbības, ko</w:t>
      </w:r>
      <w:r w:rsidR="000F4940">
        <w:rPr>
          <w:noProof/>
          <w:sz w:val="24"/>
        </w:rPr>
        <w:t xml:space="preserve"> paredz „slāpekļa apsaimniekošana</w:t>
      </w:r>
      <w:r w:rsidRPr="00F35F4D">
        <w:rPr>
          <w:noProof/>
          <w:sz w:val="24"/>
        </w:rPr>
        <w:t>, ņemot vērā visu slāpekļa aprites ciklu”. Tāpat jānošķir tiešās izmaksas no netiešajām izmaksām. Tiešās izmaksas ir saistītas ar darbībām, kas vajadzīgas NIE paaugstināšanai un N pārpalikuma samazināšanai, piemēram, augstražīgu kultūraugu un augsti produktīvu dzīvnieku šķirņu izvēle un precīzāka pieejamā N daudzuma saskaņošana ar vajadzīgo daudzumu. Šīs izmaksas varētu būt diapazonā no -1 līdz +1 € par ietaupīto slāpekļa kilogramu. Netiešās izmaksas attiecas uz lauksaimnieku labāku izglītošanu, lielāku datu un informācijas pieejamību, ņemot paraugus un veicot analīzi, un īstenojot uzskaiti. Netiešās izmaksas ir augstākas nekā tiešās izmaksas, kaut arī daļa no šīm izmaksām atmaksājas augstāka ražīguma un produktivitātes, un kvalitātes veidā.</w:t>
      </w:r>
    </w:p>
    <w:p w14:paraId="62957035" w14:textId="77777777" w:rsidR="008E3F72" w:rsidRPr="00F35F4D" w:rsidRDefault="008E3F72" w:rsidP="008E3F72">
      <w:pPr>
        <w:pStyle w:val="BodyText"/>
        <w:widowControl/>
        <w:kinsoku w:val="0"/>
        <w:overflowPunct w:val="0"/>
        <w:spacing w:before="0"/>
        <w:ind w:left="0"/>
        <w:jc w:val="both"/>
        <w:rPr>
          <w:noProof/>
          <w:sz w:val="24"/>
          <w:szCs w:val="24"/>
        </w:rPr>
      </w:pPr>
      <w:r w:rsidRPr="00F35F4D">
        <w:br w:type="page"/>
      </w:r>
    </w:p>
    <w:p w14:paraId="3BF0B83F" w14:textId="4FF6B378" w:rsidR="00DE2C08" w:rsidRPr="00DE2C08" w:rsidRDefault="00DE2C08" w:rsidP="00DE2C08">
      <w:pPr>
        <w:pStyle w:val="Heading1"/>
        <w:ind w:left="360"/>
        <w:jc w:val="right"/>
        <w:rPr>
          <w:sz w:val="40"/>
        </w:rPr>
      </w:pPr>
      <w:bookmarkStart w:id="27" w:name="_Toc426033279"/>
      <w:r w:rsidRPr="00DE2C08">
        <w:rPr>
          <w:sz w:val="40"/>
        </w:rPr>
        <w:lastRenderedPageBreak/>
        <w:t>2. pielikums</w:t>
      </w:r>
      <w:bookmarkEnd w:id="27"/>
    </w:p>
    <w:p w14:paraId="1CD9231A" w14:textId="77777777" w:rsidR="00DE2C08" w:rsidRDefault="00DE2C08" w:rsidP="00DE2C08">
      <w:pPr>
        <w:pStyle w:val="Heading1"/>
      </w:pPr>
    </w:p>
    <w:p w14:paraId="19FE92A0" w14:textId="77777777" w:rsidR="008E3F72" w:rsidRDefault="008E3F72" w:rsidP="00DE2C08">
      <w:pPr>
        <w:pStyle w:val="Heading1"/>
      </w:pPr>
      <w:bookmarkStart w:id="28" w:name="_Toc426033280"/>
      <w:r w:rsidRPr="00F35F4D">
        <w:t>Papildu informācija</w:t>
      </w:r>
      <w:bookmarkEnd w:id="28"/>
    </w:p>
    <w:p w14:paraId="663BFBEB" w14:textId="77777777" w:rsidR="00DE2C08" w:rsidRPr="00DE2C08" w:rsidRDefault="00DE2C08" w:rsidP="00DE2C08">
      <w:pPr>
        <w:pStyle w:val="Heading1"/>
      </w:pPr>
    </w:p>
    <w:p w14:paraId="564BB0C8" w14:textId="714DE398" w:rsidR="008E3F72" w:rsidRDefault="008E3F72" w:rsidP="00DE2C08">
      <w:pPr>
        <w:pStyle w:val="Heading1"/>
      </w:pPr>
      <w:bookmarkStart w:id="29" w:name="_Toc426033281"/>
      <w:r w:rsidRPr="00F35F4D">
        <w:t>Lauk</w:t>
      </w:r>
      <w:r w:rsidR="000F4940">
        <w:t>saimniecības dzīvnieku ēdināšanas</w:t>
      </w:r>
      <w:r w:rsidRPr="00F35F4D">
        <w:t xml:space="preserve"> stratēģijas</w:t>
      </w:r>
      <w:bookmarkEnd w:id="29"/>
    </w:p>
    <w:p w14:paraId="263C5258" w14:textId="77777777" w:rsidR="00DE2C08" w:rsidRPr="00F35F4D" w:rsidRDefault="00DE2C08" w:rsidP="008E3F72">
      <w:pPr>
        <w:pStyle w:val="BodyText"/>
        <w:widowControl/>
        <w:kinsoku w:val="0"/>
        <w:overflowPunct w:val="0"/>
        <w:spacing w:before="0"/>
        <w:ind w:left="0"/>
        <w:jc w:val="both"/>
        <w:rPr>
          <w:b/>
          <w:bCs/>
          <w:noProof/>
          <w:color w:val="0D0D0D"/>
          <w:sz w:val="24"/>
          <w:szCs w:val="24"/>
        </w:rPr>
      </w:pPr>
    </w:p>
    <w:p w14:paraId="48B2C2BD" w14:textId="4C4DCCDA" w:rsidR="008E3F72" w:rsidRPr="00B224A6" w:rsidRDefault="008E3F72" w:rsidP="00B224A6">
      <w:pPr>
        <w:pStyle w:val="Heading4"/>
        <w:widowControl/>
        <w:kinsoku w:val="0"/>
        <w:overflowPunct w:val="0"/>
        <w:spacing w:before="0"/>
        <w:ind w:left="0"/>
        <w:jc w:val="both"/>
        <w:rPr>
          <w:rFonts w:ascii="Times New Roman" w:hAnsi="Times New Roman" w:cs="Times New Roman"/>
          <w:iCs w:val="0"/>
          <w:noProof/>
          <w:sz w:val="24"/>
          <w:szCs w:val="24"/>
        </w:rPr>
      </w:pPr>
      <w:r w:rsidRPr="00B224A6">
        <w:rPr>
          <w:rFonts w:ascii="Times New Roman" w:hAnsi="Times New Roman" w:cs="Times New Roman"/>
          <w:noProof/>
          <w:sz w:val="24"/>
        </w:rPr>
        <w:t>O. Oenema, S. Tamminga, H. Menzi, A.J.A. Aarnink, C. Piñeiro Noguera,G. Montalvo Bermejo</w:t>
      </w:r>
    </w:p>
    <w:p w14:paraId="0CE59F29" w14:textId="77777777" w:rsidR="008E3F72" w:rsidRPr="00F35F4D" w:rsidRDefault="008E3F72" w:rsidP="008E3F72">
      <w:pPr>
        <w:pStyle w:val="BodyText"/>
        <w:widowControl/>
        <w:kinsoku w:val="0"/>
        <w:overflowPunct w:val="0"/>
        <w:spacing w:before="0"/>
        <w:ind w:left="0"/>
        <w:jc w:val="both"/>
        <w:rPr>
          <w:i/>
          <w:iCs/>
          <w:noProof/>
          <w:sz w:val="24"/>
          <w:szCs w:val="24"/>
        </w:rPr>
      </w:pPr>
    </w:p>
    <w:p w14:paraId="60179AD8" w14:textId="732FC9FD" w:rsidR="008E3F72" w:rsidRPr="00DE2C08" w:rsidRDefault="00DE2C08" w:rsidP="00DE2C08">
      <w:pPr>
        <w:pStyle w:val="BodyText"/>
        <w:widowControl/>
        <w:tabs>
          <w:tab w:val="left" w:pos="859"/>
        </w:tabs>
        <w:kinsoku w:val="0"/>
        <w:overflowPunct w:val="0"/>
        <w:spacing w:before="0"/>
        <w:ind w:left="0"/>
        <w:jc w:val="both"/>
        <w:rPr>
          <w:b/>
          <w:bCs/>
          <w:noProof/>
          <w:color w:val="0D0D0D"/>
          <w:sz w:val="28"/>
          <w:szCs w:val="24"/>
        </w:rPr>
      </w:pPr>
      <w:r w:rsidRPr="00DE2C08">
        <w:rPr>
          <w:b/>
          <w:noProof/>
          <w:color w:val="0D0D0D"/>
          <w:sz w:val="28"/>
        </w:rPr>
        <w:t xml:space="preserve">A. </w:t>
      </w:r>
      <w:r w:rsidR="008E3F72" w:rsidRPr="00DE2C08">
        <w:rPr>
          <w:b/>
          <w:noProof/>
          <w:color w:val="0D0D0D"/>
          <w:sz w:val="28"/>
        </w:rPr>
        <w:t>Vispārēji apsvērumi</w:t>
      </w:r>
    </w:p>
    <w:p w14:paraId="0B64EED1" w14:textId="77777777" w:rsidR="00DE2C08" w:rsidRPr="00DE2C08" w:rsidRDefault="00DE2C08" w:rsidP="00DE2C08">
      <w:pPr>
        <w:pStyle w:val="BodyText"/>
        <w:widowControl/>
        <w:tabs>
          <w:tab w:val="left" w:pos="859"/>
        </w:tabs>
        <w:kinsoku w:val="0"/>
        <w:overflowPunct w:val="0"/>
        <w:spacing w:before="0"/>
        <w:ind w:left="0"/>
        <w:jc w:val="both"/>
        <w:rPr>
          <w:noProof/>
          <w:sz w:val="24"/>
          <w:szCs w:val="24"/>
        </w:rPr>
      </w:pPr>
    </w:p>
    <w:p w14:paraId="049C3E18" w14:textId="77777777" w:rsidR="008E3F72" w:rsidRPr="002907C7" w:rsidRDefault="008E3F72" w:rsidP="008E3F72">
      <w:pPr>
        <w:pStyle w:val="BodyText"/>
        <w:widowControl/>
        <w:numPr>
          <w:ilvl w:val="1"/>
          <w:numId w:val="4"/>
        </w:numPr>
        <w:tabs>
          <w:tab w:val="left" w:pos="859"/>
        </w:tabs>
        <w:kinsoku w:val="0"/>
        <w:overflowPunct w:val="0"/>
        <w:spacing w:before="0"/>
        <w:ind w:left="0" w:firstLine="0"/>
        <w:jc w:val="both"/>
        <w:rPr>
          <w:noProof/>
          <w:sz w:val="24"/>
          <w:szCs w:val="24"/>
        </w:rPr>
      </w:pPr>
      <w:r w:rsidRPr="00F35F4D">
        <w:rPr>
          <w:noProof/>
          <w:sz w:val="24"/>
        </w:rPr>
        <w:t>Praksē olbaltumvielu līmenis dzīvnieku barībā bieži vien ir augstāks par faktiski vajadzīgo. Drošības rezervi barības devas olbaltumvielu saturā izmanto tāpēc, lai nodrošinātos pret a) aminoskābju devu, kas var būt zemāka par optimālo; b) atšķirībām prasībās, kas raksturīgas dažādu genotipu dzīvniekiem; c) atšķirībām prasībās, kas izriet no dažāda dzīvnieku vecuma vai ražošanas stadijas, un d) atšķirībām barības devā esošo būtisko aminoskābju saturā un sagremojamībā. Barības devas olbaltumvielu saturu un no tās izrietošo N ekskrēciju var samazināt, ja olbaltumvielu/aminoskābju saturu barībā pēc iespējas cieši pieskaņo dzīvnieka vajadzībām.</w:t>
      </w:r>
    </w:p>
    <w:p w14:paraId="1B4340D5" w14:textId="77777777" w:rsidR="002907C7" w:rsidRPr="00F35F4D" w:rsidRDefault="002907C7" w:rsidP="002907C7">
      <w:pPr>
        <w:pStyle w:val="BodyText"/>
        <w:widowControl/>
        <w:tabs>
          <w:tab w:val="left" w:pos="859"/>
        </w:tabs>
        <w:kinsoku w:val="0"/>
        <w:overflowPunct w:val="0"/>
        <w:spacing w:before="0"/>
        <w:ind w:left="0"/>
        <w:jc w:val="both"/>
        <w:rPr>
          <w:noProof/>
          <w:sz w:val="24"/>
          <w:szCs w:val="24"/>
        </w:rPr>
      </w:pPr>
    </w:p>
    <w:p w14:paraId="7906C83A" w14:textId="77777777" w:rsidR="008E3F72" w:rsidRPr="002907C7" w:rsidRDefault="008E3F72" w:rsidP="008E3F72">
      <w:pPr>
        <w:pStyle w:val="BodyText"/>
        <w:widowControl/>
        <w:numPr>
          <w:ilvl w:val="1"/>
          <w:numId w:val="4"/>
        </w:numPr>
        <w:tabs>
          <w:tab w:val="left" w:pos="859"/>
        </w:tabs>
        <w:kinsoku w:val="0"/>
        <w:overflowPunct w:val="0"/>
        <w:spacing w:before="0"/>
        <w:ind w:left="0" w:firstLine="0"/>
        <w:jc w:val="both"/>
        <w:rPr>
          <w:noProof/>
          <w:sz w:val="24"/>
          <w:szCs w:val="24"/>
        </w:rPr>
      </w:pPr>
      <w:r w:rsidRPr="00F35F4D">
        <w:rPr>
          <w:noProof/>
          <w:sz w:val="24"/>
        </w:rPr>
        <w:t>Tā uzņemtās barības deva, ko dzīvnieks nesagremo, neabsorbē un sevī nepatur, tiek izdalīta ar fekālijām un urīnu. N pārpalikums barībā tiek izdalīts olbaltumvielu (organiski saistītā N), urīnvielas, urīnskābes un amonija veidā. N sadalījums pa visam šīm komponentēm, kā arī fekāliju un urīna pH līmenis ietekmē potenciālos NH3 zudumus.</w:t>
      </w:r>
    </w:p>
    <w:p w14:paraId="7E1AE0F3" w14:textId="77777777" w:rsidR="002907C7" w:rsidRPr="00F35F4D" w:rsidRDefault="002907C7" w:rsidP="002907C7">
      <w:pPr>
        <w:pStyle w:val="BodyText"/>
        <w:widowControl/>
        <w:tabs>
          <w:tab w:val="left" w:pos="859"/>
        </w:tabs>
        <w:kinsoku w:val="0"/>
        <w:overflowPunct w:val="0"/>
        <w:spacing w:before="0"/>
        <w:ind w:left="0"/>
        <w:jc w:val="both"/>
        <w:rPr>
          <w:noProof/>
          <w:sz w:val="24"/>
          <w:szCs w:val="24"/>
        </w:rPr>
      </w:pPr>
    </w:p>
    <w:p w14:paraId="143C4B0A" w14:textId="245364F4" w:rsidR="008E3F72" w:rsidRPr="00F35F4D" w:rsidRDefault="008E3F72" w:rsidP="008E3F72">
      <w:pPr>
        <w:pStyle w:val="BodyText"/>
        <w:widowControl/>
        <w:numPr>
          <w:ilvl w:val="1"/>
          <w:numId w:val="4"/>
        </w:numPr>
        <w:tabs>
          <w:tab w:val="left" w:pos="859"/>
        </w:tabs>
        <w:kinsoku w:val="0"/>
        <w:overflowPunct w:val="0"/>
        <w:spacing w:before="0"/>
        <w:ind w:left="0" w:firstLine="0"/>
        <w:jc w:val="both"/>
        <w:rPr>
          <w:noProof/>
          <w:sz w:val="24"/>
          <w:szCs w:val="24"/>
        </w:rPr>
      </w:pPr>
      <w:r w:rsidRPr="00F35F4D">
        <w:rPr>
          <w:noProof/>
          <w:sz w:val="24"/>
        </w:rPr>
        <w:t xml:space="preserve">Piena </w:t>
      </w:r>
      <w:r w:rsidR="000F4940">
        <w:rPr>
          <w:noProof/>
          <w:sz w:val="24"/>
        </w:rPr>
        <w:t>liel</w:t>
      </w:r>
      <w:r w:rsidRPr="00F35F4D">
        <w:rPr>
          <w:noProof/>
          <w:sz w:val="24"/>
        </w:rPr>
        <w:t>lopu, nobarojamo cūku un mājputnu fekāliju un urīna saturs ir ļoti dažāds atkarībā n</w:t>
      </w:r>
      <w:r w:rsidR="006A6A9D">
        <w:rPr>
          <w:noProof/>
          <w:sz w:val="24"/>
        </w:rPr>
        <w:t>o atšķirībām dzīvnieku ēdināšanas</w:t>
      </w:r>
      <w:r w:rsidRPr="00F35F4D">
        <w:rPr>
          <w:noProof/>
          <w:sz w:val="24"/>
        </w:rPr>
        <w:t xml:space="preserve"> veidā. AII.1. tabulā ir norādīts literatūrā atrodamais vērtību diapazons (</w:t>
      </w:r>
      <w:r w:rsidRPr="00F35F4D">
        <w:rPr>
          <w:i/>
          <w:noProof/>
          <w:sz w:val="24"/>
        </w:rPr>
        <w:t>Canh et al.</w:t>
      </w:r>
      <w:r w:rsidRPr="00F35F4D">
        <w:rPr>
          <w:noProof/>
          <w:sz w:val="24"/>
        </w:rPr>
        <w:t xml:space="preserve">, 1998a, 1998b; </w:t>
      </w:r>
      <w:r w:rsidRPr="00F35F4D">
        <w:rPr>
          <w:i/>
          <w:noProof/>
          <w:sz w:val="24"/>
        </w:rPr>
        <w:t>Bussink, O. Oenema</w:t>
      </w:r>
      <w:r w:rsidRPr="00F35F4D">
        <w:rPr>
          <w:noProof/>
          <w:sz w:val="24"/>
        </w:rPr>
        <w:t xml:space="preserve">, 1998; </w:t>
      </w:r>
      <w:r w:rsidRPr="00F35F4D">
        <w:rPr>
          <w:i/>
          <w:noProof/>
          <w:sz w:val="24"/>
        </w:rPr>
        <w:t>Whitehead</w:t>
      </w:r>
      <w:r w:rsidRPr="00F35F4D">
        <w:rPr>
          <w:noProof/>
          <w:sz w:val="24"/>
        </w:rPr>
        <w:t>, 2000).</w:t>
      </w:r>
    </w:p>
    <w:p w14:paraId="68177CBF" w14:textId="77777777" w:rsidR="008E3F72" w:rsidRPr="00F35F4D" w:rsidRDefault="008E3F72" w:rsidP="008E3F72">
      <w:pPr>
        <w:pStyle w:val="BodyText"/>
        <w:widowControl/>
        <w:kinsoku w:val="0"/>
        <w:overflowPunct w:val="0"/>
        <w:spacing w:before="0"/>
        <w:ind w:left="0"/>
        <w:jc w:val="both"/>
        <w:rPr>
          <w:noProof/>
          <w:sz w:val="24"/>
          <w:szCs w:val="24"/>
        </w:rPr>
      </w:pPr>
    </w:p>
    <w:p w14:paraId="68199B7A"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AII.1. tabula</w:t>
      </w:r>
    </w:p>
    <w:p w14:paraId="396E8D55"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N saturošo komponentu diapazons dažu dzīvnieku sugu fekālijās un urīnā</w:t>
      </w:r>
    </w:p>
    <w:p w14:paraId="6130D2F0"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1368"/>
        <w:gridCol w:w="1025"/>
        <w:gridCol w:w="1269"/>
        <w:gridCol w:w="1063"/>
        <w:gridCol w:w="1161"/>
        <w:gridCol w:w="1223"/>
        <w:gridCol w:w="1117"/>
      </w:tblGrid>
      <w:tr w:rsidR="008E3F72" w:rsidRPr="00FF0E8E" w14:paraId="51228373" w14:textId="77777777" w:rsidTr="0010018A">
        <w:tc>
          <w:tcPr>
            <w:tcW w:w="841" w:type="pct"/>
            <w:tcBorders>
              <w:top w:val="single" w:sz="4" w:space="0" w:color="000000"/>
              <w:left w:val="nil"/>
              <w:bottom w:val="single" w:sz="12" w:space="0" w:color="000000"/>
              <w:right w:val="nil"/>
            </w:tcBorders>
          </w:tcPr>
          <w:p w14:paraId="291931F5" w14:textId="77777777" w:rsidR="008E3F72" w:rsidRPr="00FF0E8E" w:rsidRDefault="008E3F72" w:rsidP="0010018A">
            <w:pPr>
              <w:pStyle w:val="TableParagraph"/>
              <w:widowControl/>
              <w:kinsoku w:val="0"/>
              <w:overflowPunct w:val="0"/>
              <w:jc w:val="both"/>
              <w:rPr>
                <w:b/>
                <w:bCs/>
                <w:noProof/>
                <w:sz w:val="20"/>
                <w:szCs w:val="20"/>
              </w:rPr>
            </w:pPr>
          </w:p>
          <w:p w14:paraId="469E45A4" w14:textId="77777777" w:rsidR="008E3F72" w:rsidRPr="00FF0E8E" w:rsidRDefault="008E3F72" w:rsidP="0010018A">
            <w:pPr>
              <w:pStyle w:val="TableParagraph"/>
              <w:widowControl/>
              <w:kinsoku w:val="0"/>
              <w:overflowPunct w:val="0"/>
              <w:jc w:val="both"/>
              <w:rPr>
                <w:b/>
                <w:bCs/>
                <w:noProof/>
                <w:sz w:val="20"/>
                <w:szCs w:val="20"/>
              </w:rPr>
            </w:pPr>
          </w:p>
          <w:p w14:paraId="40E282EA" w14:textId="77777777" w:rsidR="008E3F72" w:rsidRPr="00FF0E8E" w:rsidRDefault="008E3F72" w:rsidP="0010018A">
            <w:pPr>
              <w:pStyle w:val="TableParagraph"/>
              <w:widowControl/>
              <w:kinsoku w:val="0"/>
              <w:overflowPunct w:val="0"/>
              <w:jc w:val="both"/>
              <w:rPr>
                <w:i/>
                <w:iCs/>
                <w:noProof/>
                <w:sz w:val="20"/>
                <w:szCs w:val="20"/>
              </w:rPr>
            </w:pPr>
            <w:r w:rsidRPr="00FF0E8E">
              <w:rPr>
                <w:i/>
                <w:noProof/>
                <w:sz w:val="20"/>
                <w:szCs w:val="20"/>
              </w:rPr>
              <w:t>Dzīvnieku kategorija</w:t>
            </w:r>
          </w:p>
        </w:tc>
        <w:tc>
          <w:tcPr>
            <w:tcW w:w="633" w:type="pct"/>
            <w:tcBorders>
              <w:top w:val="single" w:sz="4" w:space="0" w:color="000000"/>
              <w:left w:val="nil"/>
              <w:bottom w:val="single" w:sz="12" w:space="0" w:color="000000"/>
              <w:right w:val="nil"/>
            </w:tcBorders>
          </w:tcPr>
          <w:p w14:paraId="4CC518C8" w14:textId="77777777" w:rsidR="008E3F72" w:rsidRPr="00FF0E8E" w:rsidRDefault="008E3F72" w:rsidP="0010018A">
            <w:pPr>
              <w:pStyle w:val="TableParagraph"/>
              <w:widowControl/>
              <w:kinsoku w:val="0"/>
              <w:overflowPunct w:val="0"/>
              <w:jc w:val="both"/>
              <w:rPr>
                <w:i/>
                <w:iCs/>
                <w:noProof/>
                <w:sz w:val="20"/>
                <w:szCs w:val="20"/>
              </w:rPr>
            </w:pPr>
            <w:r w:rsidRPr="00FF0E8E">
              <w:rPr>
                <w:i/>
                <w:noProof/>
                <w:sz w:val="20"/>
                <w:szCs w:val="20"/>
              </w:rPr>
              <w:t>Sausna (gramos uz kg)</w:t>
            </w:r>
          </w:p>
        </w:tc>
        <w:tc>
          <w:tcPr>
            <w:tcW w:w="781" w:type="pct"/>
            <w:tcBorders>
              <w:top w:val="single" w:sz="4" w:space="0" w:color="000000"/>
              <w:left w:val="nil"/>
              <w:bottom w:val="single" w:sz="12" w:space="0" w:color="000000"/>
              <w:right w:val="nil"/>
            </w:tcBorders>
          </w:tcPr>
          <w:p w14:paraId="40549F53" w14:textId="77777777" w:rsidR="008E3F72" w:rsidRPr="00FF0E8E" w:rsidRDefault="008E3F72" w:rsidP="0010018A">
            <w:pPr>
              <w:pStyle w:val="TableParagraph"/>
              <w:widowControl/>
              <w:kinsoku w:val="0"/>
              <w:overflowPunct w:val="0"/>
              <w:jc w:val="both"/>
              <w:rPr>
                <w:i/>
                <w:iCs/>
                <w:noProof/>
                <w:sz w:val="20"/>
                <w:szCs w:val="20"/>
              </w:rPr>
            </w:pPr>
            <w:r w:rsidRPr="00FF0E8E">
              <w:rPr>
                <w:i/>
                <w:noProof/>
                <w:sz w:val="20"/>
                <w:szCs w:val="20"/>
              </w:rPr>
              <w:t>Kopējais N daudzums (gramos uz</w:t>
            </w:r>
          </w:p>
          <w:p w14:paraId="097117DC" w14:textId="77777777" w:rsidR="008E3F72" w:rsidRPr="00FF0E8E" w:rsidRDefault="008E3F72" w:rsidP="0010018A">
            <w:pPr>
              <w:pStyle w:val="TableParagraph"/>
              <w:widowControl/>
              <w:kinsoku w:val="0"/>
              <w:overflowPunct w:val="0"/>
              <w:jc w:val="both"/>
              <w:rPr>
                <w:i/>
                <w:iCs/>
                <w:noProof/>
                <w:sz w:val="20"/>
                <w:szCs w:val="20"/>
              </w:rPr>
            </w:pPr>
            <w:r w:rsidRPr="00FF0E8E">
              <w:rPr>
                <w:i/>
                <w:noProof/>
                <w:sz w:val="20"/>
                <w:szCs w:val="20"/>
              </w:rPr>
              <w:t>fekāliju/urīna kg)</w:t>
            </w:r>
          </w:p>
        </w:tc>
        <w:tc>
          <w:tcPr>
            <w:tcW w:w="655" w:type="pct"/>
            <w:tcBorders>
              <w:top w:val="single" w:sz="4" w:space="0" w:color="000000"/>
              <w:left w:val="nil"/>
              <w:bottom w:val="single" w:sz="12" w:space="0" w:color="000000"/>
              <w:right w:val="nil"/>
            </w:tcBorders>
          </w:tcPr>
          <w:p w14:paraId="52AD0B31" w14:textId="77777777" w:rsidR="008E3F72" w:rsidRPr="00FF0E8E" w:rsidRDefault="008E3F72" w:rsidP="0010018A">
            <w:pPr>
              <w:pStyle w:val="TableParagraph"/>
              <w:widowControl/>
              <w:kinsoku w:val="0"/>
              <w:overflowPunct w:val="0"/>
              <w:jc w:val="both"/>
              <w:rPr>
                <w:i/>
                <w:iCs/>
                <w:noProof/>
                <w:sz w:val="20"/>
                <w:szCs w:val="20"/>
              </w:rPr>
            </w:pPr>
            <w:r w:rsidRPr="00FF0E8E">
              <w:rPr>
                <w:i/>
                <w:noProof/>
                <w:sz w:val="20"/>
                <w:szCs w:val="20"/>
              </w:rPr>
              <w:t>Urīnvielā esošais N (% no kopējā N daudzuma)</w:t>
            </w:r>
          </w:p>
        </w:tc>
        <w:tc>
          <w:tcPr>
            <w:tcW w:w="715" w:type="pct"/>
            <w:tcBorders>
              <w:top w:val="single" w:sz="4" w:space="0" w:color="000000"/>
              <w:left w:val="nil"/>
              <w:bottom w:val="single" w:sz="12" w:space="0" w:color="000000"/>
              <w:right w:val="nil"/>
            </w:tcBorders>
          </w:tcPr>
          <w:p w14:paraId="53934073" w14:textId="77777777" w:rsidR="008E3F72" w:rsidRPr="00FF0E8E" w:rsidRDefault="008E3F72" w:rsidP="0010018A">
            <w:pPr>
              <w:pStyle w:val="TableParagraph"/>
              <w:widowControl/>
              <w:kinsoku w:val="0"/>
              <w:overflowPunct w:val="0"/>
              <w:jc w:val="both"/>
              <w:rPr>
                <w:i/>
                <w:iCs/>
                <w:noProof/>
                <w:sz w:val="20"/>
                <w:szCs w:val="20"/>
              </w:rPr>
            </w:pPr>
            <w:r w:rsidRPr="00FF0E8E">
              <w:rPr>
                <w:i/>
                <w:noProof/>
                <w:sz w:val="20"/>
                <w:szCs w:val="20"/>
              </w:rPr>
              <w:t>Urīnskābē esošais N (%</w:t>
            </w:r>
          </w:p>
          <w:p w14:paraId="531C59F6" w14:textId="77777777" w:rsidR="008E3F72" w:rsidRPr="00FF0E8E" w:rsidRDefault="008E3F72" w:rsidP="0010018A">
            <w:pPr>
              <w:pStyle w:val="TableParagraph"/>
              <w:widowControl/>
              <w:kinsoku w:val="0"/>
              <w:overflowPunct w:val="0"/>
              <w:jc w:val="both"/>
              <w:rPr>
                <w:i/>
                <w:iCs/>
                <w:noProof/>
                <w:sz w:val="20"/>
                <w:szCs w:val="20"/>
              </w:rPr>
            </w:pPr>
            <w:r w:rsidRPr="00FF0E8E">
              <w:rPr>
                <w:i/>
                <w:noProof/>
                <w:sz w:val="20"/>
                <w:szCs w:val="20"/>
              </w:rPr>
              <w:t>no kopējā N daudzuma)</w:t>
            </w:r>
          </w:p>
        </w:tc>
        <w:tc>
          <w:tcPr>
            <w:tcW w:w="687" w:type="pct"/>
            <w:tcBorders>
              <w:top w:val="single" w:sz="4" w:space="0" w:color="000000"/>
              <w:left w:val="nil"/>
              <w:bottom w:val="single" w:sz="12" w:space="0" w:color="000000"/>
              <w:right w:val="nil"/>
            </w:tcBorders>
          </w:tcPr>
          <w:p w14:paraId="01B41893" w14:textId="77777777" w:rsidR="008E3F72" w:rsidRPr="00FF0E8E" w:rsidRDefault="008E3F72" w:rsidP="0010018A">
            <w:pPr>
              <w:pStyle w:val="TableParagraph"/>
              <w:widowControl/>
              <w:kinsoku w:val="0"/>
              <w:overflowPunct w:val="0"/>
              <w:jc w:val="both"/>
              <w:rPr>
                <w:i/>
                <w:iCs/>
                <w:noProof/>
                <w:sz w:val="20"/>
                <w:szCs w:val="20"/>
              </w:rPr>
            </w:pPr>
            <w:r w:rsidRPr="00FF0E8E">
              <w:rPr>
                <w:i/>
                <w:noProof/>
                <w:sz w:val="20"/>
                <w:szCs w:val="20"/>
              </w:rPr>
              <w:t>Olbaltumvielās esošais N (% no kopējā N daudzuma)</w:t>
            </w:r>
          </w:p>
        </w:tc>
        <w:tc>
          <w:tcPr>
            <w:tcW w:w="688" w:type="pct"/>
            <w:tcBorders>
              <w:top w:val="single" w:sz="4" w:space="0" w:color="000000"/>
              <w:left w:val="nil"/>
              <w:bottom w:val="single" w:sz="12" w:space="0" w:color="000000"/>
              <w:right w:val="nil"/>
            </w:tcBorders>
          </w:tcPr>
          <w:p w14:paraId="751F6996" w14:textId="77777777" w:rsidR="008E3F72" w:rsidRPr="00FF0E8E" w:rsidRDefault="008E3F72" w:rsidP="0010018A">
            <w:pPr>
              <w:pStyle w:val="TableParagraph"/>
              <w:widowControl/>
              <w:kinsoku w:val="0"/>
              <w:overflowPunct w:val="0"/>
              <w:jc w:val="both"/>
              <w:rPr>
                <w:i/>
                <w:iCs/>
                <w:noProof/>
                <w:sz w:val="20"/>
                <w:szCs w:val="20"/>
              </w:rPr>
            </w:pPr>
            <w:r w:rsidRPr="00FF0E8E">
              <w:rPr>
                <w:i/>
                <w:noProof/>
                <w:sz w:val="20"/>
                <w:szCs w:val="20"/>
              </w:rPr>
              <w:t>Amonija slāpeklis (% no kopējā N daudzuma)</w:t>
            </w:r>
          </w:p>
        </w:tc>
      </w:tr>
      <w:tr w:rsidR="008E3F72" w:rsidRPr="00FF0E8E" w14:paraId="62AE74F9" w14:textId="77777777" w:rsidTr="0010018A">
        <w:tc>
          <w:tcPr>
            <w:tcW w:w="841" w:type="pct"/>
            <w:tcBorders>
              <w:top w:val="single" w:sz="12" w:space="0" w:color="000000"/>
              <w:left w:val="nil"/>
              <w:bottom w:val="nil"/>
              <w:right w:val="nil"/>
            </w:tcBorders>
          </w:tcPr>
          <w:p w14:paraId="3419A92C" w14:textId="2E549F63" w:rsidR="008E3F72" w:rsidRPr="00FF0E8E" w:rsidRDefault="008E3F72" w:rsidP="0010018A">
            <w:pPr>
              <w:pStyle w:val="TableParagraph"/>
              <w:widowControl/>
              <w:kinsoku w:val="0"/>
              <w:overflowPunct w:val="0"/>
              <w:jc w:val="both"/>
              <w:rPr>
                <w:b/>
                <w:bCs/>
                <w:noProof/>
                <w:sz w:val="20"/>
                <w:szCs w:val="20"/>
              </w:rPr>
            </w:pPr>
            <w:r w:rsidRPr="00FF0E8E">
              <w:rPr>
                <w:b/>
                <w:noProof/>
                <w:sz w:val="20"/>
                <w:szCs w:val="20"/>
              </w:rPr>
              <w:t xml:space="preserve">Piena </w:t>
            </w:r>
            <w:r w:rsidR="006A6A9D">
              <w:rPr>
                <w:b/>
                <w:noProof/>
                <w:sz w:val="20"/>
                <w:szCs w:val="20"/>
              </w:rPr>
              <w:t>liel</w:t>
            </w:r>
            <w:r w:rsidRPr="00FF0E8E">
              <w:rPr>
                <w:b/>
                <w:noProof/>
                <w:sz w:val="20"/>
                <w:szCs w:val="20"/>
              </w:rPr>
              <w:t>lopi</w:t>
            </w:r>
          </w:p>
          <w:p w14:paraId="577BC105"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Fekālijas</w:t>
            </w:r>
          </w:p>
        </w:tc>
        <w:tc>
          <w:tcPr>
            <w:tcW w:w="633" w:type="pct"/>
            <w:tcBorders>
              <w:top w:val="single" w:sz="12" w:space="0" w:color="000000"/>
              <w:left w:val="nil"/>
              <w:bottom w:val="nil"/>
              <w:right w:val="nil"/>
            </w:tcBorders>
          </w:tcPr>
          <w:p w14:paraId="41A8B3F5"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100–175</w:t>
            </w:r>
          </w:p>
        </w:tc>
        <w:tc>
          <w:tcPr>
            <w:tcW w:w="781" w:type="pct"/>
            <w:tcBorders>
              <w:top w:val="single" w:sz="12" w:space="0" w:color="000000"/>
              <w:left w:val="nil"/>
              <w:bottom w:val="nil"/>
              <w:right w:val="nil"/>
            </w:tcBorders>
          </w:tcPr>
          <w:p w14:paraId="000CA15D"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10–17</w:t>
            </w:r>
          </w:p>
        </w:tc>
        <w:tc>
          <w:tcPr>
            <w:tcW w:w="655" w:type="pct"/>
            <w:tcBorders>
              <w:top w:val="single" w:sz="12" w:space="0" w:color="000000"/>
              <w:left w:val="nil"/>
              <w:bottom w:val="nil"/>
              <w:right w:val="nil"/>
            </w:tcBorders>
          </w:tcPr>
          <w:p w14:paraId="7F971AB6"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0</w:t>
            </w:r>
          </w:p>
        </w:tc>
        <w:tc>
          <w:tcPr>
            <w:tcW w:w="715" w:type="pct"/>
            <w:tcBorders>
              <w:top w:val="single" w:sz="12" w:space="0" w:color="000000"/>
              <w:left w:val="nil"/>
              <w:bottom w:val="nil"/>
              <w:right w:val="nil"/>
            </w:tcBorders>
          </w:tcPr>
          <w:p w14:paraId="62E8C595"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0</w:t>
            </w:r>
          </w:p>
        </w:tc>
        <w:tc>
          <w:tcPr>
            <w:tcW w:w="687" w:type="pct"/>
            <w:tcBorders>
              <w:top w:val="single" w:sz="12" w:space="0" w:color="000000"/>
              <w:left w:val="nil"/>
              <w:bottom w:val="nil"/>
              <w:right w:val="nil"/>
            </w:tcBorders>
          </w:tcPr>
          <w:p w14:paraId="16F0CA5C"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90–95</w:t>
            </w:r>
          </w:p>
        </w:tc>
        <w:tc>
          <w:tcPr>
            <w:tcW w:w="688" w:type="pct"/>
            <w:tcBorders>
              <w:top w:val="single" w:sz="12" w:space="0" w:color="000000"/>
              <w:left w:val="nil"/>
              <w:bottom w:val="nil"/>
              <w:right w:val="nil"/>
            </w:tcBorders>
          </w:tcPr>
          <w:p w14:paraId="2E8FEE1C"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1–4</w:t>
            </w:r>
          </w:p>
        </w:tc>
      </w:tr>
      <w:tr w:rsidR="008E3F72" w:rsidRPr="00FF0E8E" w14:paraId="3C63DF7D" w14:textId="77777777" w:rsidTr="0010018A">
        <w:tc>
          <w:tcPr>
            <w:tcW w:w="841" w:type="pct"/>
            <w:tcBorders>
              <w:top w:val="nil"/>
              <w:left w:val="nil"/>
              <w:bottom w:val="nil"/>
              <w:right w:val="nil"/>
            </w:tcBorders>
          </w:tcPr>
          <w:p w14:paraId="59CA5543"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Urīns</w:t>
            </w:r>
          </w:p>
        </w:tc>
        <w:tc>
          <w:tcPr>
            <w:tcW w:w="633" w:type="pct"/>
            <w:tcBorders>
              <w:top w:val="nil"/>
              <w:left w:val="nil"/>
              <w:bottom w:val="nil"/>
              <w:right w:val="nil"/>
            </w:tcBorders>
          </w:tcPr>
          <w:p w14:paraId="4235DF41"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30–40</w:t>
            </w:r>
          </w:p>
        </w:tc>
        <w:tc>
          <w:tcPr>
            <w:tcW w:w="781" w:type="pct"/>
            <w:tcBorders>
              <w:top w:val="nil"/>
              <w:left w:val="nil"/>
              <w:bottom w:val="nil"/>
              <w:right w:val="nil"/>
            </w:tcBorders>
          </w:tcPr>
          <w:p w14:paraId="27C29A61"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4–10</w:t>
            </w:r>
          </w:p>
        </w:tc>
        <w:tc>
          <w:tcPr>
            <w:tcW w:w="655" w:type="pct"/>
            <w:tcBorders>
              <w:top w:val="nil"/>
              <w:left w:val="nil"/>
              <w:bottom w:val="nil"/>
              <w:right w:val="nil"/>
            </w:tcBorders>
          </w:tcPr>
          <w:p w14:paraId="6FA945F0"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60–95</w:t>
            </w:r>
          </w:p>
        </w:tc>
        <w:tc>
          <w:tcPr>
            <w:tcW w:w="715" w:type="pct"/>
            <w:tcBorders>
              <w:top w:val="nil"/>
              <w:left w:val="nil"/>
              <w:bottom w:val="nil"/>
              <w:right w:val="nil"/>
            </w:tcBorders>
          </w:tcPr>
          <w:p w14:paraId="4BED0C10"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0–2</w:t>
            </w:r>
          </w:p>
        </w:tc>
        <w:tc>
          <w:tcPr>
            <w:tcW w:w="687" w:type="pct"/>
            <w:tcBorders>
              <w:top w:val="nil"/>
              <w:left w:val="nil"/>
              <w:bottom w:val="nil"/>
              <w:right w:val="nil"/>
            </w:tcBorders>
          </w:tcPr>
          <w:p w14:paraId="5FF48FA9"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0</w:t>
            </w:r>
          </w:p>
        </w:tc>
        <w:tc>
          <w:tcPr>
            <w:tcW w:w="688" w:type="pct"/>
            <w:tcBorders>
              <w:top w:val="nil"/>
              <w:left w:val="nil"/>
              <w:bottom w:val="nil"/>
              <w:right w:val="nil"/>
            </w:tcBorders>
          </w:tcPr>
          <w:p w14:paraId="44383C08"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1</w:t>
            </w:r>
          </w:p>
        </w:tc>
      </w:tr>
      <w:tr w:rsidR="008E3F72" w:rsidRPr="00FF0E8E" w14:paraId="2D80F800" w14:textId="77777777" w:rsidTr="0010018A">
        <w:tc>
          <w:tcPr>
            <w:tcW w:w="5000" w:type="pct"/>
            <w:gridSpan w:val="7"/>
            <w:tcBorders>
              <w:top w:val="nil"/>
              <w:left w:val="nil"/>
              <w:bottom w:val="nil"/>
              <w:right w:val="nil"/>
            </w:tcBorders>
          </w:tcPr>
          <w:p w14:paraId="5E819D6B" w14:textId="77777777" w:rsidR="008E3F72" w:rsidRPr="00FF0E8E" w:rsidRDefault="008E3F72" w:rsidP="0010018A">
            <w:pPr>
              <w:pStyle w:val="TableParagraph"/>
              <w:widowControl/>
              <w:kinsoku w:val="0"/>
              <w:overflowPunct w:val="0"/>
              <w:jc w:val="both"/>
              <w:rPr>
                <w:b/>
                <w:bCs/>
                <w:noProof/>
                <w:sz w:val="20"/>
                <w:szCs w:val="20"/>
              </w:rPr>
            </w:pPr>
            <w:r w:rsidRPr="00FF0E8E">
              <w:rPr>
                <w:b/>
                <w:noProof/>
                <w:sz w:val="20"/>
                <w:szCs w:val="20"/>
              </w:rPr>
              <w:t>Nobarojamas cūkas</w:t>
            </w:r>
          </w:p>
        </w:tc>
      </w:tr>
      <w:tr w:rsidR="008E3F72" w:rsidRPr="00FF0E8E" w14:paraId="6ACCA899" w14:textId="77777777" w:rsidTr="0010018A">
        <w:tc>
          <w:tcPr>
            <w:tcW w:w="841" w:type="pct"/>
            <w:tcBorders>
              <w:top w:val="nil"/>
              <w:left w:val="nil"/>
              <w:bottom w:val="nil"/>
              <w:right w:val="nil"/>
            </w:tcBorders>
          </w:tcPr>
          <w:p w14:paraId="47B6E194"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Fekālijas</w:t>
            </w:r>
          </w:p>
        </w:tc>
        <w:tc>
          <w:tcPr>
            <w:tcW w:w="633" w:type="pct"/>
            <w:tcBorders>
              <w:top w:val="nil"/>
              <w:left w:val="nil"/>
              <w:bottom w:val="nil"/>
              <w:right w:val="nil"/>
            </w:tcBorders>
          </w:tcPr>
          <w:p w14:paraId="4DF8D2D7"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200–340</w:t>
            </w:r>
          </w:p>
        </w:tc>
        <w:tc>
          <w:tcPr>
            <w:tcW w:w="781" w:type="pct"/>
            <w:tcBorders>
              <w:top w:val="nil"/>
              <w:left w:val="nil"/>
              <w:bottom w:val="nil"/>
              <w:right w:val="nil"/>
            </w:tcBorders>
          </w:tcPr>
          <w:p w14:paraId="5DBD6768"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8–10</w:t>
            </w:r>
          </w:p>
        </w:tc>
        <w:tc>
          <w:tcPr>
            <w:tcW w:w="655" w:type="pct"/>
            <w:tcBorders>
              <w:top w:val="nil"/>
              <w:left w:val="nil"/>
              <w:bottom w:val="nil"/>
              <w:right w:val="nil"/>
            </w:tcBorders>
          </w:tcPr>
          <w:p w14:paraId="4634F0CD"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0</w:t>
            </w:r>
          </w:p>
        </w:tc>
        <w:tc>
          <w:tcPr>
            <w:tcW w:w="715" w:type="pct"/>
            <w:tcBorders>
              <w:top w:val="nil"/>
              <w:left w:val="nil"/>
              <w:bottom w:val="nil"/>
              <w:right w:val="nil"/>
            </w:tcBorders>
          </w:tcPr>
          <w:p w14:paraId="7806B126"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w:t>
            </w:r>
          </w:p>
        </w:tc>
        <w:tc>
          <w:tcPr>
            <w:tcW w:w="687" w:type="pct"/>
            <w:tcBorders>
              <w:top w:val="nil"/>
              <w:left w:val="nil"/>
              <w:bottom w:val="nil"/>
              <w:right w:val="nil"/>
            </w:tcBorders>
          </w:tcPr>
          <w:p w14:paraId="33C7065A"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86–92</w:t>
            </w:r>
          </w:p>
        </w:tc>
        <w:tc>
          <w:tcPr>
            <w:tcW w:w="688" w:type="pct"/>
            <w:tcBorders>
              <w:top w:val="nil"/>
              <w:left w:val="nil"/>
              <w:bottom w:val="nil"/>
              <w:right w:val="nil"/>
            </w:tcBorders>
          </w:tcPr>
          <w:p w14:paraId="754B74CC"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8–14</w:t>
            </w:r>
          </w:p>
        </w:tc>
      </w:tr>
      <w:tr w:rsidR="008E3F72" w:rsidRPr="00FF0E8E" w14:paraId="338A6466" w14:textId="77777777" w:rsidTr="0010018A">
        <w:tc>
          <w:tcPr>
            <w:tcW w:w="841" w:type="pct"/>
            <w:tcBorders>
              <w:top w:val="nil"/>
              <w:left w:val="nil"/>
              <w:bottom w:val="nil"/>
              <w:right w:val="nil"/>
            </w:tcBorders>
          </w:tcPr>
          <w:p w14:paraId="486CE467"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Urīns</w:t>
            </w:r>
          </w:p>
        </w:tc>
        <w:tc>
          <w:tcPr>
            <w:tcW w:w="633" w:type="pct"/>
            <w:tcBorders>
              <w:top w:val="nil"/>
              <w:left w:val="nil"/>
              <w:bottom w:val="nil"/>
              <w:right w:val="nil"/>
            </w:tcBorders>
          </w:tcPr>
          <w:p w14:paraId="14830FC6"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30–36</w:t>
            </w:r>
          </w:p>
        </w:tc>
        <w:tc>
          <w:tcPr>
            <w:tcW w:w="781" w:type="pct"/>
            <w:tcBorders>
              <w:top w:val="nil"/>
              <w:left w:val="nil"/>
              <w:bottom w:val="nil"/>
              <w:right w:val="nil"/>
            </w:tcBorders>
          </w:tcPr>
          <w:p w14:paraId="0300D5EE"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4–7</w:t>
            </w:r>
          </w:p>
        </w:tc>
        <w:tc>
          <w:tcPr>
            <w:tcW w:w="655" w:type="pct"/>
            <w:tcBorders>
              <w:top w:val="nil"/>
              <w:left w:val="nil"/>
              <w:bottom w:val="nil"/>
              <w:right w:val="nil"/>
            </w:tcBorders>
          </w:tcPr>
          <w:p w14:paraId="521BCB60"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70–90</w:t>
            </w:r>
          </w:p>
        </w:tc>
        <w:tc>
          <w:tcPr>
            <w:tcW w:w="715" w:type="pct"/>
            <w:tcBorders>
              <w:top w:val="nil"/>
              <w:left w:val="nil"/>
              <w:bottom w:val="nil"/>
              <w:right w:val="nil"/>
            </w:tcBorders>
          </w:tcPr>
          <w:p w14:paraId="0F55F966"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w:t>
            </w:r>
          </w:p>
        </w:tc>
        <w:tc>
          <w:tcPr>
            <w:tcW w:w="687" w:type="pct"/>
            <w:tcBorders>
              <w:top w:val="nil"/>
              <w:left w:val="nil"/>
              <w:bottom w:val="nil"/>
              <w:right w:val="nil"/>
            </w:tcBorders>
          </w:tcPr>
          <w:p w14:paraId="704D6829"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10–20</w:t>
            </w:r>
          </w:p>
        </w:tc>
        <w:tc>
          <w:tcPr>
            <w:tcW w:w="688" w:type="pct"/>
            <w:tcBorders>
              <w:top w:val="nil"/>
              <w:left w:val="nil"/>
              <w:bottom w:val="nil"/>
              <w:right w:val="nil"/>
            </w:tcBorders>
          </w:tcPr>
          <w:p w14:paraId="64A1F03E"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2–10</w:t>
            </w:r>
          </w:p>
        </w:tc>
      </w:tr>
      <w:tr w:rsidR="008E3F72" w:rsidRPr="00FF0E8E" w14:paraId="043563CD" w14:textId="77777777" w:rsidTr="0010018A">
        <w:tc>
          <w:tcPr>
            <w:tcW w:w="841" w:type="pct"/>
            <w:tcBorders>
              <w:top w:val="nil"/>
              <w:left w:val="nil"/>
              <w:bottom w:val="single" w:sz="12" w:space="0" w:color="000000"/>
              <w:right w:val="nil"/>
            </w:tcBorders>
          </w:tcPr>
          <w:p w14:paraId="5F3A69C8" w14:textId="77777777" w:rsidR="008E3F72" w:rsidRPr="00FF0E8E" w:rsidRDefault="008E3F72" w:rsidP="0010018A">
            <w:pPr>
              <w:pStyle w:val="TableParagraph"/>
              <w:widowControl/>
              <w:kinsoku w:val="0"/>
              <w:overflowPunct w:val="0"/>
              <w:jc w:val="both"/>
              <w:rPr>
                <w:b/>
                <w:bCs/>
                <w:noProof/>
                <w:sz w:val="20"/>
                <w:szCs w:val="20"/>
              </w:rPr>
            </w:pPr>
            <w:r w:rsidRPr="00FF0E8E">
              <w:rPr>
                <w:b/>
                <w:noProof/>
                <w:sz w:val="20"/>
                <w:szCs w:val="20"/>
              </w:rPr>
              <w:t>Vistas</w:t>
            </w:r>
          </w:p>
        </w:tc>
        <w:tc>
          <w:tcPr>
            <w:tcW w:w="633" w:type="pct"/>
            <w:tcBorders>
              <w:top w:val="nil"/>
              <w:left w:val="nil"/>
              <w:bottom w:val="single" w:sz="12" w:space="0" w:color="000000"/>
              <w:right w:val="nil"/>
            </w:tcBorders>
          </w:tcPr>
          <w:p w14:paraId="5EF8F77E"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200–300</w:t>
            </w:r>
          </w:p>
        </w:tc>
        <w:tc>
          <w:tcPr>
            <w:tcW w:w="781" w:type="pct"/>
            <w:tcBorders>
              <w:top w:val="nil"/>
              <w:left w:val="nil"/>
              <w:bottom w:val="single" w:sz="12" w:space="0" w:color="000000"/>
              <w:right w:val="nil"/>
            </w:tcBorders>
          </w:tcPr>
          <w:p w14:paraId="103B94D0"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10–20</w:t>
            </w:r>
          </w:p>
        </w:tc>
        <w:tc>
          <w:tcPr>
            <w:tcW w:w="655" w:type="pct"/>
            <w:tcBorders>
              <w:top w:val="nil"/>
              <w:left w:val="nil"/>
              <w:bottom w:val="single" w:sz="12" w:space="0" w:color="000000"/>
              <w:right w:val="nil"/>
            </w:tcBorders>
          </w:tcPr>
          <w:p w14:paraId="58C8A296"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5–8</w:t>
            </w:r>
          </w:p>
        </w:tc>
        <w:tc>
          <w:tcPr>
            <w:tcW w:w="715" w:type="pct"/>
            <w:tcBorders>
              <w:top w:val="nil"/>
              <w:left w:val="nil"/>
              <w:bottom w:val="single" w:sz="12" w:space="0" w:color="000000"/>
              <w:right w:val="nil"/>
            </w:tcBorders>
          </w:tcPr>
          <w:p w14:paraId="24124915"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35–50</w:t>
            </w:r>
          </w:p>
        </w:tc>
        <w:tc>
          <w:tcPr>
            <w:tcW w:w="687" w:type="pct"/>
            <w:tcBorders>
              <w:top w:val="nil"/>
              <w:left w:val="nil"/>
              <w:bottom w:val="single" w:sz="12" w:space="0" w:color="000000"/>
              <w:right w:val="nil"/>
            </w:tcBorders>
          </w:tcPr>
          <w:p w14:paraId="6C8A7661"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30–50</w:t>
            </w:r>
          </w:p>
        </w:tc>
        <w:tc>
          <w:tcPr>
            <w:tcW w:w="688" w:type="pct"/>
            <w:tcBorders>
              <w:top w:val="nil"/>
              <w:left w:val="nil"/>
              <w:bottom w:val="single" w:sz="12" w:space="0" w:color="000000"/>
              <w:right w:val="nil"/>
            </w:tcBorders>
          </w:tcPr>
          <w:p w14:paraId="16EC5995" w14:textId="77777777" w:rsidR="008E3F72" w:rsidRPr="00FF0E8E" w:rsidRDefault="008E3F72" w:rsidP="0010018A">
            <w:pPr>
              <w:pStyle w:val="TableParagraph"/>
              <w:widowControl/>
              <w:kinsoku w:val="0"/>
              <w:overflowPunct w:val="0"/>
              <w:jc w:val="both"/>
              <w:rPr>
                <w:noProof/>
                <w:sz w:val="20"/>
                <w:szCs w:val="20"/>
              </w:rPr>
            </w:pPr>
            <w:r w:rsidRPr="00FF0E8E">
              <w:rPr>
                <w:sz w:val="20"/>
                <w:szCs w:val="20"/>
              </w:rPr>
              <w:t>6–8</w:t>
            </w:r>
          </w:p>
        </w:tc>
      </w:tr>
    </w:tbl>
    <w:p w14:paraId="0F426B92" w14:textId="77777777" w:rsidR="008E3F72" w:rsidRPr="00F35F4D" w:rsidRDefault="008E3F72" w:rsidP="008E3F72">
      <w:pPr>
        <w:pStyle w:val="BodyText"/>
        <w:widowControl/>
        <w:kinsoku w:val="0"/>
        <w:overflowPunct w:val="0"/>
        <w:spacing w:before="0"/>
        <w:ind w:left="0"/>
        <w:jc w:val="both"/>
        <w:rPr>
          <w:b/>
          <w:bCs/>
          <w:noProof/>
          <w:sz w:val="24"/>
          <w:szCs w:val="24"/>
        </w:rPr>
      </w:pPr>
    </w:p>
    <w:p w14:paraId="02256715" w14:textId="2F12FE7C" w:rsidR="008E3F72" w:rsidRPr="00F35F4D" w:rsidRDefault="008E3F72" w:rsidP="008E3F72">
      <w:pPr>
        <w:pStyle w:val="BodyText"/>
        <w:widowControl/>
        <w:numPr>
          <w:ilvl w:val="1"/>
          <w:numId w:val="4"/>
        </w:numPr>
        <w:tabs>
          <w:tab w:val="left" w:pos="859"/>
        </w:tabs>
        <w:kinsoku w:val="0"/>
        <w:overflowPunct w:val="0"/>
        <w:spacing w:before="0"/>
        <w:ind w:left="0" w:firstLine="0"/>
        <w:jc w:val="both"/>
        <w:rPr>
          <w:noProof/>
          <w:sz w:val="24"/>
          <w:szCs w:val="24"/>
        </w:rPr>
      </w:pPr>
      <w:r w:rsidRPr="00F35F4D">
        <w:rPr>
          <w:noProof/>
          <w:sz w:val="24"/>
        </w:rPr>
        <w:lastRenderedPageBreak/>
        <w:t>Tā kā NH3 zudumi ir saistīti ar amonija, urīnvielas un urīnskābes saturu urīnā un fekālijās, galvenās iespējas ietekmēt NH3 emisijas p</w:t>
      </w:r>
      <w:r w:rsidR="006A6A9D">
        <w:rPr>
          <w:noProof/>
          <w:sz w:val="24"/>
        </w:rPr>
        <w:t>otenciālu ar dzīvnieku ēdināšanas</w:t>
      </w:r>
      <w:r w:rsidRPr="00F35F4D">
        <w:rPr>
          <w:noProof/>
          <w:sz w:val="24"/>
        </w:rPr>
        <w:t xml:space="preserve"> starpniecību (AII.1. attēls) ir šādas:</w:t>
      </w:r>
    </w:p>
    <w:p w14:paraId="6FF03617" w14:textId="77777777" w:rsidR="008E3F72" w:rsidRPr="00F35F4D" w:rsidRDefault="008E3F72" w:rsidP="00FF0E8E">
      <w:pPr>
        <w:pStyle w:val="BodyText"/>
        <w:widowControl/>
        <w:numPr>
          <w:ilvl w:val="2"/>
          <w:numId w:val="4"/>
        </w:numPr>
        <w:kinsoku w:val="0"/>
        <w:overflowPunct w:val="0"/>
        <w:spacing w:before="0"/>
        <w:ind w:left="0" w:firstLine="0"/>
        <w:jc w:val="both"/>
        <w:rPr>
          <w:noProof/>
          <w:sz w:val="24"/>
          <w:szCs w:val="24"/>
        </w:rPr>
      </w:pPr>
      <w:r w:rsidRPr="00F35F4D">
        <w:rPr>
          <w:noProof/>
          <w:sz w:val="24"/>
        </w:rPr>
        <w:t>Samazināt amonija, urīnvielas un urīnskābes saturu urīnā un fekālijās,</w:t>
      </w:r>
    </w:p>
    <w:p w14:paraId="6D5809AA" w14:textId="77777777" w:rsidR="008E3F72" w:rsidRPr="00F35F4D" w:rsidRDefault="008E3F72" w:rsidP="00FF0E8E">
      <w:pPr>
        <w:pStyle w:val="BodyText"/>
        <w:widowControl/>
        <w:numPr>
          <w:ilvl w:val="3"/>
          <w:numId w:val="4"/>
        </w:numPr>
        <w:kinsoku w:val="0"/>
        <w:overflowPunct w:val="0"/>
        <w:spacing w:before="0"/>
        <w:ind w:left="0" w:firstLine="0"/>
        <w:jc w:val="both"/>
        <w:rPr>
          <w:noProof/>
          <w:sz w:val="24"/>
          <w:szCs w:val="24"/>
        </w:rPr>
      </w:pPr>
      <w:r w:rsidRPr="00F35F4D">
        <w:rPr>
          <w:noProof/>
          <w:sz w:val="24"/>
        </w:rPr>
        <w:t>samazinot uzņemtā KP daudzumu;</w:t>
      </w:r>
    </w:p>
    <w:p w14:paraId="6577B285" w14:textId="77777777" w:rsidR="008E3F72" w:rsidRPr="00F35F4D" w:rsidRDefault="008E3F72" w:rsidP="00FF0E8E">
      <w:pPr>
        <w:pStyle w:val="BodyText"/>
        <w:widowControl/>
        <w:numPr>
          <w:ilvl w:val="3"/>
          <w:numId w:val="4"/>
        </w:numPr>
        <w:kinsoku w:val="0"/>
        <w:overflowPunct w:val="0"/>
        <w:spacing w:before="0"/>
        <w:ind w:left="0" w:firstLine="0"/>
        <w:jc w:val="both"/>
        <w:rPr>
          <w:noProof/>
          <w:sz w:val="24"/>
          <w:szCs w:val="24"/>
        </w:rPr>
      </w:pPr>
      <w:r w:rsidRPr="00F35F4D">
        <w:rPr>
          <w:noProof/>
          <w:sz w:val="24"/>
        </w:rPr>
        <w:t xml:space="preserve"> palielinot uzņemto necietes polisaharīdu daudzumu (tai vietā, lai slāpeklis izdalītos ar urīnā esošo urīnvielu/urīnskābi, tas sāk vairāk izdalīties ar fekālijās esošajām olbaltumvielām);</w:t>
      </w:r>
    </w:p>
    <w:p w14:paraId="3C088A95" w14:textId="77777777" w:rsidR="008E3F72" w:rsidRPr="00F35F4D" w:rsidRDefault="008E3F72" w:rsidP="00FF0E8E">
      <w:pPr>
        <w:pStyle w:val="BodyText"/>
        <w:widowControl/>
        <w:numPr>
          <w:ilvl w:val="2"/>
          <w:numId w:val="4"/>
        </w:numPr>
        <w:kinsoku w:val="0"/>
        <w:overflowPunct w:val="0"/>
        <w:spacing w:before="0"/>
        <w:ind w:left="0" w:firstLine="0"/>
        <w:jc w:val="both"/>
        <w:rPr>
          <w:noProof/>
          <w:sz w:val="24"/>
          <w:szCs w:val="24"/>
        </w:rPr>
      </w:pPr>
      <w:r w:rsidRPr="00F35F4D">
        <w:rPr>
          <w:noProof/>
          <w:sz w:val="24"/>
        </w:rPr>
        <w:t>Samazināt pH līmeni kūtsmēslos,</w:t>
      </w:r>
    </w:p>
    <w:p w14:paraId="2EB9500B" w14:textId="77777777" w:rsidR="008E3F72" w:rsidRPr="00F35F4D" w:rsidRDefault="008E3F72" w:rsidP="00FF0E8E">
      <w:pPr>
        <w:pStyle w:val="BodyText"/>
        <w:widowControl/>
        <w:numPr>
          <w:ilvl w:val="3"/>
          <w:numId w:val="4"/>
        </w:numPr>
        <w:kinsoku w:val="0"/>
        <w:overflowPunct w:val="0"/>
        <w:spacing w:before="0"/>
        <w:ind w:left="0" w:firstLine="0"/>
        <w:jc w:val="both"/>
        <w:rPr>
          <w:noProof/>
          <w:sz w:val="24"/>
          <w:szCs w:val="24"/>
        </w:rPr>
      </w:pPr>
      <w:r w:rsidRPr="00F35F4D">
        <w:rPr>
          <w:noProof/>
          <w:sz w:val="24"/>
        </w:rPr>
        <w:t>samazinot pH līmeni fekālijās;</w:t>
      </w:r>
    </w:p>
    <w:p w14:paraId="16408EA4" w14:textId="77777777" w:rsidR="008E3F72" w:rsidRPr="00F35F4D" w:rsidRDefault="008E3F72" w:rsidP="00FF0E8E">
      <w:pPr>
        <w:pStyle w:val="BodyText"/>
        <w:widowControl/>
        <w:numPr>
          <w:ilvl w:val="3"/>
          <w:numId w:val="4"/>
        </w:numPr>
        <w:kinsoku w:val="0"/>
        <w:overflowPunct w:val="0"/>
        <w:spacing w:before="0"/>
        <w:ind w:left="0" w:firstLine="0"/>
        <w:jc w:val="both"/>
        <w:rPr>
          <w:noProof/>
          <w:sz w:val="24"/>
          <w:szCs w:val="24"/>
        </w:rPr>
      </w:pPr>
      <w:r w:rsidRPr="00F35F4D">
        <w:rPr>
          <w:noProof/>
          <w:sz w:val="24"/>
        </w:rPr>
        <w:t>samazinot pH līmeni urīnā;</w:t>
      </w:r>
    </w:p>
    <w:p w14:paraId="45ACD87C" w14:textId="77777777" w:rsidR="008E3F72" w:rsidRPr="00F35F4D" w:rsidRDefault="008E3F72" w:rsidP="00FF0E8E">
      <w:pPr>
        <w:pStyle w:val="BodyText"/>
        <w:widowControl/>
        <w:numPr>
          <w:ilvl w:val="2"/>
          <w:numId w:val="4"/>
        </w:numPr>
        <w:kinsoku w:val="0"/>
        <w:overflowPunct w:val="0"/>
        <w:spacing w:before="0"/>
        <w:ind w:left="0" w:firstLine="0"/>
        <w:jc w:val="both"/>
        <w:rPr>
          <w:noProof/>
          <w:sz w:val="24"/>
          <w:szCs w:val="24"/>
        </w:rPr>
      </w:pPr>
      <w:r w:rsidRPr="00F35F4D">
        <w:rPr>
          <w:noProof/>
          <w:sz w:val="24"/>
        </w:rPr>
        <w:t>Samazināt ureāzes aktivitāti un tādējādi arī amonija koncentrāciju kūtsmēslos.</w:t>
      </w:r>
    </w:p>
    <w:p w14:paraId="12F9DBA6" w14:textId="77777777" w:rsidR="008E3F72" w:rsidRPr="00F35F4D" w:rsidRDefault="008E3F72" w:rsidP="008E3F72">
      <w:pPr>
        <w:pStyle w:val="BodyText"/>
        <w:widowControl/>
        <w:numPr>
          <w:ilvl w:val="1"/>
          <w:numId w:val="4"/>
        </w:numPr>
        <w:tabs>
          <w:tab w:val="left" w:pos="859"/>
        </w:tabs>
        <w:kinsoku w:val="0"/>
        <w:overflowPunct w:val="0"/>
        <w:spacing w:before="0"/>
        <w:ind w:left="0" w:firstLine="0"/>
        <w:jc w:val="both"/>
        <w:rPr>
          <w:noProof/>
          <w:sz w:val="24"/>
          <w:szCs w:val="24"/>
        </w:rPr>
      </w:pPr>
      <w:r w:rsidRPr="00F35F4D">
        <w:rPr>
          <w:noProof/>
          <w:sz w:val="24"/>
        </w:rPr>
        <w:t>Amonija saturu kūtsmēslos (fekālijās un urīnā) pēc urīnvielas hidrolīzes un kūtsmēslos esošo olbaltumvielu anaerobās noārdīšanās var aprēķināt šādi (</w:t>
      </w:r>
      <w:r w:rsidRPr="00F35F4D">
        <w:rPr>
          <w:i/>
          <w:noProof/>
          <w:sz w:val="24"/>
        </w:rPr>
        <w:t>Aarnink, van Ouwerkerk, Verstegen,</w:t>
      </w:r>
      <w:r w:rsidRPr="00F35F4D">
        <w:rPr>
          <w:noProof/>
          <w:sz w:val="24"/>
        </w:rPr>
        <w:t xml:space="preserve"> 1992):</w:t>
      </w:r>
    </w:p>
    <w:p w14:paraId="166C378A" w14:textId="77777777" w:rsidR="008E3F72" w:rsidRPr="00F35F4D" w:rsidRDefault="008E3F72" w:rsidP="008E3F72">
      <w:pPr>
        <w:pStyle w:val="BodyText"/>
        <w:widowControl/>
        <w:tabs>
          <w:tab w:val="left" w:pos="859"/>
        </w:tabs>
        <w:kinsoku w:val="0"/>
        <w:overflowPunct w:val="0"/>
        <w:spacing w:before="0"/>
        <w:ind w:left="0"/>
        <w:jc w:val="both"/>
        <w:rPr>
          <w:noProof/>
          <w:sz w:val="24"/>
          <w:szCs w:val="24"/>
        </w:rPr>
      </w:pPr>
    </w:p>
    <w:p w14:paraId="509B6081" w14:textId="0A547963" w:rsidR="008E3F72" w:rsidRPr="00F35F4D" w:rsidRDefault="00720C1E" w:rsidP="008E3F72">
      <w:pPr>
        <w:pStyle w:val="BodyText"/>
        <w:widowControl/>
        <w:kinsoku w:val="0"/>
        <w:overflowPunct w:val="0"/>
        <w:spacing w:before="0"/>
        <w:ind w:left="0"/>
        <w:jc w:val="both"/>
        <w:rPr>
          <w:noProof/>
          <w:sz w:val="24"/>
          <w:szCs w:val="24"/>
        </w:rPr>
      </w:pPr>
      <w:r w:rsidRPr="00F35F4D">
        <w:rPr>
          <w:noProof/>
          <w:lang w:bidi="ar-SA"/>
        </w:rPr>
        <mc:AlternateContent>
          <mc:Choice Requires="wps">
            <w:drawing>
              <wp:anchor distT="0" distB="0" distL="114300" distR="114300" simplePos="0" relativeHeight="251661312" behindDoc="1" locked="0" layoutInCell="0" allowOverlap="1" wp14:anchorId="57F3E586" wp14:editId="213F094C">
                <wp:simplePos x="0" y="0"/>
                <wp:positionH relativeFrom="page">
                  <wp:posOffset>1367155</wp:posOffset>
                </wp:positionH>
                <wp:positionV relativeFrom="paragraph">
                  <wp:posOffset>147955</wp:posOffset>
                </wp:positionV>
                <wp:extent cx="2001520" cy="8255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BF751" w14:textId="77777777" w:rsidR="0085568E" w:rsidRPr="008E3F72" w:rsidRDefault="0085568E" w:rsidP="008E3F72">
                            <w:pPr>
                              <w:pStyle w:val="BodyText"/>
                              <w:tabs>
                                <w:tab w:val="left" w:pos="883"/>
                                <w:tab w:val="left" w:pos="1204"/>
                                <w:tab w:val="left" w:pos="2539"/>
                                <w:tab w:val="left" w:pos="3050"/>
                              </w:tabs>
                              <w:kinsoku w:val="0"/>
                              <w:overflowPunct w:val="0"/>
                              <w:spacing w:before="0" w:line="130" w:lineRule="exact"/>
                              <w:ind w:left="0"/>
                              <w:rPr>
                                <w:noProof/>
                                <w:sz w:val="13"/>
                                <w:szCs w:val="13"/>
                              </w:rPr>
                            </w:pPr>
                            <w:r>
                              <w:rPr>
                                <w:noProof/>
                                <w:sz w:val="13"/>
                              </w:rPr>
                              <w:t>4</w:t>
                            </w:r>
                            <w:r>
                              <w:tab/>
                            </w:r>
                            <w:r>
                              <w:rPr>
                                <w:noProof/>
                                <w:sz w:val="13"/>
                              </w:rPr>
                              <w:t>f</w:t>
                            </w:r>
                            <w:r>
                              <w:tab/>
                            </w:r>
                            <w:r>
                              <w:rPr>
                                <w:noProof/>
                                <w:sz w:val="13"/>
                              </w:rPr>
                              <w:t>r</w:t>
                            </w:r>
                            <w:r>
                              <w:tab/>
                            </w:r>
                            <w:r>
                              <w:rPr>
                                <w:noProof/>
                                <w:sz w:val="13"/>
                              </w:rPr>
                              <w:t>f</w:t>
                            </w:r>
                            <w:r>
                              <w:tab/>
                            </w:r>
                            <w:r>
                              <w:rPr>
                                <w:noProof/>
                                <w:sz w:val="13"/>
                              </w:rPr>
                              <w:t>m</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3E586" id="Text Box 9" o:spid="_x0000_s1027" type="#_x0000_t202" style="position:absolute;left:0;text-align:left;margin-left:107.65pt;margin-top:11.65pt;width:157.6pt;height: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" o:allowincell="f" filled="f" stroked="f">
                <v:textbox inset="0,0,0,0">
                  <w:txbxContent>
                    <w:p w14:paraId="7F8BF751" w14:textId="77777777" w:rsidR="0085568E" w:rsidRPr="008E3F72" w:rsidRDefault="0085568E" w:rsidP="008E3F72">
                      <w:pPr>
                        <w:pStyle w:val="BodyText"/>
                        <w:tabs>
                          <w:tab w:val="left" w:pos="883"/>
                          <w:tab w:val="left" w:pos="1204"/>
                          <w:tab w:val="left" w:pos="2539"/>
                          <w:tab w:val="left" w:pos="3050"/>
                        </w:tabs>
                        <w:kinsoku w:val="0"/>
                        <w:overflowPunct w:val="0"/>
                        <w:spacing w:before="0" w:line="130" w:lineRule="exact"/>
                        <w:ind w:left="0"/>
                        <w:rPr>
                          <w:noProof/>
                          <w:sz w:val="13"/>
                          <w:szCs w:val="13"/>
                        </w:rPr>
                      </w:pPr>
                      <w:r>
                        <w:rPr>
                          <w:noProof/>
                          <w:sz w:val="13"/>
                        </w:rPr>
                        <w:t>4</w:t>
                      </w:r>
                      <w:r>
                        <w:tab/>
                      </w:r>
                      <w:r>
                        <w:rPr>
                          <w:noProof/>
                          <w:sz w:val="13"/>
                        </w:rPr>
                        <w:t>f</w:t>
                      </w:r>
                      <w:r>
                        <w:tab/>
                      </w:r>
                      <w:r>
                        <w:rPr>
                          <w:noProof/>
                          <w:sz w:val="13"/>
                        </w:rPr>
                        <w:t>r</w:t>
                      </w:r>
                      <w:r>
                        <w:tab/>
                      </w:r>
                      <w:r>
                        <w:rPr>
                          <w:noProof/>
                          <w:sz w:val="13"/>
                        </w:rPr>
                        <w:t>f</w:t>
                      </w:r>
                      <w:r>
                        <w:tab/>
                      </w:r>
                      <w:r>
                        <w:rPr>
                          <w:noProof/>
                          <w:sz w:val="13"/>
                        </w:rPr>
                        <w:t>m</w:t>
                      </w:r>
                      <w:r>
                        <w:t>,</w:t>
                      </w:r>
                    </w:p>
                  </w:txbxContent>
                </v:textbox>
                <w10:wrap anchorx="page"/>
              </v:shape>
            </w:pict>
          </mc:Fallback>
        </mc:AlternateContent>
      </w:r>
      <w:r w:rsidRPr="00F35F4D">
        <w:rPr>
          <w:noProof/>
          <w:sz w:val="24"/>
        </w:rPr>
        <w:t>[[NH4 +] = (d</w:t>
      </w:r>
      <w:r w:rsidRPr="00F35F4D">
        <w:rPr>
          <w:noProof/>
          <w:sz w:val="24"/>
          <w:vertAlign w:val="subscript"/>
        </w:rPr>
        <w:t>k</w:t>
      </w:r>
      <w:r w:rsidRPr="00F35F4D">
        <w:rPr>
          <w:noProof/>
          <w:sz w:val="24"/>
        </w:rPr>
        <w:t>*P</w:t>
      </w:r>
      <w:r w:rsidRPr="00F35F4D">
        <w:rPr>
          <w:noProof/>
          <w:sz w:val="24"/>
          <w:vertAlign w:val="subscript"/>
        </w:rPr>
        <w:t>b</w:t>
      </w:r>
      <w:r w:rsidRPr="00F35F4D">
        <w:rPr>
          <w:noProof/>
          <w:sz w:val="24"/>
        </w:rPr>
        <w:t xml:space="preserve"> - P</w:t>
      </w:r>
      <w:r w:rsidRPr="00F35F4D">
        <w:rPr>
          <w:noProof/>
          <w:sz w:val="24"/>
          <w:vertAlign w:val="subscript"/>
        </w:rPr>
        <w:t>r</w:t>
      </w:r>
      <w:r w:rsidRPr="00F35F4D">
        <w:rPr>
          <w:noProof/>
          <w:sz w:val="24"/>
        </w:rPr>
        <w:t xml:space="preserve"> + adk*(1-d</w:t>
      </w:r>
      <w:r w:rsidRPr="00F35F4D">
        <w:rPr>
          <w:noProof/>
          <w:sz w:val="24"/>
          <w:vertAlign w:val="subscript"/>
        </w:rPr>
        <w:t>k</w:t>
      </w:r>
      <w:r w:rsidRPr="00F35F4D">
        <w:rPr>
          <w:noProof/>
          <w:sz w:val="24"/>
        </w:rPr>
        <w:t>)*P</w:t>
      </w:r>
      <w:r w:rsidRPr="00F35F4D">
        <w:rPr>
          <w:noProof/>
          <w:sz w:val="24"/>
          <w:vertAlign w:val="subscript"/>
        </w:rPr>
        <w:t>b</w:t>
      </w:r>
      <w:r w:rsidRPr="00F35F4D">
        <w:rPr>
          <w:noProof/>
          <w:sz w:val="24"/>
        </w:rPr>
        <w:t>) / (K</w:t>
      </w:r>
      <w:r w:rsidRPr="00F35F4D">
        <w:rPr>
          <w:noProof/>
          <w:sz w:val="24"/>
          <w:vertAlign w:val="subscript"/>
        </w:rPr>
        <w:t>m</w:t>
      </w:r>
      <w:r w:rsidRPr="00F35F4D">
        <w:rPr>
          <w:noProof/>
          <w:sz w:val="24"/>
        </w:rPr>
        <w:t>)</w:t>
      </w:r>
    </w:p>
    <w:p w14:paraId="73D2179E" w14:textId="77777777" w:rsidR="008E3F72" w:rsidRPr="00F35F4D" w:rsidRDefault="008E3F72" w:rsidP="008E3F72">
      <w:pPr>
        <w:pStyle w:val="BodyText"/>
        <w:widowControl/>
        <w:kinsoku w:val="0"/>
        <w:overflowPunct w:val="0"/>
        <w:spacing w:before="0"/>
        <w:ind w:left="0"/>
        <w:jc w:val="both"/>
        <w:rPr>
          <w:noProof/>
          <w:sz w:val="24"/>
          <w:szCs w:val="24"/>
        </w:rPr>
      </w:pPr>
    </w:p>
    <w:p w14:paraId="5DE0F1AC"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kur</w:t>
      </w:r>
    </w:p>
    <w:p w14:paraId="19A43545" w14:textId="77777777" w:rsidR="008E3F72" w:rsidRPr="00F35F4D" w:rsidRDefault="008E3F72" w:rsidP="008E3F72">
      <w:pPr>
        <w:pStyle w:val="BodyText"/>
        <w:widowControl/>
        <w:kinsoku w:val="0"/>
        <w:overflowPunct w:val="0"/>
        <w:spacing w:before="0"/>
        <w:ind w:left="0"/>
        <w:jc w:val="both"/>
        <w:rPr>
          <w:noProof/>
          <w:sz w:val="24"/>
          <w:szCs w:val="24"/>
        </w:rPr>
      </w:pPr>
    </w:p>
    <w:p w14:paraId="4B9C4D1E"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d</w:t>
      </w:r>
      <w:r w:rsidRPr="00F35F4D">
        <w:rPr>
          <w:noProof/>
          <w:sz w:val="24"/>
          <w:vertAlign w:val="subscript"/>
        </w:rPr>
        <w:t>k</w:t>
      </w:r>
      <w:r w:rsidRPr="00F35F4D">
        <w:rPr>
          <w:noProof/>
          <w:sz w:val="24"/>
        </w:rPr>
        <w:t xml:space="preserve"> = olbaltumvielu acīmredzamās sagremojamības koeficients,</w:t>
      </w:r>
    </w:p>
    <w:p w14:paraId="46474274"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P</w:t>
      </w:r>
      <w:r w:rsidRPr="00F35F4D">
        <w:rPr>
          <w:noProof/>
          <w:sz w:val="24"/>
          <w:vertAlign w:val="subscript"/>
        </w:rPr>
        <w:t>b</w:t>
      </w:r>
      <w:r w:rsidRPr="00F35F4D">
        <w:rPr>
          <w:noProof/>
          <w:sz w:val="24"/>
        </w:rPr>
        <w:t xml:space="preserve"> = barībā esošās olbaltumvielas,</w:t>
      </w:r>
    </w:p>
    <w:p w14:paraId="36CD2BB7"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P</w:t>
      </w:r>
      <w:r w:rsidRPr="00F35F4D">
        <w:rPr>
          <w:noProof/>
          <w:sz w:val="24"/>
          <w:vertAlign w:val="subscript"/>
        </w:rPr>
        <w:t xml:space="preserve">r </w:t>
      </w:r>
      <w:r w:rsidRPr="00F35F4D">
        <w:rPr>
          <w:noProof/>
          <w:sz w:val="24"/>
        </w:rPr>
        <w:t>= olbaltumvielu uzkrāšana,</w:t>
      </w:r>
    </w:p>
    <w:p w14:paraId="7812E192"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adk = olbaltumvielu anaerobās noārdīšanās koeficients kūtsmēslos,</w:t>
      </w:r>
    </w:p>
    <w:p w14:paraId="076492EE"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K</w:t>
      </w:r>
      <w:r w:rsidRPr="00F35F4D">
        <w:rPr>
          <w:noProof/>
          <w:sz w:val="24"/>
          <w:vertAlign w:val="subscript"/>
        </w:rPr>
        <w:t>m</w:t>
      </w:r>
      <w:r w:rsidRPr="00F35F4D">
        <w:rPr>
          <w:noProof/>
          <w:sz w:val="24"/>
        </w:rPr>
        <w:t xml:space="preserve"> = kūtsmēslu masa.</w:t>
      </w:r>
    </w:p>
    <w:p w14:paraId="386575B9" w14:textId="77777777" w:rsidR="008E3F72" w:rsidRPr="00F35F4D" w:rsidRDefault="008E3F72" w:rsidP="008E3F72">
      <w:pPr>
        <w:pStyle w:val="BodyText"/>
        <w:widowControl/>
        <w:kinsoku w:val="0"/>
        <w:overflowPunct w:val="0"/>
        <w:spacing w:before="0"/>
        <w:ind w:left="0"/>
        <w:jc w:val="both"/>
        <w:rPr>
          <w:noProof/>
          <w:sz w:val="24"/>
          <w:szCs w:val="24"/>
        </w:rPr>
      </w:pPr>
    </w:p>
    <w:p w14:paraId="27621C11"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AII.1. attēls</w:t>
      </w:r>
    </w:p>
    <w:p w14:paraId="79DB7431"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Shēma, kas raksturo dzīvnieku barības devas galvenos radītājus (olbaltumvielu saturu, anjonu un katjonu attiecības un necietes polisaharīdu saturu), kuri ietekmē urīnvielas un amonija pH līmeni dzīvnieku izdalītajā urīnā un fekālijās</w:t>
      </w:r>
    </w:p>
    <w:p w14:paraId="73056898" w14:textId="77777777" w:rsidR="008E3F72" w:rsidRPr="00F35F4D" w:rsidRDefault="008E3F72" w:rsidP="008E3F72">
      <w:pPr>
        <w:pStyle w:val="BodyText"/>
        <w:widowControl/>
        <w:kinsoku w:val="0"/>
        <w:overflowPunct w:val="0"/>
        <w:spacing w:before="0"/>
        <w:ind w:left="0"/>
        <w:jc w:val="both"/>
        <w:rPr>
          <w:b/>
          <w:bCs/>
          <w:noProof/>
          <w:sz w:val="24"/>
          <w:szCs w:val="24"/>
        </w:rPr>
      </w:pPr>
    </w:p>
    <w:p w14:paraId="318A8588" w14:textId="01C1D2DD" w:rsidR="008E3F72" w:rsidRPr="00F35F4D" w:rsidRDefault="00FF0E8E" w:rsidP="008E3F72">
      <w:pPr>
        <w:pStyle w:val="BodyText"/>
        <w:widowControl/>
        <w:kinsoku w:val="0"/>
        <w:overflowPunct w:val="0"/>
        <w:spacing w:before="0"/>
        <w:ind w:left="0"/>
        <w:jc w:val="both"/>
        <w:rPr>
          <w:b/>
          <w:bCs/>
          <w:noProof/>
          <w:sz w:val="24"/>
          <w:szCs w:val="24"/>
        </w:rPr>
      </w:pPr>
      <w:r w:rsidRPr="00FF0E8E">
        <w:rPr>
          <w:b/>
          <w:bCs/>
          <w:noProof/>
          <w:sz w:val="24"/>
          <w:szCs w:val="24"/>
          <w:lang w:bidi="ar-SA"/>
        </w:rPr>
        <w:drawing>
          <wp:inline distT="0" distB="0" distL="0" distR="0" wp14:anchorId="1B3DF8D4" wp14:editId="6143E352">
            <wp:extent cx="5223510" cy="2472244"/>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3510" cy="2472244"/>
                    </a:xfrm>
                    <a:prstGeom prst="rect">
                      <a:avLst/>
                    </a:prstGeom>
                    <a:noFill/>
                    <a:ln>
                      <a:noFill/>
                    </a:ln>
                  </pic:spPr>
                </pic:pic>
              </a:graphicData>
            </a:graphic>
          </wp:inline>
        </w:drawing>
      </w:r>
    </w:p>
    <w:p w14:paraId="2A31850E" w14:textId="77777777" w:rsidR="008E3F72" w:rsidRPr="00F35F4D" w:rsidRDefault="008E3F72" w:rsidP="008E3F72">
      <w:pPr>
        <w:pStyle w:val="BodyText"/>
        <w:widowControl/>
        <w:kinsoku w:val="0"/>
        <w:overflowPunct w:val="0"/>
        <w:spacing w:before="0"/>
        <w:ind w:left="0"/>
        <w:jc w:val="both"/>
        <w:rPr>
          <w:i/>
          <w:iCs/>
          <w:noProof/>
          <w:sz w:val="24"/>
          <w:szCs w:val="24"/>
        </w:rPr>
      </w:pPr>
    </w:p>
    <w:p w14:paraId="48CA2AF9"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rPr>
        <w:t>Avots</w:t>
      </w:r>
      <w:r w:rsidRPr="00F35F4D">
        <w:t xml:space="preserve"> –</w:t>
      </w:r>
      <w:r w:rsidRPr="00F35F4D">
        <w:rPr>
          <w:noProof/>
          <w:sz w:val="24"/>
        </w:rPr>
        <w:t xml:space="preserve"> </w:t>
      </w:r>
      <w:r w:rsidRPr="00F35F4D">
        <w:rPr>
          <w:i/>
          <w:noProof/>
          <w:sz w:val="24"/>
        </w:rPr>
        <w:t>Aarnink and Verstegen</w:t>
      </w:r>
      <w:r w:rsidRPr="00F35F4D">
        <w:rPr>
          <w:noProof/>
          <w:sz w:val="24"/>
        </w:rPr>
        <w:t>, 2007.</w:t>
      </w:r>
    </w:p>
    <w:p w14:paraId="00124D4D" w14:textId="77777777" w:rsidR="008E3F72" w:rsidRPr="00F35F4D" w:rsidRDefault="008E3F72" w:rsidP="008E3F72">
      <w:pPr>
        <w:pStyle w:val="BodyText"/>
        <w:widowControl/>
        <w:kinsoku w:val="0"/>
        <w:overflowPunct w:val="0"/>
        <w:spacing w:before="0"/>
        <w:ind w:left="0"/>
        <w:jc w:val="both"/>
        <w:rPr>
          <w:noProof/>
          <w:sz w:val="24"/>
          <w:szCs w:val="24"/>
        </w:rPr>
      </w:pPr>
    </w:p>
    <w:p w14:paraId="592C2D28" w14:textId="77777777" w:rsidR="008E3F72" w:rsidRPr="00F35F4D" w:rsidRDefault="008E3F72" w:rsidP="00FF0E8E">
      <w:pPr>
        <w:pStyle w:val="BodyText"/>
        <w:widowControl/>
        <w:numPr>
          <w:ilvl w:val="1"/>
          <w:numId w:val="4"/>
        </w:numPr>
        <w:kinsoku w:val="0"/>
        <w:overflowPunct w:val="0"/>
        <w:spacing w:before="0"/>
        <w:ind w:left="0" w:firstLine="0"/>
        <w:jc w:val="both"/>
        <w:rPr>
          <w:noProof/>
          <w:sz w:val="24"/>
          <w:szCs w:val="24"/>
        </w:rPr>
      </w:pPr>
      <w:r w:rsidRPr="00F35F4D">
        <w:rPr>
          <w:noProof/>
          <w:sz w:val="24"/>
        </w:rPr>
        <w:t>Urīna un kūtsmēslu pH līmeni var aprēķināt, sastādot pilnu katjonu-anjonu bilanci. Šajā aprēķinā jāiekļauj arī amonija un ogļskābes sāļu koncentrācija.</w:t>
      </w:r>
    </w:p>
    <w:p w14:paraId="0ECD3B7E" w14:textId="2D59DDA0" w:rsidR="008E3F72" w:rsidRPr="00FF0E8E" w:rsidRDefault="008E3F72" w:rsidP="008E3F72">
      <w:pPr>
        <w:pStyle w:val="BodyText"/>
        <w:widowControl/>
        <w:numPr>
          <w:ilvl w:val="1"/>
          <w:numId w:val="4"/>
        </w:numPr>
        <w:tabs>
          <w:tab w:val="left" w:pos="859"/>
        </w:tabs>
        <w:kinsoku w:val="0"/>
        <w:overflowPunct w:val="0"/>
        <w:spacing w:before="0"/>
        <w:ind w:left="0" w:firstLine="0"/>
        <w:jc w:val="both"/>
        <w:rPr>
          <w:noProof/>
          <w:sz w:val="24"/>
          <w:szCs w:val="24"/>
        </w:rPr>
      </w:pPr>
      <w:r w:rsidRPr="00F35F4D">
        <w:rPr>
          <w:noProof/>
          <w:sz w:val="24"/>
        </w:rPr>
        <w:lastRenderedPageBreak/>
        <w:t>Lauk</w:t>
      </w:r>
      <w:r w:rsidR="006A6A9D">
        <w:rPr>
          <w:noProof/>
          <w:sz w:val="24"/>
        </w:rPr>
        <w:t>saimniecības dzīvnieku ēdināšanas</w:t>
      </w:r>
      <w:r w:rsidRPr="00F35F4D">
        <w:rPr>
          <w:noProof/>
          <w:sz w:val="24"/>
        </w:rPr>
        <w:t xml:space="preserve"> stratēģija var ietekmēt fekāliju un urīna pH līmeni. Fekāliju pH līmeni var pazemināt, paaugstinot fermentāciju resnajā zarnā. Tas palielina gaistošo taukskābju daudzumu fekālijās un pazemina pH līmeni. Urīna pH līmeni var pazemināt, pazeminot elektrolītu līdzsvaru (Na + K – Cl) dzīvnieku barībā (</w:t>
      </w:r>
      <w:r w:rsidRPr="00F35F4D">
        <w:rPr>
          <w:i/>
          <w:noProof/>
          <w:sz w:val="24"/>
        </w:rPr>
        <w:t>Patience, Austic, Boyd,</w:t>
      </w:r>
      <w:r w:rsidRPr="00F35F4D">
        <w:rPr>
          <w:noProof/>
          <w:sz w:val="24"/>
        </w:rPr>
        <w:t xml:space="preserve"> 1987). Turklāt urīna pH līmeni var pazemināt, pievienojot barības devai paskābinošas sastāvdaļas, piemēram, kalcija sulfātu (CaSO4), kalcija benzoātu un benzoskābi. Ja pH līmenis izvadītajās fekālijās un urīnā ir zems, tad pat pēc noteikta uzkrāšanas perioda šķidro/cieto kūtsmēslu pH līmenis arī </w:t>
      </w:r>
      <w:r w:rsidR="006A6A9D">
        <w:rPr>
          <w:noProof/>
          <w:sz w:val="24"/>
        </w:rPr>
        <w:t>uz</w:t>
      </w:r>
      <w:r w:rsidRPr="00F35F4D">
        <w:rPr>
          <w:noProof/>
          <w:sz w:val="24"/>
        </w:rPr>
        <w:t xml:space="preserve">glabāšanas laikā ir zems. Šī pH ietekme var ievērojami samazināt NH3 emisiju no šķidro kūtsmēslu krātuvēm </w:t>
      </w:r>
      <w:r w:rsidR="006A6A9D">
        <w:rPr>
          <w:noProof/>
          <w:sz w:val="24"/>
        </w:rPr>
        <w:t>uz</w:t>
      </w:r>
      <w:r w:rsidRPr="00F35F4D">
        <w:rPr>
          <w:noProof/>
          <w:sz w:val="24"/>
        </w:rPr>
        <w:t>glabāšanas laikā un arī pēc šķidro kūtsmēslu izmantošanas mēslošanai. Attiecīgie secinājumi ir pierādīti jo īpaši attiecībā uz cūkām (</w:t>
      </w:r>
      <w:r w:rsidRPr="00F35F4D">
        <w:rPr>
          <w:i/>
          <w:noProof/>
          <w:sz w:val="24"/>
        </w:rPr>
        <w:t>Aarnink, Verstegen</w:t>
      </w:r>
      <w:r w:rsidRPr="00F35F4D">
        <w:rPr>
          <w:noProof/>
          <w:sz w:val="24"/>
        </w:rPr>
        <w:t xml:space="preserve">, 2007; </w:t>
      </w:r>
      <w:r w:rsidRPr="00F35F4D">
        <w:rPr>
          <w:i/>
          <w:noProof/>
          <w:sz w:val="24"/>
        </w:rPr>
        <w:t>Canh et al.</w:t>
      </w:r>
      <w:r w:rsidRPr="00F35F4D">
        <w:rPr>
          <w:noProof/>
          <w:sz w:val="24"/>
        </w:rPr>
        <w:t>, 1998a, 1998c, 1998d un 1998e).</w:t>
      </w:r>
    </w:p>
    <w:p w14:paraId="0C431837" w14:textId="77777777" w:rsidR="00FF0E8E" w:rsidRPr="00F35F4D" w:rsidRDefault="00FF0E8E" w:rsidP="00FF0E8E">
      <w:pPr>
        <w:pStyle w:val="BodyText"/>
        <w:widowControl/>
        <w:tabs>
          <w:tab w:val="left" w:pos="859"/>
        </w:tabs>
        <w:kinsoku w:val="0"/>
        <w:overflowPunct w:val="0"/>
        <w:spacing w:before="0"/>
        <w:ind w:left="0"/>
        <w:jc w:val="both"/>
        <w:rPr>
          <w:noProof/>
          <w:sz w:val="24"/>
          <w:szCs w:val="24"/>
        </w:rPr>
      </w:pPr>
    </w:p>
    <w:p w14:paraId="726FF75C" w14:textId="77777777" w:rsidR="008E3F72" w:rsidRPr="00FF0E8E" w:rsidRDefault="008E3F72" w:rsidP="008E3F72">
      <w:pPr>
        <w:pStyle w:val="BodyText"/>
        <w:widowControl/>
        <w:numPr>
          <w:ilvl w:val="1"/>
          <w:numId w:val="4"/>
        </w:numPr>
        <w:tabs>
          <w:tab w:val="left" w:pos="859"/>
        </w:tabs>
        <w:kinsoku w:val="0"/>
        <w:overflowPunct w:val="0"/>
        <w:spacing w:before="0"/>
        <w:ind w:left="0" w:firstLine="0"/>
        <w:jc w:val="both"/>
        <w:rPr>
          <w:noProof/>
          <w:sz w:val="24"/>
          <w:szCs w:val="24"/>
        </w:rPr>
      </w:pPr>
      <w:r w:rsidRPr="00F35F4D">
        <w:rPr>
          <w:noProof/>
          <w:sz w:val="24"/>
        </w:rPr>
        <w:t>Atkarībā no fermentu aktivitātes urīnviela un urīnskābe parasti hidrolizējas amonijā dažu stundu vai dažu dienu laikā. Organiskā N mineralizācija (acīmredzami nesagremotās olbaltumvielas) fekālijās ir lēns process. Paiet 70 dienas, pirms 18</w:t>
      </w:r>
      <w:r w:rsidRPr="00F35F4D">
        <w:rPr>
          <w:noProof/>
          <w:sz w:val="24"/>
          <w:vertAlign w:val="superscript"/>
        </w:rPr>
        <w:t>o</w:t>
      </w:r>
      <w:r w:rsidRPr="00F35F4D">
        <w:rPr>
          <w:noProof/>
          <w:sz w:val="24"/>
        </w:rPr>
        <w:t>C temperatūrā 43 % no cūku kūtsmēslos esošā organiskā N mineralizējas NH3 veidā (</w:t>
      </w:r>
      <w:r w:rsidRPr="00F35F4D">
        <w:rPr>
          <w:i/>
          <w:noProof/>
          <w:sz w:val="24"/>
        </w:rPr>
        <w:t>Spoelstra,</w:t>
      </w:r>
      <w:r w:rsidRPr="00F35F4D">
        <w:rPr>
          <w:noProof/>
          <w:sz w:val="24"/>
        </w:rPr>
        <w:t xml:space="preserve"> 1979). Tāpēc, liellopu un cūku organismos esošajam slāpeklim vairāk izdaloties ar urīnu nevis ar fekālijām, palielinās N ekskrēcija ar olbaltumvielām (organiski saistītais N). un samazinās N ekskrēcija ar urīnvielu, urīnskābi un amoniju. Tā rezultātā samazinās NH3 emisija no urīna (vienlaicīgi nepalielinoties NH3 emisijai no fekālijām).</w:t>
      </w:r>
    </w:p>
    <w:p w14:paraId="0504A5A4" w14:textId="77777777" w:rsidR="00FF0E8E" w:rsidRPr="00F35F4D" w:rsidRDefault="00FF0E8E" w:rsidP="00FF0E8E">
      <w:pPr>
        <w:pStyle w:val="BodyText"/>
        <w:widowControl/>
        <w:tabs>
          <w:tab w:val="left" w:pos="859"/>
        </w:tabs>
        <w:kinsoku w:val="0"/>
        <w:overflowPunct w:val="0"/>
        <w:spacing w:before="0"/>
        <w:ind w:left="0"/>
        <w:jc w:val="both"/>
        <w:rPr>
          <w:noProof/>
          <w:sz w:val="24"/>
          <w:szCs w:val="24"/>
        </w:rPr>
      </w:pPr>
    </w:p>
    <w:p w14:paraId="4C71732A" w14:textId="77777777" w:rsidR="008E3F72" w:rsidRPr="00FF0E8E" w:rsidRDefault="008E3F72" w:rsidP="008E3F72">
      <w:pPr>
        <w:pStyle w:val="BodyText"/>
        <w:widowControl/>
        <w:numPr>
          <w:ilvl w:val="1"/>
          <w:numId w:val="4"/>
        </w:numPr>
        <w:tabs>
          <w:tab w:val="left" w:pos="859"/>
        </w:tabs>
        <w:kinsoku w:val="0"/>
        <w:overflowPunct w:val="0"/>
        <w:spacing w:before="0"/>
        <w:ind w:left="0" w:firstLine="0"/>
        <w:jc w:val="both"/>
        <w:rPr>
          <w:noProof/>
          <w:sz w:val="24"/>
          <w:szCs w:val="24"/>
        </w:rPr>
      </w:pPr>
      <w:r w:rsidRPr="00F35F4D">
        <w:rPr>
          <w:noProof/>
          <w:sz w:val="24"/>
        </w:rPr>
        <w:t xml:space="preserve"> Barības pārveidošanas efektivitātes noteikšanai dzīvnieku izcelsmes produktā ir būtiski svarīgi divi radītāji. Tos definē šādi:</w:t>
      </w:r>
    </w:p>
    <w:p w14:paraId="76DCE24F" w14:textId="77777777" w:rsidR="00FF0E8E" w:rsidRPr="00F35F4D" w:rsidRDefault="00FF0E8E" w:rsidP="00FF0E8E">
      <w:pPr>
        <w:pStyle w:val="BodyText"/>
        <w:widowControl/>
        <w:tabs>
          <w:tab w:val="left" w:pos="859"/>
        </w:tabs>
        <w:kinsoku w:val="0"/>
        <w:overflowPunct w:val="0"/>
        <w:spacing w:before="0"/>
        <w:ind w:left="0"/>
        <w:jc w:val="both"/>
        <w:rPr>
          <w:noProof/>
          <w:sz w:val="24"/>
          <w:szCs w:val="24"/>
        </w:rPr>
      </w:pPr>
    </w:p>
    <w:p w14:paraId="375BFE15" w14:textId="46203B74" w:rsidR="008E3F72" w:rsidRPr="00F35F4D" w:rsidRDefault="008E3F72" w:rsidP="008E3F72">
      <w:pPr>
        <w:pStyle w:val="BodyText"/>
        <w:widowControl/>
        <w:numPr>
          <w:ilvl w:val="0"/>
          <w:numId w:val="3"/>
        </w:numPr>
        <w:tabs>
          <w:tab w:val="left" w:pos="859"/>
        </w:tabs>
        <w:kinsoku w:val="0"/>
        <w:overflowPunct w:val="0"/>
        <w:spacing w:before="0"/>
        <w:ind w:left="0" w:firstLine="0"/>
        <w:jc w:val="both"/>
        <w:rPr>
          <w:noProof/>
          <w:sz w:val="24"/>
          <w:szCs w:val="24"/>
        </w:rPr>
      </w:pPr>
      <w:r w:rsidRPr="00F35F4D">
        <w:rPr>
          <w:noProof/>
          <w:sz w:val="24"/>
        </w:rPr>
        <w:t xml:space="preserve">vajadzība pēc KP (ko bieži aprēķina kā N saturu, kas reizināts ar 6,25) proporcionāli barībā esošajai sausnai. Tā ir atkarīga no dzīvnieku sugas, </w:t>
      </w:r>
      <w:r w:rsidR="006A6A9D">
        <w:rPr>
          <w:noProof/>
          <w:sz w:val="24"/>
        </w:rPr>
        <w:t xml:space="preserve">ražošanas veida, barībā esošās </w:t>
      </w:r>
      <w:r w:rsidR="006A6A9D" w:rsidRPr="006A6A9D">
        <w:rPr>
          <w:i/>
          <w:noProof/>
          <w:sz w:val="24"/>
        </w:rPr>
        <w:t>DM</w:t>
      </w:r>
      <w:r w:rsidRPr="00F35F4D">
        <w:rPr>
          <w:noProof/>
          <w:sz w:val="24"/>
        </w:rPr>
        <w:t xml:space="preserve"> sagremojamības un KP kvalitātes (aminoskābju attiecības). Informāciju par šo rādītāju barības koncentrātos parasti sniedz barības ražotājs. Zāles lopbarībai, īpaši ganību zālei, to mēdz būt grūtāk noteikt, bet orientācijai der zālāja virsmas augstums – jo zālāja virsma augstāka, jo mazāks olbaltumvielu saturs. Tomēr, palielinoties zālāja virsmas augstumam, zāles sagremojamība var samazināties;</w:t>
      </w:r>
    </w:p>
    <w:p w14:paraId="5F2F2DB7" w14:textId="77777777" w:rsidR="008E3F72" w:rsidRPr="00FF0E8E" w:rsidRDefault="008E3F72" w:rsidP="008E3F72">
      <w:pPr>
        <w:pStyle w:val="BodyText"/>
        <w:widowControl/>
        <w:numPr>
          <w:ilvl w:val="0"/>
          <w:numId w:val="3"/>
        </w:numPr>
        <w:tabs>
          <w:tab w:val="left" w:pos="859"/>
        </w:tabs>
        <w:kinsoku w:val="0"/>
        <w:overflowPunct w:val="0"/>
        <w:spacing w:before="0"/>
        <w:ind w:left="0" w:firstLine="0"/>
        <w:jc w:val="both"/>
        <w:rPr>
          <w:noProof/>
          <w:sz w:val="24"/>
          <w:szCs w:val="24"/>
        </w:rPr>
      </w:pPr>
      <w:r w:rsidRPr="00F35F4D">
        <w:rPr>
          <w:noProof/>
          <w:sz w:val="24"/>
        </w:rPr>
        <w:t>N izmantošanas efektivitāte (NIE = DzPN/BN), kur DzPN ir N masa dzīvnieku izcelsmes produktā (kilogramos) un BN ir N masa izmantotajā barībā (kilogramos). Šim rādītājam ir vajadzīga informācija par N saturu dzīvnieku izcelsmes produktos un dzīvnieku barībā. Attiecīgie skaitļi pēdējos gados ir atrodami daudzās tabulās.</w:t>
      </w:r>
    </w:p>
    <w:p w14:paraId="2865D27A" w14:textId="77777777" w:rsidR="00FF0E8E" w:rsidRPr="00F35F4D" w:rsidRDefault="00FF0E8E" w:rsidP="00FF0E8E">
      <w:pPr>
        <w:pStyle w:val="BodyText"/>
        <w:widowControl/>
        <w:tabs>
          <w:tab w:val="left" w:pos="859"/>
        </w:tabs>
        <w:kinsoku w:val="0"/>
        <w:overflowPunct w:val="0"/>
        <w:spacing w:before="0"/>
        <w:ind w:left="0"/>
        <w:jc w:val="both"/>
        <w:rPr>
          <w:noProof/>
          <w:sz w:val="24"/>
          <w:szCs w:val="24"/>
        </w:rPr>
      </w:pPr>
    </w:p>
    <w:p w14:paraId="2FF9A743" w14:textId="4A03567C" w:rsidR="008E3F72" w:rsidRPr="00F35F4D" w:rsidRDefault="008E3F72" w:rsidP="008E3F72">
      <w:pPr>
        <w:pStyle w:val="BodyText"/>
        <w:widowControl/>
        <w:numPr>
          <w:ilvl w:val="1"/>
          <w:numId w:val="4"/>
        </w:numPr>
        <w:tabs>
          <w:tab w:val="left" w:pos="859"/>
        </w:tabs>
        <w:kinsoku w:val="0"/>
        <w:overflowPunct w:val="0"/>
        <w:spacing w:before="0"/>
        <w:ind w:left="0" w:firstLine="0"/>
        <w:jc w:val="both"/>
        <w:rPr>
          <w:noProof/>
          <w:sz w:val="24"/>
          <w:szCs w:val="24"/>
        </w:rPr>
      </w:pPr>
      <w:r w:rsidRPr="00F35F4D">
        <w:rPr>
          <w:noProof/>
          <w:sz w:val="24"/>
        </w:rPr>
        <w:t>Dzīvnieku izcelsmes produktu (piena, gaļas, olu) ražošana nav iespējama, iepr</w:t>
      </w:r>
      <w:r w:rsidR="000B74DF">
        <w:rPr>
          <w:noProof/>
          <w:sz w:val="24"/>
        </w:rPr>
        <w:t>iekš nenodrošinot barības elementus</w:t>
      </w:r>
      <w:r w:rsidRPr="00F35F4D">
        <w:rPr>
          <w:noProof/>
          <w:sz w:val="24"/>
        </w:rPr>
        <w:t xml:space="preserve"> dzīvnieka fizioloģisko funkciju uzturēšanai. Fizioloģisko funkciju uzturēšanai vajadzīgais olbaltumvielu līmenis ir daudz zemāks par to, kas vajadzīgs dzīvnieku produktu</w:t>
      </w:r>
      <w:r w:rsidR="000B74DF">
        <w:rPr>
          <w:noProof/>
          <w:sz w:val="24"/>
        </w:rPr>
        <w:t xml:space="preserve"> sintēzei. Tāpēc optimālais KP/</w:t>
      </w:r>
      <w:r w:rsidR="000B74DF" w:rsidRPr="000B74DF">
        <w:rPr>
          <w:i/>
          <w:noProof/>
          <w:sz w:val="24"/>
        </w:rPr>
        <w:t>DM</w:t>
      </w:r>
      <w:r w:rsidRPr="00F35F4D">
        <w:rPr>
          <w:noProof/>
          <w:sz w:val="24"/>
        </w:rPr>
        <w:t xml:space="preserve"> attiecības līmenis ir mainīgs a</w:t>
      </w:r>
      <w:r w:rsidR="000B74DF">
        <w:rPr>
          <w:noProof/>
          <w:sz w:val="24"/>
        </w:rPr>
        <w:t>tkarībā no uzņemto barības elementu</w:t>
      </w:r>
      <w:r w:rsidRPr="00F35F4D">
        <w:rPr>
          <w:noProof/>
          <w:sz w:val="24"/>
        </w:rPr>
        <w:t xml:space="preserve"> daļas, ko dzīvnieks tērē fizioloģisko funkciju uzturēšanai. Šī proporcija ir visaugstākā lēni augošiem dzīvniekiem, piemēram, aizstājējdzīvniekiem liellopu ganāmpulkos, un viszemākā – strauji augošiem dzīvniekiem, piemēram, broileriem.</w:t>
      </w:r>
    </w:p>
    <w:p w14:paraId="179290C1" w14:textId="77777777" w:rsidR="008E3F72" w:rsidRPr="00F35F4D" w:rsidRDefault="008E3F72" w:rsidP="008E3F72">
      <w:pPr>
        <w:pStyle w:val="BodyText"/>
        <w:widowControl/>
        <w:kinsoku w:val="0"/>
        <w:overflowPunct w:val="0"/>
        <w:spacing w:before="0"/>
        <w:ind w:left="0"/>
        <w:jc w:val="both"/>
        <w:rPr>
          <w:noProof/>
          <w:sz w:val="24"/>
          <w:szCs w:val="24"/>
        </w:rPr>
      </w:pPr>
    </w:p>
    <w:p w14:paraId="6CC806AA" w14:textId="59D2EED9" w:rsidR="008E3F72" w:rsidRDefault="00FF0E8E" w:rsidP="00FF0E8E">
      <w:pPr>
        <w:pStyle w:val="BodyText"/>
        <w:keepNext/>
        <w:widowControl/>
        <w:tabs>
          <w:tab w:val="left" w:pos="859"/>
        </w:tabs>
        <w:kinsoku w:val="0"/>
        <w:overflowPunct w:val="0"/>
        <w:spacing w:before="0"/>
        <w:ind w:left="137"/>
        <w:jc w:val="both"/>
        <w:rPr>
          <w:b/>
          <w:noProof/>
          <w:color w:val="0D0D0D"/>
          <w:sz w:val="28"/>
        </w:rPr>
      </w:pPr>
      <w:r>
        <w:rPr>
          <w:b/>
          <w:noProof/>
          <w:color w:val="0D0D0D"/>
          <w:sz w:val="28"/>
        </w:rPr>
        <w:lastRenderedPageBreak/>
        <w:t xml:space="preserve">B. </w:t>
      </w:r>
      <w:r w:rsidR="000B74DF">
        <w:rPr>
          <w:b/>
          <w:noProof/>
          <w:color w:val="0D0D0D"/>
          <w:sz w:val="28"/>
        </w:rPr>
        <w:t>Atgremotāju</w:t>
      </w:r>
      <w:r w:rsidR="008E3F72" w:rsidRPr="00FF0E8E">
        <w:rPr>
          <w:b/>
          <w:noProof/>
          <w:color w:val="0D0D0D"/>
          <w:sz w:val="28"/>
        </w:rPr>
        <w:t xml:space="preserve"> (jo īpaši pi</w:t>
      </w:r>
      <w:r w:rsidR="000B74DF">
        <w:rPr>
          <w:b/>
          <w:noProof/>
          <w:color w:val="0D0D0D"/>
          <w:sz w:val="28"/>
        </w:rPr>
        <w:t>ena un gaļas liellopu) ēdināšanas</w:t>
      </w:r>
      <w:r w:rsidR="008E3F72" w:rsidRPr="00FF0E8E">
        <w:rPr>
          <w:b/>
          <w:noProof/>
          <w:color w:val="0D0D0D"/>
          <w:sz w:val="28"/>
        </w:rPr>
        <w:t xml:space="preserve"> stratēģijas</w:t>
      </w:r>
    </w:p>
    <w:p w14:paraId="7E292C6A" w14:textId="77777777" w:rsidR="00FF0E8E" w:rsidRPr="00FF0E8E" w:rsidRDefault="00FF0E8E" w:rsidP="00FF0E8E">
      <w:pPr>
        <w:pStyle w:val="BodyText"/>
        <w:keepNext/>
        <w:widowControl/>
        <w:kinsoku w:val="0"/>
        <w:overflowPunct w:val="0"/>
        <w:spacing w:before="0"/>
        <w:ind w:left="0"/>
        <w:jc w:val="both"/>
        <w:rPr>
          <w:bCs/>
          <w:noProof/>
          <w:color w:val="0D0D0D"/>
          <w:sz w:val="24"/>
          <w:szCs w:val="24"/>
        </w:rPr>
      </w:pPr>
    </w:p>
    <w:p w14:paraId="50B49DB2" w14:textId="77777777" w:rsidR="008E3F72" w:rsidRPr="002D5684" w:rsidRDefault="008E3F72" w:rsidP="00FF0E8E">
      <w:pPr>
        <w:pStyle w:val="BodyText"/>
        <w:keepN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 xml:space="preserve">Galarezultātā N izmantošanas efektivitāti pilna cikla piena lopkopībā ierobežo govju bioloģiskā spēja pārveidot barībā esošo N pienā un kultūraugu un ganību zāles spēja pārveidot kūtsmēslos un citos mēslošanas līdzekļos esošo N graudos, lopbarībā un citos agronomiskajos produktos. Tomēr nesakritība starp ražotāju sasniegto faktisko N izmantošanas efektivitāti un teorētisko N izmantošanas efektivitāti norāda, ka komerciālajās piena lopkopības saimniecībās N izmantošanas efektivitāti var ievērojami uzlabot (piemēram, </w:t>
      </w:r>
      <w:r w:rsidRPr="00F35F4D">
        <w:rPr>
          <w:i/>
          <w:noProof/>
          <w:sz w:val="24"/>
        </w:rPr>
        <w:t>Van Vuuren, Meijs,</w:t>
      </w:r>
      <w:r w:rsidRPr="00F35F4D">
        <w:rPr>
          <w:noProof/>
          <w:sz w:val="24"/>
        </w:rPr>
        <w:t xml:space="preserve"> 1987). Kaut arī piena ražotāji nevar īpaši ietekmēt N izmantošanas bioloģiskos ierobežojumus, tāda prakse kā pareizais ganāmpulka blīvums, pamatotas kūtsmēslu iestrādes normas un sekošana ieteikumiem par to, kā izvairīties no neracionālas izmantošanas, var ievērojami paaugstināt N izmantošanas efektivitāti, saimniecības rentabilitāti un piena lopkopības radīto rezultātu videi (</w:t>
      </w:r>
      <w:r w:rsidRPr="00F35F4D">
        <w:rPr>
          <w:i/>
          <w:noProof/>
          <w:sz w:val="24"/>
        </w:rPr>
        <w:t>Powell, Rotz, Weaver,</w:t>
      </w:r>
      <w:r w:rsidRPr="00F35F4D">
        <w:rPr>
          <w:noProof/>
          <w:sz w:val="24"/>
        </w:rPr>
        <w:t xml:space="preserve"> 2009).</w:t>
      </w:r>
    </w:p>
    <w:p w14:paraId="4B0313F9" w14:textId="77777777" w:rsidR="002D5684" w:rsidRPr="00F35F4D" w:rsidRDefault="002D5684" w:rsidP="002D5684">
      <w:pPr>
        <w:pStyle w:val="BodyText"/>
        <w:keepNext/>
        <w:widowControl/>
        <w:tabs>
          <w:tab w:val="left" w:pos="859"/>
        </w:tabs>
        <w:kinsoku w:val="0"/>
        <w:overflowPunct w:val="0"/>
        <w:spacing w:before="0"/>
        <w:ind w:left="0"/>
        <w:jc w:val="both"/>
        <w:rPr>
          <w:noProof/>
          <w:sz w:val="24"/>
          <w:szCs w:val="24"/>
        </w:rPr>
      </w:pPr>
    </w:p>
    <w:p w14:paraId="3C128BE8" w14:textId="77777777" w:rsidR="008E3F72" w:rsidRPr="002D5684"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KP samazināšana atgremotājdzīvnieku barībā ir efektīva stratēģija NH3 zudumu samazināšanai un atbilst 1. kategorijai. Jāņem vērā šādi norādījumi (AII.2. tabula).</w:t>
      </w:r>
    </w:p>
    <w:p w14:paraId="50221FE8" w14:textId="77777777" w:rsidR="002D5684" w:rsidRPr="00F35F4D" w:rsidRDefault="002D5684" w:rsidP="002D5684">
      <w:pPr>
        <w:pStyle w:val="BodyText"/>
        <w:widowControl/>
        <w:tabs>
          <w:tab w:val="left" w:pos="859"/>
        </w:tabs>
        <w:kinsoku w:val="0"/>
        <w:overflowPunct w:val="0"/>
        <w:spacing w:before="0"/>
        <w:ind w:left="0"/>
        <w:jc w:val="both"/>
        <w:rPr>
          <w:noProof/>
          <w:sz w:val="24"/>
          <w:szCs w:val="24"/>
        </w:rPr>
      </w:pPr>
    </w:p>
    <w:p w14:paraId="2E8E1FBF" w14:textId="44809E5B" w:rsidR="008E3F72" w:rsidRPr="00F35F4D" w:rsidRDefault="008E3F72" w:rsidP="002D5684">
      <w:pPr>
        <w:pStyle w:val="BodyText"/>
        <w:widowControl/>
        <w:numPr>
          <w:ilvl w:val="1"/>
          <w:numId w:val="2"/>
        </w:numPr>
        <w:kinsoku w:val="0"/>
        <w:overflowPunct w:val="0"/>
        <w:spacing w:before="0"/>
        <w:ind w:left="0" w:firstLine="0"/>
        <w:jc w:val="both"/>
        <w:rPr>
          <w:noProof/>
          <w:sz w:val="24"/>
          <w:szCs w:val="24"/>
        </w:rPr>
      </w:pPr>
      <w:r w:rsidRPr="00F35F4D">
        <w:rPr>
          <w:noProof/>
          <w:sz w:val="24"/>
        </w:rPr>
        <w:t xml:space="preserve">Piena </w:t>
      </w:r>
      <w:r w:rsidR="000B74DF">
        <w:rPr>
          <w:noProof/>
          <w:sz w:val="24"/>
        </w:rPr>
        <w:t>liel</w:t>
      </w:r>
      <w:r w:rsidRPr="00F35F4D">
        <w:rPr>
          <w:noProof/>
          <w:sz w:val="24"/>
        </w:rPr>
        <w:t>lopu uzturā vidējais KP daudzums nedrīkst pārsniegt 150–160 g/kg</w:t>
      </w:r>
      <w:r w:rsidR="000B74DF">
        <w:rPr>
          <w:noProof/>
          <w:sz w:val="24"/>
        </w:rPr>
        <w:t xml:space="preserve"> </w:t>
      </w:r>
      <w:r w:rsidR="000B74DF" w:rsidRPr="000B74DF">
        <w:rPr>
          <w:i/>
          <w:noProof/>
          <w:sz w:val="24"/>
        </w:rPr>
        <w:t>DM</w:t>
      </w:r>
      <w:r w:rsidR="000B74DF">
        <w:rPr>
          <w:noProof/>
          <w:sz w:val="24"/>
        </w:rPr>
        <w:t xml:space="preserve"> </w:t>
      </w:r>
      <w:r w:rsidRPr="00F35F4D">
        <w:rPr>
          <w:noProof/>
          <w:sz w:val="24"/>
        </w:rPr>
        <w:t>(</w:t>
      </w:r>
      <w:r w:rsidRPr="00F35F4D">
        <w:rPr>
          <w:i/>
          <w:noProof/>
          <w:sz w:val="24"/>
        </w:rPr>
        <w:t>Broderick</w:t>
      </w:r>
      <w:r w:rsidRPr="00F35F4D">
        <w:rPr>
          <w:noProof/>
          <w:sz w:val="24"/>
        </w:rPr>
        <w:t xml:space="preserve">, 2003; </w:t>
      </w:r>
      <w:r w:rsidRPr="00F35F4D">
        <w:rPr>
          <w:i/>
          <w:noProof/>
          <w:sz w:val="24"/>
        </w:rPr>
        <w:t>Swensson</w:t>
      </w:r>
      <w:r w:rsidRPr="00F35F4D">
        <w:rPr>
          <w:noProof/>
          <w:sz w:val="24"/>
        </w:rPr>
        <w:t xml:space="preserve">, 2003). Gaļas </w:t>
      </w:r>
      <w:r w:rsidR="000B74DF">
        <w:rPr>
          <w:noProof/>
          <w:sz w:val="24"/>
        </w:rPr>
        <w:t>liel</w:t>
      </w:r>
      <w:r w:rsidRPr="00F35F4D">
        <w:rPr>
          <w:noProof/>
          <w:sz w:val="24"/>
        </w:rPr>
        <w:t>lopiem, kas vecāki par 6 mēnešiem, to var vēl</w:t>
      </w:r>
      <w:r w:rsidR="000B74DF">
        <w:rPr>
          <w:noProof/>
          <w:sz w:val="24"/>
        </w:rPr>
        <w:t xml:space="preserve"> samazināt līdz 120 g/kg </w:t>
      </w:r>
      <w:r w:rsidR="000B74DF" w:rsidRPr="000B74DF">
        <w:rPr>
          <w:i/>
          <w:noProof/>
          <w:sz w:val="24"/>
        </w:rPr>
        <w:t>DM</w:t>
      </w:r>
      <w:r w:rsidRPr="00F35F4D">
        <w:rPr>
          <w:noProof/>
          <w:sz w:val="24"/>
        </w:rPr>
        <w:t>.</w:t>
      </w:r>
    </w:p>
    <w:p w14:paraId="1D649B69" w14:textId="14D1D855" w:rsidR="008E3F72" w:rsidRPr="00F35F4D" w:rsidRDefault="008E3F72" w:rsidP="002D5684">
      <w:pPr>
        <w:pStyle w:val="BodyText"/>
        <w:widowControl/>
        <w:numPr>
          <w:ilvl w:val="1"/>
          <w:numId w:val="2"/>
        </w:numPr>
        <w:kinsoku w:val="0"/>
        <w:overflowPunct w:val="0"/>
        <w:spacing w:before="0"/>
        <w:ind w:left="0" w:firstLine="0"/>
        <w:jc w:val="both"/>
        <w:rPr>
          <w:noProof/>
          <w:sz w:val="24"/>
          <w:szCs w:val="24"/>
        </w:rPr>
      </w:pPr>
      <w:r w:rsidRPr="00F35F4D">
        <w:rPr>
          <w:noProof/>
          <w:sz w:val="24"/>
        </w:rPr>
        <w:t>Dzīvnieku</w:t>
      </w:r>
      <w:r w:rsidR="000B74DF">
        <w:rPr>
          <w:noProof/>
          <w:sz w:val="24"/>
        </w:rPr>
        <w:t xml:space="preserve"> ēdināšanu</w:t>
      </w:r>
      <w:r w:rsidRPr="00F35F4D">
        <w:rPr>
          <w:noProof/>
          <w:sz w:val="24"/>
        </w:rPr>
        <w:t xml:space="preserve"> var pielāgot to attīstības stadijām, KP saturu piena </w:t>
      </w:r>
      <w:r w:rsidR="000B74DF">
        <w:rPr>
          <w:noProof/>
          <w:sz w:val="24"/>
        </w:rPr>
        <w:t>liel</w:t>
      </w:r>
      <w:r w:rsidRPr="00F35F4D">
        <w:rPr>
          <w:noProof/>
          <w:sz w:val="24"/>
        </w:rPr>
        <w:t>lopu barības devā pakāpenisk</w:t>
      </w:r>
      <w:r w:rsidR="000B74DF">
        <w:rPr>
          <w:noProof/>
          <w:sz w:val="24"/>
        </w:rPr>
        <w:t xml:space="preserve">i samazinot no 160 g kilogramā </w:t>
      </w:r>
      <w:r w:rsidR="000B74DF" w:rsidRPr="000B74DF">
        <w:rPr>
          <w:i/>
          <w:noProof/>
          <w:sz w:val="24"/>
        </w:rPr>
        <w:t>DM</w:t>
      </w:r>
      <w:r w:rsidRPr="00F35F4D">
        <w:rPr>
          <w:noProof/>
          <w:sz w:val="24"/>
        </w:rPr>
        <w:t xml:space="preserve"> tieši pirms atnešanā</w:t>
      </w:r>
      <w:r w:rsidR="000B74DF">
        <w:rPr>
          <w:noProof/>
          <w:sz w:val="24"/>
        </w:rPr>
        <w:t>s un laktācijas agrīnajā periodā</w:t>
      </w:r>
      <w:r w:rsidRPr="00F35F4D">
        <w:rPr>
          <w:noProof/>
          <w:sz w:val="24"/>
        </w:rPr>
        <w:t xml:space="preserve"> līdz daudzumam, </w:t>
      </w:r>
      <w:r w:rsidR="000B74DF">
        <w:rPr>
          <w:noProof/>
          <w:sz w:val="24"/>
        </w:rPr>
        <w:t xml:space="preserve">kas mazāks par 140 g kilogramā </w:t>
      </w:r>
      <w:r w:rsidR="000B74DF" w:rsidRPr="000B74DF">
        <w:rPr>
          <w:i/>
          <w:noProof/>
          <w:sz w:val="24"/>
        </w:rPr>
        <w:t>DM</w:t>
      </w:r>
      <w:r w:rsidR="000B74DF">
        <w:rPr>
          <w:noProof/>
          <w:sz w:val="24"/>
        </w:rPr>
        <w:t>, vēlīnajā laktācijas periodā</w:t>
      </w:r>
      <w:r w:rsidRPr="00F35F4D">
        <w:rPr>
          <w:noProof/>
          <w:sz w:val="24"/>
        </w:rPr>
        <w:t xml:space="preserve"> un cietstāves periodā.</w:t>
      </w:r>
    </w:p>
    <w:p w14:paraId="37AAC763" w14:textId="13874346" w:rsidR="008E3F72" w:rsidRPr="00F35F4D" w:rsidRDefault="008E3F72" w:rsidP="002D5684">
      <w:pPr>
        <w:pStyle w:val="BodyText"/>
        <w:widowControl/>
        <w:numPr>
          <w:ilvl w:val="1"/>
          <w:numId w:val="2"/>
        </w:numPr>
        <w:kinsoku w:val="0"/>
        <w:overflowPunct w:val="0"/>
        <w:spacing w:before="0"/>
        <w:ind w:left="0" w:firstLine="0"/>
        <w:jc w:val="both"/>
        <w:rPr>
          <w:noProof/>
          <w:sz w:val="24"/>
          <w:szCs w:val="24"/>
        </w:rPr>
      </w:pPr>
      <w:r w:rsidRPr="00F35F4D">
        <w:rPr>
          <w:noProof/>
          <w:sz w:val="24"/>
        </w:rPr>
        <w:t xml:space="preserve">Arī gaļas </w:t>
      </w:r>
      <w:r w:rsidR="000B74DF">
        <w:rPr>
          <w:noProof/>
          <w:sz w:val="24"/>
        </w:rPr>
        <w:t>liellopus var ēdināt</w:t>
      </w:r>
      <w:r w:rsidRPr="00F35F4D">
        <w:rPr>
          <w:noProof/>
          <w:sz w:val="24"/>
        </w:rPr>
        <w:t xml:space="preserve"> atkarībā no</w:t>
      </w:r>
      <w:r w:rsidR="000B74DF">
        <w:rPr>
          <w:noProof/>
          <w:sz w:val="24"/>
        </w:rPr>
        <w:t xml:space="preserve"> attīstības</w:t>
      </w:r>
      <w:r w:rsidRPr="00F35F4D">
        <w:rPr>
          <w:noProof/>
          <w:sz w:val="24"/>
        </w:rPr>
        <w:t xml:space="preserve"> stadijas tā, lai KP saturs to barības devā laika gaitā pakāpeniski </w:t>
      </w:r>
      <w:r w:rsidR="000B74DF">
        <w:rPr>
          <w:noProof/>
          <w:sz w:val="24"/>
        </w:rPr>
        <w:t xml:space="preserve">samazinātos no 160 g kilogramā </w:t>
      </w:r>
      <w:r w:rsidR="000B74DF" w:rsidRPr="000B74DF">
        <w:rPr>
          <w:i/>
          <w:noProof/>
          <w:sz w:val="24"/>
        </w:rPr>
        <w:t>DM</w:t>
      </w:r>
      <w:r w:rsidR="000B74DF">
        <w:rPr>
          <w:noProof/>
          <w:sz w:val="24"/>
        </w:rPr>
        <w:t xml:space="preserve"> līdz 120 g/kg </w:t>
      </w:r>
      <w:r w:rsidR="000B74DF" w:rsidRPr="000B74DF">
        <w:rPr>
          <w:i/>
          <w:noProof/>
          <w:sz w:val="24"/>
        </w:rPr>
        <w:t>DM</w:t>
      </w:r>
      <w:r w:rsidRPr="00F35F4D">
        <w:rPr>
          <w:noProof/>
          <w:sz w:val="24"/>
        </w:rPr>
        <w:t>.</w:t>
      </w:r>
    </w:p>
    <w:p w14:paraId="2DAFFC4E" w14:textId="77777777" w:rsidR="008E3F72" w:rsidRPr="00F35F4D" w:rsidRDefault="008E3F72" w:rsidP="008E3F72">
      <w:pPr>
        <w:pStyle w:val="BodyText"/>
        <w:widowControl/>
        <w:kinsoku w:val="0"/>
        <w:overflowPunct w:val="0"/>
        <w:spacing w:before="0"/>
        <w:ind w:left="0"/>
        <w:jc w:val="both"/>
        <w:rPr>
          <w:noProof/>
          <w:sz w:val="24"/>
          <w:szCs w:val="24"/>
        </w:rPr>
      </w:pPr>
    </w:p>
    <w:p w14:paraId="536EFFEC"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AII.2. tabula</w:t>
      </w:r>
    </w:p>
    <w:p w14:paraId="645CD46D"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Orientējošās KP mērķvērtības gramos uz kilogramu liellopiem izbarotās barības devas sausajā masā un attiecīgā NIE, kas izteikta masas daļās (kg/kg)</w:t>
      </w:r>
    </w:p>
    <w:p w14:paraId="584E55AE"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4186"/>
        <w:gridCol w:w="2341"/>
        <w:gridCol w:w="1699"/>
      </w:tblGrid>
      <w:tr w:rsidR="008E3F72" w:rsidRPr="002D5684" w14:paraId="29FED4C5" w14:textId="77777777" w:rsidTr="0010018A">
        <w:tc>
          <w:tcPr>
            <w:tcW w:w="2544" w:type="pct"/>
            <w:tcBorders>
              <w:top w:val="single" w:sz="4" w:space="0" w:color="000000"/>
              <w:left w:val="nil"/>
              <w:bottom w:val="single" w:sz="12" w:space="0" w:color="000000"/>
              <w:right w:val="nil"/>
            </w:tcBorders>
          </w:tcPr>
          <w:p w14:paraId="5039C642" w14:textId="77777777" w:rsidR="008E3F72" w:rsidRPr="002D5684" w:rsidRDefault="008E3F72" w:rsidP="0010018A">
            <w:pPr>
              <w:pStyle w:val="TableParagraph"/>
              <w:widowControl/>
              <w:kinsoku w:val="0"/>
              <w:overflowPunct w:val="0"/>
              <w:jc w:val="both"/>
              <w:rPr>
                <w:i/>
                <w:iCs/>
                <w:noProof/>
                <w:sz w:val="20"/>
              </w:rPr>
            </w:pPr>
            <w:r w:rsidRPr="002D5684">
              <w:rPr>
                <w:i/>
                <w:noProof/>
                <w:sz w:val="20"/>
              </w:rPr>
              <w:t>Liellopu suga</w:t>
            </w:r>
          </w:p>
        </w:tc>
        <w:tc>
          <w:tcPr>
            <w:tcW w:w="1423" w:type="pct"/>
            <w:tcBorders>
              <w:top w:val="single" w:sz="4" w:space="0" w:color="000000"/>
              <w:left w:val="nil"/>
              <w:bottom w:val="single" w:sz="12" w:space="0" w:color="000000"/>
              <w:right w:val="nil"/>
            </w:tcBorders>
          </w:tcPr>
          <w:p w14:paraId="5377A7D8" w14:textId="77777777" w:rsidR="008E3F72" w:rsidRPr="002D5684" w:rsidRDefault="008E3F72" w:rsidP="0010018A">
            <w:pPr>
              <w:pStyle w:val="TableParagraph"/>
              <w:widowControl/>
              <w:kinsoku w:val="0"/>
              <w:overflowPunct w:val="0"/>
              <w:jc w:val="both"/>
              <w:rPr>
                <w:i/>
                <w:iCs/>
                <w:noProof/>
                <w:sz w:val="20"/>
              </w:rPr>
            </w:pPr>
            <w:r w:rsidRPr="002D5684">
              <w:rPr>
                <w:i/>
                <w:noProof/>
                <w:sz w:val="20"/>
              </w:rPr>
              <w:t>KP (g/kg)</w:t>
            </w:r>
          </w:p>
        </w:tc>
        <w:tc>
          <w:tcPr>
            <w:tcW w:w="1033" w:type="pct"/>
            <w:tcBorders>
              <w:top w:val="single" w:sz="4" w:space="0" w:color="000000"/>
              <w:left w:val="nil"/>
              <w:bottom w:val="single" w:sz="12" w:space="0" w:color="000000"/>
              <w:right w:val="nil"/>
            </w:tcBorders>
          </w:tcPr>
          <w:p w14:paraId="306EE974" w14:textId="77777777" w:rsidR="008E3F72" w:rsidRPr="002D5684" w:rsidRDefault="008E3F72" w:rsidP="0010018A">
            <w:pPr>
              <w:pStyle w:val="TableParagraph"/>
              <w:widowControl/>
              <w:kinsoku w:val="0"/>
              <w:overflowPunct w:val="0"/>
              <w:jc w:val="both"/>
              <w:rPr>
                <w:i/>
                <w:iCs/>
                <w:noProof/>
                <w:sz w:val="20"/>
              </w:rPr>
            </w:pPr>
            <w:r w:rsidRPr="002D5684">
              <w:rPr>
                <w:i/>
                <w:noProof/>
                <w:sz w:val="20"/>
              </w:rPr>
              <w:t>NIE (kg/kg)</w:t>
            </w:r>
          </w:p>
        </w:tc>
      </w:tr>
      <w:tr w:rsidR="008E3F72" w:rsidRPr="002D5684" w14:paraId="6265D778" w14:textId="77777777" w:rsidTr="0010018A">
        <w:tc>
          <w:tcPr>
            <w:tcW w:w="2544" w:type="pct"/>
            <w:tcBorders>
              <w:top w:val="single" w:sz="12" w:space="0" w:color="000000"/>
              <w:left w:val="nil"/>
              <w:bottom w:val="nil"/>
              <w:right w:val="nil"/>
            </w:tcBorders>
          </w:tcPr>
          <w:p w14:paraId="303543F0" w14:textId="77777777" w:rsidR="008E3F72" w:rsidRPr="002D5684" w:rsidRDefault="008E3F72" w:rsidP="0010018A">
            <w:pPr>
              <w:pStyle w:val="TableParagraph"/>
              <w:widowControl/>
              <w:kinsoku w:val="0"/>
              <w:overflowPunct w:val="0"/>
              <w:jc w:val="both"/>
              <w:rPr>
                <w:noProof/>
                <w:sz w:val="20"/>
              </w:rPr>
            </w:pPr>
            <w:r w:rsidRPr="002D5684">
              <w:rPr>
                <w:sz w:val="20"/>
              </w:rPr>
              <w:t>Piens + fizioloģisko funkciju uzturēšana, agrīnā laktācija</w:t>
            </w:r>
          </w:p>
        </w:tc>
        <w:tc>
          <w:tcPr>
            <w:tcW w:w="1423" w:type="pct"/>
            <w:tcBorders>
              <w:top w:val="single" w:sz="12" w:space="0" w:color="000000"/>
              <w:left w:val="nil"/>
              <w:bottom w:val="nil"/>
              <w:right w:val="nil"/>
            </w:tcBorders>
          </w:tcPr>
          <w:p w14:paraId="067C14C6" w14:textId="77777777" w:rsidR="008E3F72" w:rsidRPr="002D5684" w:rsidRDefault="008E3F72" w:rsidP="0010018A">
            <w:pPr>
              <w:pStyle w:val="TableParagraph"/>
              <w:widowControl/>
              <w:kinsoku w:val="0"/>
              <w:overflowPunct w:val="0"/>
              <w:jc w:val="both"/>
              <w:rPr>
                <w:noProof/>
                <w:sz w:val="20"/>
              </w:rPr>
            </w:pPr>
            <w:r w:rsidRPr="002D5684">
              <w:rPr>
                <w:sz w:val="20"/>
              </w:rPr>
              <w:t>150–160</w:t>
            </w:r>
          </w:p>
        </w:tc>
        <w:tc>
          <w:tcPr>
            <w:tcW w:w="1033" w:type="pct"/>
            <w:tcBorders>
              <w:top w:val="single" w:sz="12" w:space="0" w:color="000000"/>
              <w:left w:val="nil"/>
              <w:bottom w:val="nil"/>
              <w:right w:val="nil"/>
            </w:tcBorders>
          </w:tcPr>
          <w:p w14:paraId="6135A773" w14:textId="77777777" w:rsidR="008E3F72" w:rsidRPr="002D5684" w:rsidRDefault="008E3F72" w:rsidP="0010018A">
            <w:pPr>
              <w:pStyle w:val="TableParagraph"/>
              <w:widowControl/>
              <w:kinsoku w:val="0"/>
              <w:overflowPunct w:val="0"/>
              <w:jc w:val="both"/>
              <w:rPr>
                <w:noProof/>
                <w:sz w:val="20"/>
              </w:rPr>
            </w:pPr>
            <w:r w:rsidRPr="002D5684">
              <w:rPr>
                <w:sz w:val="20"/>
              </w:rPr>
              <w:t>0,30</w:t>
            </w:r>
          </w:p>
        </w:tc>
      </w:tr>
      <w:tr w:rsidR="008E3F72" w:rsidRPr="002D5684" w14:paraId="7E4C78F9" w14:textId="77777777" w:rsidTr="0010018A">
        <w:tc>
          <w:tcPr>
            <w:tcW w:w="2544" w:type="pct"/>
            <w:tcBorders>
              <w:top w:val="nil"/>
              <w:left w:val="nil"/>
              <w:bottom w:val="nil"/>
              <w:right w:val="nil"/>
            </w:tcBorders>
          </w:tcPr>
          <w:p w14:paraId="7807F79F" w14:textId="77777777" w:rsidR="008E3F72" w:rsidRPr="002D5684" w:rsidRDefault="008E3F72" w:rsidP="0010018A">
            <w:pPr>
              <w:pStyle w:val="TableParagraph"/>
              <w:widowControl/>
              <w:kinsoku w:val="0"/>
              <w:overflowPunct w:val="0"/>
              <w:jc w:val="both"/>
              <w:rPr>
                <w:noProof/>
                <w:sz w:val="20"/>
              </w:rPr>
            </w:pPr>
            <w:r w:rsidRPr="002D5684">
              <w:rPr>
                <w:sz w:val="20"/>
              </w:rPr>
              <w:t>Piens + fizioloģisko funkciju uzturēšana, vēlīnā laktācija</w:t>
            </w:r>
          </w:p>
        </w:tc>
        <w:tc>
          <w:tcPr>
            <w:tcW w:w="1423" w:type="pct"/>
            <w:tcBorders>
              <w:top w:val="nil"/>
              <w:left w:val="nil"/>
              <w:bottom w:val="nil"/>
              <w:right w:val="nil"/>
            </w:tcBorders>
          </w:tcPr>
          <w:p w14:paraId="64B39794" w14:textId="77777777" w:rsidR="008E3F72" w:rsidRPr="002D5684" w:rsidRDefault="008E3F72" w:rsidP="0010018A">
            <w:pPr>
              <w:pStyle w:val="TableParagraph"/>
              <w:widowControl/>
              <w:kinsoku w:val="0"/>
              <w:overflowPunct w:val="0"/>
              <w:jc w:val="both"/>
              <w:rPr>
                <w:noProof/>
                <w:sz w:val="20"/>
              </w:rPr>
            </w:pPr>
            <w:r w:rsidRPr="002D5684">
              <w:rPr>
                <w:sz w:val="20"/>
              </w:rPr>
              <w:t>120–140</w:t>
            </w:r>
          </w:p>
        </w:tc>
        <w:tc>
          <w:tcPr>
            <w:tcW w:w="1033" w:type="pct"/>
            <w:tcBorders>
              <w:top w:val="nil"/>
              <w:left w:val="nil"/>
              <w:bottom w:val="nil"/>
              <w:right w:val="nil"/>
            </w:tcBorders>
          </w:tcPr>
          <w:p w14:paraId="58CAFCAE" w14:textId="77777777" w:rsidR="008E3F72" w:rsidRPr="002D5684" w:rsidRDefault="008E3F72" w:rsidP="0010018A">
            <w:pPr>
              <w:pStyle w:val="TableParagraph"/>
              <w:widowControl/>
              <w:kinsoku w:val="0"/>
              <w:overflowPunct w:val="0"/>
              <w:jc w:val="both"/>
              <w:rPr>
                <w:noProof/>
                <w:sz w:val="20"/>
              </w:rPr>
            </w:pPr>
            <w:r w:rsidRPr="002D5684">
              <w:rPr>
                <w:sz w:val="20"/>
              </w:rPr>
              <w:t>0,25</w:t>
            </w:r>
          </w:p>
        </w:tc>
      </w:tr>
      <w:tr w:rsidR="008E3F72" w:rsidRPr="002D5684" w14:paraId="493CEFD5" w14:textId="77777777" w:rsidTr="0010018A">
        <w:tc>
          <w:tcPr>
            <w:tcW w:w="2544" w:type="pct"/>
            <w:tcBorders>
              <w:top w:val="nil"/>
              <w:left w:val="nil"/>
              <w:bottom w:val="nil"/>
              <w:right w:val="nil"/>
            </w:tcBorders>
          </w:tcPr>
          <w:p w14:paraId="56C9D986" w14:textId="77777777" w:rsidR="008E3F72" w:rsidRPr="002D5684" w:rsidRDefault="008E3F72" w:rsidP="0010018A">
            <w:pPr>
              <w:pStyle w:val="TableParagraph"/>
              <w:widowControl/>
              <w:kinsoku w:val="0"/>
              <w:overflowPunct w:val="0"/>
              <w:jc w:val="both"/>
              <w:rPr>
                <w:noProof/>
                <w:sz w:val="20"/>
              </w:rPr>
            </w:pPr>
            <w:r w:rsidRPr="002D5684">
              <w:rPr>
                <w:sz w:val="20"/>
              </w:rPr>
              <w:t>Aizstājējdzīvnieki</w:t>
            </w:r>
          </w:p>
        </w:tc>
        <w:tc>
          <w:tcPr>
            <w:tcW w:w="1423" w:type="pct"/>
            <w:tcBorders>
              <w:top w:val="nil"/>
              <w:left w:val="nil"/>
              <w:bottom w:val="nil"/>
              <w:right w:val="nil"/>
            </w:tcBorders>
          </w:tcPr>
          <w:p w14:paraId="18AAC745" w14:textId="77777777" w:rsidR="008E3F72" w:rsidRPr="002D5684" w:rsidRDefault="008E3F72" w:rsidP="0010018A">
            <w:pPr>
              <w:pStyle w:val="TableParagraph"/>
              <w:widowControl/>
              <w:kinsoku w:val="0"/>
              <w:overflowPunct w:val="0"/>
              <w:jc w:val="both"/>
              <w:rPr>
                <w:noProof/>
                <w:sz w:val="20"/>
              </w:rPr>
            </w:pPr>
            <w:r w:rsidRPr="002D5684">
              <w:rPr>
                <w:sz w:val="20"/>
              </w:rPr>
              <w:t>130–150</w:t>
            </w:r>
          </w:p>
        </w:tc>
        <w:tc>
          <w:tcPr>
            <w:tcW w:w="1033" w:type="pct"/>
            <w:tcBorders>
              <w:top w:val="nil"/>
              <w:left w:val="nil"/>
              <w:bottom w:val="nil"/>
              <w:right w:val="nil"/>
            </w:tcBorders>
          </w:tcPr>
          <w:p w14:paraId="6AAB5085" w14:textId="77777777" w:rsidR="008E3F72" w:rsidRPr="002D5684" w:rsidRDefault="008E3F72" w:rsidP="0010018A">
            <w:pPr>
              <w:pStyle w:val="TableParagraph"/>
              <w:widowControl/>
              <w:kinsoku w:val="0"/>
              <w:overflowPunct w:val="0"/>
              <w:jc w:val="both"/>
              <w:rPr>
                <w:noProof/>
                <w:sz w:val="20"/>
              </w:rPr>
            </w:pPr>
            <w:r w:rsidRPr="002D5684">
              <w:rPr>
                <w:sz w:val="20"/>
              </w:rPr>
              <w:t>0,10</w:t>
            </w:r>
          </w:p>
        </w:tc>
      </w:tr>
      <w:tr w:rsidR="008E3F72" w:rsidRPr="002D5684" w14:paraId="6D82B7F4" w14:textId="77777777" w:rsidTr="0010018A">
        <w:tc>
          <w:tcPr>
            <w:tcW w:w="2544" w:type="pct"/>
            <w:tcBorders>
              <w:top w:val="nil"/>
              <w:left w:val="nil"/>
              <w:bottom w:val="nil"/>
              <w:right w:val="nil"/>
            </w:tcBorders>
          </w:tcPr>
          <w:p w14:paraId="41C99F56" w14:textId="77777777" w:rsidR="008E3F72" w:rsidRPr="002D5684" w:rsidRDefault="008E3F72" w:rsidP="0010018A">
            <w:pPr>
              <w:pStyle w:val="TableParagraph"/>
              <w:widowControl/>
              <w:kinsoku w:val="0"/>
              <w:overflowPunct w:val="0"/>
              <w:jc w:val="both"/>
              <w:rPr>
                <w:noProof/>
                <w:sz w:val="20"/>
              </w:rPr>
            </w:pPr>
            <w:r w:rsidRPr="002D5684">
              <w:rPr>
                <w:sz w:val="20"/>
              </w:rPr>
              <w:t>Teļi</w:t>
            </w:r>
          </w:p>
        </w:tc>
        <w:tc>
          <w:tcPr>
            <w:tcW w:w="1423" w:type="pct"/>
            <w:tcBorders>
              <w:top w:val="nil"/>
              <w:left w:val="nil"/>
              <w:bottom w:val="nil"/>
              <w:right w:val="nil"/>
            </w:tcBorders>
          </w:tcPr>
          <w:p w14:paraId="6EF281BA" w14:textId="77777777" w:rsidR="008E3F72" w:rsidRPr="002D5684" w:rsidRDefault="008E3F72" w:rsidP="0010018A">
            <w:pPr>
              <w:pStyle w:val="TableParagraph"/>
              <w:widowControl/>
              <w:kinsoku w:val="0"/>
              <w:overflowPunct w:val="0"/>
              <w:jc w:val="both"/>
              <w:rPr>
                <w:noProof/>
                <w:sz w:val="20"/>
              </w:rPr>
            </w:pPr>
            <w:r w:rsidRPr="002D5684">
              <w:rPr>
                <w:sz w:val="20"/>
              </w:rPr>
              <w:t>170–190</w:t>
            </w:r>
          </w:p>
        </w:tc>
        <w:tc>
          <w:tcPr>
            <w:tcW w:w="1033" w:type="pct"/>
            <w:tcBorders>
              <w:top w:val="nil"/>
              <w:left w:val="nil"/>
              <w:bottom w:val="nil"/>
              <w:right w:val="nil"/>
            </w:tcBorders>
          </w:tcPr>
          <w:p w14:paraId="6867B474" w14:textId="77777777" w:rsidR="008E3F72" w:rsidRPr="002D5684" w:rsidRDefault="008E3F72" w:rsidP="0010018A">
            <w:pPr>
              <w:pStyle w:val="TableParagraph"/>
              <w:widowControl/>
              <w:kinsoku w:val="0"/>
              <w:overflowPunct w:val="0"/>
              <w:jc w:val="both"/>
              <w:rPr>
                <w:noProof/>
                <w:sz w:val="20"/>
              </w:rPr>
            </w:pPr>
            <w:r w:rsidRPr="002D5684">
              <w:rPr>
                <w:sz w:val="20"/>
              </w:rPr>
              <w:t>0,45</w:t>
            </w:r>
          </w:p>
        </w:tc>
      </w:tr>
      <w:tr w:rsidR="008E3F72" w:rsidRPr="002D5684" w14:paraId="40D0F17A" w14:textId="77777777" w:rsidTr="0010018A">
        <w:tc>
          <w:tcPr>
            <w:tcW w:w="2544" w:type="pct"/>
            <w:tcBorders>
              <w:top w:val="nil"/>
              <w:left w:val="nil"/>
              <w:bottom w:val="nil"/>
              <w:right w:val="nil"/>
            </w:tcBorders>
          </w:tcPr>
          <w:p w14:paraId="4AD80879" w14:textId="77777777" w:rsidR="008E3F72" w:rsidRPr="002D5684" w:rsidRDefault="008E3F72" w:rsidP="0010018A">
            <w:pPr>
              <w:pStyle w:val="TableParagraph"/>
              <w:widowControl/>
              <w:kinsoku w:val="0"/>
              <w:overflowPunct w:val="0"/>
              <w:jc w:val="both"/>
              <w:rPr>
                <w:noProof/>
                <w:sz w:val="20"/>
              </w:rPr>
            </w:pPr>
            <w:r w:rsidRPr="002D5684">
              <w:rPr>
                <w:sz w:val="20"/>
              </w:rPr>
              <w:t>Liellopi, &lt; 3 mēneši</w:t>
            </w:r>
          </w:p>
        </w:tc>
        <w:tc>
          <w:tcPr>
            <w:tcW w:w="1423" w:type="pct"/>
            <w:tcBorders>
              <w:top w:val="nil"/>
              <w:left w:val="nil"/>
              <w:bottom w:val="nil"/>
              <w:right w:val="nil"/>
            </w:tcBorders>
          </w:tcPr>
          <w:p w14:paraId="5CC9D51C" w14:textId="77777777" w:rsidR="008E3F72" w:rsidRPr="002D5684" w:rsidRDefault="008E3F72" w:rsidP="0010018A">
            <w:pPr>
              <w:pStyle w:val="TableParagraph"/>
              <w:widowControl/>
              <w:kinsoku w:val="0"/>
              <w:overflowPunct w:val="0"/>
              <w:jc w:val="both"/>
              <w:rPr>
                <w:noProof/>
                <w:sz w:val="20"/>
              </w:rPr>
            </w:pPr>
            <w:r w:rsidRPr="002D5684">
              <w:rPr>
                <w:sz w:val="20"/>
              </w:rPr>
              <w:t>150–160</w:t>
            </w:r>
          </w:p>
        </w:tc>
        <w:tc>
          <w:tcPr>
            <w:tcW w:w="1033" w:type="pct"/>
            <w:tcBorders>
              <w:top w:val="nil"/>
              <w:left w:val="nil"/>
              <w:bottom w:val="nil"/>
              <w:right w:val="nil"/>
            </w:tcBorders>
          </w:tcPr>
          <w:p w14:paraId="46017421" w14:textId="77777777" w:rsidR="008E3F72" w:rsidRPr="002D5684" w:rsidRDefault="008E3F72" w:rsidP="0010018A">
            <w:pPr>
              <w:pStyle w:val="TableParagraph"/>
              <w:widowControl/>
              <w:kinsoku w:val="0"/>
              <w:overflowPunct w:val="0"/>
              <w:jc w:val="both"/>
              <w:rPr>
                <w:noProof/>
                <w:sz w:val="20"/>
              </w:rPr>
            </w:pPr>
            <w:r w:rsidRPr="002D5684">
              <w:rPr>
                <w:sz w:val="20"/>
              </w:rPr>
              <w:t>0,30</w:t>
            </w:r>
          </w:p>
        </w:tc>
      </w:tr>
      <w:tr w:rsidR="008E3F72" w:rsidRPr="002D5684" w14:paraId="71B8E8E4" w14:textId="77777777" w:rsidTr="0010018A">
        <w:tc>
          <w:tcPr>
            <w:tcW w:w="2544" w:type="pct"/>
            <w:tcBorders>
              <w:top w:val="nil"/>
              <w:left w:val="nil"/>
              <w:bottom w:val="nil"/>
              <w:right w:val="nil"/>
            </w:tcBorders>
          </w:tcPr>
          <w:p w14:paraId="2ACCA6D8" w14:textId="77777777" w:rsidR="008E3F72" w:rsidRPr="002D5684" w:rsidRDefault="008E3F72" w:rsidP="0010018A">
            <w:pPr>
              <w:pStyle w:val="TableParagraph"/>
              <w:widowControl/>
              <w:kinsoku w:val="0"/>
              <w:overflowPunct w:val="0"/>
              <w:jc w:val="both"/>
              <w:rPr>
                <w:noProof/>
                <w:sz w:val="20"/>
              </w:rPr>
            </w:pPr>
            <w:r w:rsidRPr="002D5684">
              <w:rPr>
                <w:sz w:val="20"/>
              </w:rPr>
              <w:t>Liellopi, 3–18 mēneši</w:t>
            </w:r>
          </w:p>
        </w:tc>
        <w:tc>
          <w:tcPr>
            <w:tcW w:w="1423" w:type="pct"/>
            <w:tcBorders>
              <w:top w:val="nil"/>
              <w:left w:val="nil"/>
              <w:bottom w:val="nil"/>
              <w:right w:val="nil"/>
            </w:tcBorders>
          </w:tcPr>
          <w:p w14:paraId="082977ED" w14:textId="77777777" w:rsidR="008E3F72" w:rsidRPr="002D5684" w:rsidRDefault="008E3F72" w:rsidP="0010018A">
            <w:pPr>
              <w:pStyle w:val="TableParagraph"/>
              <w:widowControl/>
              <w:kinsoku w:val="0"/>
              <w:overflowPunct w:val="0"/>
              <w:jc w:val="both"/>
              <w:rPr>
                <w:noProof/>
                <w:sz w:val="20"/>
              </w:rPr>
            </w:pPr>
            <w:r w:rsidRPr="002D5684">
              <w:rPr>
                <w:sz w:val="20"/>
              </w:rPr>
              <w:t>130–150</w:t>
            </w:r>
          </w:p>
        </w:tc>
        <w:tc>
          <w:tcPr>
            <w:tcW w:w="1033" w:type="pct"/>
            <w:tcBorders>
              <w:top w:val="nil"/>
              <w:left w:val="nil"/>
              <w:bottom w:val="nil"/>
              <w:right w:val="nil"/>
            </w:tcBorders>
          </w:tcPr>
          <w:p w14:paraId="39EA6F34" w14:textId="77777777" w:rsidR="008E3F72" w:rsidRPr="002D5684" w:rsidRDefault="008E3F72" w:rsidP="0010018A">
            <w:pPr>
              <w:pStyle w:val="TableParagraph"/>
              <w:widowControl/>
              <w:kinsoku w:val="0"/>
              <w:overflowPunct w:val="0"/>
              <w:jc w:val="both"/>
              <w:rPr>
                <w:noProof/>
                <w:sz w:val="20"/>
              </w:rPr>
            </w:pPr>
            <w:r w:rsidRPr="002D5684">
              <w:rPr>
                <w:sz w:val="20"/>
              </w:rPr>
              <w:t>0,15</w:t>
            </w:r>
          </w:p>
        </w:tc>
      </w:tr>
      <w:tr w:rsidR="008E3F72" w:rsidRPr="002D5684" w14:paraId="207C384F" w14:textId="77777777" w:rsidTr="0010018A">
        <w:tc>
          <w:tcPr>
            <w:tcW w:w="2544" w:type="pct"/>
            <w:tcBorders>
              <w:top w:val="nil"/>
              <w:left w:val="nil"/>
              <w:bottom w:val="single" w:sz="12" w:space="0" w:color="000000"/>
              <w:right w:val="nil"/>
            </w:tcBorders>
          </w:tcPr>
          <w:p w14:paraId="5DCB6C36" w14:textId="77777777" w:rsidR="008E3F72" w:rsidRPr="002D5684" w:rsidRDefault="008E3F72" w:rsidP="0010018A">
            <w:pPr>
              <w:pStyle w:val="TableParagraph"/>
              <w:widowControl/>
              <w:kinsoku w:val="0"/>
              <w:overflowPunct w:val="0"/>
              <w:jc w:val="both"/>
              <w:rPr>
                <w:noProof/>
                <w:sz w:val="20"/>
              </w:rPr>
            </w:pPr>
            <w:r w:rsidRPr="002D5684">
              <w:rPr>
                <w:sz w:val="20"/>
              </w:rPr>
              <w:t>Liellopi, &gt;18 mēneši</w:t>
            </w:r>
          </w:p>
        </w:tc>
        <w:tc>
          <w:tcPr>
            <w:tcW w:w="1423" w:type="pct"/>
            <w:tcBorders>
              <w:top w:val="nil"/>
              <w:left w:val="nil"/>
              <w:bottom w:val="single" w:sz="12" w:space="0" w:color="000000"/>
              <w:right w:val="nil"/>
            </w:tcBorders>
          </w:tcPr>
          <w:p w14:paraId="60033758" w14:textId="77777777" w:rsidR="008E3F72" w:rsidRPr="002D5684" w:rsidRDefault="008E3F72" w:rsidP="0010018A">
            <w:pPr>
              <w:pStyle w:val="TableParagraph"/>
              <w:widowControl/>
              <w:kinsoku w:val="0"/>
              <w:overflowPunct w:val="0"/>
              <w:jc w:val="both"/>
              <w:rPr>
                <w:noProof/>
                <w:sz w:val="20"/>
              </w:rPr>
            </w:pPr>
            <w:r w:rsidRPr="002D5684">
              <w:rPr>
                <w:sz w:val="20"/>
              </w:rPr>
              <w:t>120</w:t>
            </w:r>
          </w:p>
        </w:tc>
        <w:tc>
          <w:tcPr>
            <w:tcW w:w="1033" w:type="pct"/>
            <w:tcBorders>
              <w:top w:val="nil"/>
              <w:left w:val="nil"/>
              <w:bottom w:val="single" w:sz="12" w:space="0" w:color="000000"/>
              <w:right w:val="nil"/>
            </w:tcBorders>
          </w:tcPr>
          <w:p w14:paraId="766F221A" w14:textId="77777777" w:rsidR="008E3F72" w:rsidRPr="002D5684" w:rsidRDefault="008E3F72" w:rsidP="0010018A">
            <w:pPr>
              <w:pStyle w:val="TableParagraph"/>
              <w:widowControl/>
              <w:kinsoku w:val="0"/>
              <w:overflowPunct w:val="0"/>
              <w:jc w:val="both"/>
              <w:rPr>
                <w:noProof/>
                <w:sz w:val="20"/>
              </w:rPr>
            </w:pPr>
            <w:r w:rsidRPr="002D5684">
              <w:rPr>
                <w:sz w:val="20"/>
              </w:rPr>
              <w:t>0,05</w:t>
            </w:r>
          </w:p>
        </w:tc>
      </w:tr>
    </w:tbl>
    <w:p w14:paraId="5888E1B9" w14:textId="77777777" w:rsidR="008E3F72" w:rsidRPr="00F35F4D" w:rsidRDefault="008E3F72" w:rsidP="008E3F72">
      <w:pPr>
        <w:pStyle w:val="BodyText"/>
        <w:widowControl/>
        <w:kinsoku w:val="0"/>
        <w:overflowPunct w:val="0"/>
        <w:spacing w:before="0"/>
        <w:ind w:left="0"/>
        <w:jc w:val="both"/>
        <w:rPr>
          <w:b/>
          <w:bCs/>
          <w:noProof/>
          <w:sz w:val="24"/>
          <w:szCs w:val="24"/>
        </w:rPr>
      </w:pPr>
    </w:p>
    <w:p w14:paraId="7335DFDC" w14:textId="41320B1F" w:rsidR="008E3F72" w:rsidRPr="002D5684" w:rsidRDefault="008E3F72" w:rsidP="00943494">
      <w:pPr>
        <w:pStyle w:val="BodyText"/>
        <w:widowControl/>
        <w:numPr>
          <w:ilvl w:val="0"/>
          <w:numId w:val="2"/>
        </w:numPr>
        <w:tabs>
          <w:tab w:val="left" w:pos="859"/>
        </w:tabs>
        <w:kinsoku w:val="0"/>
        <w:overflowPunct w:val="0"/>
        <w:spacing w:before="0"/>
        <w:ind w:left="0" w:firstLine="0"/>
        <w:jc w:val="both"/>
        <w:rPr>
          <w:noProof/>
          <w:sz w:val="24"/>
          <w:szCs w:val="24"/>
        </w:rPr>
      </w:pPr>
      <w:r w:rsidRPr="002D5684">
        <w:rPr>
          <w:noProof/>
          <w:sz w:val="24"/>
        </w:rPr>
        <w:t xml:space="preserve">Daudzās pasaules valstīs liellopus audzē sistēmās, kas pamatojas uz zemes izmantošanu. Šādās sistēmās ar olbaltumvielām bagātā zāle un zāles produkti veido lielu daļu no uzņemtās barības, un AII.2. tabulā atzīmētās vēlamās KP vērtības var nebūt viegli sasniedzamas, ņemot vērā to, ka apsaimniekotajās zāles platībās ir daudz KP. Ganīšanās laikā </w:t>
      </w:r>
      <w:r w:rsidR="000B74DF">
        <w:rPr>
          <w:noProof/>
          <w:sz w:val="24"/>
        </w:rPr>
        <w:t xml:space="preserve">svaiga zāle (2000–2500 kg/ha </w:t>
      </w:r>
      <w:r w:rsidR="000B74DF" w:rsidRPr="000B74DF">
        <w:rPr>
          <w:i/>
          <w:noProof/>
          <w:sz w:val="24"/>
        </w:rPr>
        <w:t>DM</w:t>
      </w:r>
      <w:r w:rsidRPr="002D5684">
        <w:rPr>
          <w:noProof/>
          <w:sz w:val="24"/>
        </w:rPr>
        <w:t xml:space="preserve">) bieži satur 180–200 g/kg KP; zāles skābbarībā bieži ir no 160 līdz 180 g/kg KP un sienā – no 120 līdz 150 g/kg KP </w:t>
      </w:r>
      <w:r w:rsidRPr="002D5684">
        <w:rPr>
          <w:noProof/>
          <w:sz w:val="24"/>
        </w:rPr>
        <w:lastRenderedPageBreak/>
        <w:t xml:space="preserve">(piemēram, </w:t>
      </w:r>
      <w:r w:rsidRPr="002D5684">
        <w:rPr>
          <w:i/>
          <w:noProof/>
          <w:sz w:val="24"/>
        </w:rPr>
        <w:t>Whitehead</w:t>
      </w:r>
      <w:r w:rsidRPr="002D5684">
        <w:rPr>
          <w:noProof/>
          <w:sz w:val="24"/>
        </w:rPr>
        <w:t>, 2000). Turpretim kukurūzas skābbarībā KP daudzums ir tikai aptuveni 70–80 g/kg. Tāpēc barībā, kam pamatā ir zāle, olbaltumvielu nereti ir pārāk daudz, un tā rezultātā radītais ievērojamās N ekskrēcijas apjoms ir ļoti atkarīgs no zāles, zāles skābbarības un siena proporcijas barībā un olbaltumvielu satura attiecīgajos barības veidos. Vislielāko olbaltumvielu pārpalikumu un attiecīgo N ekskrēciju un NH3 zudumu izraisa zāle, ja to izmanto kā vienīgo vasaras barību un ganībās aug jauna, intensīvi mēslota zāle vai zāle un pākšaugi jauktā veidā. Tomēr ganībās esošo dzīvnieku urīns parasti iesūcas augsnē, pirms var notikt ievērojama NH3 emisija, un tāpēc ko</w:t>
      </w:r>
      <w:r w:rsidR="000B74DF">
        <w:rPr>
          <w:noProof/>
          <w:sz w:val="24"/>
        </w:rPr>
        <w:t>pējā NH3 emisija no viena ganībās esoša</w:t>
      </w:r>
      <w:r w:rsidRPr="002D5684">
        <w:rPr>
          <w:noProof/>
          <w:sz w:val="24"/>
        </w:rPr>
        <w:t xml:space="preserve"> lauksaimniecības dzīvnieka ir mazāka nekā no dzīvniekiem, ko t</w:t>
      </w:r>
      <w:r w:rsidR="000B74DF">
        <w:rPr>
          <w:noProof/>
          <w:sz w:val="24"/>
        </w:rPr>
        <w:t>ur novietnēs, kurās kūtsmēslus</w:t>
      </w:r>
      <w:r w:rsidRPr="002D5684">
        <w:rPr>
          <w:noProof/>
          <w:sz w:val="24"/>
        </w:rPr>
        <w:t xml:space="preserve"> vāc, uzkrāj un izmanto zemes mēslošanai.</w:t>
      </w:r>
    </w:p>
    <w:p w14:paraId="748D9CF7" w14:textId="77777777" w:rsidR="002D5684" w:rsidRPr="002D5684" w:rsidRDefault="002D5684" w:rsidP="002D5684">
      <w:pPr>
        <w:pStyle w:val="BodyText"/>
        <w:widowControl/>
        <w:tabs>
          <w:tab w:val="left" w:pos="859"/>
        </w:tabs>
        <w:kinsoku w:val="0"/>
        <w:overflowPunct w:val="0"/>
        <w:spacing w:before="0"/>
        <w:ind w:left="0"/>
        <w:jc w:val="both"/>
        <w:rPr>
          <w:noProof/>
          <w:sz w:val="24"/>
          <w:szCs w:val="24"/>
        </w:rPr>
      </w:pPr>
    </w:p>
    <w:p w14:paraId="74D9ED42" w14:textId="7798558D" w:rsidR="008E3F72" w:rsidRPr="002D5684"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NH3 emisijas samazinājums, kas tiek sasniegts, pagarinot ganībās pavadīto laiku, ir atkarīgs no bāzes, kuru izmanto salīdzināšanai (emisija no dzīvniekiem, kas nav laisti ganības), laika, ko dzīvnieki pavada ganoties, un N mēslojuma pļavās. Ganīšanas īpatsvara palielināšanas iespējas bieži ierobežo augsnes veids, vides reljefs, saimniecības lielums un struktūra (attālumi), klimatiskie apstākļi utt. Jāievēro, ka ganīšana var palielināt citus N emisijas veidus (piemēram, NO2 un NO3 emisiju). Tomēr, ņemot vērā skaidri zināmo un labi izskaitļoto ietekmi uz NH3 emisiju, tā laikposma palielināšanu, kuru dzīvnieki pavada ganībās, var uzskatīt par 1. kategorijai atbilstošu emisijas samazināšanas stratēģiju. Faktiskais emisijas samazināšanas potenciāls ir atkarīgs no bāzes situācijas attiecīgajā lopkopības nozarē un attiecīgajā valstī. Par ietekmi, ko var radīt, mainot laiku, ko dzīvnieki pavada novietnēs (piemēram, ja viņi ir ganībās tikai dienas stundās), skaidrības ir mazāk, un to vērtē kā 2. kategorijas stratēģiju. Aizstājot pastāvīgu turēšanu kūtī ar daļēju atrašanos ganībās tikai kādu dienas daļu, NH3 emisija tiek samazināta mazāk efektīvi, nekā pārejot uz pastāvīgu (24 stundu) ganīšanu, jo ēkas un krātuves kā iepriekš tiek piemēslotas un no tām turpina izdal</w:t>
      </w:r>
      <w:r w:rsidR="000B74DF">
        <w:rPr>
          <w:noProof/>
          <w:sz w:val="24"/>
        </w:rPr>
        <w:t>īties NH3. Uzskata, ka ganību apsaimniekošana</w:t>
      </w:r>
      <w:r w:rsidRPr="00F35F4D">
        <w:rPr>
          <w:noProof/>
          <w:sz w:val="24"/>
        </w:rPr>
        <w:t xml:space="preserve"> (ganīšana aplokā, ganīšana pēc rotācijas principa, pastāvīga ganīšana) pati par sevi maz ietekmē NH3 zudumus, un tā varētu būt 3. kategorijas stratēģija.</w:t>
      </w:r>
    </w:p>
    <w:p w14:paraId="77CBA271" w14:textId="77777777" w:rsidR="002D5684" w:rsidRPr="00F35F4D" w:rsidRDefault="002D5684" w:rsidP="002D5684">
      <w:pPr>
        <w:pStyle w:val="BodyText"/>
        <w:widowControl/>
        <w:tabs>
          <w:tab w:val="left" w:pos="859"/>
        </w:tabs>
        <w:kinsoku w:val="0"/>
        <w:overflowPunct w:val="0"/>
        <w:spacing w:before="0"/>
        <w:ind w:left="0"/>
        <w:jc w:val="both"/>
        <w:rPr>
          <w:noProof/>
          <w:sz w:val="24"/>
          <w:szCs w:val="24"/>
        </w:rPr>
      </w:pPr>
    </w:p>
    <w:p w14:paraId="6770045F" w14:textId="5BE16A57" w:rsidR="008E3F72" w:rsidRPr="002D5684"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Kopumā enerģētiskās vērtības/olbaltumvielu attiecī</w:t>
      </w:r>
      <w:r w:rsidR="000B74DF">
        <w:rPr>
          <w:noProof/>
          <w:sz w:val="24"/>
        </w:rPr>
        <w:t>bas uzlabošana barībā, izēdinot</w:t>
      </w:r>
      <w:r w:rsidRPr="00F35F4D">
        <w:rPr>
          <w:noProof/>
          <w:sz w:val="24"/>
        </w:rPr>
        <w:t xml:space="preserve"> vecāku zāli (ar lielāku zālāja virsmas augstumu)</w:t>
      </w:r>
      <w:r w:rsidR="000B74DF">
        <w:rPr>
          <w:noProof/>
          <w:sz w:val="24"/>
        </w:rPr>
        <w:t xml:space="preserve"> un/vai papildus zālei izēdinot</w:t>
      </w:r>
      <w:r w:rsidRPr="00F35F4D">
        <w:rPr>
          <w:noProof/>
          <w:sz w:val="24"/>
        </w:rPr>
        <w:t xml:space="preserve"> barību ar augstu enerģētisko vērtību (piemēram, kukurūzas skābbarību), ir 1. kategorijas stratēģija</w:t>
      </w:r>
      <w:r w:rsidR="000B74DF">
        <w:rPr>
          <w:noProof/>
          <w:sz w:val="24"/>
        </w:rPr>
        <w:t>. Tomēr tādās atgremotāj</w:t>
      </w:r>
      <w:r w:rsidRPr="00F35F4D">
        <w:rPr>
          <w:noProof/>
          <w:sz w:val="24"/>
        </w:rPr>
        <w:t>u lopkopības sistēmās, kas pamatojas uz zāles platību izmantošanu, šādu iespēju izmantošana var būt ierobežota, jo vec</w:t>
      </w:r>
      <w:r w:rsidR="000B74DF">
        <w:rPr>
          <w:noProof/>
          <w:sz w:val="24"/>
        </w:rPr>
        <w:t>āka zāle var samazināt ēdināšanas</w:t>
      </w:r>
      <w:r w:rsidRPr="00F35F4D">
        <w:rPr>
          <w:noProof/>
          <w:sz w:val="24"/>
        </w:rPr>
        <w:t xml:space="preserve"> kvalitāti, īpaši ja ir slikti nosacījumi ar kalorijām bagātas lopbarības audzēšanai un tā jāiepērk. Tāpēc vairs nevar garantēt, ka visa izaudzētā zāle tiks pilnībā izmantota (ierobežotas ražošanas apstākļos, piemēram, saistībā ar piena kvotām vai dzīvnieku blīvuma ierobežojumiem). Tāpēc saimniecībām, kur galvenokārt izmanto zāles platības un nav iespējas audzēt lopbarību ar augstu enerģētisko vērtību, enerģētiskās vērtības/olbaltumvielu attiecības uzlabošanu uzskata par 2. kategorijas stratēģiju.</w:t>
      </w:r>
    </w:p>
    <w:p w14:paraId="5A23CCD9" w14:textId="77777777" w:rsidR="002D5684" w:rsidRPr="00F35F4D" w:rsidRDefault="002D5684" w:rsidP="002D5684">
      <w:pPr>
        <w:pStyle w:val="BodyText"/>
        <w:widowControl/>
        <w:tabs>
          <w:tab w:val="left" w:pos="859"/>
        </w:tabs>
        <w:kinsoku w:val="0"/>
        <w:overflowPunct w:val="0"/>
        <w:spacing w:before="0"/>
        <w:ind w:left="0"/>
        <w:jc w:val="both"/>
        <w:rPr>
          <w:noProof/>
          <w:sz w:val="24"/>
          <w:szCs w:val="24"/>
        </w:rPr>
      </w:pPr>
    </w:p>
    <w:p w14:paraId="4F64930B" w14:textId="71B97CAB" w:rsidR="008E3F72" w:rsidRPr="00F35F4D"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 xml:space="preserve">Ieteicams izmantot modernas olbaltumvielu vērtēšanas sistēmas (piemēram, </w:t>
      </w:r>
      <w:r w:rsidRPr="00F35F4D">
        <w:rPr>
          <w:i/>
          <w:noProof/>
          <w:sz w:val="24"/>
        </w:rPr>
        <w:t>PDI</w:t>
      </w:r>
      <w:r w:rsidRPr="00F35F4D">
        <w:rPr>
          <w:noProof/>
          <w:sz w:val="24"/>
        </w:rPr>
        <w:t xml:space="preserve"> Francijā, </w:t>
      </w:r>
      <w:r w:rsidRPr="00F35F4D">
        <w:rPr>
          <w:i/>
          <w:noProof/>
          <w:sz w:val="24"/>
        </w:rPr>
        <w:t>MP</w:t>
      </w:r>
      <w:r w:rsidRPr="00F35F4D">
        <w:rPr>
          <w:noProof/>
          <w:sz w:val="24"/>
        </w:rPr>
        <w:t xml:space="preserve"> Apvienotajā Karalistē, </w:t>
      </w:r>
      <w:r w:rsidRPr="00F35F4D">
        <w:rPr>
          <w:i/>
          <w:noProof/>
          <w:sz w:val="24"/>
        </w:rPr>
        <w:t>DVE/OEB</w:t>
      </w:r>
      <w:r w:rsidRPr="00F35F4D">
        <w:rPr>
          <w:noProof/>
          <w:sz w:val="24"/>
        </w:rPr>
        <w:t xml:space="preserve"> Nīderlandē un </w:t>
      </w:r>
      <w:r w:rsidRPr="00F35F4D">
        <w:rPr>
          <w:i/>
          <w:noProof/>
          <w:sz w:val="24"/>
        </w:rPr>
        <w:t>AAT/PBV</w:t>
      </w:r>
      <w:r w:rsidRPr="00F35F4D">
        <w:rPr>
          <w:noProof/>
          <w:sz w:val="24"/>
        </w:rPr>
        <w:t xml:space="preserve"> Skandināvijas valstīs)</w:t>
      </w:r>
      <w:r w:rsidR="002D5684">
        <w:rPr>
          <w:rStyle w:val="FootnoteReference"/>
          <w:noProof/>
          <w:sz w:val="24"/>
        </w:rPr>
        <w:footnoteReference w:id="14"/>
      </w:r>
      <w:r w:rsidRPr="00F35F4D">
        <w:rPr>
          <w:noProof/>
          <w:sz w:val="24"/>
        </w:rPr>
        <w:t xml:space="preserve">(piemēram, </w:t>
      </w:r>
      <w:r w:rsidRPr="00F35F4D">
        <w:rPr>
          <w:i/>
          <w:noProof/>
          <w:sz w:val="24"/>
        </w:rPr>
        <w:t>Van Duinkerken et al.</w:t>
      </w:r>
      <w:r w:rsidRPr="00F35F4D">
        <w:rPr>
          <w:noProof/>
          <w:sz w:val="24"/>
        </w:rPr>
        <w:t xml:space="preserve">, 2011a). Piena </w:t>
      </w:r>
      <w:r w:rsidR="000B74DF">
        <w:rPr>
          <w:noProof/>
          <w:sz w:val="24"/>
        </w:rPr>
        <w:t>liel</w:t>
      </w:r>
      <w:r w:rsidRPr="00F35F4D">
        <w:rPr>
          <w:noProof/>
          <w:sz w:val="24"/>
        </w:rPr>
        <w:t xml:space="preserve">lopiem </w:t>
      </w:r>
      <w:r w:rsidRPr="00F35F4D">
        <w:rPr>
          <w:noProof/>
          <w:sz w:val="24"/>
        </w:rPr>
        <w:lastRenderedPageBreak/>
        <w:t>spureklī nesagremojamas kritiskās olbaltumvielas, piemēram, aminoskābes, tostarp lizīns un metionīns, var palīdzēt labāk līdzsvarot tievajā zarnā sagremoto olbaltumvielu aminoskābju saturu. Tā kā šīs metodes veiksmīgai ieviešanai ir vajadzīga sīka papildu informācija par to, kas notiek ar barību gremošanas traktā, to uzskata par 2. kategorijas stratēģiju.</w:t>
      </w:r>
    </w:p>
    <w:p w14:paraId="4E350EFA" w14:textId="77777777" w:rsidR="008E3F72" w:rsidRPr="00F35F4D" w:rsidRDefault="008E3F72" w:rsidP="008E3F72">
      <w:pPr>
        <w:pStyle w:val="BodyText"/>
        <w:widowControl/>
        <w:tabs>
          <w:tab w:val="left" w:pos="859"/>
        </w:tabs>
        <w:kinsoku w:val="0"/>
        <w:overflowPunct w:val="0"/>
        <w:spacing w:before="0"/>
        <w:ind w:left="0"/>
        <w:jc w:val="both"/>
        <w:rPr>
          <w:noProof/>
          <w:sz w:val="24"/>
          <w:szCs w:val="24"/>
        </w:rPr>
      </w:pPr>
    </w:p>
    <w:p w14:paraId="648C7378" w14:textId="77777777"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Slāpekļa ekskrēcijas palielināšana fekālijās, kur tas izdalās ar olbaltumvielām, un samazināšana urīnā, kur tas izdalās ar urīnvielu, arī ir efektīvs pasākums NH3 zudumu samazināšanai. Pārtikas devai jābūt izveidotai tā, lai tiktu stimulēta fermentācija arī zarnu trakta apakšdaļā, netraucējot fermentāciju spureklī. Tas palielinās slāpekļa ekskrēciju ar fekālijām, un samazinās tā ekskrēciju ar urīnu. Fermentāciju zarnu trakta apakšdaļā var stimulēt, iekļaujot barībā cieti, kas nesadalās spureklī, vai šķiedrvielas, kas spēj fermentēties, bet uz kurām spurekļa mikroflora neiedarbojas (</w:t>
      </w:r>
      <w:r w:rsidRPr="00F35F4D">
        <w:rPr>
          <w:i/>
          <w:noProof/>
          <w:sz w:val="24"/>
        </w:rPr>
        <w:t>Van Vuuren et al.</w:t>
      </w:r>
      <w:r w:rsidRPr="00F35F4D">
        <w:rPr>
          <w:noProof/>
          <w:sz w:val="24"/>
        </w:rPr>
        <w:t>, 1993). Tā kā zarnu trakta apakšdaļā ir vairāk skābi radošo baktēriju, risks, ka palielināsies CH4 zudumi, nav liels. Vēl nav pietiekamu zināšanu par to, kuri faktori ietekmē slāpekļa ekskrēcijas samazināšanos ar urīnā esošo urīnvielu un palielināšanos ar fekālijās esošajām olbaltumvielām, un šo pieeju tāpēc uzskata par 3. kategorijas stratēģiju.</w:t>
      </w:r>
    </w:p>
    <w:p w14:paraId="17711E42"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7B36BCF3" w14:textId="77777777"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Svaigi izdalīta urīna pH līmenis ir no 5,5 līdz 8,5 un ir galvenokārt atkarīgs no elektrolītu satura barības devā. Kaut arī neatkarīgi no sākotnējām vērtībām pH līmenis urīnvielas hidrolīzes rezultāta kļūst sārmains, tieši sākotnējais pH līmenis un urīna pH buferspēja nosaka NH3 iztvaikošanas ātrumu no urīna tūlīt pēc urīna izdalīšanas. Teorētiski ir iespējams pazemināt urīna pH līmeni atgremotājdzīvniekiem. Tomēr jāievēro mijiedarbība ar urīna tilpumu, atgremotājdzīvnieku produktivitāti un dzīvnieku labturības jautājumiem, un tāpēc to uzskata par 3. kategorijas paņēmienu. Līdzīgā veidā var pazemināt pH līmeni fekālijās, bet tas varētu līdztekus radīt traucējumus fermentācijā, kas notiek spureklī, un tāpēc nav ieteicams. Blaknes, kas potenciāli varētu rasties šai gadījumā, liek uzskatīt to par 3. kategorijas paņēmienu. Fekāliju saturu var izmantot spureklī notiekošās fermentācijas monitoringam.</w:t>
      </w:r>
    </w:p>
    <w:p w14:paraId="1BA4E671"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7DFBA7DD" w14:textId="77777777"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 xml:space="preserve">Olbaltumvielu statusa monitoringam var izmantot spureklī noārdīties spējīgo olbaltumvielu (aplēsto) bilanci (piemēram, Skandināvijas valstīs izmantoto </w:t>
      </w:r>
      <w:r w:rsidRPr="00F35F4D">
        <w:rPr>
          <w:i/>
          <w:noProof/>
          <w:sz w:val="24"/>
        </w:rPr>
        <w:t>PBV</w:t>
      </w:r>
      <w:r w:rsidRPr="00F35F4D">
        <w:rPr>
          <w:noProof/>
          <w:sz w:val="24"/>
        </w:rPr>
        <w:t xml:space="preserve">, Nīderlandē izmantoto </w:t>
      </w:r>
      <w:r w:rsidRPr="00F35F4D">
        <w:rPr>
          <w:i/>
          <w:noProof/>
          <w:sz w:val="24"/>
        </w:rPr>
        <w:t>OEB</w:t>
      </w:r>
      <w:r w:rsidRPr="00F35F4D">
        <w:rPr>
          <w:noProof/>
          <w:sz w:val="24"/>
        </w:rPr>
        <w:t xml:space="preserve">) un/vai urīnvielas slāpekļa aplēsto daudzumu pienā (PUN) (piemēram, </w:t>
      </w:r>
      <w:r w:rsidRPr="00F35F4D">
        <w:rPr>
          <w:i/>
          <w:noProof/>
          <w:sz w:val="24"/>
        </w:rPr>
        <w:t>Van Duinkerken et al.</w:t>
      </w:r>
      <w:r w:rsidRPr="00F35F4D">
        <w:rPr>
          <w:noProof/>
          <w:sz w:val="24"/>
        </w:rPr>
        <w:t>, 2011b). Ieteicams, lai PUN nepārsniegtu 10 miligramus dekalitrā (mg/dl) (piena urīnvielas daudzums mazāks par 22 mg/dl). Tomēr zināšanas par faktoriem, no kuriem atkarīgas PUN svārstības, vēl ir nepietiekamas, un šo pieeju tāpēc uzskata par 2. kategorijas stratēģiju.</w:t>
      </w:r>
    </w:p>
    <w:p w14:paraId="698A81F1"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3A63D793" w14:textId="596C65C2" w:rsidR="008E3F72" w:rsidRPr="006C5661" w:rsidRDefault="000B74DF" w:rsidP="008E3F72">
      <w:pPr>
        <w:pStyle w:val="BodyText"/>
        <w:widowControl/>
        <w:numPr>
          <w:ilvl w:val="0"/>
          <w:numId w:val="2"/>
        </w:numPr>
        <w:tabs>
          <w:tab w:val="left" w:pos="859"/>
        </w:tabs>
        <w:kinsoku w:val="0"/>
        <w:overflowPunct w:val="0"/>
        <w:spacing w:before="0"/>
        <w:ind w:left="0" w:firstLine="0"/>
        <w:jc w:val="both"/>
        <w:rPr>
          <w:noProof/>
          <w:sz w:val="24"/>
          <w:szCs w:val="24"/>
        </w:rPr>
      </w:pPr>
      <w:r>
        <w:rPr>
          <w:noProof/>
          <w:sz w:val="24"/>
        </w:rPr>
        <w:t>Ir arī ganāmpulka apsaimniekošanas</w:t>
      </w:r>
      <w:r w:rsidR="008E3F72" w:rsidRPr="00F35F4D">
        <w:rPr>
          <w:noProof/>
          <w:sz w:val="24"/>
        </w:rPr>
        <w:t xml:space="preserve"> varianti, kas samazina NH3 emisiju. Pirmkārt, var palielināt liellopu ģenētisko potenciālu (vairāk piena no govs). Tas paaugstinās NIE ganāmpulka līmenī, jo fizioloģisko funkciju uzturēšanai izlietotā enerģijas daļa samazināsies. Piena govju un aizstājējdzīvnieku skaits tad samazināsies, saglabājot nemainīgu kopējo valstī saražotā piena daudzumu. Otrkārt, var palielināt laktāciju skaitu uz govi. Tas samazinās aizstājējdzīvnieku skaitu. Treškārt, jāoptimizē aizstājējdzīvnieku skaits uz piena govi. Visas trīs metodes var īstenot tikai ilgākā laika posmā, tomēr tās ir 1. kategorijas paņēmieni kopējās NH3 emisijas samazināšanai. Šīs stratēģijas var pozitīvi ietekmēt dzīvnieku labturību un visticamāk samazina metāna (CH4) emisiju no zarnās notiekošā fermentācijas procesa, jo īpaši, ja to izsaka kā emisiju uz saražotā piena vienību (</w:t>
      </w:r>
      <w:r w:rsidR="008E3F72" w:rsidRPr="00F35F4D">
        <w:rPr>
          <w:i/>
          <w:noProof/>
          <w:sz w:val="24"/>
        </w:rPr>
        <w:t>Tamminga,</w:t>
      </w:r>
      <w:r w:rsidR="008E3F72" w:rsidRPr="00F35F4D">
        <w:rPr>
          <w:noProof/>
          <w:sz w:val="24"/>
        </w:rPr>
        <w:t xml:space="preserve"> 1996; </w:t>
      </w:r>
      <w:r w:rsidR="008E3F72" w:rsidRPr="00F35F4D">
        <w:rPr>
          <w:i/>
          <w:noProof/>
          <w:sz w:val="24"/>
        </w:rPr>
        <w:t>Kebreab et al</w:t>
      </w:r>
      <w:r w:rsidR="008E3F72" w:rsidRPr="00F35F4D">
        <w:rPr>
          <w:noProof/>
          <w:sz w:val="24"/>
        </w:rPr>
        <w:t xml:space="preserve">., 2001; </w:t>
      </w:r>
      <w:r w:rsidR="008E3F72" w:rsidRPr="00F35F4D">
        <w:rPr>
          <w:i/>
          <w:noProof/>
          <w:sz w:val="24"/>
        </w:rPr>
        <w:t>Powell, Rotz, Weaver</w:t>
      </w:r>
      <w:r w:rsidR="008E3F72" w:rsidRPr="00F35F4D">
        <w:rPr>
          <w:noProof/>
          <w:sz w:val="24"/>
        </w:rPr>
        <w:t>, 2009).</w:t>
      </w:r>
    </w:p>
    <w:p w14:paraId="22DE8036"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2351F9D9" w14:textId="7247FA5A" w:rsidR="008E3F72" w:rsidRPr="006C5661" w:rsidRDefault="000B74DF" w:rsidP="008E3F72">
      <w:pPr>
        <w:pStyle w:val="BodyText"/>
        <w:widowControl/>
        <w:numPr>
          <w:ilvl w:val="0"/>
          <w:numId w:val="2"/>
        </w:numPr>
        <w:tabs>
          <w:tab w:val="left" w:pos="859"/>
        </w:tabs>
        <w:kinsoku w:val="0"/>
        <w:overflowPunct w:val="0"/>
        <w:spacing w:before="0"/>
        <w:ind w:left="0" w:firstLine="0"/>
        <w:jc w:val="both"/>
        <w:rPr>
          <w:noProof/>
          <w:sz w:val="24"/>
          <w:szCs w:val="24"/>
        </w:rPr>
      </w:pPr>
      <w:r>
        <w:rPr>
          <w:noProof/>
          <w:sz w:val="24"/>
        </w:rPr>
        <w:t>Atgremotāj</w:t>
      </w:r>
      <w:r w:rsidR="008E3F72" w:rsidRPr="00F35F4D">
        <w:rPr>
          <w:noProof/>
          <w:sz w:val="24"/>
        </w:rPr>
        <w:t>u turēšana aplokos uz augkopības zemes rotācijas secībā var samazināt NH3 emisiju un palielināt no kūtsmēsliem atgūtā N daudzumu salīdzinājumā ar parasto praksi vākt kūtsmēslus kūtī un pēc tam tos izmantot mēslošanai (</w:t>
      </w:r>
      <w:r w:rsidR="008E3F72" w:rsidRPr="00F35F4D">
        <w:rPr>
          <w:i/>
          <w:noProof/>
          <w:sz w:val="24"/>
        </w:rPr>
        <w:t>Powell, Russelle,</w:t>
      </w:r>
      <w:r w:rsidR="008E3F72" w:rsidRPr="00F35F4D">
        <w:rPr>
          <w:noProof/>
          <w:sz w:val="24"/>
        </w:rPr>
        <w:t xml:space="preserve"> 2009). Kopējie rezultāti pierāda, ka piena </w:t>
      </w:r>
      <w:r>
        <w:rPr>
          <w:noProof/>
          <w:sz w:val="24"/>
        </w:rPr>
        <w:t>liel</w:t>
      </w:r>
      <w:r w:rsidR="008E3F72" w:rsidRPr="00F35F4D">
        <w:rPr>
          <w:noProof/>
          <w:sz w:val="24"/>
        </w:rPr>
        <w:t>lopu turēšana aplokos uz augkopības zemes uzlabo urīnā esošā N uztveršanu, samazina NH3 zudumus un uzlabo kūtsmēslu pārstrādi ar kultūraugu starpniecību. To uzskata par 2. kategorijas paņēmienu.</w:t>
      </w:r>
    </w:p>
    <w:p w14:paraId="30932B1F"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1AEAAC56" w14:textId="3AA9B52D" w:rsidR="008E3F72" w:rsidRPr="00F35F4D" w:rsidRDefault="000B74DF" w:rsidP="008E3F72">
      <w:pPr>
        <w:pStyle w:val="BodyText"/>
        <w:widowControl/>
        <w:numPr>
          <w:ilvl w:val="0"/>
          <w:numId w:val="2"/>
        </w:numPr>
        <w:tabs>
          <w:tab w:val="left" w:pos="859"/>
        </w:tabs>
        <w:kinsoku w:val="0"/>
        <w:overflowPunct w:val="0"/>
        <w:spacing w:before="0"/>
        <w:ind w:left="0" w:firstLine="0"/>
        <w:jc w:val="both"/>
        <w:rPr>
          <w:noProof/>
          <w:sz w:val="24"/>
          <w:szCs w:val="24"/>
        </w:rPr>
      </w:pPr>
      <w:r>
        <w:rPr>
          <w:noProof/>
          <w:sz w:val="24"/>
        </w:rPr>
        <w:t>Ir vairākas ēdināšanas</w:t>
      </w:r>
      <w:r w:rsidR="008E3F72" w:rsidRPr="00F35F4D">
        <w:rPr>
          <w:noProof/>
          <w:sz w:val="24"/>
        </w:rPr>
        <w:t xml:space="preserve"> stratēģijas, kas var samazināt N izdalīšanos ar urīnu no piena </w:t>
      </w:r>
      <w:r>
        <w:rPr>
          <w:noProof/>
          <w:sz w:val="24"/>
        </w:rPr>
        <w:t>liel</w:t>
      </w:r>
      <w:r w:rsidR="008E3F72" w:rsidRPr="00F35F4D">
        <w:rPr>
          <w:noProof/>
          <w:sz w:val="24"/>
        </w:rPr>
        <w:t>lopiem, kuri tiek turēti novietnēs. Cieši pielāgojot barības devas dzīvnieku vajad</w:t>
      </w:r>
      <w:r>
        <w:rPr>
          <w:noProof/>
          <w:sz w:val="24"/>
        </w:rPr>
        <w:t>zībām pēc uzturvielām, izēdinot</w:t>
      </w:r>
      <w:r w:rsidR="008E3F72" w:rsidRPr="00F35F4D">
        <w:rPr>
          <w:noProof/>
          <w:sz w:val="24"/>
        </w:rPr>
        <w:t xml:space="preserve"> tikai tādu olbaltumvielu daudzumu, kas atbilst dzīvnieku vajadzībām pēc vielmaiņā pārstrādājamām olbaltumvielām, samazinot daļiņu izmēru, lai graudos esošā ciete tiktu labāk pārstrādāta spureklī, un palielinot mikrobiālo olbaltumvielu veidošanos (ja vien netiek samazināts pH līmenis spureklī), tiek optimizēta mikrobiālo olbaltumvielu sintēze, barībā esošais N tiek maksimāli pārvērsts pienā, un N izdalīšanās ar urīnu – pēc iespējas samazināta. Tos uzskata par 2. kategorijas paņēmieniem.</w:t>
      </w:r>
    </w:p>
    <w:p w14:paraId="37E2230E" w14:textId="77777777" w:rsidR="008E3F72" w:rsidRPr="00F35F4D" w:rsidRDefault="008E3F72" w:rsidP="008E3F72">
      <w:pPr>
        <w:pStyle w:val="BodyText"/>
        <w:widowControl/>
        <w:kinsoku w:val="0"/>
        <w:overflowPunct w:val="0"/>
        <w:spacing w:before="0"/>
        <w:ind w:left="0"/>
        <w:jc w:val="both"/>
        <w:rPr>
          <w:noProof/>
          <w:sz w:val="24"/>
          <w:szCs w:val="24"/>
        </w:rPr>
      </w:pPr>
    </w:p>
    <w:p w14:paraId="45564D8C" w14:textId="6B9FC89E" w:rsidR="006C5661" w:rsidRPr="006C5661" w:rsidRDefault="006C5661" w:rsidP="006C5661">
      <w:pPr>
        <w:pStyle w:val="Heading3"/>
        <w:widowControl/>
        <w:tabs>
          <w:tab w:val="left" w:pos="859"/>
        </w:tabs>
        <w:kinsoku w:val="0"/>
        <w:overflowPunct w:val="0"/>
        <w:ind w:left="0" w:firstLine="0"/>
        <w:jc w:val="both"/>
        <w:rPr>
          <w:rFonts w:ascii="Times New Roman" w:hAnsi="Times New Roman" w:cs="Times New Roman"/>
          <w:noProof/>
          <w:color w:val="0D0D0D"/>
        </w:rPr>
      </w:pPr>
      <w:bookmarkStart w:id="30" w:name="_Toc426033282"/>
      <w:r w:rsidRPr="006C5661">
        <w:rPr>
          <w:rFonts w:ascii="Times New Roman" w:hAnsi="Times New Roman" w:cs="Times New Roman"/>
          <w:noProof/>
          <w:color w:val="0D0D0D"/>
        </w:rPr>
        <w:t xml:space="preserve">C. </w:t>
      </w:r>
      <w:r w:rsidR="000B74DF">
        <w:rPr>
          <w:rFonts w:ascii="Times New Roman" w:hAnsi="Times New Roman" w:cs="Times New Roman"/>
          <w:noProof/>
          <w:color w:val="0D0D0D"/>
        </w:rPr>
        <w:t>Cūku ēdināšanas</w:t>
      </w:r>
      <w:r w:rsidR="008E3F72" w:rsidRPr="006C5661">
        <w:rPr>
          <w:rFonts w:ascii="Times New Roman" w:hAnsi="Times New Roman" w:cs="Times New Roman"/>
          <w:noProof/>
          <w:color w:val="0D0D0D"/>
        </w:rPr>
        <w:t xml:space="preserve"> stratēģijas</w:t>
      </w:r>
      <w:bookmarkEnd w:id="30"/>
    </w:p>
    <w:p w14:paraId="1E8A13FB" w14:textId="77777777" w:rsidR="006C5661" w:rsidRPr="006C5661" w:rsidRDefault="006C5661" w:rsidP="006C5661"/>
    <w:p w14:paraId="15654383" w14:textId="0AD98724" w:rsidR="008E3F72" w:rsidRPr="006C5661" w:rsidRDefault="000B74DF" w:rsidP="008E3F72">
      <w:pPr>
        <w:pStyle w:val="BodyText"/>
        <w:widowControl/>
        <w:numPr>
          <w:ilvl w:val="0"/>
          <w:numId w:val="2"/>
        </w:numPr>
        <w:tabs>
          <w:tab w:val="left" w:pos="859"/>
        </w:tabs>
        <w:kinsoku w:val="0"/>
        <w:overflowPunct w:val="0"/>
        <w:spacing w:before="0"/>
        <w:ind w:left="0" w:firstLine="0"/>
        <w:jc w:val="both"/>
        <w:rPr>
          <w:noProof/>
          <w:sz w:val="24"/>
          <w:szCs w:val="24"/>
        </w:rPr>
      </w:pPr>
      <w:r>
        <w:rPr>
          <w:noProof/>
          <w:sz w:val="24"/>
        </w:rPr>
        <w:t>Ēdināšanas</w:t>
      </w:r>
      <w:r w:rsidR="008E3F72" w:rsidRPr="00F35F4D">
        <w:rPr>
          <w:noProof/>
          <w:sz w:val="24"/>
        </w:rPr>
        <w:t xml:space="preserve"> pasā</w:t>
      </w:r>
      <w:r>
        <w:rPr>
          <w:noProof/>
          <w:sz w:val="24"/>
        </w:rPr>
        <w:t>kumi cūkkopībā iekļauj ēdināšanas</w:t>
      </w:r>
      <w:r w:rsidR="008E3F72" w:rsidRPr="00F35F4D">
        <w:rPr>
          <w:noProof/>
          <w:sz w:val="24"/>
        </w:rPr>
        <w:t xml:space="preserve"> pielāgoša</w:t>
      </w:r>
      <w:r>
        <w:rPr>
          <w:noProof/>
          <w:sz w:val="24"/>
        </w:rPr>
        <w:t>nu attīstības stadijai; ēdināšanu ar viegli sagremojamiem/pieejamiem barības elementiem</w:t>
      </w:r>
      <w:r w:rsidR="008E3F72" w:rsidRPr="00F35F4D">
        <w:rPr>
          <w:noProof/>
          <w:sz w:val="24"/>
        </w:rPr>
        <w:t>; ar aminoskābēm bagātinātu barību, kurā ir maz olbaltumvielu, un barības piedevu/papildvielu izmantošanu. Visus tos uzskata par 1. kategorijas paņēmieniem. Citi paņēmieni (piemēram, atšķirīga barība vīriešu (kuiļiem un kastrētiem tēviņiem) un sieviešu kārtas dzīvniekiem) pašlaik tiek pētīti, un tie varētu būt papildus pieejami nākotnē.</w:t>
      </w:r>
    </w:p>
    <w:p w14:paraId="322D417A"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68DBA578" w14:textId="7E2EAA8B" w:rsidR="008E3F72" w:rsidRPr="006C5661" w:rsidRDefault="000B74DF" w:rsidP="008E3F72">
      <w:pPr>
        <w:pStyle w:val="BodyText"/>
        <w:widowControl/>
        <w:numPr>
          <w:ilvl w:val="0"/>
          <w:numId w:val="2"/>
        </w:numPr>
        <w:tabs>
          <w:tab w:val="left" w:pos="859"/>
        </w:tabs>
        <w:kinsoku w:val="0"/>
        <w:overflowPunct w:val="0"/>
        <w:spacing w:before="0"/>
        <w:ind w:left="0" w:firstLine="0"/>
        <w:jc w:val="both"/>
        <w:rPr>
          <w:noProof/>
          <w:sz w:val="24"/>
          <w:szCs w:val="24"/>
        </w:rPr>
      </w:pPr>
      <w:r>
        <w:rPr>
          <w:noProof/>
          <w:sz w:val="24"/>
        </w:rPr>
        <w:t>Ēdināšana atkarībā no attīstības</w:t>
      </w:r>
      <w:r w:rsidR="008E3F72" w:rsidRPr="00F35F4D">
        <w:rPr>
          <w:noProof/>
          <w:sz w:val="24"/>
        </w:rPr>
        <w:t xml:space="preserve"> stadijām (dažāds barības saturs dažāda vecuma vai ražošanas grupas dzīvniekiem) ir rentabls veids, kā samazināt cūku ekskrementos esošā slāpekļa daudzumu, un to var īsteno</w:t>
      </w:r>
      <w:r>
        <w:rPr>
          <w:noProof/>
          <w:sz w:val="24"/>
        </w:rPr>
        <w:t>t īsā laika posmā. Ēdināšanai atkarībā no</w:t>
      </w:r>
      <w:r w:rsidR="008E3F72" w:rsidRPr="00F35F4D">
        <w:rPr>
          <w:noProof/>
          <w:sz w:val="24"/>
        </w:rPr>
        <w:t xml:space="preserve"> vairākām</w:t>
      </w:r>
      <w:r>
        <w:rPr>
          <w:noProof/>
          <w:sz w:val="24"/>
        </w:rPr>
        <w:t xml:space="preserve"> attīstības</w:t>
      </w:r>
      <w:r w:rsidR="008E3F72" w:rsidRPr="00F35F4D">
        <w:rPr>
          <w:noProof/>
          <w:sz w:val="24"/>
        </w:rPr>
        <w:t xml:space="preserve"> stadijām ir vajadzīgs datorizēts automatizēts aprīkojums.</w:t>
      </w:r>
    </w:p>
    <w:p w14:paraId="0D35AF21"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4D67E53A" w14:textId="77777777"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KP daudzumu cūku barībā var samazināt, ja optimizē aminoskābju daudzumu, pievienojot sintētiskās aminoskābes (piemēram, lizīnu, metionīnu, tereonīnu, triptofānu) vai īpašas barības sastāvdaļas, pamatojoties uz jaunāko informāciju par ideālo „olbaltumvielu saturu”, kam pievienotas barības piedevas.</w:t>
      </w:r>
    </w:p>
    <w:p w14:paraId="20E36477"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25D1CCD8" w14:textId="77777777" w:rsidR="008E3F72" w:rsidRPr="00F35F4D"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Atkarībā no cūku kategorijas ražošanā un attiecīgā sākuma punkta var panākt 2–3 % lielu KP samazinājumu barībā (20–30 g uz barības kilogramu). Attiecīgais KP satura diapazons barībā ir norādīts AII.3. tabulā. Tabulā norādītie skaitļi raksturo orientējošās mērķvērtības, un tās jāpielāgo vietējiem apstākļiem.</w:t>
      </w:r>
    </w:p>
    <w:p w14:paraId="7CAC4E16" w14:textId="77777777" w:rsidR="008E3F72" w:rsidRPr="00F35F4D" w:rsidRDefault="008E3F72" w:rsidP="008E3F72">
      <w:pPr>
        <w:pStyle w:val="BodyText"/>
        <w:widowControl/>
        <w:kinsoku w:val="0"/>
        <w:overflowPunct w:val="0"/>
        <w:spacing w:before="0"/>
        <w:ind w:left="0"/>
        <w:jc w:val="both"/>
        <w:rPr>
          <w:noProof/>
          <w:sz w:val="24"/>
          <w:szCs w:val="24"/>
        </w:rPr>
      </w:pPr>
    </w:p>
    <w:p w14:paraId="793C971A" w14:textId="77777777" w:rsidR="008E3F72" w:rsidRPr="00F35F4D" w:rsidRDefault="008E3F72" w:rsidP="006C5661">
      <w:pPr>
        <w:pStyle w:val="BodyText"/>
        <w:keepNext/>
        <w:widowControl/>
        <w:kinsoku w:val="0"/>
        <w:overflowPunct w:val="0"/>
        <w:spacing w:before="0"/>
        <w:ind w:left="0"/>
        <w:jc w:val="both"/>
        <w:rPr>
          <w:noProof/>
          <w:sz w:val="24"/>
          <w:szCs w:val="24"/>
        </w:rPr>
      </w:pPr>
      <w:r w:rsidRPr="00F35F4D">
        <w:rPr>
          <w:noProof/>
          <w:sz w:val="24"/>
        </w:rPr>
        <w:lastRenderedPageBreak/>
        <w:t>AII.3. tabula</w:t>
      </w:r>
    </w:p>
    <w:p w14:paraId="247DBD0E" w14:textId="77777777" w:rsidR="008E3F72" w:rsidRPr="00F35F4D" w:rsidRDefault="008E3F72" w:rsidP="006C5661">
      <w:pPr>
        <w:pStyle w:val="Heading9"/>
        <w:keepNext/>
        <w:widowControl/>
        <w:kinsoku w:val="0"/>
        <w:overflowPunct w:val="0"/>
        <w:spacing w:before="0"/>
        <w:ind w:left="0"/>
        <w:jc w:val="both"/>
        <w:rPr>
          <w:noProof/>
          <w:sz w:val="24"/>
          <w:szCs w:val="24"/>
        </w:rPr>
      </w:pPr>
      <w:r w:rsidRPr="00F35F4D">
        <w:rPr>
          <w:noProof/>
          <w:sz w:val="24"/>
        </w:rPr>
        <w:t>Orientējošās KP mērķvērtības cūku barības devā</w:t>
      </w:r>
    </w:p>
    <w:p w14:paraId="06CA7843" w14:textId="77777777" w:rsidR="008E3F72" w:rsidRPr="00F35F4D" w:rsidRDefault="008E3F72" w:rsidP="006C5661">
      <w:pPr>
        <w:pStyle w:val="BodyText"/>
        <w:keepN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2619"/>
        <w:gridCol w:w="3251"/>
        <w:gridCol w:w="2356"/>
      </w:tblGrid>
      <w:tr w:rsidR="008E3F72" w:rsidRPr="006C5661" w14:paraId="0989828C" w14:textId="77777777" w:rsidTr="0010018A">
        <w:tc>
          <w:tcPr>
            <w:tcW w:w="1592" w:type="pct"/>
            <w:tcBorders>
              <w:top w:val="single" w:sz="4" w:space="0" w:color="000000"/>
              <w:left w:val="nil"/>
              <w:bottom w:val="single" w:sz="12" w:space="0" w:color="000000"/>
              <w:right w:val="nil"/>
            </w:tcBorders>
          </w:tcPr>
          <w:p w14:paraId="20746255" w14:textId="77777777" w:rsidR="008E3F72" w:rsidRPr="006C5661" w:rsidRDefault="008E3F72" w:rsidP="006C5661">
            <w:pPr>
              <w:pStyle w:val="TableParagraph"/>
              <w:keepNext/>
              <w:widowControl/>
              <w:kinsoku w:val="0"/>
              <w:overflowPunct w:val="0"/>
              <w:jc w:val="both"/>
              <w:rPr>
                <w:i/>
                <w:iCs/>
                <w:noProof/>
                <w:sz w:val="20"/>
                <w:szCs w:val="20"/>
              </w:rPr>
            </w:pPr>
            <w:r w:rsidRPr="006C5661">
              <w:rPr>
                <w:i/>
                <w:noProof/>
                <w:sz w:val="20"/>
                <w:szCs w:val="20"/>
              </w:rPr>
              <w:t>Suga</w:t>
            </w:r>
          </w:p>
        </w:tc>
        <w:tc>
          <w:tcPr>
            <w:tcW w:w="1976" w:type="pct"/>
            <w:tcBorders>
              <w:top w:val="single" w:sz="4" w:space="0" w:color="000000"/>
              <w:left w:val="nil"/>
              <w:bottom w:val="single" w:sz="12" w:space="0" w:color="000000"/>
              <w:right w:val="nil"/>
            </w:tcBorders>
          </w:tcPr>
          <w:p w14:paraId="2BED0F00" w14:textId="77777777" w:rsidR="008E3F72" w:rsidRPr="006C5661" w:rsidRDefault="008E3F72" w:rsidP="006C5661">
            <w:pPr>
              <w:pStyle w:val="TableParagraph"/>
              <w:keepNext/>
              <w:widowControl/>
              <w:kinsoku w:val="0"/>
              <w:overflowPunct w:val="0"/>
              <w:jc w:val="both"/>
              <w:rPr>
                <w:i/>
                <w:iCs/>
                <w:noProof/>
                <w:sz w:val="20"/>
                <w:szCs w:val="20"/>
              </w:rPr>
            </w:pPr>
            <w:r w:rsidRPr="006C5661">
              <w:rPr>
                <w:i/>
                <w:noProof/>
                <w:sz w:val="20"/>
                <w:szCs w:val="20"/>
              </w:rPr>
              <w:t>Stadija</w:t>
            </w:r>
          </w:p>
        </w:tc>
        <w:tc>
          <w:tcPr>
            <w:tcW w:w="1432" w:type="pct"/>
            <w:tcBorders>
              <w:top w:val="single" w:sz="4" w:space="0" w:color="000000"/>
              <w:left w:val="nil"/>
              <w:bottom w:val="single" w:sz="12" w:space="0" w:color="000000"/>
              <w:right w:val="nil"/>
            </w:tcBorders>
          </w:tcPr>
          <w:p w14:paraId="40654EB6" w14:textId="77777777" w:rsidR="008E3F72" w:rsidRPr="006C5661" w:rsidRDefault="008E3F72" w:rsidP="006C5661">
            <w:pPr>
              <w:pStyle w:val="TableParagraph"/>
              <w:keepNext/>
              <w:widowControl/>
              <w:kinsoku w:val="0"/>
              <w:overflowPunct w:val="0"/>
              <w:jc w:val="both"/>
              <w:rPr>
                <w:noProof/>
                <w:sz w:val="20"/>
                <w:szCs w:val="20"/>
              </w:rPr>
            </w:pPr>
            <w:r w:rsidRPr="006C5661">
              <w:rPr>
                <w:i/>
                <w:sz w:val="20"/>
                <w:szCs w:val="20"/>
              </w:rPr>
              <w:t>KP saturs (%)</w:t>
            </w:r>
            <w:r w:rsidRPr="006C5661">
              <w:rPr>
                <w:sz w:val="20"/>
                <w:szCs w:val="20"/>
              </w:rPr>
              <w:t xml:space="preserve"> </w:t>
            </w:r>
            <w:r w:rsidRPr="006C5661">
              <w:rPr>
                <w:sz w:val="20"/>
                <w:szCs w:val="20"/>
                <w:vertAlign w:val="superscript"/>
              </w:rPr>
              <w:t>a</w:t>
            </w:r>
          </w:p>
        </w:tc>
      </w:tr>
      <w:tr w:rsidR="008E3F72" w:rsidRPr="006C5661" w14:paraId="1154183C" w14:textId="77777777" w:rsidTr="0010018A">
        <w:tc>
          <w:tcPr>
            <w:tcW w:w="1592" w:type="pct"/>
            <w:tcBorders>
              <w:top w:val="single" w:sz="12" w:space="0" w:color="000000"/>
              <w:left w:val="nil"/>
              <w:bottom w:val="nil"/>
              <w:right w:val="nil"/>
            </w:tcBorders>
          </w:tcPr>
          <w:p w14:paraId="7B61F3F2" w14:textId="77777777" w:rsidR="008E3F72" w:rsidRPr="006C5661" w:rsidRDefault="008E3F72" w:rsidP="006C5661">
            <w:pPr>
              <w:pStyle w:val="TableParagraph"/>
              <w:keepNext/>
              <w:widowControl/>
              <w:kinsoku w:val="0"/>
              <w:overflowPunct w:val="0"/>
              <w:jc w:val="both"/>
              <w:rPr>
                <w:b/>
                <w:bCs/>
                <w:noProof/>
                <w:sz w:val="20"/>
                <w:szCs w:val="20"/>
              </w:rPr>
            </w:pPr>
          </w:p>
          <w:p w14:paraId="77D888DE"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Atšķirti sivēni</w:t>
            </w:r>
          </w:p>
        </w:tc>
        <w:tc>
          <w:tcPr>
            <w:tcW w:w="1976" w:type="pct"/>
            <w:tcBorders>
              <w:top w:val="single" w:sz="12" w:space="0" w:color="000000"/>
              <w:left w:val="nil"/>
              <w:bottom w:val="nil"/>
              <w:right w:val="nil"/>
            </w:tcBorders>
          </w:tcPr>
          <w:p w14:paraId="49079386" w14:textId="77777777" w:rsidR="008E3F72" w:rsidRPr="006C5661" w:rsidRDefault="008E3F72" w:rsidP="006C5661">
            <w:pPr>
              <w:pStyle w:val="TableParagraph"/>
              <w:keepNext/>
              <w:widowControl/>
              <w:kinsoku w:val="0"/>
              <w:overflowPunct w:val="0"/>
              <w:jc w:val="both"/>
              <w:rPr>
                <w:b/>
                <w:bCs/>
                <w:noProof/>
                <w:sz w:val="20"/>
                <w:szCs w:val="20"/>
              </w:rPr>
            </w:pPr>
          </w:p>
          <w:p w14:paraId="42B364A8"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&lt; 10 kg</w:t>
            </w:r>
          </w:p>
        </w:tc>
        <w:tc>
          <w:tcPr>
            <w:tcW w:w="1432" w:type="pct"/>
            <w:tcBorders>
              <w:top w:val="single" w:sz="12" w:space="0" w:color="000000"/>
              <w:left w:val="nil"/>
              <w:bottom w:val="nil"/>
              <w:right w:val="nil"/>
            </w:tcBorders>
          </w:tcPr>
          <w:p w14:paraId="772946DD" w14:textId="77777777" w:rsidR="008E3F72" w:rsidRPr="006C5661" w:rsidRDefault="008E3F72" w:rsidP="006C5661">
            <w:pPr>
              <w:pStyle w:val="TableParagraph"/>
              <w:keepNext/>
              <w:widowControl/>
              <w:kinsoku w:val="0"/>
              <w:overflowPunct w:val="0"/>
              <w:jc w:val="both"/>
              <w:rPr>
                <w:b/>
                <w:bCs/>
                <w:noProof/>
                <w:sz w:val="20"/>
                <w:szCs w:val="20"/>
              </w:rPr>
            </w:pPr>
          </w:p>
          <w:p w14:paraId="05907138"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19–21</w:t>
            </w:r>
          </w:p>
        </w:tc>
      </w:tr>
      <w:tr w:rsidR="008E3F72" w:rsidRPr="006C5661" w14:paraId="7A898626" w14:textId="77777777" w:rsidTr="0010018A">
        <w:tc>
          <w:tcPr>
            <w:tcW w:w="1592" w:type="pct"/>
            <w:tcBorders>
              <w:top w:val="nil"/>
              <w:left w:val="nil"/>
              <w:bottom w:val="nil"/>
              <w:right w:val="nil"/>
            </w:tcBorders>
          </w:tcPr>
          <w:p w14:paraId="623273B0"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Sivēni</w:t>
            </w:r>
          </w:p>
        </w:tc>
        <w:tc>
          <w:tcPr>
            <w:tcW w:w="1976" w:type="pct"/>
            <w:tcBorders>
              <w:top w:val="nil"/>
              <w:left w:val="nil"/>
              <w:bottom w:val="nil"/>
              <w:right w:val="nil"/>
            </w:tcBorders>
          </w:tcPr>
          <w:p w14:paraId="448D0220"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&lt; 25 kg</w:t>
            </w:r>
          </w:p>
        </w:tc>
        <w:tc>
          <w:tcPr>
            <w:tcW w:w="1432" w:type="pct"/>
            <w:tcBorders>
              <w:top w:val="nil"/>
              <w:left w:val="nil"/>
              <w:bottom w:val="nil"/>
              <w:right w:val="nil"/>
            </w:tcBorders>
          </w:tcPr>
          <w:p w14:paraId="709761A2"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17–19</w:t>
            </w:r>
          </w:p>
        </w:tc>
      </w:tr>
      <w:tr w:rsidR="008E3F72" w:rsidRPr="006C5661" w14:paraId="02A508B5" w14:textId="77777777" w:rsidTr="0010018A">
        <w:tc>
          <w:tcPr>
            <w:tcW w:w="1592" w:type="pct"/>
            <w:tcBorders>
              <w:top w:val="nil"/>
              <w:left w:val="nil"/>
              <w:bottom w:val="nil"/>
              <w:right w:val="nil"/>
            </w:tcBorders>
          </w:tcPr>
          <w:p w14:paraId="08EC5B37"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Nobarojamas cūkas</w:t>
            </w:r>
          </w:p>
        </w:tc>
        <w:tc>
          <w:tcPr>
            <w:tcW w:w="1976" w:type="pct"/>
            <w:tcBorders>
              <w:top w:val="nil"/>
              <w:left w:val="nil"/>
              <w:bottom w:val="nil"/>
              <w:right w:val="nil"/>
            </w:tcBorders>
          </w:tcPr>
          <w:p w14:paraId="6E7406BF"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25–50 kg</w:t>
            </w:r>
          </w:p>
        </w:tc>
        <w:tc>
          <w:tcPr>
            <w:tcW w:w="1432" w:type="pct"/>
            <w:tcBorders>
              <w:top w:val="nil"/>
              <w:left w:val="nil"/>
              <w:bottom w:val="nil"/>
              <w:right w:val="nil"/>
            </w:tcBorders>
          </w:tcPr>
          <w:p w14:paraId="7433CF4F"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15–17</w:t>
            </w:r>
          </w:p>
        </w:tc>
      </w:tr>
      <w:tr w:rsidR="008E3F72" w:rsidRPr="006C5661" w14:paraId="251EA7E3" w14:textId="77777777" w:rsidTr="0010018A">
        <w:tc>
          <w:tcPr>
            <w:tcW w:w="1592" w:type="pct"/>
            <w:tcBorders>
              <w:top w:val="nil"/>
              <w:left w:val="nil"/>
              <w:bottom w:val="nil"/>
              <w:right w:val="nil"/>
            </w:tcBorders>
          </w:tcPr>
          <w:p w14:paraId="104BB6BD" w14:textId="77777777" w:rsidR="008E3F72" w:rsidRPr="006C5661" w:rsidRDefault="008E3F72" w:rsidP="006C5661">
            <w:pPr>
              <w:keepNext/>
              <w:widowControl/>
              <w:jc w:val="both"/>
              <w:rPr>
                <w:noProof/>
                <w:sz w:val="20"/>
                <w:szCs w:val="20"/>
              </w:rPr>
            </w:pPr>
          </w:p>
        </w:tc>
        <w:tc>
          <w:tcPr>
            <w:tcW w:w="1976" w:type="pct"/>
            <w:tcBorders>
              <w:top w:val="nil"/>
              <w:left w:val="nil"/>
              <w:bottom w:val="nil"/>
              <w:right w:val="nil"/>
            </w:tcBorders>
          </w:tcPr>
          <w:p w14:paraId="43AE1FDE"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50–110 kg</w:t>
            </w:r>
          </w:p>
        </w:tc>
        <w:tc>
          <w:tcPr>
            <w:tcW w:w="1432" w:type="pct"/>
            <w:tcBorders>
              <w:top w:val="nil"/>
              <w:left w:val="nil"/>
              <w:bottom w:val="nil"/>
              <w:right w:val="nil"/>
            </w:tcBorders>
          </w:tcPr>
          <w:p w14:paraId="0A0962C4"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14–15</w:t>
            </w:r>
          </w:p>
        </w:tc>
      </w:tr>
      <w:tr w:rsidR="008E3F72" w:rsidRPr="006C5661" w14:paraId="5A637323" w14:textId="77777777" w:rsidTr="0010018A">
        <w:tc>
          <w:tcPr>
            <w:tcW w:w="1592" w:type="pct"/>
            <w:tcBorders>
              <w:top w:val="nil"/>
              <w:left w:val="nil"/>
              <w:bottom w:val="nil"/>
              <w:right w:val="nil"/>
            </w:tcBorders>
          </w:tcPr>
          <w:p w14:paraId="241B6929" w14:textId="77777777" w:rsidR="008E3F72" w:rsidRPr="006C5661" w:rsidRDefault="008E3F72" w:rsidP="006C5661">
            <w:pPr>
              <w:keepNext/>
              <w:widowControl/>
              <w:jc w:val="both"/>
              <w:rPr>
                <w:noProof/>
                <w:sz w:val="20"/>
                <w:szCs w:val="20"/>
              </w:rPr>
            </w:pPr>
          </w:p>
        </w:tc>
        <w:tc>
          <w:tcPr>
            <w:tcW w:w="1976" w:type="pct"/>
            <w:tcBorders>
              <w:top w:val="nil"/>
              <w:left w:val="nil"/>
              <w:bottom w:val="nil"/>
              <w:right w:val="nil"/>
            </w:tcBorders>
          </w:tcPr>
          <w:p w14:paraId="4A9E1E7D"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&gt; 110 kg</w:t>
            </w:r>
          </w:p>
        </w:tc>
        <w:tc>
          <w:tcPr>
            <w:tcW w:w="1432" w:type="pct"/>
            <w:tcBorders>
              <w:top w:val="nil"/>
              <w:left w:val="nil"/>
              <w:bottom w:val="nil"/>
              <w:right w:val="nil"/>
            </w:tcBorders>
          </w:tcPr>
          <w:p w14:paraId="2F047E06"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12–13</w:t>
            </w:r>
          </w:p>
        </w:tc>
      </w:tr>
      <w:tr w:rsidR="008E3F72" w:rsidRPr="006C5661" w14:paraId="2B4CBACB" w14:textId="77777777" w:rsidTr="0010018A">
        <w:tc>
          <w:tcPr>
            <w:tcW w:w="1592" w:type="pct"/>
            <w:tcBorders>
              <w:top w:val="nil"/>
              <w:left w:val="nil"/>
              <w:bottom w:val="nil"/>
              <w:right w:val="nil"/>
            </w:tcBorders>
          </w:tcPr>
          <w:p w14:paraId="3444E014"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Sivēnmātes</w:t>
            </w:r>
          </w:p>
        </w:tc>
        <w:tc>
          <w:tcPr>
            <w:tcW w:w="1976" w:type="pct"/>
            <w:tcBorders>
              <w:top w:val="nil"/>
              <w:left w:val="nil"/>
              <w:bottom w:val="nil"/>
              <w:right w:val="nil"/>
            </w:tcBorders>
          </w:tcPr>
          <w:p w14:paraId="51553B5A" w14:textId="4CDAD6D0" w:rsidR="008E3F72" w:rsidRPr="006C5661" w:rsidRDefault="00D9748E" w:rsidP="006C5661">
            <w:pPr>
              <w:pStyle w:val="TableParagraph"/>
              <w:keepNext/>
              <w:widowControl/>
              <w:kinsoku w:val="0"/>
              <w:overflowPunct w:val="0"/>
              <w:jc w:val="both"/>
              <w:rPr>
                <w:noProof/>
                <w:sz w:val="20"/>
                <w:szCs w:val="20"/>
              </w:rPr>
            </w:pPr>
            <w:r>
              <w:rPr>
                <w:sz w:val="20"/>
                <w:szCs w:val="20"/>
              </w:rPr>
              <w:t>Grūsnības periods</w:t>
            </w:r>
          </w:p>
        </w:tc>
        <w:tc>
          <w:tcPr>
            <w:tcW w:w="1432" w:type="pct"/>
            <w:tcBorders>
              <w:top w:val="nil"/>
              <w:left w:val="nil"/>
              <w:bottom w:val="nil"/>
              <w:right w:val="nil"/>
            </w:tcBorders>
          </w:tcPr>
          <w:p w14:paraId="4DD2CE9A"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13–15</w:t>
            </w:r>
          </w:p>
        </w:tc>
      </w:tr>
      <w:tr w:rsidR="008E3F72" w:rsidRPr="006C5661" w14:paraId="77011083" w14:textId="77777777" w:rsidTr="0010018A">
        <w:tc>
          <w:tcPr>
            <w:tcW w:w="1592" w:type="pct"/>
            <w:tcBorders>
              <w:top w:val="nil"/>
              <w:left w:val="nil"/>
              <w:bottom w:val="single" w:sz="12" w:space="0" w:color="000000"/>
              <w:right w:val="nil"/>
            </w:tcBorders>
          </w:tcPr>
          <w:p w14:paraId="39A6D736" w14:textId="77777777" w:rsidR="008E3F72" w:rsidRPr="006C5661" w:rsidRDefault="008E3F72" w:rsidP="006C5661">
            <w:pPr>
              <w:keepNext/>
              <w:widowControl/>
              <w:jc w:val="both"/>
              <w:rPr>
                <w:noProof/>
                <w:sz w:val="20"/>
                <w:szCs w:val="20"/>
              </w:rPr>
            </w:pPr>
          </w:p>
        </w:tc>
        <w:tc>
          <w:tcPr>
            <w:tcW w:w="1976" w:type="pct"/>
            <w:tcBorders>
              <w:top w:val="nil"/>
              <w:left w:val="nil"/>
              <w:bottom w:val="single" w:sz="12" w:space="0" w:color="000000"/>
              <w:right w:val="nil"/>
            </w:tcBorders>
          </w:tcPr>
          <w:p w14:paraId="509B07CF" w14:textId="7FCB198E" w:rsidR="008E3F72" w:rsidRPr="006C5661" w:rsidRDefault="00D9748E" w:rsidP="006C5661">
            <w:pPr>
              <w:pStyle w:val="TableParagraph"/>
              <w:keepNext/>
              <w:widowControl/>
              <w:kinsoku w:val="0"/>
              <w:overflowPunct w:val="0"/>
              <w:jc w:val="both"/>
              <w:rPr>
                <w:noProof/>
                <w:sz w:val="20"/>
                <w:szCs w:val="20"/>
              </w:rPr>
            </w:pPr>
            <w:r>
              <w:rPr>
                <w:sz w:val="20"/>
                <w:szCs w:val="20"/>
              </w:rPr>
              <w:t>Zīdīšanas periods</w:t>
            </w:r>
          </w:p>
        </w:tc>
        <w:tc>
          <w:tcPr>
            <w:tcW w:w="1432" w:type="pct"/>
            <w:tcBorders>
              <w:top w:val="nil"/>
              <w:left w:val="nil"/>
              <w:bottom w:val="single" w:sz="12" w:space="0" w:color="000000"/>
              <w:right w:val="nil"/>
            </w:tcBorders>
          </w:tcPr>
          <w:p w14:paraId="66877E31" w14:textId="77777777" w:rsidR="008E3F72" w:rsidRPr="006C5661" w:rsidRDefault="008E3F72" w:rsidP="006C5661">
            <w:pPr>
              <w:pStyle w:val="TableParagraph"/>
              <w:keepNext/>
              <w:widowControl/>
              <w:kinsoku w:val="0"/>
              <w:overflowPunct w:val="0"/>
              <w:jc w:val="both"/>
              <w:rPr>
                <w:noProof/>
                <w:sz w:val="20"/>
                <w:szCs w:val="20"/>
              </w:rPr>
            </w:pPr>
            <w:r w:rsidRPr="006C5661">
              <w:rPr>
                <w:sz w:val="20"/>
                <w:szCs w:val="20"/>
              </w:rPr>
              <w:t>15–17</w:t>
            </w:r>
          </w:p>
        </w:tc>
      </w:tr>
    </w:tbl>
    <w:p w14:paraId="7EE3754F" w14:textId="77777777" w:rsidR="008E3F72" w:rsidRPr="00F35F4D" w:rsidRDefault="008E3F72" w:rsidP="006C5661">
      <w:pPr>
        <w:pStyle w:val="BodyText"/>
        <w:keepNext/>
        <w:widowControl/>
        <w:kinsoku w:val="0"/>
        <w:overflowPunct w:val="0"/>
        <w:spacing w:before="0"/>
        <w:ind w:left="0"/>
        <w:jc w:val="both"/>
        <w:rPr>
          <w:noProof/>
          <w:sz w:val="24"/>
          <w:szCs w:val="24"/>
        </w:rPr>
      </w:pPr>
      <w:r w:rsidRPr="00F35F4D">
        <w:rPr>
          <w:i/>
          <w:noProof/>
          <w:sz w:val="24"/>
        </w:rPr>
        <w:t xml:space="preserve">Avots – </w:t>
      </w:r>
      <w:r w:rsidRPr="00F35F4D">
        <w:rPr>
          <w:noProof/>
          <w:sz w:val="24"/>
        </w:rPr>
        <w:t>Eiropas Komisija, 2003.</w:t>
      </w:r>
    </w:p>
    <w:p w14:paraId="7718647D" w14:textId="77777777" w:rsidR="008E3F72" w:rsidRPr="00F35F4D" w:rsidRDefault="008E3F72" w:rsidP="006C5661">
      <w:pPr>
        <w:pStyle w:val="BodyText"/>
        <w:keepNext/>
        <w:widowControl/>
        <w:kinsoku w:val="0"/>
        <w:overflowPunct w:val="0"/>
        <w:spacing w:before="0"/>
        <w:ind w:left="0"/>
        <w:jc w:val="both"/>
        <w:rPr>
          <w:noProof/>
          <w:sz w:val="24"/>
          <w:szCs w:val="24"/>
        </w:rPr>
      </w:pPr>
      <w:r w:rsidRPr="00F35F4D">
        <w:rPr>
          <w:i/>
          <w:noProof/>
          <w:sz w:val="24"/>
        </w:rPr>
        <w:t xml:space="preserve">a </w:t>
      </w:r>
      <w:r w:rsidRPr="00F35F4D">
        <w:rPr>
          <w:noProof/>
          <w:sz w:val="24"/>
        </w:rPr>
        <w:t>Ja nodrošināta pareizi līdzsvarota un optimāla aminoskābju deva.</w:t>
      </w:r>
    </w:p>
    <w:p w14:paraId="7DD3F4EF" w14:textId="77777777" w:rsidR="008E3F72" w:rsidRPr="00F35F4D" w:rsidRDefault="008E3F72" w:rsidP="008E3F72">
      <w:pPr>
        <w:pStyle w:val="BodyText"/>
        <w:widowControl/>
        <w:kinsoku w:val="0"/>
        <w:overflowPunct w:val="0"/>
        <w:spacing w:before="0"/>
        <w:ind w:left="0"/>
        <w:jc w:val="both"/>
        <w:rPr>
          <w:noProof/>
          <w:sz w:val="24"/>
          <w:szCs w:val="24"/>
        </w:rPr>
      </w:pPr>
    </w:p>
    <w:p w14:paraId="476879D2" w14:textId="56BDA1E6"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Samazinot KP saturu barības devā par 10 g/kg, cūkām nobarošanas vēlīnā stadijā var panākt par 10 % zemāku N-NH3</w:t>
      </w:r>
      <w:r w:rsidRPr="00F35F4D">
        <w:rPr>
          <w:noProof/>
          <w:sz w:val="24"/>
          <w:vertAlign w:val="subscript"/>
        </w:rPr>
        <w:t>kop.</w:t>
      </w:r>
      <w:r w:rsidRPr="00F35F4D">
        <w:rPr>
          <w:noProof/>
          <w:sz w:val="24"/>
        </w:rPr>
        <w:t xml:space="preserve"> saturu cūku šķidrajos kūtsmēslos un par 10 % zemāku NH3 emisiju (</w:t>
      </w:r>
      <w:r w:rsidRPr="00F35F4D">
        <w:rPr>
          <w:i/>
          <w:noProof/>
          <w:sz w:val="24"/>
        </w:rPr>
        <w:t>Canh et al.</w:t>
      </w:r>
      <w:r w:rsidRPr="00F35F4D">
        <w:rPr>
          <w:noProof/>
          <w:sz w:val="24"/>
        </w:rPr>
        <w:t>, 1998b).</w:t>
      </w:r>
      <w:r w:rsidR="00D9748E">
        <w:rPr>
          <w:noProof/>
          <w:sz w:val="24"/>
        </w:rPr>
        <w:t xml:space="preserve"> Pašlaik barības devā, ko izēdina</w:t>
      </w:r>
      <w:r w:rsidRPr="00F35F4D">
        <w:rPr>
          <w:noProof/>
          <w:sz w:val="24"/>
        </w:rPr>
        <w:t xml:space="preserve"> audzējamām nobarojamām cūkām, KP saturs visbiežāk ir aptuveni 170 g/kg. Eksperimentāli ir pierādīts, ka, pievienojot kritiskās aminoskābes, var panākt olbaltumvielu samazinājumu līdz 120 g uz barības kilogramu, nekādi neietekmējot augšanas ātrumu vai barības izmantošanas efektivitāti (= NH3 emisijas samazinājums par 50 %). Praksē ekonomiski pamatoti ir 140 g olbaltumvielu uz barības kilogramu (= NH3 emisijas samazinājums par 30 % attiecībā pret bāzes vērtību, kurā olbaltumvielu saturs ir 170 g/kg)</w:t>
      </w:r>
      <w:r w:rsidR="00D9748E">
        <w:rPr>
          <w:noProof/>
          <w:sz w:val="24"/>
        </w:rPr>
        <w:t>. To var panākt, veicot ēdināšanu</w:t>
      </w:r>
      <w:r w:rsidRPr="00F35F4D">
        <w:rPr>
          <w:noProof/>
          <w:sz w:val="24"/>
        </w:rPr>
        <w:t xml:space="preserve"> </w:t>
      </w:r>
      <w:r w:rsidR="00D9748E">
        <w:rPr>
          <w:noProof/>
          <w:sz w:val="24"/>
        </w:rPr>
        <w:t>atkarībā no attīstības</w:t>
      </w:r>
      <w:r w:rsidRPr="00F35F4D">
        <w:rPr>
          <w:noProof/>
          <w:sz w:val="24"/>
        </w:rPr>
        <w:t xml:space="preserve"> stadijām un pievienojot viskritiskākās aminoskābes (</w:t>
      </w:r>
      <w:r w:rsidRPr="00F35F4D">
        <w:rPr>
          <w:i/>
          <w:noProof/>
          <w:sz w:val="24"/>
        </w:rPr>
        <w:t>Canh et al.</w:t>
      </w:r>
      <w:r w:rsidRPr="00F35F4D">
        <w:rPr>
          <w:noProof/>
          <w:sz w:val="24"/>
        </w:rPr>
        <w:t xml:space="preserve">, 1998b; </w:t>
      </w:r>
      <w:r w:rsidRPr="00F35F4D">
        <w:rPr>
          <w:i/>
          <w:noProof/>
          <w:sz w:val="24"/>
        </w:rPr>
        <w:t>Dourmad et al.</w:t>
      </w:r>
      <w:r w:rsidRPr="00F35F4D">
        <w:rPr>
          <w:noProof/>
          <w:sz w:val="24"/>
        </w:rPr>
        <w:t xml:space="preserve">, 1993; </w:t>
      </w:r>
      <w:r w:rsidRPr="00F35F4D">
        <w:rPr>
          <w:i/>
          <w:noProof/>
          <w:sz w:val="24"/>
        </w:rPr>
        <w:t>Lenis, Schutte</w:t>
      </w:r>
      <w:r w:rsidRPr="00F35F4D">
        <w:rPr>
          <w:noProof/>
          <w:sz w:val="24"/>
        </w:rPr>
        <w:t>, 1990). „Ekonomiska pamatotība” nozīmē to, ka izmaksas par olbaltumvielu daudzuma samazināšanu līdz 140 g/kg (kam pieskaitītas izmaksas par bagātināšanu ar sintētiskajām aminoskābēm) vairāk vai mazāk līdzsv</w:t>
      </w:r>
      <w:r w:rsidR="0022094F">
        <w:rPr>
          <w:noProof/>
          <w:sz w:val="24"/>
        </w:rPr>
        <w:t>aro guvums no dzīvnieku veselības un ražības rādītāju</w:t>
      </w:r>
      <w:bookmarkStart w:id="31" w:name="_GoBack"/>
      <w:bookmarkEnd w:id="31"/>
      <w:r w:rsidRPr="00F35F4D">
        <w:rPr>
          <w:noProof/>
          <w:sz w:val="24"/>
        </w:rPr>
        <w:t xml:space="preserve"> uzlabošanās. Kaut arī no praktiskās ieviešanas viedokļa vēl viss nav izdarīts, šo paņēmienu uzskata par 1. kategorijas paņēmienu cūkām vēlīnā nobarošanas stadijā. Par sivēnmātēm un atšķirtiem sivēniem vajadzīgi papildu pētījumi, tāpēc šīm dzīvnieku kategorijām to uzskata par 2. kategorijas paņēmienu.</w:t>
      </w:r>
    </w:p>
    <w:p w14:paraId="3D91A517"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0E165704" w14:textId="78B497E6"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Pievienojot īpašās sastāvdaļas ar augstu necietes polisaharīdu (NCP) saturu (piemēram, cukurbiešu masu, sojas pupu apvalkus)</w:t>
      </w:r>
      <w:r w:rsidR="00D9748E">
        <w:rPr>
          <w:noProof/>
          <w:sz w:val="24"/>
        </w:rPr>
        <w:t>, var samazināt cūku kūtsmēslu</w:t>
      </w:r>
      <w:r w:rsidRPr="00F35F4D">
        <w:rPr>
          <w:noProof/>
          <w:sz w:val="24"/>
        </w:rPr>
        <w:t xml:space="preserve"> pH līmeni un rezultātā NH3 emisiju. Palielinot NCP daudzumu barības devā, palielinās bakteriālā fermentācija resnajā zarnā, un tās rezultātā notiek urīnvielas N imobilizācija no asinīm bakteriālajās olbaltumvielās. Palielinot NCP daudzumu barības devā no 200 līdz 300 g/kg, amonija emisija samazinās par aptuveni 16 %, un, ja palielinājums ir no 300 līdz 400 g/kg, tad emisija samazinās par 25 %. Tomēr ietekme uz NH3 emisiju ir zināmā mērā atkarīga arī no tā, kādu NCP barībai pievieno. NCP daudzuma palielināšanai barībā var būt arī negatīva ietekme. Augsts NC</w:t>
      </w:r>
      <w:r w:rsidR="00D9748E">
        <w:rPr>
          <w:noProof/>
          <w:sz w:val="24"/>
        </w:rPr>
        <w:t>P līmenis samazina barības elementu</w:t>
      </w:r>
      <w:r w:rsidRPr="00F35F4D">
        <w:rPr>
          <w:noProof/>
          <w:sz w:val="24"/>
        </w:rPr>
        <w:t xml:space="preserve"> sagremojamību un palielina atkritumproduktu daudzumu, kas nav vēlams vietās ar lielu dzīvnieku blīvumu. Turklāt, paaugstinot NCP līmeni barībā, palielinās gaistošo taukskābju koncentrācija kūtsmēslos. Kaut arī gaistošās taukskābes nav visbūtiskākās sastāvdaļas, kas vairo smaku, augstāks gaistošo taukskābju saturs var palielināt smaku no kūtsmēsliem. Ja NCP līmenis barībā paaugstinās, no kūtsmēsliem var izdalīties vairāk metāna (</w:t>
      </w:r>
      <w:r w:rsidRPr="00F35F4D">
        <w:rPr>
          <w:i/>
          <w:noProof/>
          <w:sz w:val="24"/>
        </w:rPr>
        <w:t>Kirchgessner et al</w:t>
      </w:r>
      <w:r w:rsidRPr="00F35F4D">
        <w:rPr>
          <w:noProof/>
          <w:sz w:val="24"/>
        </w:rPr>
        <w:t xml:space="preserve">., 1991; </w:t>
      </w:r>
      <w:r w:rsidRPr="00F35F4D">
        <w:rPr>
          <w:i/>
          <w:noProof/>
          <w:sz w:val="24"/>
        </w:rPr>
        <w:t>Jarret, Martinez, Dourmad</w:t>
      </w:r>
      <w:r w:rsidRPr="00F35F4D">
        <w:rPr>
          <w:noProof/>
          <w:sz w:val="24"/>
        </w:rPr>
        <w:t xml:space="preserve">, 2011). Visu šo iemeslu dēļ NCP daudzuma palielināšanu barībā NH3 emisijas samazināšanai uzskata par 3. kategorijas stratēģiju vietās ar augstu dzīvnieku </w:t>
      </w:r>
      <w:r w:rsidRPr="00F35F4D">
        <w:rPr>
          <w:noProof/>
          <w:sz w:val="24"/>
        </w:rPr>
        <w:lastRenderedPageBreak/>
        <w:t>blīvumu un 2. kategorijas stratēģiju – citās vietās. Turklāt pārāk liela NCP daudzuma iekļaušana cūku barībā var negatīvi ietekmēt cūku produktivitāti un samazināt barības pārveidošanas efektivitāti.</w:t>
      </w:r>
    </w:p>
    <w:p w14:paraId="17772884"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0A14F33F" w14:textId="77777777"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 xml:space="preserve">Aizstājot kalcija karbonātu (CaCO3) dzīvnieku barībā ar CaSO4, kalcija hlorīdu (CaCl2) vai kalcija benzoātu, samazinās urīna un šķidro kūtsmēslu pH līmenis un NH3 emisija no urīna un šķidrajiem kūtsmēsliem. Aizstājot dzīvnieku barībā CaCO3 veidā esošo kalciju (6 g/kg) ar kalcija benzoātu, urīna un šķidro kūtsmēslu pH līmeni var pazemināt par vairāk nekā 2 vienībām. Šādā gadījumā NH3 emisiju var samazināt pat par 60 %. Nonākot cūkas organismā, benzoskābe noārdās līdz hipurskābei, kas pazemina urīna pH līmeni un šāda veidā arī cūkkūtī uzkrāto šķidro kūtsmēslu pH līmeni. Benzoskābi ir oficiāli atļauts izmantot Eiropas Savienībā skābuma ierobežošanai (E210), un to ir ļauts lietot arī kā barības piedevu nobarojamām cūkām (1 % devā) un sivēniem (0,5 % devā) (reģistrēta preču zīme – </w:t>
      </w:r>
      <w:r w:rsidRPr="00F35F4D">
        <w:rPr>
          <w:i/>
          <w:noProof/>
          <w:sz w:val="24"/>
        </w:rPr>
        <w:t>Vevovitall</w:t>
      </w:r>
      <w:r w:rsidRPr="00F35F4D">
        <w:rPr>
          <w:noProof/>
          <w:sz w:val="24"/>
        </w:rPr>
        <w:t>). Pievienojot 1 % benzoskābes cūkām vēlīnā nobarošanas stadijā, NH3 emisija samazinās par aptuveni 20 % (</w:t>
      </w:r>
      <w:r w:rsidRPr="00F35F4D">
        <w:rPr>
          <w:i/>
          <w:noProof/>
          <w:sz w:val="24"/>
        </w:rPr>
        <w:t>Aarnink et al.</w:t>
      </w:r>
      <w:r w:rsidRPr="00F35F4D">
        <w:rPr>
          <w:noProof/>
          <w:sz w:val="24"/>
        </w:rPr>
        <w:t xml:space="preserve">, 2008; </w:t>
      </w:r>
      <w:r w:rsidRPr="00F35F4D">
        <w:rPr>
          <w:i/>
          <w:noProof/>
          <w:sz w:val="24"/>
        </w:rPr>
        <w:t>Guingand, Demerson</w:t>
      </w:r>
      <w:r w:rsidRPr="00F35F4D">
        <w:rPr>
          <w:noProof/>
          <w:sz w:val="24"/>
        </w:rPr>
        <w:t xml:space="preserve">, </w:t>
      </w:r>
      <w:r w:rsidRPr="00F35F4D">
        <w:rPr>
          <w:i/>
          <w:noProof/>
          <w:sz w:val="24"/>
        </w:rPr>
        <w:t>Broz</w:t>
      </w:r>
      <w:r w:rsidRPr="00F35F4D">
        <w:rPr>
          <w:noProof/>
          <w:sz w:val="24"/>
        </w:rPr>
        <w:t>, 2005). Līdzīgā veidā, aizstājot CaCO3 ar CaSO4 vai CaCl2, šķidro kūtsmēslu pH līmenis samazinās par 1,2 vienībām un NH3 emisija – par aptuveni 35 % (</w:t>
      </w:r>
      <w:r w:rsidRPr="00F35F4D">
        <w:rPr>
          <w:i/>
          <w:noProof/>
          <w:sz w:val="24"/>
        </w:rPr>
        <w:t>Canh et al</w:t>
      </w:r>
      <w:r w:rsidRPr="00F35F4D">
        <w:rPr>
          <w:noProof/>
          <w:sz w:val="24"/>
        </w:rPr>
        <w:t xml:space="preserve">., 1998a; </w:t>
      </w:r>
      <w:r w:rsidRPr="00F35F4D">
        <w:rPr>
          <w:i/>
          <w:noProof/>
          <w:sz w:val="24"/>
        </w:rPr>
        <w:t>Mroz et al.</w:t>
      </w:r>
      <w:r w:rsidRPr="00F35F4D">
        <w:rPr>
          <w:noProof/>
          <w:sz w:val="24"/>
        </w:rPr>
        <w:t>, 1996). Benzoskābes pievienošanu uzskata par 1. kategorijas paņēmienu cūkām vēlīnā nobarošanas stadijā un 2. kategorijas paņēmienu visām citām cūku kategorijām. CaCO3 aizstāšanu ar CaSO4, CaCl2 vai kalcija benzoātu uzskata par 2. kategorijas paņēmienu visām cūku kategorijām.</w:t>
      </w:r>
    </w:p>
    <w:p w14:paraId="515A1C87"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60C4739A" w14:textId="506A970D" w:rsidR="008E3F72" w:rsidRPr="00F35F4D" w:rsidRDefault="00D9748E" w:rsidP="008E3F72">
      <w:pPr>
        <w:pStyle w:val="BodyText"/>
        <w:widowControl/>
        <w:numPr>
          <w:ilvl w:val="0"/>
          <w:numId w:val="2"/>
        </w:numPr>
        <w:tabs>
          <w:tab w:val="left" w:pos="859"/>
        </w:tabs>
        <w:kinsoku w:val="0"/>
        <w:overflowPunct w:val="0"/>
        <w:spacing w:before="0"/>
        <w:ind w:left="0" w:firstLine="0"/>
        <w:jc w:val="both"/>
        <w:rPr>
          <w:noProof/>
          <w:sz w:val="24"/>
          <w:szCs w:val="24"/>
        </w:rPr>
      </w:pPr>
      <w:r>
        <w:rPr>
          <w:noProof/>
          <w:sz w:val="24"/>
        </w:rPr>
        <w:t>Dažādie ar ēdināšanu</w:t>
      </w:r>
      <w:r w:rsidR="008E3F72" w:rsidRPr="00F35F4D">
        <w:rPr>
          <w:noProof/>
          <w:sz w:val="24"/>
        </w:rPr>
        <w:t xml:space="preserve"> saistītie pasākumi ietekmē NH3 emisiju neatkarīgi viens no otra. Tas nozīmē, ka šīs ietekmes summējas (</w:t>
      </w:r>
      <w:r w:rsidR="008E3F72" w:rsidRPr="00F35F4D">
        <w:rPr>
          <w:i/>
          <w:noProof/>
          <w:sz w:val="24"/>
        </w:rPr>
        <w:t>Bakker, Smits,</w:t>
      </w:r>
      <w:r>
        <w:rPr>
          <w:noProof/>
          <w:sz w:val="24"/>
        </w:rPr>
        <w:t xml:space="preserve"> 2002). Kompleksus ar ēdināšanu</w:t>
      </w:r>
      <w:r w:rsidR="008E3F72" w:rsidRPr="00F35F4D">
        <w:rPr>
          <w:noProof/>
          <w:sz w:val="24"/>
        </w:rPr>
        <w:t xml:space="preserve"> saistītos pasākumus uzskata par 2. kategorijas paņēmieniem visām cūku kategorijām.</w:t>
      </w:r>
    </w:p>
    <w:p w14:paraId="6B93D23B" w14:textId="77777777" w:rsidR="008E3F72" w:rsidRPr="00F35F4D" w:rsidRDefault="008E3F72" w:rsidP="008E3F72">
      <w:pPr>
        <w:pStyle w:val="BodyText"/>
        <w:widowControl/>
        <w:kinsoku w:val="0"/>
        <w:overflowPunct w:val="0"/>
        <w:spacing w:before="0"/>
        <w:ind w:left="0"/>
        <w:jc w:val="both"/>
        <w:rPr>
          <w:noProof/>
          <w:sz w:val="24"/>
          <w:szCs w:val="24"/>
        </w:rPr>
      </w:pPr>
    </w:p>
    <w:p w14:paraId="20F501DE" w14:textId="7DBCF10C" w:rsidR="008E3F72" w:rsidRPr="006C5661" w:rsidRDefault="006C5661" w:rsidP="006C5661">
      <w:pPr>
        <w:pStyle w:val="Heading3"/>
        <w:widowControl/>
        <w:kinsoku w:val="0"/>
        <w:overflowPunct w:val="0"/>
        <w:ind w:left="0" w:firstLine="0"/>
        <w:jc w:val="both"/>
        <w:rPr>
          <w:rFonts w:ascii="Times New Roman" w:hAnsi="Times New Roman" w:cs="Times New Roman"/>
          <w:noProof/>
          <w:color w:val="0D0D0D"/>
        </w:rPr>
      </w:pPr>
      <w:bookmarkStart w:id="32" w:name="_Toc426033283"/>
      <w:r w:rsidRPr="006C5661">
        <w:rPr>
          <w:rFonts w:ascii="Times New Roman" w:hAnsi="Times New Roman" w:cs="Times New Roman"/>
          <w:noProof/>
          <w:color w:val="0D0D0D"/>
        </w:rPr>
        <w:t xml:space="preserve">D. </w:t>
      </w:r>
      <w:r w:rsidR="00D9748E">
        <w:rPr>
          <w:rFonts w:ascii="Times New Roman" w:hAnsi="Times New Roman" w:cs="Times New Roman"/>
          <w:noProof/>
          <w:color w:val="0D0D0D"/>
        </w:rPr>
        <w:t>Mājputnu ēdināšanas</w:t>
      </w:r>
      <w:r w:rsidR="008E3F72" w:rsidRPr="006C5661">
        <w:rPr>
          <w:rFonts w:ascii="Times New Roman" w:hAnsi="Times New Roman" w:cs="Times New Roman"/>
          <w:noProof/>
          <w:color w:val="0D0D0D"/>
        </w:rPr>
        <w:t xml:space="preserve"> stratēģijas</w:t>
      </w:r>
      <w:bookmarkEnd w:id="32"/>
    </w:p>
    <w:p w14:paraId="2D40059D" w14:textId="77777777" w:rsidR="006C5661" w:rsidRPr="006C5661" w:rsidRDefault="006C5661" w:rsidP="006C5661">
      <w:pPr>
        <w:pStyle w:val="ListParagraph"/>
      </w:pPr>
    </w:p>
    <w:p w14:paraId="725572CB" w14:textId="660A4EFC" w:rsidR="008E3F72" w:rsidRPr="00F35F4D"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 xml:space="preserve">Mājputnu gadījumā potenciālās iespējas samazināt </w:t>
      </w:r>
      <w:r w:rsidR="00D9748E">
        <w:rPr>
          <w:noProof/>
          <w:sz w:val="24"/>
        </w:rPr>
        <w:t>N ekskrēciju, veicot ar ēdināšanu</w:t>
      </w:r>
      <w:r w:rsidRPr="00F35F4D">
        <w:rPr>
          <w:noProof/>
          <w:sz w:val="24"/>
        </w:rPr>
        <w:t xml:space="preserve"> saistītus pasākumus, ir mazākas nekā cūkām, jo vidēji sasniegtā konversijas efektivitāte jau tagad ir d</w:t>
      </w:r>
      <w:r w:rsidR="00D9748E">
        <w:rPr>
          <w:noProof/>
          <w:sz w:val="24"/>
        </w:rPr>
        <w:t>iezgan augsta, un mājputnu ganāmpulkam</w:t>
      </w:r>
      <w:r w:rsidRPr="00F35F4D">
        <w:rPr>
          <w:noProof/>
          <w:sz w:val="24"/>
        </w:rPr>
        <w:t xml:space="preserve"> ir raksturīga lielāka dažādība. Atkarībā no sugas un attiecīgā sākuma punkta var panākt 1 % līdz 2 % lielu KP samazinājumu barībā (10 līdz 20 g uz barības kilogramu). Attiecīgais KP satura diapazons barībā ir norādīts AII.4. tabulā. Tabulā norādītās vērtības ir orientējošie mērķa līmeņi, un tās var nākties pielāgot vietējiem apstākļiem. ES dalībvalstīs un Ziemeļamerikā pašlaik tiek veikti turpmāki lietišķie pētījumi dzīvnieku uztura jomā, un tāpēc emisiju turpmāk varbūt varēs vēl vairāk samazināt. KP satura samazināšanu par 1–2 % uzskata par 1. kategorijas pasākumu jaunputniem un kaujamiem putniem.</w:t>
      </w:r>
    </w:p>
    <w:p w14:paraId="5321CB15" w14:textId="77777777" w:rsidR="008E3F72" w:rsidRPr="00F35F4D" w:rsidRDefault="008E3F72" w:rsidP="008E3F72">
      <w:pPr>
        <w:pStyle w:val="BodyText"/>
        <w:widowControl/>
        <w:kinsoku w:val="0"/>
        <w:overflowPunct w:val="0"/>
        <w:spacing w:before="0"/>
        <w:ind w:left="0"/>
        <w:jc w:val="both"/>
        <w:rPr>
          <w:noProof/>
          <w:sz w:val="24"/>
          <w:szCs w:val="24"/>
        </w:rPr>
      </w:pPr>
    </w:p>
    <w:p w14:paraId="5278CFDA" w14:textId="77777777" w:rsidR="008E3F72" w:rsidRPr="00F35F4D" w:rsidRDefault="008E3F72" w:rsidP="006C5661">
      <w:pPr>
        <w:pStyle w:val="BodyText"/>
        <w:keepNext/>
        <w:widowControl/>
        <w:kinsoku w:val="0"/>
        <w:overflowPunct w:val="0"/>
        <w:spacing w:before="0"/>
        <w:ind w:left="0"/>
        <w:jc w:val="both"/>
        <w:rPr>
          <w:noProof/>
          <w:sz w:val="24"/>
          <w:szCs w:val="24"/>
        </w:rPr>
      </w:pPr>
      <w:r w:rsidRPr="00F35F4D">
        <w:rPr>
          <w:noProof/>
          <w:sz w:val="24"/>
        </w:rPr>
        <w:lastRenderedPageBreak/>
        <w:t>AII.4. tabula</w:t>
      </w:r>
    </w:p>
    <w:p w14:paraId="7FCAB542" w14:textId="77777777" w:rsidR="008E3F72" w:rsidRPr="00F35F4D" w:rsidRDefault="008E3F72" w:rsidP="006C5661">
      <w:pPr>
        <w:pStyle w:val="Heading9"/>
        <w:keepNext/>
        <w:widowControl/>
        <w:kinsoku w:val="0"/>
        <w:overflowPunct w:val="0"/>
        <w:spacing w:before="0"/>
        <w:ind w:left="0"/>
        <w:jc w:val="both"/>
        <w:rPr>
          <w:noProof/>
          <w:sz w:val="24"/>
          <w:szCs w:val="24"/>
        </w:rPr>
      </w:pPr>
      <w:r w:rsidRPr="00F35F4D">
        <w:rPr>
          <w:noProof/>
          <w:sz w:val="24"/>
        </w:rPr>
        <w:t>Orientējošās KP mērķvērtības mājputnu barībā</w:t>
      </w:r>
    </w:p>
    <w:p w14:paraId="1E98A7BB" w14:textId="77777777" w:rsidR="008E3F72" w:rsidRPr="00F35F4D" w:rsidRDefault="008E3F72" w:rsidP="006C5661">
      <w:pPr>
        <w:pStyle w:val="BodyText"/>
        <w:keepN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2685"/>
        <w:gridCol w:w="3208"/>
        <w:gridCol w:w="2333"/>
      </w:tblGrid>
      <w:tr w:rsidR="008E3F72" w:rsidRPr="006C5661" w14:paraId="76D19600" w14:textId="77777777" w:rsidTr="0010018A">
        <w:tc>
          <w:tcPr>
            <w:tcW w:w="1632" w:type="pct"/>
            <w:tcBorders>
              <w:top w:val="single" w:sz="4" w:space="0" w:color="000000"/>
              <w:left w:val="nil"/>
              <w:bottom w:val="single" w:sz="12" w:space="0" w:color="000000"/>
              <w:right w:val="nil"/>
            </w:tcBorders>
          </w:tcPr>
          <w:p w14:paraId="6167630F" w14:textId="77777777" w:rsidR="008E3F72" w:rsidRPr="006C5661" w:rsidRDefault="008E3F72" w:rsidP="006C5661">
            <w:pPr>
              <w:pStyle w:val="TableParagraph"/>
              <w:keepNext/>
              <w:widowControl/>
              <w:kinsoku w:val="0"/>
              <w:overflowPunct w:val="0"/>
              <w:jc w:val="both"/>
              <w:rPr>
                <w:i/>
                <w:iCs/>
                <w:noProof/>
                <w:sz w:val="20"/>
              </w:rPr>
            </w:pPr>
            <w:r w:rsidRPr="006C5661">
              <w:rPr>
                <w:i/>
                <w:noProof/>
                <w:sz w:val="20"/>
              </w:rPr>
              <w:t>Suga</w:t>
            </w:r>
          </w:p>
        </w:tc>
        <w:tc>
          <w:tcPr>
            <w:tcW w:w="1950" w:type="pct"/>
            <w:tcBorders>
              <w:top w:val="single" w:sz="4" w:space="0" w:color="000000"/>
              <w:left w:val="nil"/>
              <w:bottom w:val="single" w:sz="12" w:space="0" w:color="000000"/>
              <w:right w:val="nil"/>
            </w:tcBorders>
          </w:tcPr>
          <w:p w14:paraId="56502425" w14:textId="77777777" w:rsidR="008E3F72" w:rsidRPr="006C5661" w:rsidRDefault="008E3F72" w:rsidP="006C5661">
            <w:pPr>
              <w:pStyle w:val="TableParagraph"/>
              <w:keepNext/>
              <w:widowControl/>
              <w:kinsoku w:val="0"/>
              <w:overflowPunct w:val="0"/>
              <w:jc w:val="both"/>
              <w:rPr>
                <w:i/>
                <w:iCs/>
                <w:noProof/>
                <w:sz w:val="20"/>
              </w:rPr>
            </w:pPr>
            <w:r w:rsidRPr="006C5661">
              <w:rPr>
                <w:i/>
                <w:noProof/>
                <w:sz w:val="20"/>
              </w:rPr>
              <w:t>Stadija</w:t>
            </w:r>
          </w:p>
        </w:tc>
        <w:tc>
          <w:tcPr>
            <w:tcW w:w="1418" w:type="pct"/>
            <w:tcBorders>
              <w:top w:val="single" w:sz="4" w:space="0" w:color="000000"/>
              <w:left w:val="nil"/>
              <w:bottom w:val="single" w:sz="12" w:space="0" w:color="000000"/>
              <w:right w:val="nil"/>
            </w:tcBorders>
          </w:tcPr>
          <w:p w14:paraId="5B877648" w14:textId="77777777" w:rsidR="008E3F72" w:rsidRPr="006C5661" w:rsidRDefault="008E3F72" w:rsidP="006C5661">
            <w:pPr>
              <w:pStyle w:val="TableParagraph"/>
              <w:keepNext/>
              <w:widowControl/>
              <w:kinsoku w:val="0"/>
              <w:overflowPunct w:val="0"/>
              <w:jc w:val="both"/>
              <w:rPr>
                <w:noProof/>
                <w:sz w:val="20"/>
              </w:rPr>
            </w:pPr>
            <w:r w:rsidRPr="006C5661">
              <w:rPr>
                <w:i/>
                <w:noProof/>
                <w:sz w:val="20"/>
              </w:rPr>
              <w:t>KP saturs (%)</w:t>
            </w:r>
            <w:r w:rsidRPr="006C5661">
              <w:rPr>
                <w:sz w:val="20"/>
              </w:rPr>
              <w:t>a</w:t>
            </w:r>
          </w:p>
        </w:tc>
      </w:tr>
      <w:tr w:rsidR="008E3F72" w:rsidRPr="006C5661" w14:paraId="6C14124B" w14:textId="77777777" w:rsidTr="0010018A">
        <w:tc>
          <w:tcPr>
            <w:tcW w:w="1632" w:type="pct"/>
            <w:tcBorders>
              <w:top w:val="single" w:sz="12" w:space="0" w:color="000000"/>
              <w:left w:val="nil"/>
              <w:bottom w:val="nil"/>
              <w:right w:val="nil"/>
            </w:tcBorders>
          </w:tcPr>
          <w:p w14:paraId="617462C7" w14:textId="70C0F1DA" w:rsidR="008E3F72" w:rsidRPr="006C5661" w:rsidRDefault="00D9748E" w:rsidP="006C5661">
            <w:pPr>
              <w:pStyle w:val="TableParagraph"/>
              <w:keepNext/>
              <w:widowControl/>
              <w:kinsoku w:val="0"/>
              <w:overflowPunct w:val="0"/>
              <w:jc w:val="both"/>
              <w:rPr>
                <w:noProof/>
                <w:sz w:val="20"/>
              </w:rPr>
            </w:pPr>
            <w:r>
              <w:rPr>
                <w:sz w:val="20"/>
              </w:rPr>
              <w:t>Vistas, broileri</w:t>
            </w:r>
          </w:p>
        </w:tc>
        <w:tc>
          <w:tcPr>
            <w:tcW w:w="1950" w:type="pct"/>
            <w:tcBorders>
              <w:top w:val="single" w:sz="12" w:space="0" w:color="000000"/>
              <w:left w:val="nil"/>
              <w:bottom w:val="nil"/>
              <w:right w:val="nil"/>
            </w:tcBorders>
          </w:tcPr>
          <w:p w14:paraId="48FE51F8" w14:textId="77777777" w:rsidR="008E3F72" w:rsidRPr="006C5661" w:rsidRDefault="008E3F72" w:rsidP="006C5661">
            <w:pPr>
              <w:pStyle w:val="TableParagraph"/>
              <w:keepNext/>
              <w:widowControl/>
              <w:kinsoku w:val="0"/>
              <w:overflowPunct w:val="0"/>
              <w:jc w:val="both"/>
              <w:rPr>
                <w:noProof/>
                <w:sz w:val="20"/>
              </w:rPr>
            </w:pPr>
            <w:r w:rsidRPr="006C5661">
              <w:rPr>
                <w:sz w:val="20"/>
              </w:rPr>
              <w:t>Cāļi</w:t>
            </w:r>
          </w:p>
        </w:tc>
        <w:tc>
          <w:tcPr>
            <w:tcW w:w="1418" w:type="pct"/>
            <w:tcBorders>
              <w:top w:val="single" w:sz="12" w:space="0" w:color="000000"/>
              <w:left w:val="nil"/>
              <w:bottom w:val="nil"/>
              <w:right w:val="nil"/>
            </w:tcBorders>
          </w:tcPr>
          <w:p w14:paraId="5F9B8397" w14:textId="77777777" w:rsidR="008E3F72" w:rsidRPr="006C5661" w:rsidRDefault="008E3F72" w:rsidP="006C5661">
            <w:pPr>
              <w:pStyle w:val="TableParagraph"/>
              <w:keepNext/>
              <w:widowControl/>
              <w:kinsoku w:val="0"/>
              <w:overflowPunct w:val="0"/>
              <w:jc w:val="both"/>
              <w:rPr>
                <w:noProof/>
                <w:sz w:val="20"/>
              </w:rPr>
            </w:pPr>
            <w:r w:rsidRPr="006C5661">
              <w:rPr>
                <w:sz w:val="20"/>
              </w:rPr>
              <w:t>20–22</w:t>
            </w:r>
          </w:p>
        </w:tc>
      </w:tr>
      <w:tr w:rsidR="008E3F72" w:rsidRPr="006C5661" w14:paraId="40A8EDC0" w14:textId="77777777" w:rsidTr="0010018A">
        <w:tc>
          <w:tcPr>
            <w:tcW w:w="1632" w:type="pct"/>
            <w:tcBorders>
              <w:top w:val="nil"/>
              <w:left w:val="nil"/>
              <w:bottom w:val="nil"/>
              <w:right w:val="nil"/>
            </w:tcBorders>
          </w:tcPr>
          <w:p w14:paraId="590EAA4D" w14:textId="77777777" w:rsidR="008E3F72" w:rsidRPr="006C5661" w:rsidRDefault="008E3F72" w:rsidP="006C5661">
            <w:pPr>
              <w:keepNext/>
              <w:widowControl/>
              <w:jc w:val="both"/>
              <w:rPr>
                <w:noProof/>
                <w:sz w:val="20"/>
              </w:rPr>
            </w:pPr>
          </w:p>
        </w:tc>
        <w:tc>
          <w:tcPr>
            <w:tcW w:w="1950" w:type="pct"/>
            <w:tcBorders>
              <w:top w:val="nil"/>
              <w:left w:val="nil"/>
              <w:bottom w:val="nil"/>
              <w:right w:val="nil"/>
            </w:tcBorders>
          </w:tcPr>
          <w:p w14:paraId="22A82AE9" w14:textId="77777777" w:rsidR="008E3F72" w:rsidRPr="006C5661" w:rsidRDefault="008E3F72" w:rsidP="006C5661">
            <w:pPr>
              <w:pStyle w:val="TableParagraph"/>
              <w:keepNext/>
              <w:widowControl/>
              <w:kinsoku w:val="0"/>
              <w:overflowPunct w:val="0"/>
              <w:jc w:val="both"/>
              <w:rPr>
                <w:noProof/>
                <w:sz w:val="20"/>
              </w:rPr>
            </w:pPr>
            <w:r w:rsidRPr="006C5661">
              <w:rPr>
                <w:sz w:val="20"/>
              </w:rPr>
              <w:t>Jaunputni</w:t>
            </w:r>
          </w:p>
        </w:tc>
        <w:tc>
          <w:tcPr>
            <w:tcW w:w="1418" w:type="pct"/>
            <w:tcBorders>
              <w:top w:val="nil"/>
              <w:left w:val="nil"/>
              <w:bottom w:val="nil"/>
              <w:right w:val="nil"/>
            </w:tcBorders>
          </w:tcPr>
          <w:p w14:paraId="2882E571" w14:textId="77777777" w:rsidR="008E3F72" w:rsidRPr="006C5661" w:rsidRDefault="008E3F72" w:rsidP="006C5661">
            <w:pPr>
              <w:pStyle w:val="TableParagraph"/>
              <w:keepNext/>
              <w:widowControl/>
              <w:kinsoku w:val="0"/>
              <w:overflowPunct w:val="0"/>
              <w:jc w:val="both"/>
              <w:rPr>
                <w:noProof/>
                <w:sz w:val="20"/>
              </w:rPr>
            </w:pPr>
            <w:r w:rsidRPr="006C5661">
              <w:rPr>
                <w:sz w:val="20"/>
              </w:rPr>
              <w:t>19–21</w:t>
            </w:r>
          </w:p>
        </w:tc>
      </w:tr>
      <w:tr w:rsidR="008E3F72" w:rsidRPr="006C5661" w14:paraId="438AC436" w14:textId="77777777" w:rsidTr="0010018A">
        <w:tc>
          <w:tcPr>
            <w:tcW w:w="1632" w:type="pct"/>
            <w:tcBorders>
              <w:top w:val="nil"/>
              <w:left w:val="nil"/>
              <w:bottom w:val="nil"/>
              <w:right w:val="nil"/>
            </w:tcBorders>
          </w:tcPr>
          <w:p w14:paraId="2BB5C674" w14:textId="77777777" w:rsidR="008E3F72" w:rsidRPr="006C5661" w:rsidRDefault="008E3F72" w:rsidP="006C5661">
            <w:pPr>
              <w:keepNext/>
              <w:widowControl/>
              <w:jc w:val="both"/>
              <w:rPr>
                <w:noProof/>
                <w:sz w:val="20"/>
              </w:rPr>
            </w:pPr>
          </w:p>
        </w:tc>
        <w:tc>
          <w:tcPr>
            <w:tcW w:w="1950" w:type="pct"/>
            <w:tcBorders>
              <w:top w:val="nil"/>
              <w:left w:val="nil"/>
              <w:bottom w:val="nil"/>
              <w:right w:val="nil"/>
            </w:tcBorders>
          </w:tcPr>
          <w:p w14:paraId="778B1299" w14:textId="77777777" w:rsidR="008E3F72" w:rsidRPr="006C5661" w:rsidRDefault="008E3F72" w:rsidP="006C5661">
            <w:pPr>
              <w:pStyle w:val="TableParagraph"/>
              <w:keepNext/>
              <w:widowControl/>
              <w:kinsoku w:val="0"/>
              <w:overflowPunct w:val="0"/>
              <w:jc w:val="both"/>
              <w:rPr>
                <w:noProof/>
                <w:sz w:val="20"/>
              </w:rPr>
            </w:pPr>
            <w:r w:rsidRPr="006C5661">
              <w:rPr>
                <w:sz w:val="20"/>
              </w:rPr>
              <w:t>Kaujamie putni</w:t>
            </w:r>
          </w:p>
        </w:tc>
        <w:tc>
          <w:tcPr>
            <w:tcW w:w="1418" w:type="pct"/>
            <w:tcBorders>
              <w:top w:val="nil"/>
              <w:left w:val="nil"/>
              <w:bottom w:val="nil"/>
              <w:right w:val="nil"/>
            </w:tcBorders>
          </w:tcPr>
          <w:p w14:paraId="2D557C35" w14:textId="77777777" w:rsidR="008E3F72" w:rsidRPr="006C5661" w:rsidRDefault="008E3F72" w:rsidP="006C5661">
            <w:pPr>
              <w:pStyle w:val="TableParagraph"/>
              <w:keepNext/>
              <w:widowControl/>
              <w:kinsoku w:val="0"/>
              <w:overflowPunct w:val="0"/>
              <w:jc w:val="both"/>
              <w:rPr>
                <w:noProof/>
                <w:sz w:val="20"/>
              </w:rPr>
            </w:pPr>
            <w:r w:rsidRPr="006C5661">
              <w:rPr>
                <w:sz w:val="20"/>
              </w:rPr>
              <w:t>18–20</w:t>
            </w:r>
          </w:p>
        </w:tc>
      </w:tr>
      <w:tr w:rsidR="008E3F72" w:rsidRPr="006C5661" w14:paraId="49E4904E" w14:textId="77777777" w:rsidTr="0010018A">
        <w:tc>
          <w:tcPr>
            <w:tcW w:w="1632" w:type="pct"/>
            <w:tcBorders>
              <w:top w:val="nil"/>
              <w:left w:val="nil"/>
              <w:bottom w:val="nil"/>
              <w:right w:val="nil"/>
            </w:tcBorders>
          </w:tcPr>
          <w:p w14:paraId="3D9625FB" w14:textId="77777777" w:rsidR="008E3F72" w:rsidRPr="006C5661" w:rsidRDefault="008E3F72" w:rsidP="006C5661">
            <w:pPr>
              <w:pStyle w:val="TableParagraph"/>
              <w:keepNext/>
              <w:widowControl/>
              <w:kinsoku w:val="0"/>
              <w:overflowPunct w:val="0"/>
              <w:jc w:val="both"/>
              <w:rPr>
                <w:noProof/>
                <w:sz w:val="20"/>
              </w:rPr>
            </w:pPr>
            <w:r w:rsidRPr="006C5661">
              <w:rPr>
                <w:sz w:val="20"/>
              </w:rPr>
              <w:t>Dējējvistas</w:t>
            </w:r>
          </w:p>
        </w:tc>
        <w:tc>
          <w:tcPr>
            <w:tcW w:w="1950" w:type="pct"/>
            <w:tcBorders>
              <w:top w:val="nil"/>
              <w:left w:val="nil"/>
              <w:bottom w:val="nil"/>
              <w:right w:val="nil"/>
            </w:tcBorders>
          </w:tcPr>
          <w:p w14:paraId="443BEA45" w14:textId="77777777" w:rsidR="008E3F72" w:rsidRPr="006C5661" w:rsidRDefault="008E3F72" w:rsidP="006C5661">
            <w:pPr>
              <w:pStyle w:val="TableParagraph"/>
              <w:keepNext/>
              <w:widowControl/>
              <w:kinsoku w:val="0"/>
              <w:overflowPunct w:val="0"/>
              <w:jc w:val="both"/>
              <w:rPr>
                <w:noProof/>
                <w:sz w:val="20"/>
              </w:rPr>
            </w:pPr>
            <w:r w:rsidRPr="006C5661">
              <w:rPr>
                <w:sz w:val="20"/>
              </w:rPr>
              <w:t>18–40 nedēļas</w:t>
            </w:r>
          </w:p>
        </w:tc>
        <w:tc>
          <w:tcPr>
            <w:tcW w:w="1418" w:type="pct"/>
            <w:tcBorders>
              <w:top w:val="nil"/>
              <w:left w:val="nil"/>
              <w:bottom w:val="nil"/>
              <w:right w:val="nil"/>
            </w:tcBorders>
          </w:tcPr>
          <w:p w14:paraId="49973BF9" w14:textId="77777777" w:rsidR="008E3F72" w:rsidRPr="006C5661" w:rsidRDefault="008E3F72" w:rsidP="006C5661">
            <w:pPr>
              <w:pStyle w:val="TableParagraph"/>
              <w:keepNext/>
              <w:widowControl/>
              <w:kinsoku w:val="0"/>
              <w:overflowPunct w:val="0"/>
              <w:jc w:val="both"/>
              <w:rPr>
                <w:noProof/>
                <w:sz w:val="20"/>
              </w:rPr>
            </w:pPr>
            <w:r w:rsidRPr="006C5661">
              <w:rPr>
                <w:sz w:val="20"/>
              </w:rPr>
              <w:t>15,5–16,5</w:t>
            </w:r>
          </w:p>
        </w:tc>
      </w:tr>
      <w:tr w:rsidR="008E3F72" w:rsidRPr="006C5661" w14:paraId="41BE1577" w14:textId="77777777" w:rsidTr="0010018A">
        <w:tc>
          <w:tcPr>
            <w:tcW w:w="1632" w:type="pct"/>
            <w:tcBorders>
              <w:top w:val="nil"/>
              <w:left w:val="nil"/>
              <w:bottom w:val="nil"/>
              <w:right w:val="nil"/>
            </w:tcBorders>
          </w:tcPr>
          <w:p w14:paraId="6080D9CC" w14:textId="77777777" w:rsidR="008E3F72" w:rsidRPr="006C5661" w:rsidRDefault="008E3F72" w:rsidP="006C5661">
            <w:pPr>
              <w:keepNext/>
              <w:widowControl/>
              <w:jc w:val="both"/>
              <w:rPr>
                <w:noProof/>
                <w:sz w:val="20"/>
              </w:rPr>
            </w:pPr>
          </w:p>
        </w:tc>
        <w:tc>
          <w:tcPr>
            <w:tcW w:w="1950" w:type="pct"/>
            <w:tcBorders>
              <w:top w:val="nil"/>
              <w:left w:val="nil"/>
              <w:bottom w:val="nil"/>
              <w:right w:val="nil"/>
            </w:tcBorders>
          </w:tcPr>
          <w:p w14:paraId="4A3062AA" w14:textId="77777777" w:rsidR="008E3F72" w:rsidRPr="006C5661" w:rsidRDefault="008E3F72" w:rsidP="006C5661">
            <w:pPr>
              <w:pStyle w:val="TableParagraph"/>
              <w:keepNext/>
              <w:widowControl/>
              <w:kinsoku w:val="0"/>
              <w:overflowPunct w:val="0"/>
              <w:jc w:val="both"/>
              <w:rPr>
                <w:noProof/>
                <w:sz w:val="20"/>
              </w:rPr>
            </w:pPr>
            <w:r w:rsidRPr="006C5661">
              <w:rPr>
                <w:sz w:val="20"/>
              </w:rPr>
              <w:t>40+ nedēļas</w:t>
            </w:r>
          </w:p>
        </w:tc>
        <w:tc>
          <w:tcPr>
            <w:tcW w:w="1418" w:type="pct"/>
            <w:tcBorders>
              <w:top w:val="nil"/>
              <w:left w:val="nil"/>
              <w:bottom w:val="nil"/>
              <w:right w:val="nil"/>
            </w:tcBorders>
          </w:tcPr>
          <w:p w14:paraId="3D4601C1" w14:textId="77777777" w:rsidR="008E3F72" w:rsidRPr="006C5661" w:rsidRDefault="008E3F72" w:rsidP="006C5661">
            <w:pPr>
              <w:pStyle w:val="TableParagraph"/>
              <w:keepNext/>
              <w:widowControl/>
              <w:kinsoku w:val="0"/>
              <w:overflowPunct w:val="0"/>
              <w:jc w:val="both"/>
              <w:rPr>
                <w:noProof/>
                <w:sz w:val="20"/>
              </w:rPr>
            </w:pPr>
            <w:r w:rsidRPr="006C5661">
              <w:rPr>
                <w:sz w:val="20"/>
              </w:rPr>
              <w:t>14,5–15,5</w:t>
            </w:r>
          </w:p>
        </w:tc>
      </w:tr>
      <w:tr w:rsidR="008E3F72" w:rsidRPr="006C5661" w14:paraId="5C07957B" w14:textId="77777777" w:rsidTr="0010018A">
        <w:tc>
          <w:tcPr>
            <w:tcW w:w="1632" w:type="pct"/>
            <w:tcBorders>
              <w:top w:val="nil"/>
              <w:left w:val="nil"/>
              <w:bottom w:val="nil"/>
              <w:right w:val="nil"/>
            </w:tcBorders>
          </w:tcPr>
          <w:p w14:paraId="344A5398" w14:textId="77777777" w:rsidR="008E3F72" w:rsidRPr="006C5661" w:rsidRDefault="008E3F72" w:rsidP="006C5661">
            <w:pPr>
              <w:pStyle w:val="TableParagraph"/>
              <w:keepNext/>
              <w:widowControl/>
              <w:kinsoku w:val="0"/>
              <w:overflowPunct w:val="0"/>
              <w:jc w:val="both"/>
              <w:rPr>
                <w:noProof/>
                <w:sz w:val="20"/>
              </w:rPr>
            </w:pPr>
            <w:r w:rsidRPr="006C5661">
              <w:rPr>
                <w:sz w:val="20"/>
              </w:rPr>
              <w:t>Tītari</w:t>
            </w:r>
          </w:p>
        </w:tc>
        <w:tc>
          <w:tcPr>
            <w:tcW w:w="1950" w:type="pct"/>
            <w:tcBorders>
              <w:top w:val="nil"/>
              <w:left w:val="nil"/>
              <w:bottom w:val="nil"/>
              <w:right w:val="nil"/>
            </w:tcBorders>
          </w:tcPr>
          <w:p w14:paraId="2275AE22" w14:textId="77777777" w:rsidR="008E3F72" w:rsidRPr="006C5661" w:rsidRDefault="008E3F72" w:rsidP="006C5661">
            <w:pPr>
              <w:pStyle w:val="TableParagraph"/>
              <w:keepNext/>
              <w:widowControl/>
              <w:kinsoku w:val="0"/>
              <w:overflowPunct w:val="0"/>
              <w:jc w:val="both"/>
              <w:rPr>
                <w:noProof/>
                <w:sz w:val="20"/>
              </w:rPr>
            </w:pPr>
            <w:r w:rsidRPr="006C5661">
              <w:rPr>
                <w:sz w:val="20"/>
              </w:rPr>
              <w:t>&lt; 4 nedēļas</w:t>
            </w:r>
          </w:p>
        </w:tc>
        <w:tc>
          <w:tcPr>
            <w:tcW w:w="1418" w:type="pct"/>
            <w:tcBorders>
              <w:top w:val="nil"/>
              <w:left w:val="nil"/>
              <w:bottom w:val="nil"/>
              <w:right w:val="nil"/>
            </w:tcBorders>
          </w:tcPr>
          <w:p w14:paraId="17A625DF" w14:textId="77777777" w:rsidR="008E3F72" w:rsidRPr="006C5661" w:rsidRDefault="008E3F72" w:rsidP="006C5661">
            <w:pPr>
              <w:pStyle w:val="TableParagraph"/>
              <w:keepNext/>
              <w:widowControl/>
              <w:kinsoku w:val="0"/>
              <w:overflowPunct w:val="0"/>
              <w:jc w:val="both"/>
              <w:rPr>
                <w:noProof/>
                <w:sz w:val="20"/>
              </w:rPr>
            </w:pPr>
            <w:r w:rsidRPr="006C5661">
              <w:rPr>
                <w:sz w:val="20"/>
              </w:rPr>
              <w:t>24–27</w:t>
            </w:r>
          </w:p>
        </w:tc>
      </w:tr>
      <w:tr w:rsidR="008E3F72" w:rsidRPr="006C5661" w14:paraId="459F0C45" w14:textId="77777777" w:rsidTr="0010018A">
        <w:tc>
          <w:tcPr>
            <w:tcW w:w="1632" w:type="pct"/>
            <w:tcBorders>
              <w:top w:val="nil"/>
              <w:left w:val="nil"/>
              <w:bottom w:val="nil"/>
              <w:right w:val="nil"/>
            </w:tcBorders>
          </w:tcPr>
          <w:p w14:paraId="29FE75BD" w14:textId="77777777" w:rsidR="008E3F72" w:rsidRPr="006C5661" w:rsidRDefault="008E3F72" w:rsidP="006C5661">
            <w:pPr>
              <w:keepNext/>
              <w:widowControl/>
              <w:jc w:val="both"/>
              <w:rPr>
                <w:noProof/>
                <w:sz w:val="20"/>
              </w:rPr>
            </w:pPr>
          </w:p>
        </w:tc>
        <w:tc>
          <w:tcPr>
            <w:tcW w:w="1950" w:type="pct"/>
            <w:tcBorders>
              <w:top w:val="nil"/>
              <w:left w:val="nil"/>
              <w:bottom w:val="nil"/>
              <w:right w:val="nil"/>
            </w:tcBorders>
          </w:tcPr>
          <w:p w14:paraId="21F79646" w14:textId="77777777" w:rsidR="008E3F72" w:rsidRPr="006C5661" w:rsidRDefault="008E3F72" w:rsidP="006C5661">
            <w:pPr>
              <w:pStyle w:val="TableParagraph"/>
              <w:keepNext/>
              <w:widowControl/>
              <w:kinsoku w:val="0"/>
              <w:overflowPunct w:val="0"/>
              <w:jc w:val="both"/>
              <w:rPr>
                <w:noProof/>
                <w:sz w:val="20"/>
              </w:rPr>
            </w:pPr>
            <w:r w:rsidRPr="006C5661">
              <w:rPr>
                <w:sz w:val="20"/>
              </w:rPr>
              <w:t>5–8 nedēļas</w:t>
            </w:r>
          </w:p>
        </w:tc>
        <w:tc>
          <w:tcPr>
            <w:tcW w:w="1418" w:type="pct"/>
            <w:tcBorders>
              <w:top w:val="nil"/>
              <w:left w:val="nil"/>
              <w:bottom w:val="nil"/>
              <w:right w:val="nil"/>
            </w:tcBorders>
          </w:tcPr>
          <w:p w14:paraId="324CC144" w14:textId="77777777" w:rsidR="008E3F72" w:rsidRPr="006C5661" w:rsidRDefault="008E3F72" w:rsidP="006C5661">
            <w:pPr>
              <w:pStyle w:val="TableParagraph"/>
              <w:keepNext/>
              <w:widowControl/>
              <w:kinsoku w:val="0"/>
              <w:overflowPunct w:val="0"/>
              <w:jc w:val="both"/>
              <w:rPr>
                <w:noProof/>
                <w:sz w:val="20"/>
              </w:rPr>
            </w:pPr>
            <w:r w:rsidRPr="006C5661">
              <w:rPr>
                <w:sz w:val="20"/>
              </w:rPr>
              <w:t>22–24</w:t>
            </w:r>
          </w:p>
        </w:tc>
      </w:tr>
      <w:tr w:rsidR="008E3F72" w:rsidRPr="006C5661" w14:paraId="525A5567" w14:textId="77777777" w:rsidTr="0010018A">
        <w:tc>
          <w:tcPr>
            <w:tcW w:w="1632" w:type="pct"/>
            <w:tcBorders>
              <w:top w:val="nil"/>
              <w:left w:val="nil"/>
              <w:bottom w:val="nil"/>
              <w:right w:val="nil"/>
            </w:tcBorders>
          </w:tcPr>
          <w:p w14:paraId="01A6803F" w14:textId="77777777" w:rsidR="008E3F72" w:rsidRPr="006C5661" w:rsidRDefault="008E3F72" w:rsidP="006C5661">
            <w:pPr>
              <w:keepNext/>
              <w:widowControl/>
              <w:jc w:val="both"/>
              <w:rPr>
                <w:noProof/>
                <w:sz w:val="20"/>
              </w:rPr>
            </w:pPr>
          </w:p>
        </w:tc>
        <w:tc>
          <w:tcPr>
            <w:tcW w:w="1950" w:type="pct"/>
            <w:tcBorders>
              <w:top w:val="nil"/>
              <w:left w:val="nil"/>
              <w:bottom w:val="nil"/>
              <w:right w:val="nil"/>
            </w:tcBorders>
          </w:tcPr>
          <w:p w14:paraId="6B92A7CF" w14:textId="77777777" w:rsidR="008E3F72" w:rsidRPr="006C5661" w:rsidRDefault="008E3F72" w:rsidP="006C5661">
            <w:pPr>
              <w:pStyle w:val="TableParagraph"/>
              <w:keepNext/>
              <w:widowControl/>
              <w:kinsoku w:val="0"/>
              <w:overflowPunct w:val="0"/>
              <w:jc w:val="both"/>
              <w:rPr>
                <w:noProof/>
                <w:sz w:val="20"/>
              </w:rPr>
            </w:pPr>
            <w:r w:rsidRPr="006C5661">
              <w:rPr>
                <w:sz w:val="20"/>
              </w:rPr>
              <w:t>9–12 nedēļas</w:t>
            </w:r>
          </w:p>
        </w:tc>
        <w:tc>
          <w:tcPr>
            <w:tcW w:w="1418" w:type="pct"/>
            <w:tcBorders>
              <w:top w:val="nil"/>
              <w:left w:val="nil"/>
              <w:bottom w:val="nil"/>
              <w:right w:val="nil"/>
            </w:tcBorders>
          </w:tcPr>
          <w:p w14:paraId="743C8F82" w14:textId="77777777" w:rsidR="008E3F72" w:rsidRPr="006C5661" w:rsidRDefault="008E3F72" w:rsidP="006C5661">
            <w:pPr>
              <w:pStyle w:val="TableParagraph"/>
              <w:keepNext/>
              <w:widowControl/>
              <w:kinsoku w:val="0"/>
              <w:overflowPunct w:val="0"/>
              <w:jc w:val="both"/>
              <w:rPr>
                <w:noProof/>
                <w:sz w:val="20"/>
              </w:rPr>
            </w:pPr>
            <w:r w:rsidRPr="006C5661">
              <w:rPr>
                <w:sz w:val="20"/>
              </w:rPr>
              <w:t>19–21</w:t>
            </w:r>
          </w:p>
        </w:tc>
      </w:tr>
      <w:tr w:rsidR="008E3F72" w:rsidRPr="006C5661" w14:paraId="70CA0B88" w14:textId="77777777" w:rsidTr="0010018A">
        <w:tc>
          <w:tcPr>
            <w:tcW w:w="1632" w:type="pct"/>
            <w:tcBorders>
              <w:top w:val="nil"/>
              <w:left w:val="nil"/>
              <w:bottom w:val="nil"/>
              <w:right w:val="nil"/>
            </w:tcBorders>
          </w:tcPr>
          <w:p w14:paraId="6E8B2EE6" w14:textId="77777777" w:rsidR="008E3F72" w:rsidRPr="006C5661" w:rsidRDefault="008E3F72" w:rsidP="006C5661">
            <w:pPr>
              <w:keepNext/>
              <w:widowControl/>
              <w:jc w:val="both"/>
              <w:rPr>
                <w:noProof/>
                <w:sz w:val="20"/>
              </w:rPr>
            </w:pPr>
          </w:p>
        </w:tc>
        <w:tc>
          <w:tcPr>
            <w:tcW w:w="1950" w:type="pct"/>
            <w:tcBorders>
              <w:top w:val="nil"/>
              <w:left w:val="nil"/>
              <w:bottom w:val="nil"/>
              <w:right w:val="nil"/>
            </w:tcBorders>
          </w:tcPr>
          <w:p w14:paraId="6C932FA1" w14:textId="77777777" w:rsidR="008E3F72" w:rsidRPr="006C5661" w:rsidRDefault="008E3F72" w:rsidP="006C5661">
            <w:pPr>
              <w:pStyle w:val="TableParagraph"/>
              <w:keepNext/>
              <w:widowControl/>
              <w:kinsoku w:val="0"/>
              <w:overflowPunct w:val="0"/>
              <w:jc w:val="both"/>
              <w:rPr>
                <w:noProof/>
                <w:sz w:val="20"/>
              </w:rPr>
            </w:pPr>
            <w:r w:rsidRPr="006C5661">
              <w:rPr>
                <w:sz w:val="20"/>
              </w:rPr>
              <w:t>13+ nedēļas</w:t>
            </w:r>
          </w:p>
        </w:tc>
        <w:tc>
          <w:tcPr>
            <w:tcW w:w="1418" w:type="pct"/>
            <w:tcBorders>
              <w:top w:val="nil"/>
              <w:left w:val="nil"/>
              <w:bottom w:val="nil"/>
              <w:right w:val="nil"/>
            </w:tcBorders>
          </w:tcPr>
          <w:p w14:paraId="659719EA" w14:textId="77777777" w:rsidR="008E3F72" w:rsidRPr="006C5661" w:rsidRDefault="008E3F72" w:rsidP="006C5661">
            <w:pPr>
              <w:pStyle w:val="TableParagraph"/>
              <w:keepNext/>
              <w:widowControl/>
              <w:kinsoku w:val="0"/>
              <w:overflowPunct w:val="0"/>
              <w:jc w:val="both"/>
              <w:rPr>
                <w:noProof/>
                <w:sz w:val="20"/>
              </w:rPr>
            </w:pPr>
            <w:r w:rsidRPr="006C5661">
              <w:rPr>
                <w:sz w:val="20"/>
              </w:rPr>
              <w:t>16–19</w:t>
            </w:r>
          </w:p>
        </w:tc>
      </w:tr>
      <w:tr w:rsidR="008E3F72" w:rsidRPr="006C5661" w14:paraId="215E8F34" w14:textId="77777777" w:rsidTr="0010018A">
        <w:tc>
          <w:tcPr>
            <w:tcW w:w="1632" w:type="pct"/>
            <w:tcBorders>
              <w:top w:val="nil"/>
              <w:left w:val="nil"/>
              <w:bottom w:val="single" w:sz="12" w:space="0" w:color="000000"/>
              <w:right w:val="nil"/>
            </w:tcBorders>
          </w:tcPr>
          <w:p w14:paraId="12296555" w14:textId="77777777" w:rsidR="008E3F72" w:rsidRPr="006C5661" w:rsidRDefault="008E3F72" w:rsidP="006C5661">
            <w:pPr>
              <w:keepNext/>
              <w:widowControl/>
              <w:jc w:val="both"/>
              <w:rPr>
                <w:noProof/>
                <w:sz w:val="20"/>
              </w:rPr>
            </w:pPr>
          </w:p>
        </w:tc>
        <w:tc>
          <w:tcPr>
            <w:tcW w:w="1950" w:type="pct"/>
            <w:tcBorders>
              <w:top w:val="nil"/>
              <w:left w:val="nil"/>
              <w:bottom w:val="single" w:sz="12" w:space="0" w:color="000000"/>
              <w:right w:val="nil"/>
            </w:tcBorders>
          </w:tcPr>
          <w:p w14:paraId="59212A58" w14:textId="77777777" w:rsidR="008E3F72" w:rsidRPr="006C5661" w:rsidRDefault="008E3F72" w:rsidP="006C5661">
            <w:pPr>
              <w:pStyle w:val="TableParagraph"/>
              <w:keepNext/>
              <w:widowControl/>
              <w:kinsoku w:val="0"/>
              <w:overflowPunct w:val="0"/>
              <w:jc w:val="both"/>
              <w:rPr>
                <w:noProof/>
                <w:sz w:val="20"/>
              </w:rPr>
            </w:pPr>
            <w:r w:rsidRPr="006C5661">
              <w:rPr>
                <w:sz w:val="20"/>
              </w:rPr>
              <w:t>16+ nedēļas</w:t>
            </w:r>
          </w:p>
        </w:tc>
        <w:tc>
          <w:tcPr>
            <w:tcW w:w="1418" w:type="pct"/>
            <w:tcBorders>
              <w:top w:val="nil"/>
              <w:left w:val="nil"/>
              <w:bottom w:val="single" w:sz="12" w:space="0" w:color="000000"/>
              <w:right w:val="nil"/>
            </w:tcBorders>
          </w:tcPr>
          <w:p w14:paraId="68626236" w14:textId="77777777" w:rsidR="008E3F72" w:rsidRPr="006C5661" w:rsidRDefault="008E3F72" w:rsidP="006C5661">
            <w:pPr>
              <w:pStyle w:val="TableParagraph"/>
              <w:keepNext/>
              <w:widowControl/>
              <w:kinsoku w:val="0"/>
              <w:overflowPunct w:val="0"/>
              <w:jc w:val="both"/>
              <w:rPr>
                <w:noProof/>
                <w:sz w:val="20"/>
              </w:rPr>
            </w:pPr>
            <w:r w:rsidRPr="006C5661">
              <w:rPr>
                <w:sz w:val="20"/>
              </w:rPr>
              <w:t>14–17</w:t>
            </w:r>
          </w:p>
        </w:tc>
      </w:tr>
    </w:tbl>
    <w:p w14:paraId="43A892B6" w14:textId="77777777" w:rsidR="008E3F72" w:rsidRPr="00F35F4D" w:rsidRDefault="008E3F72" w:rsidP="006C5661">
      <w:pPr>
        <w:pStyle w:val="BodyText"/>
        <w:keepNext/>
        <w:widowControl/>
        <w:kinsoku w:val="0"/>
        <w:overflowPunct w:val="0"/>
        <w:spacing w:before="0"/>
        <w:ind w:left="0"/>
        <w:jc w:val="both"/>
        <w:rPr>
          <w:i/>
          <w:iCs/>
          <w:noProof/>
          <w:sz w:val="24"/>
          <w:szCs w:val="24"/>
        </w:rPr>
      </w:pPr>
    </w:p>
    <w:p w14:paraId="35111B45" w14:textId="77777777" w:rsidR="008E3F72" w:rsidRPr="00F35F4D" w:rsidRDefault="008E3F72" w:rsidP="006C5661">
      <w:pPr>
        <w:pStyle w:val="BodyText"/>
        <w:keepNext/>
        <w:widowControl/>
        <w:kinsoku w:val="0"/>
        <w:overflowPunct w:val="0"/>
        <w:spacing w:before="0"/>
        <w:ind w:left="0"/>
        <w:jc w:val="both"/>
        <w:rPr>
          <w:noProof/>
          <w:sz w:val="24"/>
          <w:szCs w:val="24"/>
        </w:rPr>
      </w:pPr>
      <w:r w:rsidRPr="00F35F4D">
        <w:rPr>
          <w:i/>
          <w:noProof/>
          <w:sz w:val="24"/>
          <w:vertAlign w:val="superscript"/>
        </w:rPr>
        <w:t xml:space="preserve">a </w:t>
      </w:r>
      <w:r w:rsidRPr="00F35F4D">
        <w:rPr>
          <w:noProof/>
          <w:sz w:val="24"/>
        </w:rPr>
        <w:t>Ja nodrošināta pareizi līdzsvarota un optimāla aminoskābju deva.</w:t>
      </w:r>
    </w:p>
    <w:p w14:paraId="6C500705" w14:textId="77777777" w:rsidR="008E3F72" w:rsidRPr="00F35F4D" w:rsidRDefault="008E3F72" w:rsidP="008E3F72">
      <w:pPr>
        <w:pStyle w:val="BodyText"/>
        <w:widowControl/>
        <w:kinsoku w:val="0"/>
        <w:overflowPunct w:val="0"/>
        <w:spacing w:before="0"/>
        <w:ind w:left="0"/>
        <w:jc w:val="both"/>
        <w:rPr>
          <w:noProof/>
          <w:sz w:val="24"/>
          <w:szCs w:val="24"/>
        </w:rPr>
      </w:pPr>
    </w:p>
    <w:p w14:paraId="552A4CAB" w14:textId="246355B7" w:rsidR="008E3F72" w:rsidRPr="006C5661" w:rsidRDefault="006C5661" w:rsidP="006C5661">
      <w:pPr>
        <w:pStyle w:val="Heading3"/>
        <w:widowControl/>
        <w:tabs>
          <w:tab w:val="left" w:pos="859"/>
        </w:tabs>
        <w:kinsoku w:val="0"/>
        <w:overflowPunct w:val="0"/>
        <w:ind w:left="0" w:firstLine="0"/>
        <w:jc w:val="both"/>
        <w:rPr>
          <w:rFonts w:ascii="Times New Roman" w:hAnsi="Times New Roman" w:cs="Times New Roman"/>
          <w:noProof/>
          <w:color w:val="0D0D0D"/>
          <w:szCs w:val="24"/>
        </w:rPr>
      </w:pPr>
      <w:bookmarkStart w:id="33" w:name="_Toc426033284"/>
      <w:r w:rsidRPr="006C5661">
        <w:rPr>
          <w:rFonts w:ascii="Times New Roman" w:hAnsi="Times New Roman" w:cs="Times New Roman"/>
          <w:noProof/>
          <w:color w:val="0D0D0D"/>
        </w:rPr>
        <w:t>E</w:t>
      </w:r>
      <w:r w:rsidR="00D9748E">
        <w:rPr>
          <w:rFonts w:ascii="Times New Roman" w:hAnsi="Times New Roman" w:cs="Times New Roman"/>
          <w:noProof/>
          <w:color w:val="0D0D0D"/>
        </w:rPr>
        <w:t xml:space="preserve"> Kopsavilkums par ēdināšanas</w:t>
      </w:r>
      <w:r w:rsidR="008E3F72" w:rsidRPr="006C5661">
        <w:rPr>
          <w:rFonts w:ascii="Times New Roman" w:hAnsi="Times New Roman" w:cs="Times New Roman"/>
          <w:noProof/>
          <w:color w:val="0D0D0D"/>
        </w:rPr>
        <w:t xml:space="preserve"> stratēģijām</w:t>
      </w:r>
      <w:bookmarkEnd w:id="33"/>
    </w:p>
    <w:p w14:paraId="52CC0DB8" w14:textId="77777777" w:rsidR="008E3F72" w:rsidRPr="00F35F4D" w:rsidRDefault="008E3F72" w:rsidP="008E3F72">
      <w:pPr>
        <w:rPr>
          <w:noProof/>
        </w:rPr>
      </w:pPr>
    </w:p>
    <w:p w14:paraId="79371E43" w14:textId="1BD90994"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Viens no rentablākajiem un stratēģiski pamatotākajiem NH3 emisijas samazinā</w:t>
      </w:r>
      <w:r w:rsidR="00D9748E">
        <w:rPr>
          <w:noProof/>
          <w:sz w:val="24"/>
        </w:rPr>
        <w:t>šanas veidiem ir dzīvnieku ēdināšana</w:t>
      </w:r>
      <w:r w:rsidRPr="00F35F4D">
        <w:rPr>
          <w:noProof/>
          <w:sz w:val="24"/>
        </w:rPr>
        <w:t xml:space="preserve"> ar barību, kurā ir zems olbaltumvielu saturs. Katrs procents (absolūtā izteiksmē), par kuru samazina olbaltumvielu saturu dzīvnieku barībā, samazina NH3 emisiju no dzīvnieku novietnēm, kūtsmēslu krātuvēm un kūtsmēslu izmantošanas zemes mēslošanai par 5–15 % atkarībā arī no pH līmeņa urīnā un fekālijās. Dzīvnieku barība ar zemu olbaltumvielu saturu samazina arī N2O emisiju un paaugstina N izmantošanas efektivitāti lauksaimniecības dzīvnieku audzēšanā. Turklāt tā neietekmē dzīvnieku veselību un labturību, ja vien tiek nodrošinātas vajadzības pēc visām aminoskābēm.</w:t>
      </w:r>
    </w:p>
    <w:p w14:paraId="677EC6C7"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5290E90C" w14:textId="66137657"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 xml:space="preserve">Dzīvnieku barība ar zemu olbaltumvielu saturu visvairāk ir attiecināma uz novietnēs turētiem dzīvniekiem un mazāk – uz ganību saimniecībām, jo zālē agrīnā fizioloģiskās augšanas stadijā un zāles platībās, kurās ir daudz pākšaugu sugu (piemēram, āboliņš un lucerna), ir relatīvi daudz olbaltumvielu. Tomēr ir arī stratēģijas, ar kurām var samazināt olbaltumvielu saturu zālē (līdzsvarota mēslošana ar slāpekli, zāles noganīšana/nopļaušana fizioloģiskās augšanas vēlākās stadijās utt.), kā arī visā barības devā, kas tiek nodrošināta </w:t>
      </w:r>
      <w:r w:rsidR="00D9748E">
        <w:rPr>
          <w:noProof/>
          <w:sz w:val="24"/>
        </w:rPr>
        <w:t>ganību sistēmā (papildu ēdināšana</w:t>
      </w:r>
      <w:r w:rsidRPr="00F35F4D">
        <w:rPr>
          <w:noProof/>
          <w:sz w:val="24"/>
        </w:rPr>
        <w:t xml:space="preserve"> ar barību, kurā ir zems olbaltumvielu saturs), bet šīs stratēģijas ne vienmēr var pilnībā piemērot.</w:t>
      </w:r>
    </w:p>
    <w:p w14:paraId="059CA0BB"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1C49632E" w14:textId="29E05C60"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AII.5. tabulā ir norādīti KP mērķvērtību diapazoni dažādām dzīvnieku kategorijām un trim NH3 emisiju samazinājuma līmeņiem, kurus var izvēlēties par mērķi. Augstākie NH3 emisiju samazinājuma mērķi saistās ar zemākajiem KP vērtību diapazoniem labākās prakses n</w:t>
      </w:r>
      <w:r w:rsidR="00D9748E">
        <w:rPr>
          <w:noProof/>
          <w:sz w:val="24"/>
        </w:rPr>
        <w:t>odrošināšanai barības apsaimniekošanā</w:t>
      </w:r>
      <w:r w:rsidRPr="00F35F4D">
        <w:rPr>
          <w:noProof/>
          <w:sz w:val="24"/>
        </w:rPr>
        <w:t xml:space="preserve"> un d</w:t>
      </w:r>
      <w:r w:rsidR="00D9748E">
        <w:rPr>
          <w:noProof/>
          <w:sz w:val="24"/>
        </w:rPr>
        <w:t>zīvnieku ēdināšanā</w:t>
      </w:r>
      <w:r w:rsidRPr="00F35F4D">
        <w:rPr>
          <w:noProof/>
          <w:sz w:val="24"/>
        </w:rPr>
        <w:t xml:space="preserve"> ar barību, kurā ir maz olbaltumvielu. Šīs vērtības ir vairākkārt pārbaudītas pētījumos, un ir pierādījumi par to pamatotību praksē. Vidējās un zemās KP mērķvērtības ir atvasinātas no augstākā līmeņa mērķiem, vienkārši paaugstinot KP daudzuma mērķvērtību par vienu procentpunktu. Sasniedzamais mērķis dzīvniekiem, kas tiek turēti novietnēs, ir atkar</w:t>
      </w:r>
      <w:r w:rsidR="00D9748E">
        <w:rPr>
          <w:noProof/>
          <w:sz w:val="24"/>
        </w:rPr>
        <w:t>īgs no lauksaimnieka apsaimniekošanas</w:t>
      </w:r>
      <w:r w:rsidRPr="00F35F4D">
        <w:rPr>
          <w:noProof/>
          <w:sz w:val="24"/>
        </w:rPr>
        <w:t xml:space="preserve"> prasmes un zema olbaltumvielu satura dzīvnieku barības, tostarp sintētisko aminoskābju, pieejamības.</w:t>
      </w:r>
    </w:p>
    <w:p w14:paraId="6D2711F2"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466E8BD1" w14:textId="2312BF51"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lastRenderedPageBreak/>
        <w:t>NH3 emisiju samazinājuma augstākos mērķus, kas norādīti AII.5. tabulā, var būt grūti sasniegt, ja barības kvalitāte ir zema (tajā ir daudz šķiedrvielu, un barība ir grūti sagremojama). Šajos apstākļos sagremojamību var paaugstināt, pievienojot īpašas barības piedevas</w:t>
      </w:r>
      <w:r w:rsidR="00D9748E">
        <w:rPr>
          <w:noProof/>
          <w:sz w:val="24"/>
        </w:rPr>
        <w:t>. Atgremotājiem</w:t>
      </w:r>
      <w:r w:rsidRPr="00F35F4D">
        <w:rPr>
          <w:noProof/>
          <w:sz w:val="24"/>
        </w:rPr>
        <w:t xml:space="preserve"> un arī cūkām (īpaši sivēnmātēm) ir vajadzīgs minimāls šķiedrvielu daudzums barībā, lai nodrošinātu pareizu spurekļa darbību un ievērotu labturības apsvērumus.</w:t>
      </w:r>
    </w:p>
    <w:p w14:paraId="03BBDAEE"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19F69BEF" w14:textId="77777777" w:rsidR="008E3F72" w:rsidRPr="006C5661" w:rsidRDefault="008E3F72" w:rsidP="008E3F72">
      <w:pPr>
        <w:pStyle w:val="BodyText"/>
        <w:widowControl/>
        <w:numPr>
          <w:ilvl w:val="0"/>
          <w:numId w:val="2"/>
        </w:numPr>
        <w:tabs>
          <w:tab w:val="left" w:pos="859"/>
        </w:tabs>
        <w:kinsoku w:val="0"/>
        <w:overflowPunct w:val="0"/>
        <w:spacing w:before="0"/>
        <w:ind w:left="0" w:firstLine="0"/>
        <w:jc w:val="both"/>
        <w:rPr>
          <w:noProof/>
          <w:sz w:val="24"/>
          <w:szCs w:val="24"/>
        </w:rPr>
      </w:pPr>
      <w:r w:rsidRPr="00F35F4D">
        <w:rPr>
          <w:noProof/>
          <w:sz w:val="24"/>
        </w:rPr>
        <w:t>Īpašu gaļas (un piena) produktu ražošanai ieteicamais olbaltumvielu daudzums dzīvnieku barībā, kas paredzēta konkrētai dzīvnieku kategorijai, var būt mazliet virs AII.5. tabulā norādīto diapazonu augstākajām vērtībām.</w:t>
      </w:r>
    </w:p>
    <w:p w14:paraId="7025C328"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24C8CC7C" w14:textId="351BDEAB" w:rsidR="008E3F72" w:rsidRPr="006C5661" w:rsidRDefault="00E82BD7" w:rsidP="008E3F72">
      <w:pPr>
        <w:pStyle w:val="BodyText"/>
        <w:widowControl/>
        <w:numPr>
          <w:ilvl w:val="0"/>
          <w:numId w:val="2"/>
        </w:numPr>
        <w:tabs>
          <w:tab w:val="left" w:pos="859"/>
        </w:tabs>
        <w:kinsoku w:val="0"/>
        <w:overflowPunct w:val="0"/>
        <w:spacing w:before="0"/>
        <w:ind w:left="0" w:firstLine="0"/>
        <w:jc w:val="both"/>
        <w:rPr>
          <w:noProof/>
          <w:sz w:val="24"/>
          <w:szCs w:val="24"/>
        </w:rPr>
      </w:pPr>
      <w:r>
        <w:rPr>
          <w:noProof/>
          <w:sz w:val="24"/>
        </w:rPr>
        <w:t>Dzīvnieku ēdināšanas</w:t>
      </w:r>
      <w:r w:rsidR="008E3F72" w:rsidRPr="00F35F4D">
        <w:rPr>
          <w:noProof/>
          <w:sz w:val="24"/>
        </w:rPr>
        <w:t xml:space="preserve"> stratēģiju ekonomiskās izmaksas NH3 emisijas intensitātes samazināšanai no dzīvnieku ekskrementiem, pielāgojot KP saturu, katjonu-anjonu līdzsvaru un NCP saturu (piemēram, cukurbiešu masa, sojas pupu apvalki), ir atkarīgas no barības sākotnējām sastāvdaļām un barības sastāvdaļu cenām tirgū. Kopumā ekonomiskās izmaksas ir no -2 līdz +2 € par ietaupītā N kilogramu, t. i., iespējams gan tīrais ieguvums, gan tīrās izmaksas. Parasti ekonomiskās izmaksas palielinās, paaugstinot NH3 emisijas samazinājuma potenciāla mērķvērtību. Robežizmaksu palielināšanās daļēji saistās ar izmaksām par sintētisko aminoskābju piedevām salīdzinājumā ar izmaksām, kas rodas, izmantojot sojas pupas. Ekonomiskās izmaksas ir atkarīgas no pasaules tirgus cenām par šīm aminoskābēm un sojas pupām, bet aminoskābju piedevu cenām ir tendence palielināties. Izmaksas par aminoskābju piedevām palielinās tad, kad olbaltumvielu mērķlīmeni dzīvnieku barībā pazemina. Tas ir parādīts turpmāk attiecībā uz barību, kas paredzēta nobarojamām cūkām (</w:t>
      </w:r>
      <w:r w:rsidR="008E3F72" w:rsidRPr="00F35F4D">
        <w:rPr>
          <w:i/>
          <w:noProof/>
          <w:sz w:val="24"/>
        </w:rPr>
        <w:t>Dr.</w:t>
      </w:r>
      <w:r w:rsidR="008E3F72" w:rsidRPr="00F35F4D">
        <w:rPr>
          <w:noProof/>
          <w:sz w:val="24"/>
        </w:rPr>
        <w:t xml:space="preserve"> </w:t>
      </w:r>
      <w:r w:rsidR="008E3F72" w:rsidRPr="00F35F4D">
        <w:rPr>
          <w:i/>
          <w:noProof/>
          <w:sz w:val="24"/>
        </w:rPr>
        <w:t>Andre Aarnink</w:t>
      </w:r>
      <w:r w:rsidR="008E3F72" w:rsidRPr="00F35F4D">
        <w:rPr>
          <w:noProof/>
          <w:sz w:val="24"/>
        </w:rPr>
        <w:t xml:space="preserve">, privāta saziņa, 2009. gada oktobris). Papildu informācija ir publikācijā </w:t>
      </w:r>
      <w:r w:rsidR="008E3F72" w:rsidRPr="00F35F4D">
        <w:rPr>
          <w:i/>
          <w:noProof/>
          <w:sz w:val="24"/>
        </w:rPr>
        <w:t>Reis</w:t>
      </w:r>
      <w:r w:rsidR="008E3F72" w:rsidRPr="00F35F4D">
        <w:rPr>
          <w:noProof/>
          <w:sz w:val="24"/>
        </w:rPr>
        <w:t xml:space="preserve"> (drīzumā), kas pamatojas uz semināru „Amonjaka emisijas samazinājuma ekonomiskās izmaksas” Parīzē, 2010. gada 25. un 26. oktobrī.</w:t>
      </w:r>
    </w:p>
    <w:p w14:paraId="059E1131" w14:textId="77777777" w:rsidR="006C5661" w:rsidRPr="00F35F4D" w:rsidRDefault="006C5661" w:rsidP="006C5661">
      <w:pPr>
        <w:pStyle w:val="BodyText"/>
        <w:widowControl/>
        <w:tabs>
          <w:tab w:val="left" w:pos="859"/>
        </w:tabs>
        <w:kinsoku w:val="0"/>
        <w:overflowPunct w:val="0"/>
        <w:spacing w:before="0"/>
        <w:ind w:left="0"/>
        <w:jc w:val="both"/>
        <w:rPr>
          <w:noProof/>
          <w:sz w:val="24"/>
          <w:szCs w:val="24"/>
        </w:rPr>
      </w:pPr>
    </w:p>
    <w:p w14:paraId="46596E6A" w14:textId="2B556205"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AII.5. tabula</w:t>
      </w:r>
    </w:p>
    <w:p w14:paraId="6FEDA947" w14:textId="77777777" w:rsidR="008E3F72" w:rsidRPr="00F35F4D" w:rsidRDefault="008E3F72" w:rsidP="008E3F72">
      <w:pPr>
        <w:pStyle w:val="Heading9"/>
        <w:widowControl/>
        <w:kinsoku w:val="0"/>
        <w:overflowPunct w:val="0"/>
        <w:spacing w:before="0"/>
        <w:ind w:left="0"/>
        <w:jc w:val="both"/>
        <w:rPr>
          <w:noProof/>
          <w:sz w:val="24"/>
          <w:szCs w:val="24"/>
        </w:rPr>
      </w:pPr>
      <w:r w:rsidRPr="00F35F4D">
        <w:rPr>
          <w:noProof/>
          <w:sz w:val="24"/>
        </w:rPr>
        <w:t>Iespējamās olbaltumvielu koncentrācijas mērķvērtības (procentos no sausās barības ar standarta sausnas saturu 88 %) novietnēs turētiem dzīvniekiem atkarībā no dzīvnieku kategorijas un mērķa līmeņa</w:t>
      </w:r>
    </w:p>
    <w:p w14:paraId="0B8401A8"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3964"/>
        <w:gridCol w:w="1375"/>
        <w:gridCol w:w="1724"/>
        <w:gridCol w:w="1163"/>
      </w:tblGrid>
      <w:tr w:rsidR="008E3F72" w:rsidRPr="006C5661" w14:paraId="557336AC" w14:textId="77777777" w:rsidTr="0010018A">
        <w:tc>
          <w:tcPr>
            <w:tcW w:w="5000" w:type="pct"/>
            <w:gridSpan w:val="4"/>
            <w:tcBorders>
              <w:top w:val="single" w:sz="4" w:space="0" w:color="000000"/>
              <w:left w:val="nil"/>
              <w:bottom w:val="nil"/>
              <w:right w:val="nil"/>
            </w:tcBorders>
          </w:tcPr>
          <w:p w14:paraId="62403D0E" w14:textId="77777777" w:rsidR="008E3F72" w:rsidRPr="006C5661" w:rsidRDefault="008E3F72" w:rsidP="0010018A">
            <w:pPr>
              <w:pStyle w:val="TableParagraph"/>
              <w:widowControl/>
              <w:kinsoku w:val="0"/>
              <w:overflowPunct w:val="0"/>
              <w:jc w:val="both"/>
              <w:rPr>
                <w:i/>
                <w:iCs/>
                <w:noProof/>
                <w:sz w:val="20"/>
                <w:szCs w:val="20"/>
              </w:rPr>
            </w:pPr>
            <w:r w:rsidRPr="006C5661">
              <w:rPr>
                <w:i/>
                <w:noProof/>
                <w:sz w:val="20"/>
                <w:szCs w:val="20"/>
              </w:rPr>
              <w:t xml:space="preserve">Vidējais KP daudzums dzīvnieku barībā (%) </w:t>
            </w:r>
            <w:r w:rsidRPr="006C5661">
              <w:rPr>
                <w:i/>
                <w:noProof/>
                <w:sz w:val="20"/>
                <w:szCs w:val="20"/>
                <w:vertAlign w:val="superscript"/>
              </w:rPr>
              <w:t>a</w:t>
            </w:r>
          </w:p>
        </w:tc>
      </w:tr>
      <w:tr w:rsidR="008E3F72" w:rsidRPr="006C5661" w14:paraId="7A5BC064" w14:textId="77777777" w:rsidTr="0010018A">
        <w:tc>
          <w:tcPr>
            <w:tcW w:w="2409" w:type="pct"/>
            <w:tcBorders>
              <w:top w:val="nil"/>
              <w:left w:val="nil"/>
              <w:bottom w:val="single" w:sz="12" w:space="0" w:color="000000"/>
              <w:right w:val="nil"/>
            </w:tcBorders>
          </w:tcPr>
          <w:p w14:paraId="4005569A" w14:textId="77777777" w:rsidR="008E3F72" w:rsidRPr="006C5661" w:rsidRDefault="008E3F72" w:rsidP="0010018A">
            <w:pPr>
              <w:pStyle w:val="TableParagraph"/>
              <w:widowControl/>
              <w:kinsoku w:val="0"/>
              <w:overflowPunct w:val="0"/>
              <w:jc w:val="both"/>
              <w:rPr>
                <w:i/>
                <w:iCs/>
                <w:noProof/>
                <w:sz w:val="20"/>
                <w:szCs w:val="20"/>
              </w:rPr>
            </w:pPr>
            <w:r w:rsidRPr="006C5661">
              <w:rPr>
                <w:i/>
                <w:noProof/>
                <w:sz w:val="20"/>
                <w:szCs w:val="20"/>
              </w:rPr>
              <w:t>Dzīvnieku veids</w:t>
            </w:r>
          </w:p>
        </w:tc>
        <w:tc>
          <w:tcPr>
            <w:tcW w:w="836" w:type="pct"/>
            <w:tcBorders>
              <w:top w:val="single" w:sz="4" w:space="0" w:color="000000"/>
              <w:left w:val="nil"/>
              <w:bottom w:val="single" w:sz="12" w:space="0" w:color="000000"/>
              <w:right w:val="nil"/>
            </w:tcBorders>
          </w:tcPr>
          <w:p w14:paraId="2900C79E" w14:textId="77777777" w:rsidR="008E3F72" w:rsidRPr="006C5661" w:rsidRDefault="008E3F72" w:rsidP="0010018A">
            <w:pPr>
              <w:pStyle w:val="TableParagraph"/>
              <w:widowControl/>
              <w:kinsoku w:val="0"/>
              <w:overflowPunct w:val="0"/>
              <w:jc w:val="both"/>
              <w:rPr>
                <w:i/>
                <w:iCs/>
                <w:noProof/>
                <w:sz w:val="20"/>
                <w:szCs w:val="20"/>
              </w:rPr>
            </w:pPr>
            <w:r w:rsidRPr="006C5661">
              <w:rPr>
                <w:i/>
                <w:noProof/>
                <w:sz w:val="20"/>
                <w:szCs w:val="20"/>
              </w:rPr>
              <w:t>Zems mērķis</w:t>
            </w:r>
          </w:p>
        </w:tc>
        <w:tc>
          <w:tcPr>
            <w:tcW w:w="1048" w:type="pct"/>
            <w:tcBorders>
              <w:top w:val="single" w:sz="4" w:space="0" w:color="000000"/>
              <w:left w:val="nil"/>
              <w:bottom w:val="single" w:sz="12" w:space="0" w:color="000000"/>
              <w:right w:val="nil"/>
            </w:tcBorders>
          </w:tcPr>
          <w:p w14:paraId="20202904" w14:textId="77777777" w:rsidR="008E3F72" w:rsidRPr="006C5661" w:rsidRDefault="008E3F72" w:rsidP="0010018A">
            <w:pPr>
              <w:pStyle w:val="TableParagraph"/>
              <w:widowControl/>
              <w:kinsoku w:val="0"/>
              <w:overflowPunct w:val="0"/>
              <w:jc w:val="both"/>
              <w:rPr>
                <w:i/>
                <w:iCs/>
                <w:noProof/>
                <w:sz w:val="20"/>
                <w:szCs w:val="20"/>
              </w:rPr>
            </w:pPr>
            <w:r w:rsidRPr="006C5661">
              <w:rPr>
                <w:i/>
                <w:noProof/>
                <w:sz w:val="20"/>
                <w:szCs w:val="20"/>
              </w:rPr>
              <w:t>Vidējs mērķis</w:t>
            </w:r>
          </w:p>
        </w:tc>
        <w:tc>
          <w:tcPr>
            <w:tcW w:w="708" w:type="pct"/>
            <w:tcBorders>
              <w:top w:val="single" w:sz="4" w:space="0" w:color="000000"/>
              <w:left w:val="nil"/>
              <w:bottom w:val="single" w:sz="12" w:space="0" w:color="000000"/>
              <w:right w:val="nil"/>
            </w:tcBorders>
          </w:tcPr>
          <w:p w14:paraId="0CD24989" w14:textId="77777777" w:rsidR="008E3F72" w:rsidRPr="006C5661" w:rsidRDefault="008E3F72" w:rsidP="0010018A">
            <w:pPr>
              <w:pStyle w:val="TableParagraph"/>
              <w:widowControl/>
              <w:kinsoku w:val="0"/>
              <w:overflowPunct w:val="0"/>
              <w:jc w:val="both"/>
              <w:rPr>
                <w:i/>
                <w:iCs/>
                <w:noProof/>
                <w:sz w:val="20"/>
                <w:szCs w:val="20"/>
              </w:rPr>
            </w:pPr>
            <w:r w:rsidRPr="006C5661">
              <w:rPr>
                <w:i/>
                <w:noProof/>
                <w:sz w:val="20"/>
                <w:szCs w:val="20"/>
              </w:rPr>
              <w:t>Augsts mērķis</w:t>
            </w:r>
          </w:p>
        </w:tc>
      </w:tr>
      <w:tr w:rsidR="008E3F72" w:rsidRPr="006C5661" w14:paraId="27BD3464" w14:textId="77777777" w:rsidTr="0010018A">
        <w:tc>
          <w:tcPr>
            <w:tcW w:w="2409" w:type="pct"/>
            <w:tcBorders>
              <w:top w:val="single" w:sz="12" w:space="0" w:color="000000"/>
              <w:left w:val="nil"/>
              <w:bottom w:val="nil"/>
              <w:right w:val="nil"/>
            </w:tcBorders>
          </w:tcPr>
          <w:p w14:paraId="2CF0C24D" w14:textId="77777777" w:rsidR="008E3F72" w:rsidRPr="006C5661" w:rsidRDefault="008E3F72" w:rsidP="0010018A">
            <w:pPr>
              <w:pStyle w:val="TableParagraph"/>
              <w:widowControl/>
              <w:kinsoku w:val="0"/>
              <w:overflowPunct w:val="0"/>
              <w:jc w:val="both"/>
              <w:rPr>
                <w:b/>
                <w:bCs/>
                <w:noProof/>
                <w:sz w:val="20"/>
                <w:szCs w:val="20"/>
              </w:rPr>
            </w:pPr>
          </w:p>
          <w:p w14:paraId="2B5AD51F" w14:textId="0978FDB2" w:rsidR="008E3F72" w:rsidRPr="006C5661" w:rsidRDefault="008E3F72" w:rsidP="0010018A">
            <w:pPr>
              <w:pStyle w:val="TableParagraph"/>
              <w:widowControl/>
              <w:kinsoku w:val="0"/>
              <w:overflowPunct w:val="0"/>
              <w:jc w:val="both"/>
              <w:rPr>
                <w:noProof/>
                <w:sz w:val="20"/>
                <w:szCs w:val="20"/>
              </w:rPr>
            </w:pPr>
            <w:r w:rsidRPr="006C5661">
              <w:rPr>
                <w:sz w:val="20"/>
                <w:szCs w:val="20"/>
              </w:rPr>
              <w:t xml:space="preserve">Piena </w:t>
            </w:r>
            <w:r w:rsidR="00496106">
              <w:rPr>
                <w:sz w:val="20"/>
                <w:szCs w:val="20"/>
              </w:rPr>
              <w:t>liel</w:t>
            </w:r>
            <w:r w:rsidRPr="006C5661">
              <w:rPr>
                <w:sz w:val="20"/>
                <w:szCs w:val="20"/>
              </w:rPr>
              <w:t>lopi, agrīnā laktācija (&gt; 30 kg dienā)</w:t>
            </w:r>
          </w:p>
        </w:tc>
        <w:tc>
          <w:tcPr>
            <w:tcW w:w="836" w:type="pct"/>
            <w:tcBorders>
              <w:top w:val="single" w:sz="12" w:space="0" w:color="000000"/>
              <w:left w:val="nil"/>
              <w:bottom w:val="nil"/>
              <w:right w:val="nil"/>
            </w:tcBorders>
          </w:tcPr>
          <w:p w14:paraId="56AED53C" w14:textId="77777777" w:rsidR="008E3F72" w:rsidRPr="006C5661" w:rsidRDefault="008E3F72" w:rsidP="0010018A">
            <w:pPr>
              <w:pStyle w:val="TableParagraph"/>
              <w:widowControl/>
              <w:kinsoku w:val="0"/>
              <w:overflowPunct w:val="0"/>
              <w:jc w:val="both"/>
              <w:rPr>
                <w:b/>
                <w:bCs/>
                <w:noProof/>
                <w:sz w:val="20"/>
                <w:szCs w:val="20"/>
              </w:rPr>
            </w:pPr>
          </w:p>
          <w:p w14:paraId="0C3749DF"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17–18</w:t>
            </w:r>
          </w:p>
        </w:tc>
        <w:tc>
          <w:tcPr>
            <w:tcW w:w="1048" w:type="pct"/>
            <w:tcBorders>
              <w:top w:val="single" w:sz="12" w:space="0" w:color="000000"/>
              <w:left w:val="nil"/>
              <w:bottom w:val="nil"/>
              <w:right w:val="nil"/>
            </w:tcBorders>
          </w:tcPr>
          <w:p w14:paraId="4019B924" w14:textId="77777777" w:rsidR="008E3F72" w:rsidRPr="006C5661" w:rsidRDefault="008E3F72" w:rsidP="0010018A">
            <w:pPr>
              <w:pStyle w:val="TableParagraph"/>
              <w:widowControl/>
              <w:kinsoku w:val="0"/>
              <w:overflowPunct w:val="0"/>
              <w:jc w:val="both"/>
              <w:rPr>
                <w:b/>
                <w:bCs/>
                <w:noProof/>
                <w:sz w:val="20"/>
                <w:szCs w:val="20"/>
              </w:rPr>
            </w:pPr>
          </w:p>
          <w:p w14:paraId="35E07EB5"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16–17</w:t>
            </w:r>
          </w:p>
        </w:tc>
        <w:tc>
          <w:tcPr>
            <w:tcW w:w="708" w:type="pct"/>
            <w:tcBorders>
              <w:top w:val="single" w:sz="12" w:space="0" w:color="000000"/>
              <w:left w:val="nil"/>
              <w:bottom w:val="nil"/>
              <w:right w:val="nil"/>
            </w:tcBorders>
          </w:tcPr>
          <w:p w14:paraId="0069BD6D" w14:textId="77777777" w:rsidR="008E3F72" w:rsidRPr="006C5661" w:rsidRDefault="008E3F72" w:rsidP="0010018A">
            <w:pPr>
              <w:pStyle w:val="TableParagraph"/>
              <w:widowControl/>
              <w:kinsoku w:val="0"/>
              <w:overflowPunct w:val="0"/>
              <w:jc w:val="both"/>
              <w:rPr>
                <w:b/>
                <w:bCs/>
                <w:noProof/>
                <w:sz w:val="20"/>
                <w:szCs w:val="20"/>
              </w:rPr>
            </w:pPr>
          </w:p>
          <w:p w14:paraId="73949FA3"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15–16</w:t>
            </w:r>
          </w:p>
        </w:tc>
      </w:tr>
      <w:tr w:rsidR="008E3F72" w:rsidRPr="006C5661" w14:paraId="2097BCF4" w14:textId="77777777" w:rsidTr="0010018A">
        <w:tc>
          <w:tcPr>
            <w:tcW w:w="2409" w:type="pct"/>
            <w:tcBorders>
              <w:top w:val="nil"/>
              <w:left w:val="nil"/>
              <w:bottom w:val="nil"/>
              <w:right w:val="nil"/>
            </w:tcBorders>
          </w:tcPr>
          <w:p w14:paraId="208FB214" w14:textId="01A94B3E" w:rsidR="008E3F72" w:rsidRPr="006C5661" w:rsidRDefault="008E3F72" w:rsidP="0010018A">
            <w:pPr>
              <w:pStyle w:val="TableParagraph"/>
              <w:widowControl/>
              <w:kinsoku w:val="0"/>
              <w:overflowPunct w:val="0"/>
              <w:jc w:val="both"/>
              <w:rPr>
                <w:noProof/>
                <w:sz w:val="20"/>
                <w:szCs w:val="20"/>
              </w:rPr>
            </w:pPr>
            <w:r w:rsidRPr="006C5661">
              <w:rPr>
                <w:sz w:val="20"/>
                <w:szCs w:val="20"/>
              </w:rPr>
              <w:t xml:space="preserve">Piena </w:t>
            </w:r>
            <w:r w:rsidR="00496106">
              <w:rPr>
                <w:sz w:val="20"/>
                <w:szCs w:val="20"/>
              </w:rPr>
              <w:t>liel</w:t>
            </w:r>
            <w:r w:rsidRPr="006C5661">
              <w:rPr>
                <w:sz w:val="20"/>
                <w:szCs w:val="20"/>
              </w:rPr>
              <w:t>lopi, agrīnā laktācija (&lt; 30 kg dienā)</w:t>
            </w:r>
          </w:p>
        </w:tc>
        <w:tc>
          <w:tcPr>
            <w:tcW w:w="836" w:type="pct"/>
            <w:tcBorders>
              <w:top w:val="nil"/>
              <w:left w:val="nil"/>
              <w:bottom w:val="nil"/>
              <w:right w:val="nil"/>
            </w:tcBorders>
          </w:tcPr>
          <w:p w14:paraId="43AF6343"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16–17</w:t>
            </w:r>
          </w:p>
        </w:tc>
        <w:tc>
          <w:tcPr>
            <w:tcW w:w="1048" w:type="pct"/>
            <w:tcBorders>
              <w:top w:val="nil"/>
              <w:left w:val="nil"/>
              <w:bottom w:val="nil"/>
              <w:right w:val="nil"/>
            </w:tcBorders>
          </w:tcPr>
          <w:p w14:paraId="3A7FCB72"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15–16</w:t>
            </w:r>
          </w:p>
        </w:tc>
        <w:tc>
          <w:tcPr>
            <w:tcW w:w="708" w:type="pct"/>
            <w:tcBorders>
              <w:top w:val="nil"/>
              <w:left w:val="nil"/>
              <w:bottom w:val="nil"/>
              <w:right w:val="nil"/>
            </w:tcBorders>
          </w:tcPr>
          <w:p w14:paraId="53ACA08A"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14–15</w:t>
            </w:r>
          </w:p>
        </w:tc>
      </w:tr>
      <w:tr w:rsidR="008E3F72" w:rsidRPr="006C5661" w14:paraId="6B7AEA37" w14:textId="77777777" w:rsidTr="0010018A">
        <w:tc>
          <w:tcPr>
            <w:tcW w:w="2409" w:type="pct"/>
            <w:tcBorders>
              <w:top w:val="nil"/>
              <w:left w:val="nil"/>
              <w:bottom w:val="nil"/>
              <w:right w:val="nil"/>
            </w:tcBorders>
          </w:tcPr>
          <w:p w14:paraId="7838A8EA" w14:textId="56B83821" w:rsidR="008E3F72" w:rsidRPr="006C5661" w:rsidRDefault="008E3F72" w:rsidP="0010018A">
            <w:pPr>
              <w:pStyle w:val="TableParagraph"/>
              <w:widowControl/>
              <w:kinsoku w:val="0"/>
              <w:overflowPunct w:val="0"/>
              <w:jc w:val="both"/>
              <w:rPr>
                <w:noProof/>
                <w:sz w:val="20"/>
                <w:szCs w:val="20"/>
              </w:rPr>
            </w:pPr>
            <w:r w:rsidRPr="006C5661">
              <w:rPr>
                <w:sz w:val="20"/>
                <w:szCs w:val="20"/>
              </w:rPr>
              <w:t xml:space="preserve">Piena </w:t>
            </w:r>
            <w:r w:rsidR="00496106">
              <w:rPr>
                <w:sz w:val="20"/>
                <w:szCs w:val="20"/>
              </w:rPr>
              <w:t>liel</w:t>
            </w:r>
            <w:r w:rsidRPr="006C5661">
              <w:rPr>
                <w:sz w:val="20"/>
                <w:szCs w:val="20"/>
              </w:rPr>
              <w:t>lopi, laktācijas vēlīnā stadija</w:t>
            </w:r>
          </w:p>
        </w:tc>
        <w:tc>
          <w:tcPr>
            <w:tcW w:w="836" w:type="pct"/>
            <w:tcBorders>
              <w:top w:val="nil"/>
              <w:left w:val="nil"/>
              <w:bottom w:val="nil"/>
              <w:right w:val="nil"/>
            </w:tcBorders>
          </w:tcPr>
          <w:p w14:paraId="30B515C4"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15–16</w:t>
            </w:r>
          </w:p>
        </w:tc>
        <w:tc>
          <w:tcPr>
            <w:tcW w:w="1048" w:type="pct"/>
            <w:tcBorders>
              <w:top w:val="nil"/>
              <w:left w:val="nil"/>
              <w:bottom w:val="nil"/>
              <w:right w:val="nil"/>
            </w:tcBorders>
          </w:tcPr>
          <w:p w14:paraId="2E10C450"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14–15</w:t>
            </w:r>
          </w:p>
        </w:tc>
        <w:tc>
          <w:tcPr>
            <w:tcW w:w="708" w:type="pct"/>
            <w:tcBorders>
              <w:top w:val="nil"/>
              <w:left w:val="nil"/>
              <w:bottom w:val="nil"/>
              <w:right w:val="nil"/>
            </w:tcBorders>
          </w:tcPr>
          <w:p w14:paraId="54480F2C"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12–14</w:t>
            </w:r>
          </w:p>
        </w:tc>
      </w:tr>
      <w:tr w:rsidR="008E3F72" w:rsidRPr="006C5661" w14:paraId="1BF23204" w14:textId="77777777" w:rsidTr="0010018A">
        <w:tc>
          <w:tcPr>
            <w:tcW w:w="2409" w:type="pct"/>
            <w:tcBorders>
              <w:top w:val="nil"/>
              <w:left w:val="nil"/>
              <w:bottom w:val="nil"/>
              <w:right w:val="nil"/>
            </w:tcBorders>
          </w:tcPr>
          <w:p w14:paraId="65783B03"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Aizstājējdzīvnieki (jaunlopi)</w:t>
            </w:r>
          </w:p>
        </w:tc>
        <w:tc>
          <w:tcPr>
            <w:tcW w:w="836" w:type="pct"/>
            <w:tcBorders>
              <w:top w:val="nil"/>
              <w:left w:val="nil"/>
              <w:bottom w:val="nil"/>
              <w:right w:val="nil"/>
            </w:tcBorders>
          </w:tcPr>
          <w:p w14:paraId="507CC5D2"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14–16</w:t>
            </w:r>
          </w:p>
        </w:tc>
        <w:tc>
          <w:tcPr>
            <w:tcW w:w="1048" w:type="pct"/>
            <w:tcBorders>
              <w:top w:val="nil"/>
              <w:left w:val="nil"/>
              <w:bottom w:val="nil"/>
              <w:right w:val="nil"/>
            </w:tcBorders>
          </w:tcPr>
          <w:p w14:paraId="5DBDDA0F"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13–14</w:t>
            </w:r>
          </w:p>
        </w:tc>
        <w:tc>
          <w:tcPr>
            <w:tcW w:w="708" w:type="pct"/>
            <w:tcBorders>
              <w:top w:val="nil"/>
              <w:left w:val="nil"/>
              <w:bottom w:val="nil"/>
              <w:right w:val="nil"/>
            </w:tcBorders>
          </w:tcPr>
          <w:p w14:paraId="57636A4F"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12–13</w:t>
            </w:r>
          </w:p>
        </w:tc>
      </w:tr>
      <w:tr w:rsidR="008E3F72" w:rsidRPr="006C5661" w14:paraId="02B5224B" w14:textId="77777777" w:rsidTr="0010018A">
        <w:tc>
          <w:tcPr>
            <w:tcW w:w="2409" w:type="pct"/>
            <w:tcBorders>
              <w:top w:val="nil"/>
              <w:left w:val="nil"/>
              <w:bottom w:val="nil"/>
              <w:right w:val="nil"/>
            </w:tcBorders>
          </w:tcPr>
          <w:p w14:paraId="35758AB6"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Teļi</w:t>
            </w:r>
          </w:p>
        </w:tc>
        <w:tc>
          <w:tcPr>
            <w:tcW w:w="836" w:type="pct"/>
            <w:tcBorders>
              <w:top w:val="nil"/>
              <w:left w:val="nil"/>
              <w:bottom w:val="nil"/>
              <w:right w:val="nil"/>
            </w:tcBorders>
          </w:tcPr>
          <w:p w14:paraId="795737FD"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20–22</w:t>
            </w:r>
          </w:p>
        </w:tc>
        <w:tc>
          <w:tcPr>
            <w:tcW w:w="1048" w:type="pct"/>
            <w:tcBorders>
              <w:top w:val="nil"/>
              <w:left w:val="nil"/>
              <w:bottom w:val="nil"/>
              <w:right w:val="nil"/>
            </w:tcBorders>
          </w:tcPr>
          <w:p w14:paraId="220BD6E1"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19–20</w:t>
            </w:r>
          </w:p>
        </w:tc>
        <w:tc>
          <w:tcPr>
            <w:tcW w:w="708" w:type="pct"/>
            <w:tcBorders>
              <w:top w:val="nil"/>
              <w:left w:val="nil"/>
              <w:bottom w:val="nil"/>
              <w:right w:val="nil"/>
            </w:tcBorders>
          </w:tcPr>
          <w:p w14:paraId="3B3F33DB"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17–19</w:t>
            </w:r>
          </w:p>
        </w:tc>
      </w:tr>
      <w:tr w:rsidR="008E3F72" w:rsidRPr="006C5661" w14:paraId="7647BADF" w14:textId="77777777" w:rsidTr="0010018A">
        <w:tc>
          <w:tcPr>
            <w:tcW w:w="2409" w:type="pct"/>
            <w:tcBorders>
              <w:top w:val="nil"/>
              <w:left w:val="nil"/>
              <w:bottom w:val="nil"/>
              <w:right w:val="nil"/>
            </w:tcBorders>
          </w:tcPr>
          <w:p w14:paraId="79F14087"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Bullīši, &lt; 3 mēneši</w:t>
            </w:r>
          </w:p>
        </w:tc>
        <w:tc>
          <w:tcPr>
            <w:tcW w:w="836" w:type="pct"/>
            <w:tcBorders>
              <w:top w:val="nil"/>
              <w:left w:val="nil"/>
              <w:bottom w:val="nil"/>
              <w:right w:val="nil"/>
            </w:tcBorders>
          </w:tcPr>
          <w:p w14:paraId="37457E78"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17–18</w:t>
            </w:r>
          </w:p>
        </w:tc>
        <w:tc>
          <w:tcPr>
            <w:tcW w:w="1048" w:type="pct"/>
            <w:tcBorders>
              <w:top w:val="nil"/>
              <w:left w:val="nil"/>
              <w:bottom w:val="nil"/>
              <w:right w:val="nil"/>
            </w:tcBorders>
          </w:tcPr>
          <w:p w14:paraId="0011A314"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16–17</w:t>
            </w:r>
          </w:p>
        </w:tc>
        <w:tc>
          <w:tcPr>
            <w:tcW w:w="708" w:type="pct"/>
            <w:tcBorders>
              <w:top w:val="nil"/>
              <w:left w:val="nil"/>
              <w:bottom w:val="nil"/>
              <w:right w:val="nil"/>
            </w:tcBorders>
          </w:tcPr>
          <w:p w14:paraId="3FA9F5CE"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15–16</w:t>
            </w:r>
          </w:p>
        </w:tc>
      </w:tr>
      <w:tr w:rsidR="008E3F72" w:rsidRPr="006C5661" w14:paraId="6776F1A4" w14:textId="77777777" w:rsidTr="0010018A">
        <w:tc>
          <w:tcPr>
            <w:tcW w:w="2409" w:type="pct"/>
            <w:tcBorders>
              <w:top w:val="nil"/>
              <w:left w:val="nil"/>
              <w:bottom w:val="nil"/>
              <w:right w:val="nil"/>
            </w:tcBorders>
          </w:tcPr>
          <w:p w14:paraId="38D8FF17"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Bullīši, &lt; 6 mēneši</w:t>
            </w:r>
          </w:p>
        </w:tc>
        <w:tc>
          <w:tcPr>
            <w:tcW w:w="836" w:type="pct"/>
            <w:tcBorders>
              <w:top w:val="nil"/>
              <w:left w:val="nil"/>
              <w:bottom w:val="nil"/>
              <w:right w:val="nil"/>
            </w:tcBorders>
          </w:tcPr>
          <w:p w14:paraId="77BED56B"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14–15</w:t>
            </w:r>
          </w:p>
        </w:tc>
        <w:tc>
          <w:tcPr>
            <w:tcW w:w="1048" w:type="pct"/>
            <w:tcBorders>
              <w:top w:val="nil"/>
              <w:left w:val="nil"/>
              <w:bottom w:val="nil"/>
              <w:right w:val="nil"/>
            </w:tcBorders>
          </w:tcPr>
          <w:p w14:paraId="6F0E4F52"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13–14</w:t>
            </w:r>
          </w:p>
        </w:tc>
        <w:tc>
          <w:tcPr>
            <w:tcW w:w="708" w:type="pct"/>
            <w:tcBorders>
              <w:top w:val="nil"/>
              <w:left w:val="nil"/>
              <w:bottom w:val="nil"/>
              <w:right w:val="nil"/>
            </w:tcBorders>
          </w:tcPr>
          <w:p w14:paraId="1305FAE5"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12–13</w:t>
            </w:r>
          </w:p>
        </w:tc>
      </w:tr>
      <w:tr w:rsidR="008E3F72" w:rsidRPr="006C5661" w14:paraId="0F0E5BA3" w14:textId="77777777" w:rsidTr="0010018A">
        <w:tc>
          <w:tcPr>
            <w:tcW w:w="2409" w:type="pct"/>
            <w:tcBorders>
              <w:top w:val="nil"/>
              <w:left w:val="nil"/>
              <w:bottom w:val="nil"/>
              <w:right w:val="nil"/>
            </w:tcBorders>
          </w:tcPr>
          <w:p w14:paraId="5921013C" w14:textId="69C5DBB5" w:rsidR="008E3F72" w:rsidRPr="006C5661" w:rsidRDefault="00496106" w:rsidP="0010018A">
            <w:pPr>
              <w:pStyle w:val="TableParagraph"/>
              <w:widowControl/>
              <w:kinsoku w:val="0"/>
              <w:overflowPunct w:val="0"/>
              <w:jc w:val="both"/>
              <w:rPr>
                <w:noProof/>
                <w:sz w:val="20"/>
                <w:szCs w:val="20"/>
              </w:rPr>
            </w:pPr>
            <w:r>
              <w:rPr>
                <w:sz w:val="20"/>
                <w:szCs w:val="20"/>
              </w:rPr>
              <w:t>Sivēnmātes grūsnības periodā</w:t>
            </w:r>
          </w:p>
        </w:tc>
        <w:tc>
          <w:tcPr>
            <w:tcW w:w="836" w:type="pct"/>
            <w:tcBorders>
              <w:top w:val="nil"/>
              <w:left w:val="nil"/>
              <w:bottom w:val="nil"/>
              <w:right w:val="nil"/>
            </w:tcBorders>
          </w:tcPr>
          <w:p w14:paraId="623940C6"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15–16</w:t>
            </w:r>
          </w:p>
        </w:tc>
        <w:tc>
          <w:tcPr>
            <w:tcW w:w="1048" w:type="pct"/>
            <w:tcBorders>
              <w:top w:val="nil"/>
              <w:left w:val="nil"/>
              <w:bottom w:val="nil"/>
              <w:right w:val="nil"/>
            </w:tcBorders>
          </w:tcPr>
          <w:p w14:paraId="4976CDF0"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14–15</w:t>
            </w:r>
          </w:p>
        </w:tc>
        <w:tc>
          <w:tcPr>
            <w:tcW w:w="708" w:type="pct"/>
            <w:tcBorders>
              <w:top w:val="nil"/>
              <w:left w:val="nil"/>
              <w:bottom w:val="nil"/>
              <w:right w:val="nil"/>
            </w:tcBorders>
          </w:tcPr>
          <w:p w14:paraId="6DC73A24"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13–14</w:t>
            </w:r>
          </w:p>
        </w:tc>
      </w:tr>
      <w:tr w:rsidR="008E3F72" w:rsidRPr="006C5661" w14:paraId="7A2480EB" w14:textId="77777777" w:rsidTr="0010018A">
        <w:tc>
          <w:tcPr>
            <w:tcW w:w="2409" w:type="pct"/>
            <w:tcBorders>
              <w:top w:val="nil"/>
              <w:left w:val="nil"/>
              <w:bottom w:val="nil"/>
              <w:right w:val="nil"/>
            </w:tcBorders>
          </w:tcPr>
          <w:p w14:paraId="34DE26B3" w14:textId="3C9CF8F6" w:rsidR="008E3F72" w:rsidRPr="006C5661" w:rsidRDefault="00496106" w:rsidP="0010018A">
            <w:pPr>
              <w:pStyle w:val="TableParagraph"/>
              <w:widowControl/>
              <w:kinsoku w:val="0"/>
              <w:overflowPunct w:val="0"/>
              <w:jc w:val="both"/>
              <w:rPr>
                <w:noProof/>
                <w:sz w:val="20"/>
                <w:szCs w:val="20"/>
              </w:rPr>
            </w:pPr>
            <w:r>
              <w:rPr>
                <w:sz w:val="20"/>
                <w:szCs w:val="20"/>
              </w:rPr>
              <w:t>Sivēnmātes zīdīšanas periodā</w:t>
            </w:r>
          </w:p>
        </w:tc>
        <w:tc>
          <w:tcPr>
            <w:tcW w:w="836" w:type="pct"/>
            <w:tcBorders>
              <w:top w:val="nil"/>
              <w:left w:val="nil"/>
              <w:bottom w:val="nil"/>
              <w:right w:val="nil"/>
            </w:tcBorders>
          </w:tcPr>
          <w:p w14:paraId="497F7A7E"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17–18</w:t>
            </w:r>
          </w:p>
        </w:tc>
        <w:tc>
          <w:tcPr>
            <w:tcW w:w="1048" w:type="pct"/>
            <w:tcBorders>
              <w:top w:val="nil"/>
              <w:left w:val="nil"/>
              <w:bottom w:val="nil"/>
              <w:right w:val="nil"/>
            </w:tcBorders>
          </w:tcPr>
          <w:p w14:paraId="3A8B08F8"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16–17</w:t>
            </w:r>
          </w:p>
        </w:tc>
        <w:tc>
          <w:tcPr>
            <w:tcW w:w="708" w:type="pct"/>
            <w:tcBorders>
              <w:top w:val="nil"/>
              <w:left w:val="nil"/>
              <w:bottom w:val="nil"/>
              <w:right w:val="nil"/>
            </w:tcBorders>
          </w:tcPr>
          <w:p w14:paraId="02E3D9BB"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15–16</w:t>
            </w:r>
          </w:p>
        </w:tc>
      </w:tr>
      <w:tr w:rsidR="008E3F72" w:rsidRPr="006C5661" w14:paraId="4E105B81" w14:textId="77777777" w:rsidTr="0010018A">
        <w:tc>
          <w:tcPr>
            <w:tcW w:w="2409" w:type="pct"/>
            <w:tcBorders>
              <w:top w:val="nil"/>
              <w:left w:val="nil"/>
              <w:bottom w:val="nil"/>
              <w:right w:val="nil"/>
            </w:tcBorders>
          </w:tcPr>
          <w:p w14:paraId="6572BB18"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Atšķirti sivēni, &lt;10 kg</w:t>
            </w:r>
          </w:p>
        </w:tc>
        <w:tc>
          <w:tcPr>
            <w:tcW w:w="836" w:type="pct"/>
            <w:tcBorders>
              <w:top w:val="nil"/>
              <w:left w:val="nil"/>
              <w:bottom w:val="nil"/>
              <w:right w:val="nil"/>
            </w:tcBorders>
          </w:tcPr>
          <w:p w14:paraId="7D808512"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21–22</w:t>
            </w:r>
          </w:p>
        </w:tc>
        <w:tc>
          <w:tcPr>
            <w:tcW w:w="1048" w:type="pct"/>
            <w:tcBorders>
              <w:top w:val="nil"/>
              <w:left w:val="nil"/>
              <w:bottom w:val="nil"/>
              <w:right w:val="nil"/>
            </w:tcBorders>
          </w:tcPr>
          <w:p w14:paraId="467DFF52"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20–21</w:t>
            </w:r>
          </w:p>
        </w:tc>
        <w:tc>
          <w:tcPr>
            <w:tcW w:w="708" w:type="pct"/>
            <w:tcBorders>
              <w:top w:val="nil"/>
              <w:left w:val="nil"/>
              <w:bottom w:val="nil"/>
              <w:right w:val="nil"/>
            </w:tcBorders>
          </w:tcPr>
          <w:p w14:paraId="6AB8C953"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19–20</w:t>
            </w:r>
          </w:p>
        </w:tc>
      </w:tr>
      <w:tr w:rsidR="008E3F72" w:rsidRPr="006C5661" w14:paraId="05D151EB" w14:textId="77777777" w:rsidTr="0010018A">
        <w:tc>
          <w:tcPr>
            <w:tcW w:w="2409" w:type="pct"/>
            <w:tcBorders>
              <w:top w:val="nil"/>
              <w:left w:val="nil"/>
              <w:bottom w:val="nil"/>
              <w:right w:val="nil"/>
            </w:tcBorders>
          </w:tcPr>
          <w:p w14:paraId="64934259"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Sivēni, 10–25 kg</w:t>
            </w:r>
          </w:p>
        </w:tc>
        <w:tc>
          <w:tcPr>
            <w:tcW w:w="836" w:type="pct"/>
            <w:tcBorders>
              <w:top w:val="nil"/>
              <w:left w:val="nil"/>
              <w:bottom w:val="nil"/>
              <w:right w:val="nil"/>
            </w:tcBorders>
          </w:tcPr>
          <w:p w14:paraId="00652C0C"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19–20</w:t>
            </w:r>
          </w:p>
        </w:tc>
        <w:tc>
          <w:tcPr>
            <w:tcW w:w="1048" w:type="pct"/>
            <w:tcBorders>
              <w:top w:val="nil"/>
              <w:left w:val="nil"/>
              <w:bottom w:val="nil"/>
              <w:right w:val="nil"/>
            </w:tcBorders>
          </w:tcPr>
          <w:p w14:paraId="4457886C"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18–19</w:t>
            </w:r>
          </w:p>
        </w:tc>
        <w:tc>
          <w:tcPr>
            <w:tcW w:w="708" w:type="pct"/>
            <w:tcBorders>
              <w:top w:val="nil"/>
              <w:left w:val="nil"/>
              <w:bottom w:val="nil"/>
              <w:right w:val="nil"/>
            </w:tcBorders>
          </w:tcPr>
          <w:p w14:paraId="6D197CB0"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17–18</w:t>
            </w:r>
          </w:p>
        </w:tc>
      </w:tr>
      <w:tr w:rsidR="008E3F72" w:rsidRPr="006C5661" w14:paraId="3AF0E073" w14:textId="77777777" w:rsidTr="0010018A">
        <w:tc>
          <w:tcPr>
            <w:tcW w:w="2409" w:type="pct"/>
            <w:tcBorders>
              <w:top w:val="nil"/>
              <w:left w:val="nil"/>
              <w:bottom w:val="nil"/>
              <w:right w:val="nil"/>
            </w:tcBorders>
          </w:tcPr>
          <w:p w14:paraId="4A406017"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Nobarojamas cūkas, 25–50 kg</w:t>
            </w:r>
          </w:p>
        </w:tc>
        <w:tc>
          <w:tcPr>
            <w:tcW w:w="836" w:type="pct"/>
            <w:tcBorders>
              <w:top w:val="nil"/>
              <w:left w:val="nil"/>
              <w:bottom w:val="nil"/>
              <w:right w:val="nil"/>
            </w:tcBorders>
          </w:tcPr>
          <w:p w14:paraId="22B32348"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17–18</w:t>
            </w:r>
          </w:p>
        </w:tc>
        <w:tc>
          <w:tcPr>
            <w:tcW w:w="1048" w:type="pct"/>
            <w:tcBorders>
              <w:top w:val="nil"/>
              <w:left w:val="nil"/>
              <w:bottom w:val="nil"/>
              <w:right w:val="nil"/>
            </w:tcBorders>
          </w:tcPr>
          <w:p w14:paraId="4D5D3B3A"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16–17</w:t>
            </w:r>
          </w:p>
        </w:tc>
        <w:tc>
          <w:tcPr>
            <w:tcW w:w="708" w:type="pct"/>
            <w:tcBorders>
              <w:top w:val="nil"/>
              <w:left w:val="nil"/>
              <w:bottom w:val="nil"/>
              <w:right w:val="nil"/>
            </w:tcBorders>
          </w:tcPr>
          <w:p w14:paraId="0CB5F125"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15–16</w:t>
            </w:r>
          </w:p>
        </w:tc>
      </w:tr>
      <w:tr w:rsidR="008E3F72" w:rsidRPr="006C5661" w14:paraId="0636EDEF" w14:textId="77777777" w:rsidTr="0010018A">
        <w:tc>
          <w:tcPr>
            <w:tcW w:w="2409" w:type="pct"/>
            <w:tcBorders>
              <w:top w:val="nil"/>
              <w:left w:val="nil"/>
              <w:bottom w:val="nil"/>
              <w:right w:val="nil"/>
            </w:tcBorders>
          </w:tcPr>
          <w:p w14:paraId="45DF649C"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Nobarojamas cūkas, 50–110 kg</w:t>
            </w:r>
          </w:p>
        </w:tc>
        <w:tc>
          <w:tcPr>
            <w:tcW w:w="836" w:type="pct"/>
            <w:tcBorders>
              <w:top w:val="nil"/>
              <w:left w:val="nil"/>
              <w:bottom w:val="nil"/>
              <w:right w:val="nil"/>
            </w:tcBorders>
          </w:tcPr>
          <w:p w14:paraId="26237D6E"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15–16</w:t>
            </w:r>
          </w:p>
        </w:tc>
        <w:tc>
          <w:tcPr>
            <w:tcW w:w="1048" w:type="pct"/>
            <w:tcBorders>
              <w:top w:val="nil"/>
              <w:left w:val="nil"/>
              <w:bottom w:val="nil"/>
              <w:right w:val="nil"/>
            </w:tcBorders>
          </w:tcPr>
          <w:p w14:paraId="3A8FA6C0"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14–15</w:t>
            </w:r>
          </w:p>
        </w:tc>
        <w:tc>
          <w:tcPr>
            <w:tcW w:w="708" w:type="pct"/>
            <w:tcBorders>
              <w:top w:val="nil"/>
              <w:left w:val="nil"/>
              <w:bottom w:val="nil"/>
              <w:right w:val="nil"/>
            </w:tcBorders>
          </w:tcPr>
          <w:p w14:paraId="33FCD9A9"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13–14</w:t>
            </w:r>
          </w:p>
        </w:tc>
      </w:tr>
      <w:tr w:rsidR="008E3F72" w:rsidRPr="006C5661" w14:paraId="207722C7" w14:textId="77777777" w:rsidTr="0010018A">
        <w:tc>
          <w:tcPr>
            <w:tcW w:w="2409" w:type="pct"/>
            <w:tcBorders>
              <w:top w:val="nil"/>
              <w:left w:val="nil"/>
              <w:bottom w:val="nil"/>
              <w:right w:val="nil"/>
            </w:tcBorders>
          </w:tcPr>
          <w:p w14:paraId="04528C85"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Nobarojamas cūkas, &gt;110 kg</w:t>
            </w:r>
          </w:p>
        </w:tc>
        <w:tc>
          <w:tcPr>
            <w:tcW w:w="836" w:type="pct"/>
            <w:tcBorders>
              <w:top w:val="nil"/>
              <w:left w:val="nil"/>
              <w:bottom w:val="nil"/>
              <w:right w:val="nil"/>
            </w:tcBorders>
          </w:tcPr>
          <w:p w14:paraId="6DE5819C"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13–14</w:t>
            </w:r>
          </w:p>
        </w:tc>
        <w:tc>
          <w:tcPr>
            <w:tcW w:w="1048" w:type="pct"/>
            <w:tcBorders>
              <w:top w:val="nil"/>
              <w:left w:val="nil"/>
              <w:bottom w:val="nil"/>
              <w:right w:val="nil"/>
            </w:tcBorders>
          </w:tcPr>
          <w:p w14:paraId="18AA3FD3"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12–13</w:t>
            </w:r>
          </w:p>
        </w:tc>
        <w:tc>
          <w:tcPr>
            <w:tcW w:w="708" w:type="pct"/>
            <w:tcBorders>
              <w:top w:val="nil"/>
              <w:left w:val="nil"/>
              <w:bottom w:val="nil"/>
              <w:right w:val="nil"/>
            </w:tcBorders>
          </w:tcPr>
          <w:p w14:paraId="565F48C2"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11–12</w:t>
            </w:r>
          </w:p>
        </w:tc>
      </w:tr>
      <w:tr w:rsidR="008E3F72" w:rsidRPr="006C5661" w14:paraId="53ABB0EF" w14:textId="77777777" w:rsidTr="0010018A">
        <w:tc>
          <w:tcPr>
            <w:tcW w:w="2409" w:type="pct"/>
            <w:tcBorders>
              <w:top w:val="nil"/>
              <w:left w:val="nil"/>
              <w:bottom w:val="nil"/>
              <w:right w:val="nil"/>
            </w:tcBorders>
          </w:tcPr>
          <w:p w14:paraId="157E0024" w14:textId="2867933D" w:rsidR="008E3F72" w:rsidRPr="006C5661" w:rsidRDefault="00496106" w:rsidP="00496106">
            <w:pPr>
              <w:pStyle w:val="TableParagraph"/>
              <w:widowControl/>
              <w:kinsoku w:val="0"/>
              <w:overflowPunct w:val="0"/>
              <w:jc w:val="both"/>
              <w:rPr>
                <w:noProof/>
                <w:sz w:val="20"/>
                <w:szCs w:val="20"/>
              </w:rPr>
            </w:pPr>
            <w:r>
              <w:rPr>
                <w:sz w:val="20"/>
                <w:szCs w:val="20"/>
              </w:rPr>
              <w:t>Vistas, broileri</w:t>
            </w:r>
            <w:r w:rsidR="008E3F72" w:rsidRPr="006C5661">
              <w:rPr>
                <w:sz w:val="20"/>
                <w:szCs w:val="20"/>
              </w:rPr>
              <w:t>, cāļi</w:t>
            </w:r>
          </w:p>
        </w:tc>
        <w:tc>
          <w:tcPr>
            <w:tcW w:w="836" w:type="pct"/>
            <w:tcBorders>
              <w:top w:val="nil"/>
              <w:left w:val="nil"/>
              <w:bottom w:val="nil"/>
              <w:right w:val="nil"/>
            </w:tcBorders>
          </w:tcPr>
          <w:p w14:paraId="1DD8225F"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22–23</w:t>
            </w:r>
          </w:p>
        </w:tc>
        <w:tc>
          <w:tcPr>
            <w:tcW w:w="1048" w:type="pct"/>
            <w:tcBorders>
              <w:top w:val="nil"/>
              <w:left w:val="nil"/>
              <w:bottom w:val="nil"/>
              <w:right w:val="nil"/>
            </w:tcBorders>
          </w:tcPr>
          <w:p w14:paraId="07AB6052"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21–22</w:t>
            </w:r>
          </w:p>
        </w:tc>
        <w:tc>
          <w:tcPr>
            <w:tcW w:w="708" w:type="pct"/>
            <w:tcBorders>
              <w:top w:val="nil"/>
              <w:left w:val="nil"/>
              <w:bottom w:val="nil"/>
              <w:right w:val="nil"/>
            </w:tcBorders>
          </w:tcPr>
          <w:p w14:paraId="549ADA0B"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20–21</w:t>
            </w:r>
          </w:p>
        </w:tc>
      </w:tr>
      <w:tr w:rsidR="008E3F72" w:rsidRPr="006C5661" w14:paraId="28DAE702" w14:textId="77777777" w:rsidTr="0010018A">
        <w:tc>
          <w:tcPr>
            <w:tcW w:w="2409" w:type="pct"/>
            <w:tcBorders>
              <w:top w:val="nil"/>
              <w:left w:val="nil"/>
              <w:bottom w:val="nil"/>
              <w:right w:val="nil"/>
            </w:tcBorders>
          </w:tcPr>
          <w:p w14:paraId="7CAFB1F6" w14:textId="42310C3E" w:rsidR="008E3F72" w:rsidRPr="006C5661" w:rsidRDefault="00496106" w:rsidP="0010018A">
            <w:pPr>
              <w:pStyle w:val="TableParagraph"/>
              <w:widowControl/>
              <w:kinsoku w:val="0"/>
              <w:overflowPunct w:val="0"/>
              <w:jc w:val="both"/>
              <w:rPr>
                <w:noProof/>
                <w:sz w:val="20"/>
                <w:szCs w:val="20"/>
              </w:rPr>
            </w:pPr>
            <w:r>
              <w:rPr>
                <w:sz w:val="20"/>
                <w:szCs w:val="20"/>
              </w:rPr>
              <w:t>Vistas, broileri</w:t>
            </w:r>
            <w:r w:rsidR="008E3F72" w:rsidRPr="006C5661">
              <w:rPr>
                <w:sz w:val="20"/>
                <w:szCs w:val="20"/>
              </w:rPr>
              <w:t>, jaunputni</w:t>
            </w:r>
          </w:p>
        </w:tc>
        <w:tc>
          <w:tcPr>
            <w:tcW w:w="836" w:type="pct"/>
            <w:tcBorders>
              <w:top w:val="nil"/>
              <w:left w:val="nil"/>
              <w:bottom w:val="nil"/>
              <w:right w:val="nil"/>
            </w:tcBorders>
          </w:tcPr>
          <w:p w14:paraId="7B4B3535"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21–22</w:t>
            </w:r>
          </w:p>
        </w:tc>
        <w:tc>
          <w:tcPr>
            <w:tcW w:w="1048" w:type="pct"/>
            <w:tcBorders>
              <w:top w:val="nil"/>
              <w:left w:val="nil"/>
              <w:bottom w:val="nil"/>
              <w:right w:val="nil"/>
            </w:tcBorders>
          </w:tcPr>
          <w:p w14:paraId="0F45226D"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20–21</w:t>
            </w:r>
          </w:p>
        </w:tc>
        <w:tc>
          <w:tcPr>
            <w:tcW w:w="708" w:type="pct"/>
            <w:tcBorders>
              <w:top w:val="nil"/>
              <w:left w:val="nil"/>
              <w:bottom w:val="nil"/>
              <w:right w:val="nil"/>
            </w:tcBorders>
          </w:tcPr>
          <w:p w14:paraId="6A465FED"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19–20</w:t>
            </w:r>
          </w:p>
        </w:tc>
      </w:tr>
      <w:tr w:rsidR="008E3F72" w:rsidRPr="006C5661" w14:paraId="05367266" w14:textId="77777777" w:rsidTr="0010018A">
        <w:tc>
          <w:tcPr>
            <w:tcW w:w="2409" w:type="pct"/>
            <w:tcBorders>
              <w:top w:val="nil"/>
              <w:left w:val="nil"/>
              <w:bottom w:val="nil"/>
              <w:right w:val="nil"/>
            </w:tcBorders>
          </w:tcPr>
          <w:p w14:paraId="70DCFE62" w14:textId="5CD3CD5B" w:rsidR="008E3F72" w:rsidRPr="006C5661" w:rsidRDefault="00496106" w:rsidP="0010018A">
            <w:pPr>
              <w:pStyle w:val="TableParagraph"/>
              <w:widowControl/>
              <w:kinsoku w:val="0"/>
              <w:overflowPunct w:val="0"/>
              <w:jc w:val="both"/>
              <w:rPr>
                <w:noProof/>
                <w:sz w:val="20"/>
                <w:szCs w:val="20"/>
              </w:rPr>
            </w:pPr>
            <w:r>
              <w:rPr>
                <w:sz w:val="20"/>
                <w:szCs w:val="20"/>
              </w:rPr>
              <w:t>Vistas, broileri</w:t>
            </w:r>
            <w:r w:rsidR="008E3F72" w:rsidRPr="006C5661">
              <w:rPr>
                <w:sz w:val="20"/>
                <w:szCs w:val="20"/>
              </w:rPr>
              <w:t>, kaujamie putni</w:t>
            </w:r>
          </w:p>
        </w:tc>
        <w:tc>
          <w:tcPr>
            <w:tcW w:w="836" w:type="pct"/>
            <w:tcBorders>
              <w:top w:val="nil"/>
              <w:left w:val="nil"/>
              <w:bottom w:val="nil"/>
              <w:right w:val="nil"/>
            </w:tcBorders>
          </w:tcPr>
          <w:p w14:paraId="6917DA74"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20–21</w:t>
            </w:r>
          </w:p>
        </w:tc>
        <w:tc>
          <w:tcPr>
            <w:tcW w:w="1048" w:type="pct"/>
            <w:tcBorders>
              <w:top w:val="nil"/>
              <w:left w:val="nil"/>
              <w:bottom w:val="nil"/>
              <w:right w:val="nil"/>
            </w:tcBorders>
          </w:tcPr>
          <w:p w14:paraId="532480DC"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19–20</w:t>
            </w:r>
          </w:p>
        </w:tc>
        <w:tc>
          <w:tcPr>
            <w:tcW w:w="708" w:type="pct"/>
            <w:tcBorders>
              <w:top w:val="nil"/>
              <w:left w:val="nil"/>
              <w:bottom w:val="nil"/>
              <w:right w:val="nil"/>
            </w:tcBorders>
          </w:tcPr>
          <w:p w14:paraId="3A706744"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18–19</w:t>
            </w:r>
          </w:p>
        </w:tc>
      </w:tr>
      <w:tr w:rsidR="008E3F72" w:rsidRPr="006C5661" w14:paraId="7DD1A05B" w14:textId="77777777" w:rsidTr="0010018A">
        <w:tc>
          <w:tcPr>
            <w:tcW w:w="2409" w:type="pct"/>
            <w:tcBorders>
              <w:top w:val="nil"/>
              <w:left w:val="nil"/>
              <w:bottom w:val="nil"/>
              <w:right w:val="nil"/>
            </w:tcBorders>
          </w:tcPr>
          <w:p w14:paraId="14CF6C9A"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Dējējvistas, 18–40 nedēļas</w:t>
            </w:r>
          </w:p>
        </w:tc>
        <w:tc>
          <w:tcPr>
            <w:tcW w:w="836" w:type="pct"/>
            <w:tcBorders>
              <w:top w:val="nil"/>
              <w:left w:val="nil"/>
              <w:bottom w:val="nil"/>
              <w:right w:val="nil"/>
            </w:tcBorders>
          </w:tcPr>
          <w:p w14:paraId="7486169A"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17–18</w:t>
            </w:r>
          </w:p>
        </w:tc>
        <w:tc>
          <w:tcPr>
            <w:tcW w:w="1048" w:type="pct"/>
            <w:tcBorders>
              <w:top w:val="nil"/>
              <w:left w:val="nil"/>
              <w:bottom w:val="nil"/>
              <w:right w:val="nil"/>
            </w:tcBorders>
          </w:tcPr>
          <w:p w14:paraId="571DF6CC"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16–17</w:t>
            </w:r>
          </w:p>
        </w:tc>
        <w:tc>
          <w:tcPr>
            <w:tcW w:w="708" w:type="pct"/>
            <w:tcBorders>
              <w:top w:val="nil"/>
              <w:left w:val="nil"/>
              <w:bottom w:val="nil"/>
              <w:right w:val="nil"/>
            </w:tcBorders>
          </w:tcPr>
          <w:p w14:paraId="3391DCD5"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15–16</w:t>
            </w:r>
          </w:p>
        </w:tc>
      </w:tr>
      <w:tr w:rsidR="008E3F72" w:rsidRPr="006C5661" w14:paraId="526411FE" w14:textId="77777777" w:rsidTr="0010018A">
        <w:tc>
          <w:tcPr>
            <w:tcW w:w="2409" w:type="pct"/>
            <w:tcBorders>
              <w:top w:val="nil"/>
              <w:left w:val="nil"/>
              <w:bottom w:val="nil"/>
              <w:right w:val="nil"/>
            </w:tcBorders>
          </w:tcPr>
          <w:p w14:paraId="6E01C01D"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lastRenderedPageBreak/>
              <w:t>Dējējvistas, &gt; 40 nedēļas</w:t>
            </w:r>
          </w:p>
        </w:tc>
        <w:tc>
          <w:tcPr>
            <w:tcW w:w="836" w:type="pct"/>
            <w:tcBorders>
              <w:top w:val="nil"/>
              <w:left w:val="nil"/>
              <w:bottom w:val="nil"/>
              <w:right w:val="nil"/>
            </w:tcBorders>
          </w:tcPr>
          <w:p w14:paraId="5433F884"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16–17</w:t>
            </w:r>
          </w:p>
        </w:tc>
        <w:tc>
          <w:tcPr>
            <w:tcW w:w="1048" w:type="pct"/>
            <w:tcBorders>
              <w:top w:val="nil"/>
              <w:left w:val="nil"/>
              <w:bottom w:val="nil"/>
              <w:right w:val="nil"/>
            </w:tcBorders>
          </w:tcPr>
          <w:p w14:paraId="68D1D404"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15–16</w:t>
            </w:r>
          </w:p>
        </w:tc>
        <w:tc>
          <w:tcPr>
            <w:tcW w:w="708" w:type="pct"/>
            <w:tcBorders>
              <w:top w:val="nil"/>
              <w:left w:val="nil"/>
              <w:bottom w:val="nil"/>
              <w:right w:val="nil"/>
            </w:tcBorders>
          </w:tcPr>
          <w:p w14:paraId="54BF8527"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14–15</w:t>
            </w:r>
          </w:p>
        </w:tc>
      </w:tr>
      <w:tr w:rsidR="008E3F72" w:rsidRPr="006C5661" w14:paraId="33687B25" w14:textId="77777777" w:rsidTr="0010018A">
        <w:tc>
          <w:tcPr>
            <w:tcW w:w="2409" w:type="pct"/>
            <w:tcBorders>
              <w:top w:val="nil"/>
              <w:left w:val="nil"/>
              <w:bottom w:val="nil"/>
              <w:right w:val="nil"/>
            </w:tcBorders>
          </w:tcPr>
          <w:p w14:paraId="64131B88"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Tītari &lt; 4nedēļas</w:t>
            </w:r>
          </w:p>
        </w:tc>
        <w:tc>
          <w:tcPr>
            <w:tcW w:w="836" w:type="pct"/>
            <w:tcBorders>
              <w:top w:val="nil"/>
              <w:left w:val="nil"/>
              <w:bottom w:val="nil"/>
              <w:right w:val="nil"/>
            </w:tcBorders>
          </w:tcPr>
          <w:p w14:paraId="4C141D94"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26–27</w:t>
            </w:r>
          </w:p>
        </w:tc>
        <w:tc>
          <w:tcPr>
            <w:tcW w:w="1048" w:type="pct"/>
            <w:tcBorders>
              <w:top w:val="nil"/>
              <w:left w:val="nil"/>
              <w:bottom w:val="nil"/>
              <w:right w:val="nil"/>
            </w:tcBorders>
          </w:tcPr>
          <w:p w14:paraId="3ABF8331"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25–26</w:t>
            </w:r>
          </w:p>
        </w:tc>
        <w:tc>
          <w:tcPr>
            <w:tcW w:w="708" w:type="pct"/>
            <w:tcBorders>
              <w:top w:val="nil"/>
              <w:left w:val="nil"/>
              <w:bottom w:val="nil"/>
              <w:right w:val="nil"/>
            </w:tcBorders>
          </w:tcPr>
          <w:p w14:paraId="6018D321"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24–25</w:t>
            </w:r>
          </w:p>
        </w:tc>
      </w:tr>
      <w:tr w:rsidR="008E3F72" w:rsidRPr="006C5661" w14:paraId="6DD3D5D4" w14:textId="77777777" w:rsidTr="0010018A">
        <w:tc>
          <w:tcPr>
            <w:tcW w:w="2409" w:type="pct"/>
            <w:tcBorders>
              <w:top w:val="nil"/>
              <w:left w:val="nil"/>
              <w:bottom w:val="nil"/>
              <w:right w:val="nil"/>
            </w:tcBorders>
          </w:tcPr>
          <w:p w14:paraId="4A491255"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Tītari, 5–8 nedēļas</w:t>
            </w:r>
          </w:p>
        </w:tc>
        <w:tc>
          <w:tcPr>
            <w:tcW w:w="836" w:type="pct"/>
            <w:tcBorders>
              <w:top w:val="nil"/>
              <w:left w:val="nil"/>
              <w:bottom w:val="nil"/>
              <w:right w:val="nil"/>
            </w:tcBorders>
          </w:tcPr>
          <w:p w14:paraId="70512330"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24–25</w:t>
            </w:r>
          </w:p>
        </w:tc>
        <w:tc>
          <w:tcPr>
            <w:tcW w:w="1048" w:type="pct"/>
            <w:tcBorders>
              <w:top w:val="nil"/>
              <w:left w:val="nil"/>
              <w:bottom w:val="nil"/>
              <w:right w:val="nil"/>
            </w:tcBorders>
          </w:tcPr>
          <w:p w14:paraId="73BFE03F"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23–24</w:t>
            </w:r>
          </w:p>
        </w:tc>
        <w:tc>
          <w:tcPr>
            <w:tcW w:w="708" w:type="pct"/>
            <w:tcBorders>
              <w:top w:val="nil"/>
              <w:left w:val="nil"/>
              <w:bottom w:val="nil"/>
              <w:right w:val="nil"/>
            </w:tcBorders>
          </w:tcPr>
          <w:p w14:paraId="230ABBD0"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22–23</w:t>
            </w:r>
          </w:p>
        </w:tc>
      </w:tr>
      <w:tr w:rsidR="008E3F72" w:rsidRPr="006C5661" w14:paraId="08F744D5" w14:textId="77777777" w:rsidTr="0010018A">
        <w:tc>
          <w:tcPr>
            <w:tcW w:w="2409" w:type="pct"/>
            <w:tcBorders>
              <w:top w:val="nil"/>
              <w:left w:val="nil"/>
              <w:bottom w:val="nil"/>
              <w:right w:val="nil"/>
            </w:tcBorders>
          </w:tcPr>
          <w:p w14:paraId="72BF19DA"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Tītari, 9–12 nedēļas</w:t>
            </w:r>
          </w:p>
        </w:tc>
        <w:tc>
          <w:tcPr>
            <w:tcW w:w="836" w:type="pct"/>
            <w:tcBorders>
              <w:top w:val="nil"/>
              <w:left w:val="nil"/>
              <w:bottom w:val="nil"/>
              <w:right w:val="nil"/>
            </w:tcBorders>
          </w:tcPr>
          <w:p w14:paraId="284FB982"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21–22</w:t>
            </w:r>
          </w:p>
        </w:tc>
        <w:tc>
          <w:tcPr>
            <w:tcW w:w="1048" w:type="pct"/>
            <w:tcBorders>
              <w:top w:val="nil"/>
              <w:left w:val="nil"/>
              <w:bottom w:val="nil"/>
              <w:right w:val="nil"/>
            </w:tcBorders>
          </w:tcPr>
          <w:p w14:paraId="158C66B4"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20–21</w:t>
            </w:r>
          </w:p>
        </w:tc>
        <w:tc>
          <w:tcPr>
            <w:tcW w:w="708" w:type="pct"/>
            <w:tcBorders>
              <w:top w:val="nil"/>
              <w:left w:val="nil"/>
              <w:bottom w:val="nil"/>
              <w:right w:val="nil"/>
            </w:tcBorders>
          </w:tcPr>
          <w:p w14:paraId="464CBCE4"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19–20</w:t>
            </w:r>
          </w:p>
        </w:tc>
      </w:tr>
      <w:tr w:rsidR="008E3F72" w:rsidRPr="006C5661" w14:paraId="59B1ABD6" w14:textId="77777777" w:rsidTr="0010018A">
        <w:tc>
          <w:tcPr>
            <w:tcW w:w="2409" w:type="pct"/>
            <w:tcBorders>
              <w:top w:val="nil"/>
              <w:left w:val="nil"/>
              <w:bottom w:val="nil"/>
              <w:right w:val="nil"/>
            </w:tcBorders>
          </w:tcPr>
          <w:p w14:paraId="1118563B"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Tītari, 13–16 nedēļas</w:t>
            </w:r>
          </w:p>
        </w:tc>
        <w:tc>
          <w:tcPr>
            <w:tcW w:w="836" w:type="pct"/>
            <w:tcBorders>
              <w:top w:val="nil"/>
              <w:left w:val="nil"/>
              <w:bottom w:val="nil"/>
              <w:right w:val="nil"/>
            </w:tcBorders>
          </w:tcPr>
          <w:p w14:paraId="6DB0C769"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18–19</w:t>
            </w:r>
          </w:p>
        </w:tc>
        <w:tc>
          <w:tcPr>
            <w:tcW w:w="1048" w:type="pct"/>
            <w:tcBorders>
              <w:top w:val="nil"/>
              <w:left w:val="nil"/>
              <w:bottom w:val="nil"/>
              <w:right w:val="nil"/>
            </w:tcBorders>
          </w:tcPr>
          <w:p w14:paraId="31DEE6E7"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17–18</w:t>
            </w:r>
          </w:p>
        </w:tc>
        <w:tc>
          <w:tcPr>
            <w:tcW w:w="708" w:type="pct"/>
            <w:tcBorders>
              <w:top w:val="nil"/>
              <w:left w:val="nil"/>
              <w:bottom w:val="nil"/>
              <w:right w:val="nil"/>
            </w:tcBorders>
          </w:tcPr>
          <w:p w14:paraId="4F4D0B27"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16–17</w:t>
            </w:r>
          </w:p>
        </w:tc>
      </w:tr>
      <w:tr w:rsidR="008E3F72" w:rsidRPr="006C5661" w14:paraId="32A64351" w14:textId="77777777" w:rsidTr="0010018A">
        <w:tc>
          <w:tcPr>
            <w:tcW w:w="2409" w:type="pct"/>
            <w:tcBorders>
              <w:top w:val="nil"/>
              <w:left w:val="nil"/>
              <w:bottom w:val="single" w:sz="12" w:space="0" w:color="000000"/>
              <w:right w:val="nil"/>
            </w:tcBorders>
          </w:tcPr>
          <w:p w14:paraId="101A1453"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Tītari, &gt; 16 nedēļas</w:t>
            </w:r>
          </w:p>
        </w:tc>
        <w:tc>
          <w:tcPr>
            <w:tcW w:w="836" w:type="pct"/>
            <w:tcBorders>
              <w:top w:val="nil"/>
              <w:left w:val="nil"/>
              <w:bottom w:val="single" w:sz="12" w:space="0" w:color="000000"/>
              <w:right w:val="nil"/>
            </w:tcBorders>
          </w:tcPr>
          <w:p w14:paraId="538A76FD"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16–17</w:t>
            </w:r>
          </w:p>
        </w:tc>
        <w:tc>
          <w:tcPr>
            <w:tcW w:w="1048" w:type="pct"/>
            <w:tcBorders>
              <w:top w:val="nil"/>
              <w:left w:val="nil"/>
              <w:bottom w:val="single" w:sz="12" w:space="0" w:color="000000"/>
              <w:right w:val="nil"/>
            </w:tcBorders>
          </w:tcPr>
          <w:p w14:paraId="0203A2A7"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15–16</w:t>
            </w:r>
          </w:p>
        </w:tc>
        <w:tc>
          <w:tcPr>
            <w:tcW w:w="708" w:type="pct"/>
            <w:tcBorders>
              <w:top w:val="nil"/>
              <w:left w:val="nil"/>
              <w:bottom w:val="single" w:sz="12" w:space="0" w:color="000000"/>
              <w:right w:val="nil"/>
            </w:tcBorders>
          </w:tcPr>
          <w:p w14:paraId="608392DE"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14–15</w:t>
            </w:r>
          </w:p>
        </w:tc>
      </w:tr>
    </w:tbl>
    <w:p w14:paraId="2F713DCA" w14:textId="77777777" w:rsidR="008E3F72" w:rsidRPr="00F35F4D" w:rsidRDefault="008E3F72" w:rsidP="008E3F72">
      <w:pPr>
        <w:pStyle w:val="BodyText"/>
        <w:widowControl/>
        <w:kinsoku w:val="0"/>
        <w:overflowPunct w:val="0"/>
        <w:spacing w:before="0"/>
        <w:ind w:left="0"/>
        <w:jc w:val="both"/>
        <w:rPr>
          <w:i/>
          <w:iCs/>
          <w:noProof/>
          <w:sz w:val="24"/>
          <w:szCs w:val="24"/>
        </w:rPr>
      </w:pPr>
    </w:p>
    <w:p w14:paraId="265C2D2D" w14:textId="315FC1DB"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Piezīme. </w:t>
      </w:r>
      <w:r w:rsidRPr="00F35F4D">
        <w:rPr>
          <w:noProof/>
          <w:sz w:val="24"/>
        </w:rPr>
        <w:t xml:space="preserve">Šīs KP vērtības var izmantot kā gada vidējo mērķi, </w:t>
      </w:r>
      <w:r w:rsidR="00496106">
        <w:rPr>
          <w:noProof/>
          <w:sz w:val="24"/>
        </w:rPr>
        <w:t>īstenojot dzīvnieku ēdināšanas</w:t>
      </w:r>
      <w:r w:rsidRPr="00F35F4D">
        <w:rPr>
          <w:noProof/>
          <w:sz w:val="24"/>
        </w:rPr>
        <w:t xml:space="preserve"> stratēģijas ar zemu olbaltumvielu saturu barībā.</w:t>
      </w:r>
    </w:p>
    <w:p w14:paraId="393DD311"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i/>
          <w:noProof/>
          <w:sz w:val="24"/>
        </w:rPr>
        <w:t xml:space="preserve">a </w:t>
      </w:r>
      <w:r w:rsidRPr="00F35F4D">
        <w:rPr>
          <w:noProof/>
          <w:sz w:val="24"/>
        </w:rPr>
        <w:t>Ja nodrošinātas pareizi līdzsvarotas un optimāli sagremojamas aminoskābes.</w:t>
      </w:r>
    </w:p>
    <w:p w14:paraId="13D7041A" w14:textId="77777777" w:rsidR="008E3F72" w:rsidRPr="00F35F4D" w:rsidRDefault="008E3F72" w:rsidP="008E3F72">
      <w:pPr>
        <w:pStyle w:val="BodyText"/>
        <w:widowControl/>
        <w:kinsoku w:val="0"/>
        <w:overflowPunct w:val="0"/>
        <w:spacing w:before="0"/>
        <w:ind w:left="0"/>
        <w:jc w:val="both"/>
        <w:rPr>
          <w:noProof/>
          <w:sz w:val="24"/>
          <w:szCs w:val="24"/>
        </w:rPr>
      </w:pPr>
    </w:p>
    <w:p w14:paraId="358A8007" w14:textId="77777777" w:rsidR="008E3F72" w:rsidRPr="00F35F4D" w:rsidRDefault="008E3F72" w:rsidP="008E3F72">
      <w:pPr>
        <w:pStyle w:val="BodyText"/>
        <w:widowControl/>
        <w:kinsoku w:val="0"/>
        <w:overflowPunct w:val="0"/>
        <w:spacing w:before="0"/>
        <w:ind w:left="0"/>
        <w:jc w:val="both"/>
        <w:rPr>
          <w:noProof/>
          <w:sz w:val="24"/>
          <w:szCs w:val="24"/>
        </w:rPr>
      </w:pPr>
      <w:r w:rsidRPr="00F35F4D">
        <w:rPr>
          <w:noProof/>
          <w:sz w:val="24"/>
        </w:rPr>
        <w:t>AII.6. tabula</w:t>
      </w:r>
    </w:p>
    <w:p w14:paraId="1D5E548D" w14:textId="77777777" w:rsidR="008E3F72" w:rsidRPr="00F35F4D" w:rsidRDefault="008E3F72" w:rsidP="008E3F72">
      <w:pPr>
        <w:pStyle w:val="Heading9"/>
        <w:widowControl/>
        <w:tabs>
          <w:tab w:val="left" w:pos="8687"/>
        </w:tabs>
        <w:kinsoku w:val="0"/>
        <w:overflowPunct w:val="0"/>
        <w:spacing w:before="0"/>
        <w:ind w:left="0"/>
        <w:jc w:val="both"/>
        <w:rPr>
          <w:noProof/>
          <w:sz w:val="24"/>
          <w:szCs w:val="24"/>
          <w:u w:val="single"/>
        </w:rPr>
      </w:pPr>
      <w:r w:rsidRPr="00F35F4D">
        <w:rPr>
          <w:noProof/>
          <w:sz w:val="24"/>
          <w:u w:val="single"/>
        </w:rPr>
        <w:t>Izmaksas, kas saistītas ar olbaltumvielu koncentrācijas mērķvērtību pazemināšanu nobarojamām cūkām</w:t>
      </w:r>
    </w:p>
    <w:tbl>
      <w:tblPr>
        <w:tblW w:w="5000" w:type="pct"/>
        <w:tblCellMar>
          <w:left w:w="0" w:type="dxa"/>
          <w:right w:w="0" w:type="dxa"/>
        </w:tblCellMar>
        <w:tblLook w:val="0000" w:firstRow="0" w:lastRow="0" w:firstColumn="0" w:lastColumn="0" w:noHBand="0" w:noVBand="0"/>
      </w:tblPr>
      <w:tblGrid>
        <w:gridCol w:w="4546"/>
        <w:gridCol w:w="3680"/>
      </w:tblGrid>
      <w:tr w:rsidR="008E3F72" w:rsidRPr="006C5661" w14:paraId="12D53B42" w14:textId="77777777" w:rsidTr="0010018A">
        <w:tc>
          <w:tcPr>
            <w:tcW w:w="2763" w:type="pct"/>
            <w:tcBorders>
              <w:top w:val="nil"/>
              <w:left w:val="nil"/>
              <w:bottom w:val="single" w:sz="12" w:space="0" w:color="000000"/>
              <w:right w:val="nil"/>
            </w:tcBorders>
          </w:tcPr>
          <w:p w14:paraId="46DE6E0E" w14:textId="77777777" w:rsidR="008E3F72" w:rsidRPr="006C5661" w:rsidRDefault="008E3F72" w:rsidP="0010018A">
            <w:pPr>
              <w:pStyle w:val="TableParagraph"/>
              <w:widowControl/>
              <w:kinsoku w:val="0"/>
              <w:overflowPunct w:val="0"/>
              <w:jc w:val="both"/>
              <w:rPr>
                <w:i/>
                <w:iCs/>
                <w:noProof/>
                <w:sz w:val="20"/>
                <w:szCs w:val="20"/>
              </w:rPr>
            </w:pPr>
            <w:r w:rsidRPr="006C5661">
              <w:rPr>
                <w:i/>
                <w:noProof/>
                <w:sz w:val="20"/>
                <w:szCs w:val="20"/>
              </w:rPr>
              <w:t>Olbaltumvielu satura mērķvērtība (%)</w:t>
            </w:r>
          </w:p>
        </w:tc>
        <w:tc>
          <w:tcPr>
            <w:tcW w:w="2237" w:type="pct"/>
            <w:tcBorders>
              <w:top w:val="nil"/>
              <w:left w:val="nil"/>
              <w:bottom w:val="single" w:sz="12" w:space="0" w:color="000000"/>
              <w:right w:val="nil"/>
            </w:tcBorders>
          </w:tcPr>
          <w:p w14:paraId="5E30D7D7" w14:textId="77777777" w:rsidR="008E3F72" w:rsidRPr="006C5661" w:rsidRDefault="008E3F72" w:rsidP="0010018A">
            <w:pPr>
              <w:pStyle w:val="TableParagraph"/>
              <w:widowControl/>
              <w:kinsoku w:val="0"/>
              <w:overflowPunct w:val="0"/>
              <w:jc w:val="both"/>
              <w:rPr>
                <w:i/>
                <w:iCs/>
                <w:noProof/>
                <w:sz w:val="20"/>
                <w:szCs w:val="20"/>
              </w:rPr>
            </w:pPr>
            <w:r w:rsidRPr="006C5661">
              <w:rPr>
                <w:i/>
                <w:noProof/>
                <w:sz w:val="20"/>
                <w:szCs w:val="20"/>
              </w:rPr>
              <w:t xml:space="preserve">Papildu izmaksas, </w:t>
            </w:r>
            <w:r w:rsidRPr="006C5661">
              <w:rPr>
                <w:noProof/>
                <w:sz w:val="20"/>
                <w:szCs w:val="20"/>
              </w:rPr>
              <w:t>euro</w:t>
            </w:r>
            <w:r w:rsidRPr="006C5661">
              <w:rPr>
                <w:i/>
                <w:noProof/>
                <w:sz w:val="20"/>
                <w:szCs w:val="20"/>
              </w:rPr>
              <w:t xml:space="preserve"> par 100 kg barības</w:t>
            </w:r>
          </w:p>
        </w:tc>
      </w:tr>
      <w:tr w:rsidR="008E3F72" w:rsidRPr="006C5661" w14:paraId="18DA030F" w14:textId="77777777" w:rsidTr="0010018A">
        <w:tc>
          <w:tcPr>
            <w:tcW w:w="2763" w:type="pct"/>
            <w:tcBorders>
              <w:top w:val="single" w:sz="12" w:space="0" w:color="000000"/>
              <w:left w:val="nil"/>
              <w:bottom w:val="nil"/>
              <w:right w:val="nil"/>
            </w:tcBorders>
          </w:tcPr>
          <w:p w14:paraId="194F18E3"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15,0</w:t>
            </w:r>
          </w:p>
        </w:tc>
        <w:tc>
          <w:tcPr>
            <w:tcW w:w="2237" w:type="pct"/>
            <w:tcBorders>
              <w:top w:val="single" w:sz="12" w:space="0" w:color="000000"/>
              <w:left w:val="nil"/>
              <w:bottom w:val="nil"/>
              <w:right w:val="nil"/>
            </w:tcBorders>
          </w:tcPr>
          <w:p w14:paraId="0A7A8200"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0,00</w:t>
            </w:r>
          </w:p>
        </w:tc>
      </w:tr>
      <w:tr w:rsidR="008E3F72" w:rsidRPr="006C5661" w14:paraId="3D5E6975" w14:textId="77777777" w:rsidTr="0010018A">
        <w:tc>
          <w:tcPr>
            <w:tcW w:w="2763" w:type="pct"/>
            <w:tcBorders>
              <w:top w:val="nil"/>
              <w:left w:val="nil"/>
              <w:bottom w:val="nil"/>
              <w:right w:val="nil"/>
            </w:tcBorders>
          </w:tcPr>
          <w:p w14:paraId="7EB40DBE"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13,5</w:t>
            </w:r>
          </w:p>
        </w:tc>
        <w:tc>
          <w:tcPr>
            <w:tcW w:w="2237" w:type="pct"/>
            <w:tcBorders>
              <w:top w:val="nil"/>
              <w:left w:val="nil"/>
              <w:bottom w:val="nil"/>
              <w:right w:val="nil"/>
            </w:tcBorders>
          </w:tcPr>
          <w:p w14:paraId="5C80342C"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0,90</w:t>
            </w:r>
          </w:p>
        </w:tc>
      </w:tr>
      <w:tr w:rsidR="008E3F72" w:rsidRPr="006C5661" w14:paraId="3D14D5D9" w14:textId="77777777" w:rsidTr="0010018A">
        <w:tc>
          <w:tcPr>
            <w:tcW w:w="2763" w:type="pct"/>
            <w:tcBorders>
              <w:top w:val="nil"/>
              <w:left w:val="nil"/>
              <w:bottom w:val="single" w:sz="12" w:space="0" w:color="000000"/>
              <w:right w:val="nil"/>
            </w:tcBorders>
          </w:tcPr>
          <w:p w14:paraId="6A006F70"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12,7</w:t>
            </w:r>
          </w:p>
        </w:tc>
        <w:tc>
          <w:tcPr>
            <w:tcW w:w="2237" w:type="pct"/>
            <w:tcBorders>
              <w:top w:val="nil"/>
              <w:left w:val="nil"/>
              <w:bottom w:val="single" w:sz="12" w:space="0" w:color="000000"/>
              <w:right w:val="nil"/>
            </w:tcBorders>
          </w:tcPr>
          <w:p w14:paraId="2DC015E6" w14:textId="77777777" w:rsidR="008E3F72" w:rsidRPr="006C5661" w:rsidRDefault="008E3F72" w:rsidP="0010018A">
            <w:pPr>
              <w:pStyle w:val="TableParagraph"/>
              <w:widowControl/>
              <w:kinsoku w:val="0"/>
              <w:overflowPunct w:val="0"/>
              <w:jc w:val="both"/>
              <w:rPr>
                <w:noProof/>
                <w:sz w:val="20"/>
                <w:szCs w:val="20"/>
              </w:rPr>
            </w:pPr>
            <w:r w:rsidRPr="006C5661">
              <w:rPr>
                <w:sz w:val="20"/>
                <w:szCs w:val="20"/>
              </w:rPr>
              <w:t>3,10</w:t>
            </w:r>
          </w:p>
        </w:tc>
      </w:tr>
    </w:tbl>
    <w:p w14:paraId="635CAFA2" w14:textId="77777777" w:rsidR="008E3F72" w:rsidRPr="00F35F4D" w:rsidRDefault="008E3F72" w:rsidP="008E3F72">
      <w:pPr>
        <w:pStyle w:val="BodyText"/>
        <w:widowControl/>
        <w:kinsoku w:val="0"/>
        <w:overflowPunct w:val="0"/>
        <w:spacing w:before="0"/>
        <w:ind w:left="0"/>
        <w:jc w:val="both"/>
        <w:rPr>
          <w:noProof/>
        </w:rPr>
      </w:pPr>
    </w:p>
    <w:p w14:paraId="75CAD6D4" w14:textId="77777777" w:rsidR="008E3F72" w:rsidRPr="00F35F4D" w:rsidRDefault="008E3F72" w:rsidP="008E3F72">
      <w:pPr>
        <w:pStyle w:val="Heading2"/>
        <w:widowControl/>
        <w:kinsoku w:val="0"/>
        <w:overflowPunct w:val="0"/>
        <w:ind w:left="0"/>
        <w:jc w:val="both"/>
        <w:rPr>
          <w:rFonts w:ascii="Times New Roman" w:hAnsi="Times New Roman" w:cs="Times New Roman"/>
          <w:noProof/>
        </w:rPr>
      </w:pPr>
      <w:r w:rsidRPr="00F35F4D">
        <w:rPr>
          <w:rFonts w:ascii="Times New Roman" w:hAnsi="Times New Roman" w:cs="Times New Roman"/>
        </w:rPr>
        <w:br w:type="page"/>
      </w:r>
    </w:p>
    <w:p w14:paraId="01A08253" w14:textId="77777777" w:rsidR="008E3F72" w:rsidRPr="00F35F4D" w:rsidRDefault="008E3F72" w:rsidP="006C5661">
      <w:pPr>
        <w:pStyle w:val="Heading1"/>
        <w:rPr>
          <w:szCs w:val="24"/>
        </w:rPr>
      </w:pPr>
      <w:bookmarkStart w:id="34" w:name="_Toc426033285"/>
      <w:r w:rsidRPr="00F35F4D">
        <w:lastRenderedPageBreak/>
        <w:t>Abreviatūru un akronīmu saraksts</w:t>
      </w:r>
      <w:bookmarkEnd w:id="34"/>
    </w:p>
    <w:p w14:paraId="05B44EA5" w14:textId="77777777" w:rsidR="008E3F72" w:rsidRPr="00F35F4D" w:rsidRDefault="008E3F72" w:rsidP="008E3F72">
      <w:pPr>
        <w:rPr>
          <w:noProof/>
        </w:rPr>
      </w:pPr>
    </w:p>
    <w:tbl>
      <w:tblPr>
        <w:tblW w:w="5000" w:type="pct"/>
        <w:tblCellMar>
          <w:left w:w="0" w:type="dxa"/>
          <w:right w:w="0" w:type="dxa"/>
        </w:tblCellMar>
        <w:tblLook w:val="0000" w:firstRow="0" w:lastRow="0" w:firstColumn="0" w:lastColumn="0" w:noHBand="0" w:noVBand="0"/>
      </w:tblPr>
      <w:tblGrid>
        <w:gridCol w:w="2693"/>
        <w:gridCol w:w="5533"/>
      </w:tblGrid>
      <w:tr w:rsidR="008E3F72" w:rsidRPr="00F35F4D" w14:paraId="01A63D73" w14:textId="77777777" w:rsidTr="0010018A">
        <w:tc>
          <w:tcPr>
            <w:tcW w:w="1637" w:type="pct"/>
            <w:tcBorders>
              <w:top w:val="nil"/>
              <w:left w:val="nil"/>
              <w:bottom w:val="nil"/>
              <w:right w:val="nil"/>
            </w:tcBorders>
            <w:shd w:val="clear" w:color="auto" w:fill="FFFFFF"/>
          </w:tcPr>
          <w:p w14:paraId="7139D50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w:t>
            </w:r>
          </w:p>
        </w:tc>
        <w:tc>
          <w:tcPr>
            <w:tcW w:w="3363" w:type="pct"/>
            <w:tcBorders>
              <w:top w:val="nil"/>
              <w:left w:val="nil"/>
              <w:bottom w:val="nil"/>
              <w:right w:val="nil"/>
            </w:tcBorders>
            <w:shd w:val="clear" w:color="auto" w:fill="FFFFFF"/>
          </w:tcPr>
          <w:p w14:paraId="52AE3EA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Celsija grāds</w:t>
            </w:r>
          </w:p>
        </w:tc>
      </w:tr>
      <w:tr w:rsidR="008E3F72" w:rsidRPr="00F35F4D" w14:paraId="644D287C" w14:textId="77777777" w:rsidTr="0010018A">
        <w:tc>
          <w:tcPr>
            <w:tcW w:w="1637" w:type="pct"/>
            <w:tcBorders>
              <w:top w:val="nil"/>
              <w:left w:val="nil"/>
              <w:bottom w:val="nil"/>
              <w:right w:val="nil"/>
            </w:tcBorders>
            <w:shd w:val="clear" w:color="auto" w:fill="FFFFFF"/>
          </w:tcPr>
          <w:p w14:paraId="619021C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AKDV</w:t>
            </w:r>
          </w:p>
        </w:tc>
        <w:tc>
          <w:tcPr>
            <w:tcW w:w="3363" w:type="pct"/>
            <w:tcBorders>
              <w:top w:val="nil"/>
              <w:left w:val="nil"/>
              <w:bottom w:val="nil"/>
              <w:right w:val="nil"/>
            </w:tcBorders>
            <w:shd w:val="clear" w:color="auto" w:fill="FFFFFF"/>
          </w:tcPr>
          <w:p w14:paraId="716C56D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automatizētas kontroles dabiskā ventilācija</w:t>
            </w:r>
          </w:p>
        </w:tc>
      </w:tr>
      <w:tr w:rsidR="008E3F72" w:rsidRPr="00F35F4D" w14:paraId="505DAF36" w14:textId="77777777" w:rsidTr="0010018A">
        <w:tc>
          <w:tcPr>
            <w:tcW w:w="1637" w:type="pct"/>
            <w:tcBorders>
              <w:top w:val="nil"/>
              <w:left w:val="nil"/>
              <w:bottom w:val="nil"/>
              <w:right w:val="nil"/>
            </w:tcBorders>
            <w:shd w:val="clear" w:color="auto" w:fill="FFFFFF"/>
          </w:tcPr>
          <w:p w14:paraId="7F1712E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VSMLI</w:t>
            </w:r>
          </w:p>
        </w:tc>
        <w:tc>
          <w:tcPr>
            <w:tcW w:w="3363" w:type="pct"/>
            <w:tcBorders>
              <w:top w:val="nil"/>
              <w:left w:val="nil"/>
              <w:bottom w:val="nil"/>
              <w:right w:val="nil"/>
            </w:tcBorders>
            <w:shd w:val="clear" w:color="auto" w:fill="FFFFFF"/>
          </w:tcPr>
          <w:p w14:paraId="333D43C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vadības sistēma mēslošanas laika izvēlei</w:t>
            </w:r>
          </w:p>
        </w:tc>
      </w:tr>
      <w:tr w:rsidR="008E3F72" w:rsidRPr="00F35F4D" w14:paraId="199CF82B" w14:textId="77777777" w:rsidTr="0010018A">
        <w:tc>
          <w:tcPr>
            <w:tcW w:w="1637" w:type="pct"/>
            <w:tcBorders>
              <w:top w:val="nil"/>
              <w:left w:val="nil"/>
              <w:bottom w:val="nil"/>
              <w:right w:val="nil"/>
            </w:tcBorders>
            <w:shd w:val="clear" w:color="auto" w:fill="FFFFFF"/>
          </w:tcPr>
          <w:p w14:paraId="351791DF"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DzV</w:t>
            </w:r>
          </w:p>
        </w:tc>
        <w:tc>
          <w:tcPr>
            <w:tcW w:w="3363" w:type="pct"/>
            <w:tcBorders>
              <w:top w:val="nil"/>
              <w:left w:val="nil"/>
              <w:bottom w:val="nil"/>
              <w:right w:val="nil"/>
            </w:tcBorders>
            <w:shd w:val="clear" w:color="auto" w:fill="FFFFFF"/>
          </w:tcPr>
          <w:p w14:paraId="6443D70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dzīvnieku vienības</w:t>
            </w:r>
          </w:p>
        </w:tc>
      </w:tr>
      <w:tr w:rsidR="008E3F72" w:rsidRPr="00F35F4D" w14:paraId="256E4993" w14:textId="77777777" w:rsidTr="0010018A">
        <w:tc>
          <w:tcPr>
            <w:tcW w:w="1637" w:type="pct"/>
            <w:tcBorders>
              <w:top w:val="nil"/>
              <w:left w:val="nil"/>
              <w:bottom w:val="nil"/>
              <w:right w:val="nil"/>
            </w:tcBorders>
            <w:shd w:val="clear" w:color="auto" w:fill="FFFFFF"/>
            <w:vAlign w:val="center"/>
          </w:tcPr>
          <w:p w14:paraId="35E94E2E"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LPM</w:t>
            </w:r>
          </w:p>
        </w:tc>
        <w:tc>
          <w:tcPr>
            <w:tcW w:w="3363" w:type="pct"/>
            <w:tcBorders>
              <w:top w:val="nil"/>
              <w:left w:val="nil"/>
              <w:bottom w:val="nil"/>
              <w:right w:val="nil"/>
            </w:tcBorders>
            <w:shd w:val="clear" w:color="auto" w:fill="FFFFFF"/>
            <w:vAlign w:val="center"/>
          </w:tcPr>
          <w:p w14:paraId="52691C4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labākās pieejamās metodes</w:t>
            </w:r>
          </w:p>
        </w:tc>
      </w:tr>
      <w:tr w:rsidR="008E3F72" w:rsidRPr="00F35F4D" w14:paraId="6A3977D1" w14:textId="77777777" w:rsidTr="0010018A">
        <w:tc>
          <w:tcPr>
            <w:tcW w:w="1637" w:type="pct"/>
            <w:tcBorders>
              <w:top w:val="nil"/>
              <w:left w:val="nil"/>
              <w:bottom w:val="nil"/>
              <w:right w:val="nil"/>
            </w:tcBorders>
            <w:shd w:val="clear" w:color="auto" w:fill="FFFFFF"/>
          </w:tcPr>
          <w:p w14:paraId="1309635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NBF</w:t>
            </w:r>
          </w:p>
        </w:tc>
        <w:tc>
          <w:tcPr>
            <w:tcW w:w="3363" w:type="pct"/>
            <w:tcBorders>
              <w:top w:val="nil"/>
              <w:left w:val="nil"/>
              <w:bottom w:val="nil"/>
              <w:right w:val="nil"/>
            </w:tcBorders>
            <w:shd w:val="clear" w:color="auto" w:fill="FFFFFF"/>
          </w:tcPr>
          <w:p w14:paraId="6A340F3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slāpekļa bioloģiskā fiksācija</w:t>
            </w:r>
          </w:p>
        </w:tc>
      </w:tr>
      <w:tr w:rsidR="008E3F72" w:rsidRPr="00F35F4D" w14:paraId="18B4F30E" w14:textId="77777777" w:rsidTr="0010018A">
        <w:tc>
          <w:tcPr>
            <w:tcW w:w="1637" w:type="pct"/>
            <w:tcBorders>
              <w:top w:val="nil"/>
              <w:left w:val="nil"/>
              <w:bottom w:val="nil"/>
              <w:right w:val="nil"/>
            </w:tcBorders>
            <w:shd w:val="clear" w:color="auto" w:fill="FFFFFF"/>
          </w:tcPr>
          <w:p w14:paraId="39B672E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LPMAD</w:t>
            </w:r>
          </w:p>
        </w:tc>
        <w:tc>
          <w:tcPr>
            <w:tcW w:w="3363" w:type="pct"/>
            <w:tcBorders>
              <w:top w:val="nil"/>
              <w:left w:val="nil"/>
              <w:bottom w:val="nil"/>
              <w:right w:val="nil"/>
            </w:tcBorders>
            <w:shd w:val="clear" w:color="auto" w:fill="FFFFFF"/>
          </w:tcPr>
          <w:p w14:paraId="2762E9E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labāko pieejamo metožu atsauces dokuments</w:t>
            </w:r>
          </w:p>
        </w:tc>
      </w:tr>
      <w:tr w:rsidR="008E3F72" w:rsidRPr="00F35F4D" w14:paraId="2C9F5F61" w14:textId="77777777" w:rsidTr="0010018A">
        <w:tc>
          <w:tcPr>
            <w:tcW w:w="1637" w:type="pct"/>
            <w:tcBorders>
              <w:top w:val="nil"/>
              <w:left w:val="nil"/>
              <w:bottom w:val="nil"/>
              <w:right w:val="nil"/>
            </w:tcBorders>
            <w:shd w:val="clear" w:color="auto" w:fill="FFFFFF"/>
            <w:vAlign w:val="bottom"/>
          </w:tcPr>
          <w:p w14:paraId="70DD1E4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w:t>
            </w:r>
          </w:p>
        </w:tc>
        <w:tc>
          <w:tcPr>
            <w:tcW w:w="3363" w:type="pct"/>
            <w:tcBorders>
              <w:top w:val="nil"/>
              <w:left w:val="nil"/>
              <w:bottom w:val="nil"/>
              <w:right w:val="nil"/>
            </w:tcBorders>
            <w:shd w:val="clear" w:color="auto" w:fill="FFFFFF"/>
            <w:vAlign w:val="bottom"/>
          </w:tcPr>
          <w:p w14:paraId="6DDF5A7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ogleklis</w:t>
            </w:r>
          </w:p>
        </w:tc>
      </w:tr>
      <w:tr w:rsidR="008E3F72" w:rsidRPr="00F35F4D" w14:paraId="72F6EB07" w14:textId="77777777" w:rsidTr="0010018A">
        <w:tc>
          <w:tcPr>
            <w:tcW w:w="1637" w:type="pct"/>
            <w:tcBorders>
              <w:top w:val="nil"/>
              <w:left w:val="nil"/>
              <w:bottom w:val="nil"/>
              <w:right w:val="nil"/>
            </w:tcBorders>
            <w:shd w:val="clear" w:color="auto" w:fill="FFFFFF"/>
            <w:vAlign w:val="center"/>
          </w:tcPr>
          <w:p w14:paraId="791ACA5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Ca</w:t>
            </w:r>
          </w:p>
        </w:tc>
        <w:tc>
          <w:tcPr>
            <w:tcW w:w="3363" w:type="pct"/>
            <w:tcBorders>
              <w:top w:val="nil"/>
              <w:left w:val="nil"/>
              <w:bottom w:val="nil"/>
              <w:right w:val="nil"/>
            </w:tcBorders>
            <w:shd w:val="clear" w:color="auto" w:fill="FFFFFF"/>
            <w:vAlign w:val="center"/>
          </w:tcPr>
          <w:p w14:paraId="13D1CECB"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kalcijs</w:t>
            </w:r>
          </w:p>
        </w:tc>
      </w:tr>
      <w:tr w:rsidR="008E3F72" w:rsidRPr="00F35F4D" w14:paraId="0E0AB1E2" w14:textId="77777777" w:rsidTr="0010018A">
        <w:tc>
          <w:tcPr>
            <w:tcW w:w="1637" w:type="pct"/>
            <w:tcBorders>
              <w:top w:val="nil"/>
              <w:left w:val="nil"/>
              <w:bottom w:val="nil"/>
              <w:right w:val="nil"/>
            </w:tcBorders>
            <w:shd w:val="clear" w:color="auto" w:fill="FFFFFF"/>
            <w:vAlign w:val="bottom"/>
          </w:tcPr>
          <w:p w14:paraId="05A36EF9"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CaCl2</w:t>
            </w:r>
          </w:p>
        </w:tc>
        <w:tc>
          <w:tcPr>
            <w:tcW w:w="3363" w:type="pct"/>
            <w:tcBorders>
              <w:top w:val="nil"/>
              <w:left w:val="nil"/>
              <w:bottom w:val="nil"/>
              <w:right w:val="nil"/>
            </w:tcBorders>
            <w:shd w:val="clear" w:color="auto" w:fill="FFFFFF"/>
            <w:vAlign w:val="bottom"/>
          </w:tcPr>
          <w:p w14:paraId="69E4EAA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kalcija hlorīds</w:t>
            </w:r>
          </w:p>
        </w:tc>
      </w:tr>
      <w:tr w:rsidR="008E3F72" w:rsidRPr="00F35F4D" w14:paraId="0A07E48C" w14:textId="77777777" w:rsidTr="0010018A">
        <w:tc>
          <w:tcPr>
            <w:tcW w:w="1637" w:type="pct"/>
            <w:tcBorders>
              <w:top w:val="nil"/>
              <w:left w:val="nil"/>
              <w:bottom w:val="nil"/>
              <w:right w:val="nil"/>
            </w:tcBorders>
            <w:shd w:val="clear" w:color="auto" w:fill="FFFFFF"/>
            <w:vAlign w:val="bottom"/>
          </w:tcPr>
          <w:p w14:paraId="4B56DAD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CaCO3</w:t>
            </w:r>
          </w:p>
        </w:tc>
        <w:tc>
          <w:tcPr>
            <w:tcW w:w="3363" w:type="pct"/>
            <w:tcBorders>
              <w:top w:val="nil"/>
              <w:left w:val="nil"/>
              <w:bottom w:val="nil"/>
              <w:right w:val="nil"/>
            </w:tcBorders>
            <w:shd w:val="clear" w:color="auto" w:fill="FFFFFF"/>
            <w:vAlign w:val="bottom"/>
          </w:tcPr>
          <w:p w14:paraId="5E15EBE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kalcija karbonāts</w:t>
            </w:r>
          </w:p>
        </w:tc>
      </w:tr>
      <w:tr w:rsidR="008E3F72" w:rsidRPr="00F35F4D" w14:paraId="20DBA2C6" w14:textId="77777777" w:rsidTr="0010018A">
        <w:tc>
          <w:tcPr>
            <w:tcW w:w="1637" w:type="pct"/>
            <w:tcBorders>
              <w:top w:val="nil"/>
              <w:left w:val="nil"/>
              <w:bottom w:val="nil"/>
              <w:right w:val="nil"/>
            </w:tcBorders>
            <w:shd w:val="clear" w:color="auto" w:fill="FFFFFF"/>
            <w:vAlign w:val="center"/>
          </w:tcPr>
          <w:p w14:paraId="6BD78A5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Ca(NO3)2</w:t>
            </w:r>
          </w:p>
        </w:tc>
        <w:tc>
          <w:tcPr>
            <w:tcW w:w="3363" w:type="pct"/>
            <w:tcBorders>
              <w:top w:val="nil"/>
              <w:left w:val="nil"/>
              <w:bottom w:val="nil"/>
              <w:right w:val="nil"/>
            </w:tcBorders>
            <w:shd w:val="clear" w:color="auto" w:fill="FFFFFF"/>
            <w:vAlign w:val="center"/>
          </w:tcPr>
          <w:p w14:paraId="46E3811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kalcija nitrāts</w:t>
            </w:r>
          </w:p>
        </w:tc>
      </w:tr>
      <w:tr w:rsidR="008E3F72" w:rsidRPr="00F35F4D" w14:paraId="2A150DD1" w14:textId="77777777" w:rsidTr="0010018A">
        <w:tc>
          <w:tcPr>
            <w:tcW w:w="1637" w:type="pct"/>
            <w:tcBorders>
              <w:top w:val="nil"/>
              <w:left w:val="nil"/>
              <w:bottom w:val="nil"/>
              <w:right w:val="nil"/>
            </w:tcBorders>
            <w:shd w:val="clear" w:color="auto" w:fill="FFFFFF"/>
          </w:tcPr>
          <w:p w14:paraId="25005CD9"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CaSO4</w:t>
            </w:r>
          </w:p>
        </w:tc>
        <w:tc>
          <w:tcPr>
            <w:tcW w:w="3363" w:type="pct"/>
            <w:tcBorders>
              <w:top w:val="nil"/>
              <w:left w:val="nil"/>
              <w:bottom w:val="nil"/>
              <w:right w:val="nil"/>
            </w:tcBorders>
            <w:shd w:val="clear" w:color="auto" w:fill="FFFFFF"/>
          </w:tcPr>
          <w:p w14:paraId="19F6BF49"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kalcija sulfāts (ģipsis)</w:t>
            </w:r>
          </w:p>
        </w:tc>
      </w:tr>
      <w:tr w:rsidR="008E3F72" w:rsidRPr="00F35F4D" w14:paraId="7A5B1907" w14:textId="77777777" w:rsidTr="0010018A">
        <w:tc>
          <w:tcPr>
            <w:tcW w:w="1637" w:type="pct"/>
            <w:tcBorders>
              <w:top w:val="nil"/>
              <w:left w:val="nil"/>
              <w:bottom w:val="nil"/>
              <w:right w:val="nil"/>
            </w:tcBorders>
            <w:shd w:val="clear" w:color="auto" w:fill="FFFFFF"/>
          </w:tcPr>
          <w:p w14:paraId="04BFCA8B"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i/>
                <w:noProof/>
                <w:color w:val="000000"/>
                <w:sz w:val="20"/>
              </w:rPr>
              <w:t>CAPEX</w:t>
            </w:r>
          </w:p>
        </w:tc>
        <w:tc>
          <w:tcPr>
            <w:tcW w:w="3363" w:type="pct"/>
            <w:tcBorders>
              <w:top w:val="nil"/>
              <w:left w:val="nil"/>
              <w:bottom w:val="nil"/>
              <w:right w:val="nil"/>
            </w:tcBorders>
            <w:shd w:val="clear" w:color="auto" w:fill="FFFFFF"/>
          </w:tcPr>
          <w:p w14:paraId="4CC9F22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kapitālieguldījumu izmaksas</w:t>
            </w:r>
          </w:p>
        </w:tc>
      </w:tr>
      <w:tr w:rsidR="008E3F72" w:rsidRPr="00F35F4D" w14:paraId="7470F4F1" w14:textId="77777777" w:rsidTr="0010018A">
        <w:tc>
          <w:tcPr>
            <w:tcW w:w="1637" w:type="pct"/>
            <w:tcBorders>
              <w:top w:val="nil"/>
              <w:left w:val="nil"/>
              <w:bottom w:val="nil"/>
              <w:right w:val="nil"/>
            </w:tcBorders>
            <w:shd w:val="clear" w:color="auto" w:fill="FFFFFF"/>
          </w:tcPr>
          <w:p w14:paraId="13DC2C7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kat.</w:t>
            </w:r>
          </w:p>
        </w:tc>
        <w:tc>
          <w:tcPr>
            <w:tcW w:w="3363" w:type="pct"/>
            <w:tcBorders>
              <w:top w:val="nil"/>
              <w:left w:val="nil"/>
              <w:bottom w:val="nil"/>
              <w:right w:val="nil"/>
            </w:tcBorders>
            <w:shd w:val="clear" w:color="auto" w:fill="FFFFFF"/>
          </w:tcPr>
          <w:p w14:paraId="00A27BB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kategorija</w:t>
            </w:r>
          </w:p>
        </w:tc>
      </w:tr>
      <w:tr w:rsidR="008E3F72" w:rsidRPr="00F35F4D" w14:paraId="57E01124" w14:textId="77777777" w:rsidTr="0010018A">
        <w:tc>
          <w:tcPr>
            <w:tcW w:w="1637" w:type="pct"/>
            <w:tcBorders>
              <w:top w:val="nil"/>
              <w:left w:val="nil"/>
              <w:bottom w:val="nil"/>
              <w:right w:val="nil"/>
            </w:tcBorders>
            <w:shd w:val="clear" w:color="auto" w:fill="FFFFFF"/>
          </w:tcPr>
          <w:p w14:paraId="2C71BD1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CH4</w:t>
            </w:r>
          </w:p>
        </w:tc>
        <w:tc>
          <w:tcPr>
            <w:tcW w:w="3363" w:type="pct"/>
            <w:tcBorders>
              <w:top w:val="nil"/>
              <w:left w:val="nil"/>
              <w:bottom w:val="nil"/>
              <w:right w:val="nil"/>
            </w:tcBorders>
            <w:shd w:val="clear" w:color="auto" w:fill="FFFFFF"/>
          </w:tcPr>
          <w:p w14:paraId="2270AE6B"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metāns</w:t>
            </w:r>
          </w:p>
        </w:tc>
      </w:tr>
      <w:tr w:rsidR="008E3F72" w:rsidRPr="00F35F4D" w14:paraId="39C242AD" w14:textId="77777777" w:rsidTr="0010018A">
        <w:tc>
          <w:tcPr>
            <w:tcW w:w="1637" w:type="pct"/>
            <w:tcBorders>
              <w:top w:val="nil"/>
              <w:left w:val="nil"/>
              <w:bottom w:val="nil"/>
              <w:right w:val="nil"/>
            </w:tcBorders>
            <w:shd w:val="clear" w:color="auto" w:fill="FFFFFF"/>
            <w:vAlign w:val="center"/>
          </w:tcPr>
          <w:p w14:paraId="49FE7CD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cm</w:t>
            </w:r>
          </w:p>
        </w:tc>
        <w:tc>
          <w:tcPr>
            <w:tcW w:w="3363" w:type="pct"/>
            <w:tcBorders>
              <w:top w:val="nil"/>
              <w:left w:val="nil"/>
              <w:bottom w:val="nil"/>
              <w:right w:val="nil"/>
            </w:tcBorders>
            <w:shd w:val="clear" w:color="auto" w:fill="FFFFFF"/>
            <w:vAlign w:val="center"/>
          </w:tcPr>
          <w:p w14:paraId="43088AD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centimetrs</w:t>
            </w:r>
          </w:p>
        </w:tc>
      </w:tr>
      <w:tr w:rsidR="008E3F72" w:rsidRPr="00F35F4D" w14:paraId="2427827F" w14:textId="77777777" w:rsidTr="0010018A">
        <w:tc>
          <w:tcPr>
            <w:tcW w:w="1637" w:type="pct"/>
            <w:tcBorders>
              <w:top w:val="nil"/>
              <w:left w:val="nil"/>
              <w:bottom w:val="nil"/>
              <w:right w:val="nil"/>
            </w:tcBorders>
            <w:shd w:val="clear" w:color="auto" w:fill="FFFFFF"/>
            <w:vAlign w:val="bottom"/>
          </w:tcPr>
          <w:p w14:paraId="6C84BD0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CO2</w:t>
            </w:r>
          </w:p>
        </w:tc>
        <w:tc>
          <w:tcPr>
            <w:tcW w:w="3363" w:type="pct"/>
            <w:tcBorders>
              <w:top w:val="nil"/>
              <w:left w:val="nil"/>
              <w:bottom w:val="nil"/>
              <w:right w:val="nil"/>
            </w:tcBorders>
            <w:shd w:val="clear" w:color="auto" w:fill="FFFFFF"/>
            <w:vAlign w:val="bottom"/>
          </w:tcPr>
          <w:p w14:paraId="3B5417F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oglekļa dioksīds</w:t>
            </w:r>
          </w:p>
        </w:tc>
      </w:tr>
      <w:tr w:rsidR="008E3F72" w:rsidRPr="00F35F4D" w14:paraId="211D19BB" w14:textId="77777777" w:rsidTr="0010018A">
        <w:tc>
          <w:tcPr>
            <w:tcW w:w="1637" w:type="pct"/>
            <w:tcBorders>
              <w:top w:val="nil"/>
              <w:left w:val="nil"/>
              <w:bottom w:val="nil"/>
              <w:right w:val="nil"/>
            </w:tcBorders>
            <w:shd w:val="clear" w:color="auto" w:fill="FFFFFF"/>
          </w:tcPr>
          <w:p w14:paraId="1AC604F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KP</w:t>
            </w:r>
          </w:p>
        </w:tc>
        <w:tc>
          <w:tcPr>
            <w:tcW w:w="3363" w:type="pct"/>
            <w:tcBorders>
              <w:top w:val="nil"/>
              <w:left w:val="nil"/>
              <w:bottom w:val="nil"/>
              <w:right w:val="nil"/>
            </w:tcBorders>
            <w:shd w:val="clear" w:color="auto" w:fill="FFFFFF"/>
          </w:tcPr>
          <w:p w14:paraId="39B99F3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kopproteīns</w:t>
            </w:r>
          </w:p>
        </w:tc>
      </w:tr>
      <w:tr w:rsidR="008E3F72" w:rsidRPr="00F35F4D" w14:paraId="4E99372C" w14:textId="77777777" w:rsidTr="0010018A">
        <w:tc>
          <w:tcPr>
            <w:tcW w:w="1637" w:type="pct"/>
            <w:tcBorders>
              <w:top w:val="nil"/>
              <w:left w:val="nil"/>
              <w:bottom w:val="nil"/>
              <w:right w:val="nil"/>
            </w:tcBorders>
            <w:shd w:val="clear" w:color="auto" w:fill="FFFFFF"/>
          </w:tcPr>
          <w:p w14:paraId="7470E93B" w14:textId="36D4E1D2" w:rsidR="008E3F72" w:rsidRPr="00496106" w:rsidRDefault="00496106" w:rsidP="0010018A">
            <w:pPr>
              <w:widowControl/>
              <w:autoSpaceDE/>
              <w:autoSpaceDN/>
              <w:adjustRightInd/>
              <w:spacing w:line="200" w:lineRule="exact"/>
              <w:rPr>
                <w:rFonts w:eastAsia="Times New Roman"/>
                <w:i/>
                <w:noProof/>
                <w:color w:val="000000"/>
                <w:sz w:val="20"/>
                <w:szCs w:val="20"/>
              </w:rPr>
            </w:pPr>
            <w:r w:rsidRPr="00496106">
              <w:rPr>
                <w:i/>
                <w:noProof/>
                <w:color w:val="000000"/>
                <w:sz w:val="20"/>
              </w:rPr>
              <w:t>DM</w:t>
            </w:r>
          </w:p>
        </w:tc>
        <w:tc>
          <w:tcPr>
            <w:tcW w:w="3363" w:type="pct"/>
            <w:tcBorders>
              <w:top w:val="nil"/>
              <w:left w:val="nil"/>
              <w:bottom w:val="nil"/>
              <w:right w:val="nil"/>
            </w:tcBorders>
            <w:shd w:val="clear" w:color="auto" w:fill="FFFFFF"/>
          </w:tcPr>
          <w:p w14:paraId="2AB0758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sausna</w:t>
            </w:r>
          </w:p>
        </w:tc>
      </w:tr>
      <w:tr w:rsidR="008E3F72" w:rsidRPr="00F35F4D" w14:paraId="34BFB8B8" w14:textId="77777777" w:rsidTr="0010018A">
        <w:tc>
          <w:tcPr>
            <w:tcW w:w="1637" w:type="pct"/>
            <w:tcBorders>
              <w:top w:val="nil"/>
              <w:left w:val="nil"/>
              <w:bottom w:val="nil"/>
              <w:right w:val="nil"/>
            </w:tcBorders>
            <w:shd w:val="clear" w:color="auto" w:fill="FFFFFF"/>
            <w:vAlign w:val="bottom"/>
          </w:tcPr>
          <w:p w14:paraId="66E6743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AON</w:t>
            </w:r>
          </w:p>
        </w:tc>
        <w:tc>
          <w:tcPr>
            <w:tcW w:w="3363" w:type="pct"/>
            <w:tcBorders>
              <w:top w:val="nil"/>
              <w:left w:val="nil"/>
              <w:bottom w:val="nil"/>
              <w:right w:val="nil"/>
            </w:tcBorders>
            <w:shd w:val="clear" w:color="auto" w:fill="FFFFFF"/>
            <w:vAlign w:val="bottom"/>
          </w:tcPr>
          <w:p w14:paraId="32063F8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atšķaidīts organiskais slāpeklis</w:t>
            </w:r>
          </w:p>
        </w:tc>
      </w:tr>
      <w:tr w:rsidR="008E3F72" w:rsidRPr="00F35F4D" w14:paraId="628F8815" w14:textId="77777777" w:rsidTr="0010018A">
        <w:tc>
          <w:tcPr>
            <w:tcW w:w="1637" w:type="pct"/>
            <w:tcBorders>
              <w:top w:val="nil"/>
              <w:left w:val="nil"/>
              <w:bottom w:val="nil"/>
              <w:right w:val="nil"/>
            </w:tcBorders>
            <w:shd w:val="clear" w:color="auto" w:fill="FFFFFF"/>
          </w:tcPr>
          <w:p w14:paraId="3A1E37C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EEK</w:t>
            </w:r>
          </w:p>
        </w:tc>
        <w:tc>
          <w:tcPr>
            <w:tcW w:w="3363" w:type="pct"/>
            <w:tcBorders>
              <w:top w:val="nil"/>
              <w:left w:val="nil"/>
              <w:bottom w:val="nil"/>
              <w:right w:val="nil"/>
            </w:tcBorders>
            <w:shd w:val="clear" w:color="auto" w:fill="FFFFFF"/>
          </w:tcPr>
          <w:p w14:paraId="344F557E"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ANO Eiropas Ekonomikas komisija</w:t>
            </w:r>
          </w:p>
        </w:tc>
      </w:tr>
      <w:tr w:rsidR="008E3F72" w:rsidRPr="00F35F4D" w14:paraId="5F0F1B1B" w14:textId="77777777" w:rsidTr="0010018A">
        <w:tc>
          <w:tcPr>
            <w:tcW w:w="1637" w:type="pct"/>
            <w:tcBorders>
              <w:top w:val="nil"/>
              <w:left w:val="nil"/>
              <w:bottom w:val="nil"/>
              <w:right w:val="nil"/>
            </w:tcBorders>
            <w:shd w:val="clear" w:color="auto" w:fill="FFFFFF"/>
          </w:tcPr>
          <w:p w14:paraId="3764682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ES</w:t>
            </w:r>
          </w:p>
        </w:tc>
        <w:tc>
          <w:tcPr>
            <w:tcW w:w="3363" w:type="pct"/>
            <w:tcBorders>
              <w:top w:val="nil"/>
              <w:left w:val="nil"/>
              <w:bottom w:val="nil"/>
              <w:right w:val="nil"/>
            </w:tcBorders>
            <w:shd w:val="clear" w:color="auto" w:fill="FFFFFF"/>
          </w:tcPr>
          <w:p w14:paraId="21FC171B"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Eiropas Savienība</w:t>
            </w:r>
          </w:p>
        </w:tc>
      </w:tr>
      <w:tr w:rsidR="008E3F72" w:rsidRPr="00F35F4D" w14:paraId="38743942" w14:textId="77777777" w:rsidTr="0010018A">
        <w:tc>
          <w:tcPr>
            <w:tcW w:w="1637" w:type="pct"/>
            <w:tcBorders>
              <w:top w:val="nil"/>
              <w:left w:val="nil"/>
              <w:bottom w:val="nil"/>
              <w:right w:val="nil"/>
            </w:tcBorders>
            <w:shd w:val="clear" w:color="auto" w:fill="FFFFFF"/>
          </w:tcPr>
          <w:p w14:paraId="618FD2C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MLNEV</w:t>
            </w:r>
          </w:p>
        </w:tc>
        <w:tc>
          <w:tcPr>
            <w:tcW w:w="3363" w:type="pct"/>
            <w:tcBorders>
              <w:top w:val="nil"/>
              <w:left w:val="nil"/>
              <w:bottom w:val="nil"/>
              <w:right w:val="nil"/>
            </w:tcBorders>
            <w:shd w:val="clear" w:color="auto" w:fill="FFFFFF"/>
          </w:tcPr>
          <w:p w14:paraId="6595A1F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mēslošanas līdzekļa slāpekļa ekvivalences vērtība</w:t>
            </w:r>
          </w:p>
        </w:tc>
      </w:tr>
      <w:tr w:rsidR="008E3F72" w:rsidRPr="00F35F4D" w14:paraId="57792B13" w14:textId="77777777" w:rsidTr="0010018A">
        <w:tc>
          <w:tcPr>
            <w:tcW w:w="1637" w:type="pct"/>
            <w:tcBorders>
              <w:top w:val="nil"/>
              <w:left w:val="nil"/>
              <w:bottom w:val="nil"/>
              <w:right w:val="nil"/>
            </w:tcBorders>
            <w:shd w:val="clear" w:color="auto" w:fill="FFFFFF"/>
          </w:tcPr>
          <w:p w14:paraId="5DC5645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SK</w:t>
            </w:r>
          </w:p>
        </w:tc>
        <w:tc>
          <w:tcPr>
            <w:tcW w:w="3363" w:type="pct"/>
            <w:tcBorders>
              <w:top w:val="nil"/>
              <w:left w:val="nil"/>
              <w:bottom w:val="nil"/>
              <w:right w:val="nil"/>
            </w:tcBorders>
            <w:shd w:val="clear" w:color="auto" w:fill="FFFFFF"/>
          </w:tcPr>
          <w:p w14:paraId="78A7C68E" w14:textId="441AD78E" w:rsidR="008E3F72" w:rsidRPr="00F35F4D" w:rsidRDefault="00496106" w:rsidP="0010018A">
            <w:pPr>
              <w:widowControl/>
              <w:autoSpaceDE/>
              <w:autoSpaceDN/>
              <w:adjustRightInd/>
              <w:spacing w:line="200" w:lineRule="exact"/>
              <w:rPr>
                <w:rFonts w:eastAsia="Times New Roman"/>
                <w:noProof/>
                <w:color w:val="000000"/>
                <w:sz w:val="20"/>
                <w:szCs w:val="20"/>
              </w:rPr>
            </w:pPr>
            <w:r>
              <w:rPr>
                <w:noProof/>
                <w:color w:val="000000"/>
                <w:sz w:val="20"/>
              </w:rPr>
              <w:t>pakaišu</w:t>
            </w:r>
            <w:r w:rsidR="008E3F72" w:rsidRPr="00F35F4D">
              <w:rPr>
                <w:noProof/>
                <w:color w:val="000000"/>
                <w:sz w:val="20"/>
              </w:rPr>
              <w:t xml:space="preserve"> kūtsmēsli</w:t>
            </w:r>
          </w:p>
        </w:tc>
      </w:tr>
      <w:tr w:rsidR="008E3F72" w:rsidRPr="00F35F4D" w14:paraId="336E4B8D" w14:textId="77777777" w:rsidTr="0010018A">
        <w:tc>
          <w:tcPr>
            <w:tcW w:w="1637" w:type="pct"/>
            <w:tcBorders>
              <w:top w:val="nil"/>
              <w:left w:val="nil"/>
              <w:bottom w:val="nil"/>
              <w:right w:val="nil"/>
            </w:tcBorders>
            <w:shd w:val="clear" w:color="auto" w:fill="FFFFFF"/>
            <w:vAlign w:val="bottom"/>
          </w:tcPr>
          <w:p w14:paraId="5E764A8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g</w:t>
            </w:r>
          </w:p>
        </w:tc>
        <w:tc>
          <w:tcPr>
            <w:tcW w:w="3363" w:type="pct"/>
            <w:tcBorders>
              <w:top w:val="nil"/>
              <w:left w:val="nil"/>
              <w:bottom w:val="nil"/>
              <w:right w:val="nil"/>
            </w:tcBorders>
            <w:shd w:val="clear" w:color="auto" w:fill="FFFFFF"/>
            <w:vAlign w:val="bottom"/>
          </w:tcPr>
          <w:p w14:paraId="7B16C41B"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grams</w:t>
            </w:r>
          </w:p>
        </w:tc>
      </w:tr>
      <w:tr w:rsidR="008E3F72" w:rsidRPr="00F35F4D" w14:paraId="49FE7CC6" w14:textId="77777777" w:rsidTr="0010018A">
        <w:tc>
          <w:tcPr>
            <w:tcW w:w="1637" w:type="pct"/>
            <w:tcBorders>
              <w:top w:val="nil"/>
              <w:left w:val="nil"/>
              <w:bottom w:val="nil"/>
              <w:right w:val="nil"/>
            </w:tcBorders>
            <w:shd w:val="clear" w:color="auto" w:fill="FFFFFF"/>
            <w:vAlign w:val="bottom"/>
          </w:tcPr>
          <w:p w14:paraId="295530E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ha</w:t>
            </w:r>
          </w:p>
        </w:tc>
        <w:tc>
          <w:tcPr>
            <w:tcW w:w="3363" w:type="pct"/>
            <w:tcBorders>
              <w:top w:val="nil"/>
              <w:left w:val="nil"/>
              <w:bottom w:val="nil"/>
              <w:right w:val="nil"/>
            </w:tcBorders>
            <w:shd w:val="clear" w:color="auto" w:fill="FFFFFF"/>
            <w:vAlign w:val="bottom"/>
          </w:tcPr>
          <w:p w14:paraId="4442994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hektārs</w:t>
            </w:r>
          </w:p>
        </w:tc>
      </w:tr>
      <w:tr w:rsidR="008E3F72" w:rsidRPr="00F35F4D" w14:paraId="3E0A933B" w14:textId="77777777" w:rsidTr="0010018A">
        <w:tc>
          <w:tcPr>
            <w:tcW w:w="1637" w:type="pct"/>
            <w:tcBorders>
              <w:top w:val="nil"/>
              <w:left w:val="nil"/>
              <w:bottom w:val="nil"/>
              <w:right w:val="nil"/>
            </w:tcBorders>
            <w:shd w:val="clear" w:color="auto" w:fill="FFFFFF"/>
            <w:vAlign w:val="center"/>
          </w:tcPr>
          <w:p w14:paraId="4305A52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PINK</w:t>
            </w:r>
          </w:p>
        </w:tc>
        <w:tc>
          <w:tcPr>
            <w:tcW w:w="3363" w:type="pct"/>
            <w:tcBorders>
              <w:top w:val="nil"/>
              <w:left w:val="nil"/>
              <w:bottom w:val="nil"/>
              <w:right w:val="nil"/>
            </w:tcBorders>
            <w:shd w:val="clear" w:color="auto" w:fill="FFFFFF"/>
            <w:vAlign w:val="center"/>
          </w:tcPr>
          <w:p w14:paraId="4A9E82BE"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piesārņojuma integrēta novēršana un kontrole</w:t>
            </w:r>
          </w:p>
        </w:tc>
      </w:tr>
      <w:tr w:rsidR="008E3F72" w:rsidRPr="00F35F4D" w14:paraId="58EC4527" w14:textId="77777777" w:rsidTr="0010018A">
        <w:tc>
          <w:tcPr>
            <w:tcW w:w="1637" w:type="pct"/>
            <w:tcBorders>
              <w:top w:val="nil"/>
              <w:left w:val="nil"/>
              <w:bottom w:val="nil"/>
              <w:right w:val="nil"/>
            </w:tcBorders>
            <w:shd w:val="clear" w:color="auto" w:fill="FFFFFF"/>
          </w:tcPr>
          <w:p w14:paraId="36BF20F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kg</w:t>
            </w:r>
          </w:p>
        </w:tc>
        <w:tc>
          <w:tcPr>
            <w:tcW w:w="3363" w:type="pct"/>
            <w:tcBorders>
              <w:top w:val="nil"/>
              <w:left w:val="nil"/>
              <w:bottom w:val="nil"/>
              <w:right w:val="nil"/>
            </w:tcBorders>
            <w:shd w:val="clear" w:color="auto" w:fill="FFFFFF"/>
          </w:tcPr>
          <w:p w14:paraId="5D607819"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kilograms</w:t>
            </w:r>
          </w:p>
        </w:tc>
      </w:tr>
      <w:tr w:rsidR="008E3F72" w:rsidRPr="00F35F4D" w14:paraId="76032707" w14:textId="77777777" w:rsidTr="0010018A">
        <w:tc>
          <w:tcPr>
            <w:tcW w:w="1637" w:type="pct"/>
            <w:tcBorders>
              <w:top w:val="nil"/>
              <w:left w:val="nil"/>
              <w:bottom w:val="nil"/>
              <w:right w:val="nil"/>
            </w:tcBorders>
            <w:shd w:val="clear" w:color="auto" w:fill="FFFFFF"/>
            <w:vAlign w:val="bottom"/>
          </w:tcPr>
          <w:p w14:paraId="7B25BC7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i/>
                <w:noProof/>
                <w:color w:val="000000"/>
                <w:sz w:val="20"/>
              </w:rPr>
              <w:t>LECA</w:t>
            </w:r>
          </w:p>
        </w:tc>
        <w:tc>
          <w:tcPr>
            <w:tcW w:w="3363" w:type="pct"/>
            <w:tcBorders>
              <w:top w:val="nil"/>
              <w:left w:val="nil"/>
              <w:bottom w:val="nil"/>
              <w:right w:val="nil"/>
            </w:tcBorders>
            <w:shd w:val="clear" w:color="auto" w:fill="FFFFFF"/>
            <w:vAlign w:val="bottom"/>
          </w:tcPr>
          <w:p w14:paraId="71BCE0A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keramzīts</w:t>
            </w:r>
          </w:p>
        </w:tc>
      </w:tr>
      <w:tr w:rsidR="008E3F72" w:rsidRPr="00F35F4D" w14:paraId="7EB7D308" w14:textId="77777777" w:rsidTr="0010018A">
        <w:tc>
          <w:tcPr>
            <w:tcW w:w="1637" w:type="pct"/>
            <w:tcBorders>
              <w:top w:val="nil"/>
              <w:left w:val="nil"/>
              <w:bottom w:val="nil"/>
              <w:right w:val="nil"/>
            </w:tcBorders>
            <w:shd w:val="clear" w:color="auto" w:fill="FFFFFF"/>
            <w:vAlign w:val="bottom"/>
          </w:tcPr>
          <w:p w14:paraId="71FD38F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Mg</w:t>
            </w:r>
          </w:p>
        </w:tc>
        <w:tc>
          <w:tcPr>
            <w:tcW w:w="3363" w:type="pct"/>
            <w:tcBorders>
              <w:top w:val="nil"/>
              <w:left w:val="nil"/>
              <w:bottom w:val="nil"/>
              <w:right w:val="nil"/>
            </w:tcBorders>
            <w:shd w:val="clear" w:color="auto" w:fill="FFFFFF"/>
            <w:vAlign w:val="bottom"/>
          </w:tcPr>
          <w:p w14:paraId="1A7E6A1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magnijs</w:t>
            </w:r>
          </w:p>
        </w:tc>
      </w:tr>
      <w:tr w:rsidR="008E3F72" w:rsidRPr="00F35F4D" w14:paraId="4CE1EAB8" w14:textId="77777777" w:rsidTr="0010018A">
        <w:tc>
          <w:tcPr>
            <w:tcW w:w="1637" w:type="pct"/>
            <w:tcBorders>
              <w:top w:val="nil"/>
              <w:left w:val="nil"/>
              <w:bottom w:val="nil"/>
              <w:right w:val="nil"/>
            </w:tcBorders>
            <w:shd w:val="clear" w:color="auto" w:fill="FFFFFF"/>
            <w:vAlign w:val="center"/>
          </w:tcPr>
          <w:p w14:paraId="6D27D75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mm</w:t>
            </w:r>
          </w:p>
        </w:tc>
        <w:tc>
          <w:tcPr>
            <w:tcW w:w="3363" w:type="pct"/>
            <w:tcBorders>
              <w:top w:val="nil"/>
              <w:left w:val="nil"/>
              <w:bottom w:val="nil"/>
              <w:right w:val="nil"/>
            </w:tcBorders>
            <w:shd w:val="clear" w:color="auto" w:fill="FFFFFF"/>
            <w:vAlign w:val="center"/>
          </w:tcPr>
          <w:p w14:paraId="2C7CDAC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milimetrs</w:t>
            </w:r>
          </w:p>
        </w:tc>
      </w:tr>
      <w:tr w:rsidR="008E3F72" w:rsidRPr="00F35F4D" w14:paraId="243BC455" w14:textId="77777777" w:rsidTr="0010018A">
        <w:tc>
          <w:tcPr>
            <w:tcW w:w="1637" w:type="pct"/>
            <w:tcBorders>
              <w:top w:val="nil"/>
              <w:left w:val="nil"/>
              <w:bottom w:val="nil"/>
              <w:right w:val="nil"/>
            </w:tcBorders>
            <w:shd w:val="clear" w:color="auto" w:fill="FFFFFF"/>
            <w:vAlign w:val="bottom"/>
          </w:tcPr>
          <w:p w14:paraId="11F67A4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PUN</w:t>
            </w:r>
          </w:p>
        </w:tc>
        <w:tc>
          <w:tcPr>
            <w:tcW w:w="3363" w:type="pct"/>
            <w:tcBorders>
              <w:top w:val="nil"/>
              <w:left w:val="nil"/>
              <w:bottom w:val="nil"/>
              <w:right w:val="nil"/>
            </w:tcBorders>
            <w:shd w:val="clear" w:color="auto" w:fill="FFFFFF"/>
            <w:vAlign w:val="bottom"/>
          </w:tcPr>
          <w:p w14:paraId="37BE8D3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urīnvielas slāpeklis pienā</w:t>
            </w:r>
          </w:p>
        </w:tc>
      </w:tr>
      <w:tr w:rsidR="008E3F72" w:rsidRPr="00F35F4D" w14:paraId="77A57383" w14:textId="77777777" w:rsidTr="0010018A">
        <w:tc>
          <w:tcPr>
            <w:tcW w:w="1637" w:type="pct"/>
            <w:tcBorders>
              <w:top w:val="nil"/>
              <w:left w:val="nil"/>
              <w:bottom w:val="nil"/>
              <w:right w:val="nil"/>
            </w:tcBorders>
            <w:shd w:val="clear" w:color="auto" w:fill="FFFFFF"/>
            <w:vAlign w:val="bottom"/>
          </w:tcPr>
          <w:p w14:paraId="23E7AC7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w:t>
            </w:r>
          </w:p>
        </w:tc>
        <w:tc>
          <w:tcPr>
            <w:tcW w:w="3363" w:type="pct"/>
            <w:tcBorders>
              <w:top w:val="nil"/>
              <w:left w:val="nil"/>
              <w:bottom w:val="nil"/>
              <w:right w:val="nil"/>
            </w:tcBorders>
            <w:shd w:val="clear" w:color="auto" w:fill="FFFFFF"/>
            <w:vAlign w:val="bottom"/>
          </w:tcPr>
          <w:p w14:paraId="09CF7AC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slāpeklis</w:t>
            </w:r>
          </w:p>
        </w:tc>
      </w:tr>
      <w:tr w:rsidR="008E3F72" w:rsidRPr="00F35F4D" w14:paraId="13802B26" w14:textId="77777777" w:rsidTr="0010018A">
        <w:tc>
          <w:tcPr>
            <w:tcW w:w="1637" w:type="pct"/>
            <w:tcBorders>
              <w:top w:val="nil"/>
              <w:left w:val="nil"/>
              <w:bottom w:val="nil"/>
              <w:right w:val="nil"/>
            </w:tcBorders>
            <w:shd w:val="clear" w:color="auto" w:fill="FFFFFF"/>
            <w:vAlign w:val="bottom"/>
          </w:tcPr>
          <w:p w14:paraId="214D5F4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N2</w:t>
            </w:r>
          </w:p>
        </w:tc>
        <w:tc>
          <w:tcPr>
            <w:tcW w:w="3363" w:type="pct"/>
            <w:tcBorders>
              <w:top w:val="nil"/>
              <w:left w:val="nil"/>
              <w:bottom w:val="nil"/>
              <w:right w:val="nil"/>
            </w:tcBorders>
            <w:shd w:val="clear" w:color="auto" w:fill="FFFFFF"/>
            <w:vAlign w:val="bottom"/>
          </w:tcPr>
          <w:p w14:paraId="304CF5D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divatomu slāpeklis</w:t>
            </w:r>
          </w:p>
        </w:tc>
      </w:tr>
      <w:tr w:rsidR="008E3F72" w:rsidRPr="00F35F4D" w14:paraId="6539DBD1" w14:textId="77777777" w:rsidTr="0010018A">
        <w:tc>
          <w:tcPr>
            <w:tcW w:w="1637" w:type="pct"/>
            <w:tcBorders>
              <w:top w:val="nil"/>
              <w:left w:val="nil"/>
              <w:bottom w:val="nil"/>
              <w:right w:val="nil"/>
            </w:tcBorders>
            <w:shd w:val="clear" w:color="auto" w:fill="FFFFFF"/>
            <w:vAlign w:val="bottom"/>
          </w:tcPr>
          <w:p w14:paraId="370415D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NH3</w:t>
            </w:r>
          </w:p>
        </w:tc>
        <w:tc>
          <w:tcPr>
            <w:tcW w:w="3363" w:type="pct"/>
            <w:tcBorders>
              <w:top w:val="nil"/>
              <w:left w:val="nil"/>
              <w:bottom w:val="nil"/>
              <w:right w:val="nil"/>
            </w:tcBorders>
            <w:shd w:val="clear" w:color="auto" w:fill="FFFFFF"/>
            <w:vAlign w:val="bottom"/>
          </w:tcPr>
          <w:p w14:paraId="32C5B19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amonjaks</w:t>
            </w:r>
          </w:p>
        </w:tc>
      </w:tr>
      <w:tr w:rsidR="008E3F72" w:rsidRPr="00F35F4D" w14:paraId="1DA1F3D8" w14:textId="77777777" w:rsidTr="0010018A">
        <w:tc>
          <w:tcPr>
            <w:tcW w:w="1637" w:type="pct"/>
            <w:tcBorders>
              <w:top w:val="nil"/>
              <w:left w:val="nil"/>
              <w:bottom w:val="nil"/>
              <w:right w:val="nil"/>
            </w:tcBorders>
            <w:shd w:val="clear" w:color="auto" w:fill="FFFFFF"/>
            <w:vAlign w:val="bottom"/>
          </w:tcPr>
          <w:p w14:paraId="77B2E07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NH3-N</w:t>
            </w:r>
          </w:p>
        </w:tc>
        <w:tc>
          <w:tcPr>
            <w:tcW w:w="3363" w:type="pct"/>
            <w:tcBorders>
              <w:top w:val="nil"/>
              <w:left w:val="nil"/>
              <w:bottom w:val="nil"/>
              <w:right w:val="nil"/>
            </w:tcBorders>
            <w:shd w:val="clear" w:color="auto" w:fill="FFFFFF"/>
            <w:vAlign w:val="bottom"/>
          </w:tcPr>
          <w:p w14:paraId="2459A1D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amonjaka slāpeklis</w:t>
            </w:r>
          </w:p>
        </w:tc>
      </w:tr>
      <w:tr w:rsidR="008E3F72" w:rsidRPr="00F35F4D" w14:paraId="686C9299" w14:textId="77777777" w:rsidTr="0010018A">
        <w:tc>
          <w:tcPr>
            <w:tcW w:w="1637" w:type="pct"/>
            <w:tcBorders>
              <w:top w:val="nil"/>
              <w:left w:val="nil"/>
              <w:bottom w:val="nil"/>
              <w:right w:val="nil"/>
            </w:tcBorders>
            <w:shd w:val="clear" w:color="auto" w:fill="FFFFFF"/>
            <w:vAlign w:val="bottom"/>
          </w:tcPr>
          <w:p w14:paraId="6914774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nh4</w:t>
            </w:r>
          </w:p>
        </w:tc>
        <w:tc>
          <w:tcPr>
            <w:tcW w:w="3363" w:type="pct"/>
            <w:tcBorders>
              <w:top w:val="nil"/>
              <w:left w:val="nil"/>
              <w:bottom w:val="nil"/>
              <w:right w:val="nil"/>
            </w:tcBorders>
            <w:shd w:val="clear" w:color="auto" w:fill="FFFFFF"/>
            <w:vAlign w:val="bottom"/>
          </w:tcPr>
          <w:p w14:paraId="5131393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amonijs</w:t>
            </w:r>
          </w:p>
        </w:tc>
      </w:tr>
      <w:tr w:rsidR="008E3F72" w:rsidRPr="00F35F4D" w14:paraId="06C7DE28" w14:textId="77777777" w:rsidTr="0010018A">
        <w:tc>
          <w:tcPr>
            <w:tcW w:w="1637" w:type="pct"/>
            <w:tcBorders>
              <w:top w:val="nil"/>
              <w:left w:val="nil"/>
              <w:bottom w:val="nil"/>
              <w:right w:val="nil"/>
            </w:tcBorders>
            <w:shd w:val="clear" w:color="auto" w:fill="FFFFFF"/>
            <w:vAlign w:val="bottom"/>
          </w:tcPr>
          <w:p w14:paraId="2840EA7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nh4no3</w:t>
            </w:r>
          </w:p>
        </w:tc>
        <w:tc>
          <w:tcPr>
            <w:tcW w:w="3363" w:type="pct"/>
            <w:tcBorders>
              <w:top w:val="nil"/>
              <w:left w:val="nil"/>
              <w:bottom w:val="nil"/>
              <w:right w:val="nil"/>
            </w:tcBorders>
            <w:shd w:val="clear" w:color="auto" w:fill="FFFFFF"/>
            <w:vAlign w:val="bottom"/>
          </w:tcPr>
          <w:p w14:paraId="5D6F02B6"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amonija nitrāts</w:t>
            </w:r>
          </w:p>
        </w:tc>
      </w:tr>
      <w:tr w:rsidR="008E3F72" w:rsidRPr="00F35F4D" w14:paraId="73FC70BD" w14:textId="77777777" w:rsidTr="0010018A">
        <w:tc>
          <w:tcPr>
            <w:tcW w:w="1637" w:type="pct"/>
            <w:tcBorders>
              <w:top w:val="nil"/>
              <w:left w:val="nil"/>
              <w:bottom w:val="nil"/>
              <w:right w:val="nil"/>
            </w:tcBorders>
            <w:shd w:val="clear" w:color="auto" w:fill="FFFFFF"/>
            <w:vAlign w:val="bottom"/>
          </w:tcPr>
          <w:p w14:paraId="3CA2566F"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NO3</w:t>
            </w:r>
          </w:p>
        </w:tc>
        <w:tc>
          <w:tcPr>
            <w:tcW w:w="3363" w:type="pct"/>
            <w:tcBorders>
              <w:top w:val="nil"/>
              <w:left w:val="nil"/>
              <w:bottom w:val="nil"/>
              <w:right w:val="nil"/>
            </w:tcBorders>
            <w:shd w:val="clear" w:color="auto" w:fill="FFFFFF"/>
            <w:vAlign w:val="bottom"/>
          </w:tcPr>
          <w:p w14:paraId="3ADAB91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nitrīts</w:t>
            </w:r>
          </w:p>
        </w:tc>
      </w:tr>
      <w:tr w:rsidR="008E3F72" w:rsidRPr="00F35F4D" w14:paraId="1B4449B2" w14:textId="77777777" w:rsidTr="0010018A">
        <w:tc>
          <w:tcPr>
            <w:tcW w:w="1637" w:type="pct"/>
            <w:tcBorders>
              <w:top w:val="nil"/>
              <w:left w:val="nil"/>
              <w:bottom w:val="nil"/>
              <w:right w:val="nil"/>
            </w:tcBorders>
            <w:shd w:val="clear" w:color="auto" w:fill="FFFFFF"/>
            <w:vAlign w:val="bottom"/>
          </w:tcPr>
          <w:p w14:paraId="367DEF6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NOx</w:t>
            </w:r>
          </w:p>
        </w:tc>
        <w:tc>
          <w:tcPr>
            <w:tcW w:w="3363" w:type="pct"/>
            <w:tcBorders>
              <w:top w:val="nil"/>
              <w:left w:val="nil"/>
              <w:bottom w:val="nil"/>
              <w:right w:val="nil"/>
            </w:tcBorders>
            <w:shd w:val="clear" w:color="auto" w:fill="FFFFFF"/>
            <w:vAlign w:val="bottom"/>
          </w:tcPr>
          <w:p w14:paraId="18554BA9"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slāpekļa oksīdi</w:t>
            </w:r>
          </w:p>
        </w:tc>
      </w:tr>
      <w:tr w:rsidR="008E3F72" w:rsidRPr="00F35F4D" w14:paraId="6819CB4B" w14:textId="77777777" w:rsidTr="0010018A">
        <w:tc>
          <w:tcPr>
            <w:tcW w:w="1637" w:type="pct"/>
            <w:tcBorders>
              <w:top w:val="nil"/>
              <w:left w:val="nil"/>
              <w:bottom w:val="nil"/>
              <w:right w:val="nil"/>
            </w:tcBorders>
            <w:shd w:val="clear" w:color="auto" w:fill="FFFFFF"/>
            <w:vAlign w:val="bottom"/>
          </w:tcPr>
          <w:p w14:paraId="25CBE71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N2O</w:t>
            </w:r>
          </w:p>
        </w:tc>
        <w:tc>
          <w:tcPr>
            <w:tcW w:w="3363" w:type="pct"/>
            <w:tcBorders>
              <w:top w:val="nil"/>
              <w:left w:val="nil"/>
              <w:bottom w:val="nil"/>
              <w:right w:val="nil"/>
            </w:tcBorders>
            <w:shd w:val="clear" w:color="auto" w:fill="FFFFFF"/>
            <w:vAlign w:val="bottom"/>
          </w:tcPr>
          <w:p w14:paraId="1A6D2464"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dislāpekļa oksīds</w:t>
            </w:r>
          </w:p>
        </w:tc>
      </w:tr>
      <w:tr w:rsidR="008E3F72" w:rsidRPr="00F35F4D" w14:paraId="544052E6" w14:textId="77777777" w:rsidTr="0010018A">
        <w:tc>
          <w:tcPr>
            <w:tcW w:w="1637" w:type="pct"/>
            <w:tcBorders>
              <w:top w:val="nil"/>
              <w:left w:val="nil"/>
              <w:bottom w:val="nil"/>
              <w:right w:val="nil"/>
            </w:tcBorders>
            <w:shd w:val="clear" w:color="auto" w:fill="FFFFFF"/>
            <w:vAlign w:val="bottom"/>
          </w:tcPr>
          <w:p w14:paraId="4098FA9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Npārpalikums</w:t>
            </w:r>
          </w:p>
        </w:tc>
        <w:tc>
          <w:tcPr>
            <w:tcW w:w="3363" w:type="pct"/>
            <w:tcBorders>
              <w:top w:val="nil"/>
              <w:left w:val="nil"/>
              <w:bottom w:val="nil"/>
              <w:right w:val="nil"/>
            </w:tcBorders>
            <w:shd w:val="clear" w:color="auto" w:fill="FFFFFF"/>
            <w:vAlign w:val="bottom"/>
          </w:tcPr>
          <w:p w14:paraId="47D1BCAF"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slāpekļa pārpalikums ienākošā un izejošā slāpekļa daudzuma bilancē</w:t>
            </w:r>
          </w:p>
        </w:tc>
      </w:tr>
      <w:tr w:rsidR="008E3F72" w:rsidRPr="00F35F4D" w14:paraId="3B8F96CF" w14:textId="77777777" w:rsidTr="0010018A">
        <w:tc>
          <w:tcPr>
            <w:tcW w:w="1637" w:type="pct"/>
            <w:tcBorders>
              <w:top w:val="nil"/>
              <w:left w:val="nil"/>
              <w:bottom w:val="nil"/>
              <w:right w:val="nil"/>
            </w:tcBorders>
            <w:shd w:val="clear" w:color="auto" w:fill="FFFFFF"/>
            <w:vAlign w:val="bottom"/>
          </w:tcPr>
          <w:p w14:paraId="42B92CC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NCP</w:t>
            </w:r>
          </w:p>
        </w:tc>
        <w:tc>
          <w:tcPr>
            <w:tcW w:w="3363" w:type="pct"/>
            <w:tcBorders>
              <w:top w:val="nil"/>
              <w:left w:val="nil"/>
              <w:bottom w:val="nil"/>
              <w:right w:val="nil"/>
            </w:tcBorders>
            <w:shd w:val="clear" w:color="auto" w:fill="FFFFFF"/>
            <w:vAlign w:val="bottom"/>
          </w:tcPr>
          <w:p w14:paraId="54F7A55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necietes polisaharīdi</w:t>
            </w:r>
          </w:p>
        </w:tc>
      </w:tr>
      <w:tr w:rsidR="008E3F72" w:rsidRPr="00F35F4D" w14:paraId="732B1FCD" w14:textId="77777777" w:rsidTr="0010018A">
        <w:tc>
          <w:tcPr>
            <w:tcW w:w="1637" w:type="pct"/>
            <w:tcBorders>
              <w:top w:val="nil"/>
              <w:left w:val="nil"/>
              <w:bottom w:val="nil"/>
              <w:right w:val="nil"/>
            </w:tcBorders>
            <w:shd w:val="clear" w:color="auto" w:fill="FFFFFF"/>
            <w:vAlign w:val="bottom"/>
          </w:tcPr>
          <w:p w14:paraId="0E995B9E"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NPK</w:t>
            </w:r>
          </w:p>
        </w:tc>
        <w:tc>
          <w:tcPr>
            <w:tcW w:w="3363" w:type="pct"/>
            <w:tcBorders>
              <w:top w:val="nil"/>
              <w:left w:val="nil"/>
              <w:bottom w:val="nil"/>
              <w:right w:val="nil"/>
            </w:tcBorders>
            <w:shd w:val="clear" w:color="auto" w:fill="FFFFFF"/>
            <w:vAlign w:val="bottom"/>
          </w:tcPr>
          <w:p w14:paraId="2C5C7CC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slāpeklis-fosfors-kālijs</w:t>
            </w:r>
          </w:p>
        </w:tc>
      </w:tr>
      <w:tr w:rsidR="008E3F72" w:rsidRPr="00F35F4D" w14:paraId="68E257E9" w14:textId="77777777" w:rsidTr="0010018A">
        <w:tc>
          <w:tcPr>
            <w:tcW w:w="1637" w:type="pct"/>
            <w:tcBorders>
              <w:top w:val="nil"/>
              <w:left w:val="nil"/>
              <w:bottom w:val="nil"/>
              <w:right w:val="nil"/>
            </w:tcBorders>
            <w:shd w:val="clear" w:color="auto" w:fill="FFFFFF"/>
            <w:vAlign w:val="bottom"/>
          </w:tcPr>
          <w:p w14:paraId="586FE8F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NIE</w:t>
            </w:r>
          </w:p>
        </w:tc>
        <w:tc>
          <w:tcPr>
            <w:tcW w:w="3363" w:type="pct"/>
            <w:tcBorders>
              <w:top w:val="nil"/>
              <w:left w:val="nil"/>
              <w:bottom w:val="nil"/>
              <w:right w:val="nil"/>
            </w:tcBorders>
            <w:shd w:val="clear" w:color="auto" w:fill="FFFFFF"/>
            <w:vAlign w:val="bottom"/>
          </w:tcPr>
          <w:p w14:paraId="58484DE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slāpekļa izmantošanas efektivitāte</w:t>
            </w:r>
          </w:p>
        </w:tc>
      </w:tr>
      <w:tr w:rsidR="008E3F72" w:rsidRPr="00F35F4D" w14:paraId="493480EC" w14:textId="77777777" w:rsidTr="0010018A">
        <w:tc>
          <w:tcPr>
            <w:tcW w:w="1637" w:type="pct"/>
            <w:tcBorders>
              <w:top w:val="nil"/>
              <w:left w:val="nil"/>
              <w:bottom w:val="nil"/>
              <w:right w:val="nil"/>
            </w:tcBorders>
            <w:shd w:val="clear" w:color="auto" w:fill="FFFFFF"/>
            <w:vAlign w:val="bottom"/>
          </w:tcPr>
          <w:p w14:paraId="4E53652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i/>
                <w:noProof/>
                <w:color w:val="000000"/>
                <w:sz w:val="20"/>
              </w:rPr>
              <w:t>OPEX</w:t>
            </w:r>
          </w:p>
        </w:tc>
        <w:tc>
          <w:tcPr>
            <w:tcW w:w="3363" w:type="pct"/>
            <w:tcBorders>
              <w:top w:val="nil"/>
              <w:left w:val="nil"/>
              <w:bottom w:val="nil"/>
              <w:right w:val="nil"/>
            </w:tcBorders>
            <w:shd w:val="clear" w:color="auto" w:fill="FFFFFF"/>
            <w:vAlign w:val="bottom"/>
          </w:tcPr>
          <w:p w14:paraId="705D5FE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darbības izdevumi</w:t>
            </w:r>
          </w:p>
        </w:tc>
      </w:tr>
      <w:tr w:rsidR="008E3F72" w:rsidRPr="00F35F4D" w14:paraId="6994B194" w14:textId="77777777" w:rsidTr="0010018A">
        <w:tc>
          <w:tcPr>
            <w:tcW w:w="1637" w:type="pct"/>
            <w:tcBorders>
              <w:top w:val="nil"/>
              <w:left w:val="nil"/>
              <w:bottom w:val="nil"/>
              <w:right w:val="nil"/>
            </w:tcBorders>
            <w:shd w:val="clear" w:color="auto" w:fill="FFFFFF"/>
            <w:vAlign w:val="bottom"/>
          </w:tcPr>
          <w:p w14:paraId="7E42C88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P</w:t>
            </w:r>
          </w:p>
        </w:tc>
        <w:tc>
          <w:tcPr>
            <w:tcW w:w="3363" w:type="pct"/>
            <w:tcBorders>
              <w:top w:val="nil"/>
              <w:left w:val="nil"/>
              <w:bottom w:val="nil"/>
              <w:right w:val="nil"/>
            </w:tcBorders>
            <w:shd w:val="clear" w:color="auto" w:fill="FFFFFF"/>
            <w:vAlign w:val="bottom"/>
          </w:tcPr>
          <w:p w14:paraId="6312F6D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fosfors</w:t>
            </w:r>
          </w:p>
        </w:tc>
      </w:tr>
      <w:tr w:rsidR="008E3F72" w:rsidRPr="00F35F4D" w14:paraId="4320ECF3" w14:textId="77777777" w:rsidTr="0010018A">
        <w:tc>
          <w:tcPr>
            <w:tcW w:w="1637" w:type="pct"/>
            <w:tcBorders>
              <w:top w:val="nil"/>
              <w:left w:val="nil"/>
              <w:bottom w:val="nil"/>
              <w:right w:val="nil"/>
            </w:tcBorders>
            <w:shd w:val="clear" w:color="auto" w:fill="FFFFFF"/>
            <w:vAlign w:val="bottom"/>
          </w:tcPr>
          <w:p w14:paraId="086D774D"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pH</w:t>
            </w:r>
          </w:p>
        </w:tc>
        <w:tc>
          <w:tcPr>
            <w:tcW w:w="3363" w:type="pct"/>
            <w:tcBorders>
              <w:top w:val="nil"/>
              <w:left w:val="nil"/>
              <w:bottom w:val="nil"/>
              <w:right w:val="nil"/>
            </w:tcBorders>
            <w:shd w:val="clear" w:color="auto" w:fill="FFFFFF"/>
            <w:vAlign w:val="bottom"/>
          </w:tcPr>
          <w:p w14:paraId="6A86741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-skābums; protonu (H+) aktivitātes negatīvais logaritms</w:t>
            </w:r>
          </w:p>
        </w:tc>
      </w:tr>
      <w:tr w:rsidR="008E3F72" w:rsidRPr="00F35F4D" w14:paraId="42021E2F" w14:textId="77777777" w:rsidTr="0010018A">
        <w:tc>
          <w:tcPr>
            <w:tcW w:w="1637" w:type="pct"/>
            <w:tcBorders>
              <w:top w:val="nil"/>
              <w:left w:val="nil"/>
              <w:bottom w:val="nil"/>
              <w:right w:val="nil"/>
            </w:tcBorders>
            <w:shd w:val="clear" w:color="auto" w:fill="FFFFFF"/>
            <w:vAlign w:val="bottom"/>
          </w:tcPr>
          <w:p w14:paraId="612F088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PM2,5</w:t>
            </w:r>
          </w:p>
        </w:tc>
        <w:tc>
          <w:tcPr>
            <w:tcW w:w="3363" w:type="pct"/>
            <w:tcBorders>
              <w:top w:val="nil"/>
              <w:left w:val="nil"/>
              <w:bottom w:val="nil"/>
              <w:right w:val="nil"/>
            </w:tcBorders>
            <w:shd w:val="clear" w:color="auto" w:fill="FFFFFF"/>
            <w:vAlign w:val="bottom"/>
          </w:tcPr>
          <w:p w14:paraId="6466421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smalkas daļiņas (&lt; 2,5 mikrometri)</w:t>
            </w:r>
          </w:p>
        </w:tc>
      </w:tr>
      <w:tr w:rsidR="008E3F72" w:rsidRPr="00F35F4D" w14:paraId="39165E4D" w14:textId="77777777" w:rsidTr="0010018A">
        <w:tc>
          <w:tcPr>
            <w:tcW w:w="1637" w:type="pct"/>
            <w:tcBorders>
              <w:top w:val="nil"/>
              <w:left w:val="nil"/>
              <w:bottom w:val="nil"/>
              <w:right w:val="nil"/>
            </w:tcBorders>
            <w:shd w:val="clear" w:color="auto" w:fill="FFFFFF"/>
            <w:vAlign w:val="bottom"/>
          </w:tcPr>
          <w:p w14:paraId="664CC2E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PMj0</w:t>
            </w:r>
          </w:p>
        </w:tc>
        <w:tc>
          <w:tcPr>
            <w:tcW w:w="3363" w:type="pct"/>
            <w:tcBorders>
              <w:top w:val="nil"/>
              <w:left w:val="nil"/>
              <w:bottom w:val="nil"/>
              <w:right w:val="nil"/>
            </w:tcBorders>
            <w:shd w:val="clear" w:color="auto" w:fill="FFFFFF"/>
            <w:vAlign w:val="bottom"/>
          </w:tcPr>
          <w:p w14:paraId="29DDB28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rupjas daļiņas (&lt; 10 mikrometri)</w:t>
            </w:r>
          </w:p>
        </w:tc>
      </w:tr>
      <w:tr w:rsidR="008E3F72" w:rsidRPr="00F35F4D" w14:paraId="09C5B0A7" w14:textId="77777777" w:rsidTr="0010018A">
        <w:tc>
          <w:tcPr>
            <w:tcW w:w="1637" w:type="pct"/>
            <w:tcBorders>
              <w:top w:val="nil"/>
              <w:left w:val="nil"/>
              <w:bottom w:val="nil"/>
              <w:right w:val="nil"/>
            </w:tcBorders>
            <w:shd w:val="clear" w:color="auto" w:fill="FFFFFF"/>
            <w:vAlign w:val="bottom"/>
          </w:tcPr>
          <w:p w14:paraId="2A2C7C7A"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i/>
                <w:noProof/>
                <w:color w:val="000000"/>
                <w:sz w:val="20"/>
              </w:rPr>
              <w:t>ref.</w:t>
            </w:r>
          </w:p>
        </w:tc>
        <w:tc>
          <w:tcPr>
            <w:tcW w:w="3363" w:type="pct"/>
            <w:tcBorders>
              <w:top w:val="nil"/>
              <w:left w:val="nil"/>
              <w:bottom w:val="nil"/>
              <w:right w:val="nil"/>
            </w:tcBorders>
            <w:shd w:val="clear" w:color="auto" w:fill="FFFFFF"/>
            <w:vAlign w:val="bottom"/>
          </w:tcPr>
          <w:p w14:paraId="07B01942"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Atsauces emisija</w:t>
            </w:r>
          </w:p>
        </w:tc>
      </w:tr>
      <w:tr w:rsidR="008E3F72" w:rsidRPr="00F35F4D" w14:paraId="4211C539" w14:textId="77777777" w:rsidTr="0010018A">
        <w:tc>
          <w:tcPr>
            <w:tcW w:w="1637" w:type="pct"/>
            <w:tcBorders>
              <w:top w:val="nil"/>
              <w:left w:val="nil"/>
              <w:bottom w:val="nil"/>
              <w:right w:val="nil"/>
            </w:tcBorders>
            <w:shd w:val="clear" w:color="auto" w:fill="FFFFFF"/>
            <w:vAlign w:val="bottom"/>
          </w:tcPr>
          <w:p w14:paraId="0016A893"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JI</w:t>
            </w:r>
          </w:p>
        </w:tc>
        <w:tc>
          <w:tcPr>
            <w:tcW w:w="3363" w:type="pct"/>
            <w:tcBorders>
              <w:top w:val="nil"/>
              <w:left w:val="nil"/>
              <w:bottom w:val="nil"/>
              <w:right w:val="nil"/>
            </w:tcBorders>
            <w:shd w:val="clear" w:color="auto" w:fill="FFFFFF"/>
            <w:vAlign w:val="bottom"/>
          </w:tcPr>
          <w:p w14:paraId="004DC1D5"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jumta izolācija</w:t>
            </w:r>
          </w:p>
        </w:tc>
      </w:tr>
      <w:tr w:rsidR="008E3F72" w:rsidRPr="00F35F4D" w14:paraId="324017BF" w14:textId="77777777" w:rsidTr="0010018A">
        <w:tc>
          <w:tcPr>
            <w:tcW w:w="1637" w:type="pct"/>
            <w:tcBorders>
              <w:top w:val="nil"/>
              <w:left w:val="nil"/>
              <w:bottom w:val="nil"/>
              <w:right w:val="nil"/>
            </w:tcBorders>
            <w:shd w:val="clear" w:color="auto" w:fill="FFFFFF"/>
            <w:vAlign w:val="bottom"/>
          </w:tcPr>
          <w:p w14:paraId="3EC7EFB8"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w:t>
            </w:r>
          </w:p>
        </w:tc>
        <w:tc>
          <w:tcPr>
            <w:tcW w:w="3363" w:type="pct"/>
            <w:tcBorders>
              <w:top w:val="nil"/>
              <w:left w:val="nil"/>
              <w:bottom w:val="nil"/>
              <w:right w:val="nil"/>
            </w:tcBorders>
            <w:shd w:val="clear" w:color="auto" w:fill="FFFFFF"/>
            <w:vAlign w:val="bottom"/>
          </w:tcPr>
          <w:p w14:paraId="17444CB9"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sērs</w:t>
            </w:r>
          </w:p>
        </w:tc>
      </w:tr>
      <w:tr w:rsidR="008E3F72" w:rsidRPr="00F35F4D" w14:paraId="4B5E17C6" w14:textId="77777777" w:rsidTr="0010018A">
        <w:tc>
          <w:tcPr>
            <w:tcW w:w="1637" w:type="pct"/>
            <w:tcBorders>
              <w:top w:val="nil"/>
              <w:left w:val="nil"/>
              <w:bottom w:val="nil"/>
              <w:right w:val="nil"/>
            </w:tcBorders>
            <w:shd w:val="clear" w:color="auto" w:fill="FFFFFF"/>
            <w:vAlign w:val="bottom"/>
          </w:tcPr>
          <w:p w14:paraId="5FDBB940"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i/>
                <w:noProof/>
                <w:color w:val="000000"/>
                <w:sz w:val="20"/>
              </w:rPr>
              <w:t>SSH</w:t>
            </w:r>
          </w:p>
        </w:tc>
        <w:tc>
          <w:tcPr>
            <w:tcW w:w="3363" w:type="pct"/>
            <w:tcBorders>
              <w:top w:val="nil"/>
              <w:left w:val="nil"/>
              <w:bottom w:val="nil"/>
              <w:right w:val="nil"/>
            </w:tcBorders>
            <w:shd w:val="clear" w:color="auto" w:fill="FFFFFF"/>
            <w:vAlign w:val="bottom"/>
          </w:tcPr>
          <w:p w14:paraId="0B5EB54E"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zālāja virsmas augstums</w:t>
            </w:r>
          </w:p>
        </w:tc>
      </w:tr>
      <w:tr w:rsidR="008E3F72" w:rsidRPr="00F35F4D" w14:paraId="3557F075" w14:textId="77777777" w:rsidTr="0010018A">
        <w:tc>
          <w:tcPr>
            <w:tcW w:w="1637" w:type="pct"/>
            <w:tcBorders>
              <w:top w:val="nil"/>
              <w:left w:val="nil"/>
              <w:bottom w:val="nil"/>
              <w:right w:val="nil"/>
            </w:tcBorders>
            <w:shd w:val="clear" w:color="auto" w:fill="FFFFFF"/>
            <w:vAlign w:val="bottom"/>
          </w:tcPr>
          <w:p w14:paraId="73C2E7B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N-NH3</w:t>
            </w:r>
            <w:r w:rsidRPr="00F35F4D">
              <w:rPr>
                <w:noProof/>
                <w:color w:val="000000"/>
                <w:sz w:val="20"/>
                <w:vertAlign w:val="subscript"/>
              </w:rPr>
              <w:t>kop.</w:t>
            </w:r>
          </w:p>
        </w:tc>
        <w:tc>
          <w:tcPr>
            <w:tcW w:w="3363" w:type="pct"/>
            <w:tcBorders>
              <w:top w:val="nil"/>
              <w:left w:val="nil"/>
              <w:bottom w:val="nil"/>
              <w:right w:val="nil"/>
            </w:tcBorders>
            <w:shd w:val="clear" w:color="auto" w:fill="FFFFFF"/>
            <w:vAlign w:val="bottom"/>
          </w:tcPr>
          <w:p w14:paraId="17410B3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amonjaka slāpekļa kopējais daudzums</w:t>
            </w:r>
          </w:p>
        </w:tc>
      </w:tr>
      <w:tr w:rsidR="008E3F72" w:rsidRPr="00F35F4D" w14:paraId="412F55E3" w14:textId="77777777" w:rsidTr="0010018A">
        <w:tc>
          <w:tcPr>
            <w:tcW w:w="1637" w:type="pct"/>
            <w:tcBorders>
              <w:top w:val="nil"/>
              <w:left w:val="nil"/>
              <w:bottom w:val="nil"/>
              <w:right w:val="nil"/>
            </w:tcBorders>
            <w:shd w:val="clear" w:color="auto" w:fill="FFFFFF"/>
            <w:vAlign w:val="bottom"/>
          </w:tcPr>
          <w:p w14:paraId="09B08A2E"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GT</w:t>
            </w:r>
          </w:p>
        </w:tc>
        <w:tc>
          <w:tcPr>
            <w:tcW w:w="3363" w:type="pct"/>
            <w:tcBorders>
              <w:top w:val="nil"/>
              <w:left w:val="nil"/>
              <w:bottom w:val="nil"/>
              <w:right w:val="nil"/>
            </w:tcBorders>
            <w:shd w:val="clear" w:color="auto" w:fill="FFFFFF"/>
            <w:vAlign w:val="bottom"/>
          </w:tcPr>
          <w:p w14:paraId="54B1B9BC"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gaistošās taukskābes</w:t>
            </w:r>
          </w:p>
        </w:tc>
      </w:tr>
      <w:tr w:rsidR="008E3F72" w:rsidRPr="00F35F4D" w14:paraId="7D9193AB" w14:textId="77777777" w:rsidTr="0010018A">
        <w:tc>
          <w:tcPr>
            <w:tcW w:w="1637" w:type="pct"/>
            <w:tcBorders>
              <w:top w:val="nil"/>
              <w:left w:val="nil"/>
              <w:bottom w:val="nil"/>
              <w:right w:val="nil"/>
            </w:tcBorders>
            <w:shd w:val="clear" w:color="auto" w:fill="FFFFFF"/>
            <w:vAlign w:val="bottom"/>
          </w:tcPr>
          <w:p w14:paraId="4FFEB137"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GOS</w:t>
            </w:r>
          </w:p>
        </w:tc>
        <w:tc>
          <w:tcPr>
            <w:tcW w:w="3363" w:type="pct"/>
            <w:tcBorders>
              <w:top w:val="nil"/>
              <w:left w:val="nil"/>
              <w:bottom w:val="nil"/>
              <w:right w:val="nil"/>
            </w:tcBorders>
            <w:shd w:val="clear" w:color="auto" w:fill="FFFFFF"/>
            <w:vAlign w:val="bottom"/>
          </w:tcPr>
          <w:p w14:paraId="78E17D51" w14:textId="77777777" w:rsidR="008E3F72" w:rsidRPr="00F35F4D" w:rsidRDefault="008E3F72" w:rsidP="0010018A">
            <w:pPr>
              <w:widowControl/>
              <w:autoSpaceDE/>
              <w:autoSpaceDN/>
              <w:adjustRightInd/>
              <w:spacing w:line="200" w:lineRule="exact"/>
              <w:rPr>
                <w:rFonts w:eastAsia="Times New Roman"/>
                <w:noProof/>
                <w:color w:val="000000"/>
                <w:sz w:val="20"/>
                <w:szCs w:val="20"/>
              </w:rPr>
            </w:pPr>
            <w:r w:rsidRPr="00F35F4D">
              <w:rPr>
                <w:noProof/>
                <w:color w:val="000000"/>
                <w:sz w:val="20"/>
              </w:rPr>
              <w:t>gaistoši organiskie savienojumi</w:t>
            </w:r>
          </w:p>
        </w:tc>
      </w:tr>
    </w:tbl>
    <w:p w14:paraId="54DB0214" w14:textId="77777777" w:rsidR="008E3F72" w:rsidRPr="00F35F4D" w:rsidRDefault="008E3F72" w:rsidP="008E3F72">
      <w:pPr>
        <w:rPr>
          <w:noProof/>
        </w:rPr>
      </w:pPr>
    </w:p>
    <w:p w14:paraId="70EB95F3" w14:textId="77777777" w:rsidR="008E3F72" w:rsidRPr="00F35F4D" w:rsidRDefault="008E3F72" w:rsidP="006C5661">
      <w:pPr>
        <w:pStyle w:val="Heading1"/>
        <w:rPr>
          <w:szCs w:val="24"/>
        </w:rPr>
      </w:pPr>
      <w:r w:rsidRPr="00F35F4D">
        <w:br w:type="page"/>
      </w:r>
      <w:bookmarkStart w:id="35" w:name="_Toc426033286"/>
      <w:r w:rsidRPr="00F35F4D">
        <w:lastRenderedPageBreak/>
        <w:t>Atsauces</w:t>
      </w:r>
      <w:bookmarkEnd w:id="35"/>
    </w:p>
    <w:p w14:paraId="18E47F92" w14:textId="77777777" w:rsidR="008E3F72" w:rsidRPr="00F35F4D" w:rsidRDefault="008E3F72" w:rsidP="008E3F72">
      <w:pPr>
        <w:rPr>
          <w:noProof/>
        </w:rPr>
      </w:pPr>
    </w:p>
    <w:p w14:paraId="10FEB3EC" w14:textId="77777777" w:rsidR="008E3F72" w:rsidRPr="00F35F4D" w:rsidRDefault="008E3F72" w:rsidP="008E3F72">
      <w:pPr>
        <w:jc w:val="both"/>
        <w:rPr>
          <w:noProof/>
        </w:rPr>
      </w:pPr>
      <w:r w:rsidRPr="00F35F4D">
        <w:t>Visas interneta adreses, kas norādītas rakstiem un citiem šeit minētajiem atsauces materiāliem, pēdējo reizi skatītas 2013. gada septembrī.</w:t>
      </w:r>
    </w:p>
    <w:p w14:paraId="16491AD6" w14:textId="77777777" w:rsidR="008E3F72" w:rsidRPr="00F35F4D" w:rsidRDefault="008E3F72" w:rsidP="008E3F72">
      <w:pPr>
        <w:jc w:val="both"/>
        <w:rPr>
          <w:noProof/>
        </w:rPr>
      </w:pPr>
    </w:p>
    <w:p w14:paraId="0D973CC4" w14:textId="77777777" w:rsidR="008E3F72" w:rsidRPr="00F35F4D" w:rsidRDefault="008E3F72" w:rsidP="008E3F72">
      <w:pPr>
        <w:jc w:val="both"/>
        <w:rPr>
          <w:noProof/>
        </w:rPr>
      </w:pPr>
      <w:r w:rsidRPr="00F35F4D">
        <w:rPr>
          <w:i/>
        </w:rPr>
        <w:t>Aaes, O. et al.</w:t>
      </w:r>
      <w:r w:rsidRPr="00F35F4D">
        <w:t xml:space="preserve"> (2008). </w:t>
      </w:r>
      <w:r w:rsidRPr="00F35F4D">
        <w:rPr>
          <w:i/>
        </w:rPr>
        <w:t>Evaluering af det generelle ammoniakkrav.</w:t>
      </w:r>
      <w:r w:rsidRPr="00F35F4D">
        <w:t xml:space="preserve"> Dānijas Vides ministrijas 2008. gada aprīļa ziņojums. Orhūsa, Dānija.</w:t>
      </w:r>
      <w:r w:rsidRPr="00F35F4D">
        <w:tab/>
        <w:t>Orhūsas Universitāte. Materiāls pieejams vietnē</w:t>
      </w:r>
    </w:p>
    <w:p w14:paraId="7E02E771" w14:textId="77777777" w:rsidR="008E3F72" w:rsidRPr="00F35F4D" w:rsidRDefault="008E3F72" w:rsidP="008E3F72">
      <w:pPr>
        <w:jc w:val="both"/>
        <w:rPr>
          <w:noProof/>
        </w:rPr>
      </w:pPr>
    </w:p>
    <w:p w14:paraId="5075DBC0" w14:textId="77777777" w:rsidR="008E3F72" w:rsidRPr="00F35F4D" w:rsidRDefault="008E3F72" w:rsidP="008E3F72">
      <w:pPr>
        <w:jc w:val="both"/>
        <w:rPr>
          <w:noProof/>
        </w:rPr>
      </w:pPr>
      <w:r w:rsidRPr="00F35F4D">
        <w:t>http://www.mim.dk/NR/rdonlyres/00287B6C-9C67-49CF-9394-73F2739051F0/0/Ammoniakevalueringrapport.pdf.</w:t>
      </w:r>
    </w:p>
    <w:p w14:paraId="547C3EC6" w14:textId="77777777" w:rsidR="008E3F72" w:rsidRPr="00F35F4D" w:rsidRDefault="008E3F72" w:rsidP="008E3F72">
      <w:pPr>
        <w:jc w:val="both"/>
        <w:rPr>
          <w:noProof/>
        </w:rPr>
      </w:pPr>
    </w:p>
    <w:p w14:paraId="3D810C98" w14:textId="77777777" w:rsidR="008E3F72" w:rsidRPr="00F35F4D" w:rsidRDefault="008E3F72" w:rsidP="008E3F72">
      <w:pPr>
        <w:jc w:val="both"/>
        <w:rPr>
          <w:noProof/>
        </w:rPr>
      </w:pPr>
      <w:r w:rsidRPr="00F35F4D">
        <w:rPr>
          <w:i/>
        </w:rPr>
        <w:t>Aarnink, A. J. A.</w:t>
      </w:r>
      <w:r w:rsidRPr="00F35F4D">
        <w:t xml:space="preserve">, </w:t>
      </w:r>
      <w:r w:rsidRPr="00F35F4D">
        <w:rPr>
          <w:i/>
        </w:rPr>
        <w:t>Elzing,</w:t>
      </w:r>
      <w:r w:rsidRPr="00F35F4D">
        <w:t xml:space="preserve"> </w:t>
      </w:r>
      <w:r w:rsidRPr="00F35F4D">
        <w:rPr>
          <w:i/>
        </w:rPr>
        <w:t xml:space="preserve">A. </w:t>
      </w:r>
      <w:r w:rsidRPr="00F35F4D">
        <w:t xml:space="preserve">(1998). </w:t>
      </w:r>
      <w:r w:rsidRPr="00F35F4D">
        <w:rPr>
          <w:i/>
        </w:rPr>
        <w:t xml:space="preserve">Dynamic model for ammonia volatilization in housing with partially slatted floors, for fattening pigs </w:t>
      </w:r>
      <w:r w:rsidRPr="00F35F4D">
        <w:t>(Amonjaka iztvaikošanas dinamiskais modelis novietnēs ar daļēju redeļu grīdu nobarojamām cūkām)</w:t>
      </w:r>
      <w:r w:rsidRPr="00F35F4D">
        <w:rPr>
          <w:i/>
        </w:rPr>
        <w:t>.</w:t>
      </w:r>
      <w:r w:rsidRPr="00F35F4D">
        <w:t xml:space="preserve"> </w:t>
      </w:r>
      <w:r w:rsidRPr="00F35F4D">
        <w:rPr>
          <w:i/>
        </w:rPr>
        <w:t>Livestock Production Science</w:t>
      </w:r>
      <w:r w:rsidRPr="00F35F4D">
        <w:t>, 53. sējums, Nr. 2 (februāris), 153.–169. lpp.</w:t>
      </w:r>
    </w:p>
    <w:p w14:paraId="1ACCF4D1" w14:textId="77777777" w:rsidR="008E3F72" w:rsidRPr="00F35F4D" w:rsidRDefault="008E3F72" w:rsidP="008E3F72">
      <w:pPr>
        <w:jc w:val="both"/>
        <w:rPr>
          <w:noProof/>
        </w:rPr>
      </w:pPr>
    </w:p>
    <w:p w14:paraId="43D8C859" w14:textId="77777777" w:rsidR="008E3F72" w:rsidRPr="00F35F4D" w:rsidRDefault="008E3F72" w:rsidP="008E3F72">
      <w:pPr>
        <w:jc w:val="both"/>
        <w:rPr>
          <w:noProof/>
        </w:rPr>
      </w:pPr>
      <w:r w:rsidRPr="00F35F4D">
        <w:rPr>
          <w:i/>
        </w:rPr>
        <w:t>Aarnink, A. J. A., Hol, J. M. G., Nijeboer,</w:t>
      </w:r>
      <w:r w:rsidRPr="00F35F4D">
        <w:t xml:space="preserve"> </w:t>
      </w:r>
      <w:r w:rsidRPr="00F35F4D">
        <w:rPr>
          <w:i/>
        </w:rPr>
        <w:t>G. M.</w:t>
      </w:r>
      <w:r w:rsidRPr="00F35F4D">
        <w:t xml:space="preserve"> (2008). </w:t>
      </w:r>
      <w:r w:rsidRPr="00F35F4D">
        <w:rPr>
          <w:i/>
        </w:rPr>
        <w:t>Het effect van toevoeging van benzoëzuur (1 % VevoVitall®) aan vleesvarkensvoer op de ammoniakemissiereductie is bepaald en bedroeg gemiddeld 15,8% ten opzichte van voer zonder VevoVitall®</w:t>
      </w:r>
      <w:r w:rsidRPr="00F35F4D">
        <w:t xml:space="preserve"> (Amonjaka emisijas faktors, ja nobarošanas vēlīnā stadijā esošo cūku barības devai pievieno benzoskābi (1 % </w:t>
      </w:r>
      <w:r w:rsidRPr="00F35F4D">
        <w:rPr>
          <w:i/>
        </w:rPr>
        <w:t>vevovitall</w:t>
      </w:r>
      <w:r w:rsidRPr="00F35F4D">
        <w:t>)). Dzīvnieku zinātņu grupas 133. ziņojums. Vāgeningena, Nīderlande. Vāgeningenas Universitāte un pētniecības centrs. Materiāls pieejams vietnē http://edepot.wur.nl/107952.</w:t>
      </w:r>
    </w:p>
    <w:p w14:paraId="6E8AD0AD" w14:textId="77777777" w:rsidR="008E3F72" w:rsidRPr="00F35F4D" w:rsidRDefault="008E3F72" w:rsidP="008E3F72">
      <w:pPr>
        <w:jc w:val="both"/>
        <w:rPr>
          <w:noProof/>
        </w:rPr>
      </w:pPr>
    </w:p>
    <w:p w14:paraId="5E746E96" w14:textId="77777777" w:rsidR="008E3F72" w:rsidRPr="00F35F4D" w:rsidRDefault="008E3F72" w:rsidP="008E3F72">
      <w:pPr>
        <w:jc w:val="both"/>
        <w:rPr>
          <w:noProof/>
        </w:rPr>
      </w:pPr>
      <w:r w:rsidRPr="00F35F4D">
        <w:rPr>
          <w:i/>
        </w:rPr>
        <w:t>Aarnink, A. J. A., van Ouwerkerk, E. N. J., Verstegen</w:t>
      </w:r>
      <w:r w:rsidRPr="00F35F4D">
        <w:t xml:space="preserve">, </w:t>
      </w:r>
      <w:r w:rsidRPr="00F35F4D">
        <w:rPr>
          <w:i/>
        </w:rPr>
        <w:t>M. W. A.</w:t>
      </w:r>
      <w:r w:rsidRPr="00F35F4D">
        <w:t xml:space="preserve"> (1992). </w:t>
      </w:r>
      <w:r w:rsidRPr="00F35F4D">
        <w:rPr>
          <w:i/>
        </w:rPr>
        <w:t xml:space="preserve">A mathematical model for estimating the amount and composition of slurry from fattening pigs </w:t>
      </w:r>
      <w:r w:rsidRPr="00F35F4D">
        <w:t xml:space="preserve">(Matemātisks modelis aplēsei par nobarojamu cūku saražoto šķidro kūtsmēslu daudzumu un saturu). </w:t>
      </w:r>
      <w:r w:rsidRPr="00F35F4D">
        <w:rPr>
          <w:i/>
        </w:rPr>
        <w:t>Livestock Production Science,</w:t>
      </w:r>
      <w:r w:rsidRPr="00F35F4D">
        <w:t xml:space="preserve"> 31. sējums, 133.–147. lpp.</w:t>
      </w:r>
    </w:p>
    <w:p w14:paraId="33C36681" w14:textId="77777777" w:rsidR="008E3F72" w:rsidRPr="00F35F4D" w:rsidRDefault="008E3F72" w:rsidP="008E3F72">
      <w:pPr>
        <w:jc w:val="both"/>
        <w:rPr>
          <w:noProof/>
        </w:rPr>
      </w:pPr>
    </w:p>
    <w:p w14:paraId="6A403FEC" w14:textId="77777777" w:rsidR="008E3F72" w:rsidRPr="00F35F4D" w:rsidRDefault="008E3F72" w:rsidP="008E3F72">
      <w:pPr>
        <w:jc w:val="both"/>
        <w:rPr>
          <w:noProof/>
        </w:rPr>
      </w:pPr>
      <w:r w:rsidRPr="00F35F4D">
        <w:rPr>
          <w:i/>
        </w:rPr>
        <w:t>Aarnink, A. J. A., Verstegen</w:t>
      </w:r>
      <w:r w:rsidRPr="00F35F4D">
        <w:t xml:space="preserve">, </w:t>
      </w:r>
      <w:r w:rsidRPr="00F35F4D">
        <w:rPr>
          <w:i/>
        </w:rPr>
        <w:t>M. W. A.</w:t>
      </w:r>
      <w:r w:rsidRPr="00F35F4D">
        <w:t xml:space="preserve"> (2007). </w:t>
      </w:r>
      <w:r w:rsidRPr="00F35F4D">
        <w:rPr>
          <w:i/>
        </w:rPr>
        <w:t xml:space="preserve">Nutrition, key factor to reduce environmental load from pig production </w:t>
      </w:r>
      <w:r w:rsidRPr="00F35F4D">
        <w:t xml:space="preserve">(Barošana kā galvenais faktors cūku audzēšanas radītā sloga mazināšanai uz vidi). </w:t>
      </w:r>
      <w:r w:rsidRPr="00F35F4D">
        <w:rPr>
          <w:i/>
        </w:rPr>
        <w:t>Livestock Science</w:t>
      </w:r>
      <w:r w:rsidRPr="00F35F4D">
        <w:t>, 109. sējums, 194.–203. lpp.</w:t>
      </w:r>
    </w:p>
    <w:p w14:paraId="3DE13180" w14:textId="77777777" w:rsidR="008E3F72" w:rsidRPr="00F35F4D" w:rsidRDefault="008E3F72" w:rsidP="008E3F72">
      <w:pPr>
        <w:jc w:val="both"/>
        <w:rPr>
          <w:noProof/>
        </w:rPr>
      </w:pPr>
    </w:p>
    <w:p w14:paraId="0334E381" w14:textId="77777777" w:rsidR="008E3F72" w:rsidRPr="00F35F4D" w:rsidRDefault="008E3F72" w:rsidP="008E3F72">
      <w:pPr>
        <w:jc w:val="both"/>
        <w:rPr>
          <w:noProof/>
        </w:rPr>
      </w:pPr>
      <w:r w:rsidRPr="00F35F4D">
        <w:rPr>
          <w:i/>
        </w:rPr>
        <w:t>Aarnink, A. J. A. et al.</w:t>
      </w:r>
      <w:r w:rsidRPr="00F35F4D">
        <w:t xml:space="preserve"> (1996). </w:t>
      </w:r>
      <w:r w:rsidRPr="00F35F4D">
        <w:rPr>
          <w:i/>
        </w:rPr>
        <w:t xml:space="preserve">Effect of slatted floor area on ammonia emission and on the excretory and lying behaviour of growing pigs </w:t>
      </w:r>
      <w:r w:rsidRPr="00F35F4D">
        <w:t xml:space="preserve">(Redeļu grīdas laukuma ietekme uz amonjaka emisiju un audzējamo cūku uzvedību defekācijas un gulēšanas laikā). </w:t>
      </w:r>
      <w:r w:rsidRPr="00F35F4D">
        <w:rPr>
          <w:i/>
        </w:rPr>
        <w:t>Journal of Agriculture Engineering Research</w:t>
      </w:r>
      <w:r w:rsidRPr="00F35F4D">
        <w:t>, 64. sējums, 299.–310. lpp.</w:t>
      </w:r>
    </w:p>
    <w:p w14:paraId="1F0883D6" w14:textId="77777777" w:rsidR="008E3F72" w:rsidRPr="00F35F4D" w:rsidRDefault="008E3F72" w:rsidP="008E3F72">
      <w:pPr>
        <w:jc w:val="both"/>
        <w:rPr>
          <w:noProof/>
        </w:rPr>
      </w:pPr>
    </w:p>
    <w:p w14:paraId="66DDF4C3" w14:textId="167F2D90" w:rsidR="008E3F72" w:rsidRPr="00F35F4D" w:rsidRDefault="008E3F72" w:rsidP="008E3F72">
      <w:pPr>
        <w:jc w:val="both"/>
        <w:rPr>
          <w:noProof/>
        </w:rPr>
      </w:pPr>
      <w:r w:rsidRPr="00F35F4D">
        <w:t xml:space="preserve">(2007). </w:t>
      </w:r>
      <w:r w:rsidRPr="00F35F4D">
        <w:rPr>
          <w:i/>
        </w:rPr>
        <w:t>Kempfarm vleesvarkensstal: milieu emissies en investeringskosten.</w:t>
      </w:r>
      <w:r w:rsidRPr="00F35F4D">
        <w:t xml:space="preserve"> </w:t>
      </w:r>
      <w:r w:rsidRPr="00F35F4D">
        <w:rPr>
          <w:i/>
        </w:rPr>
        <w:t>Kempfarm</w:t>
      </w:r>
      <w:r w:rsidR="00DA7189">
        <w:rPr>
          <w:i/>
        </w:rPr>
        <w:t xml:space="preserve"> </w:t>
      </w:r>
      <w:r w:rsidRPr="00F35F4D">
        <w:rPr>
          <w:i/>
        </w:rPr>
        <w:t>vleesvarkensstal: milieu-emissies en investeringskosten</w:t>
      </w:r>
      <w:r w:rsidRPr="00F35F4D">
        <w:t xml:space="preserve"> (</w:t>
      </w:r>
      <w:r w:rsidRPr="00F35F4D">
        <w:rPr>
          <w:i/>
        </w:rPr>
        <w:t>Kempfarm</w:t>
      </w:r>
      <w:r w:rsidRPr="00F35F4D">
        <w:t xml:space="preserve"> novietņu sistēma cūkām nobarošanas vēlīnā stadijā – emisija vidē un investīciju izmaksas). Dzīvnieku zinātņu grupas 67. ziņojums. Vāgeningena, Nīderlande. Vāgeningenas Universitāte un pētniecības centrs. Materiāls pieejams vietnē http://edepot.wur.nl/16883.</w:t>
      </w:r>
    </w:p>
    <w:p w14:paraId="6C03BC4C" w14:textId="77777777" w:rsidR="008E3F72" w:rsidRPr="00F35F4D" w:rsidRDefault="008E3F72" w:rsidP="008E3F72">
      <w:pPr>
        <w:jc w:val="both"/>
        <w:rPr>
          <w:noProof/>
        </w:rPr>
      </w:pPr>
    </w:p>
    <w:p w14:paraId="09C01C15" w14:textId="3411D23C" w:rsidR="008E3F72" w:rsidRPr="00F35F4D" w:rsidRDefault="008E3F72" w:rsidP="008E3F72">
      <w:pPr>
        <w:jc w:val="both"/>
        <w:rPr>
          <w:noProof/>
        </w:rPr>
      </w:pPr>
      <w:r w:rsidRPr="00F35F4D">
        <w:rPr>
          <w:i/>
        </w:rPr>
        <w:t>Aarts, H. F. M., Habekotté B., van Keulen</w:t>
      </w:r>
      <w:r w:rsidRPr="00F35F4D">
        <w:t xml:space="preserve">, </w:t>
      </w:r>
      <w:r w:rsidRPr="00F35F4D">
        <w:rPr>
          <w:i/>
        </w:rPr>
        <w:t>H.</w:t>
      </w:r>
      <w:r w:rsidRPr="00F35F4D">
        <w:t xml:space="preserve"> (2000). </w:t>
      </w:r>
      <w:r w:rsidRPr="00F35F4D">
        <w:rPr>
          <w:i/>
        </w:rPr>
        <w:t xml:space="preserve">Nitrogen (N) management in the ‘De Marke’ dairy farming system </w:t>
      </w:r>
      <w:r w:rsidR="00496106">
        <w:t>(Slāpekļa (N) apsaimniekošana</w:t>
      </w:r>
      <w:r w:rsidRPr="00F35F4D">
        <w:t xml:space="preserve"> </w:t>
      </w:r>
      <w:r w:rsidRPr="00F35F4D">
        <w:rPr>
          <w:i/>
        </w:rPr>
        <w:t>De Marke</w:t>
      </w:r>
      <w:r w:rsidRPr="00F35F4D">
        <w:t xml:space="preserve"> piena lopkopības sistēmā). </w:t>
      </w:r>
      <w:r w:rsidRPr="00F35F4D">
        <w:rPr>
          <w:i/>
        </w:rPr>
        <w:t>Nutrient Cycling in</w:t>
      </w:r>
      <w:r w:rsidRPr="00F35F4D">
        <w:tab/>
      </w:r>
      <w:r w:rsidRPr="00F35F4D">
        <w:rPr>
          <w:i/>
        </w:rPr>
        <w:t>Agroecosystems</w:t>
      </w:r>
      <w:r w:rsidRPr="00F35F4D">
        <w:t>,</w:t>
      </w:r>
      <w:r w:rsidRPr="00F35F4D">
        <w:tab/>
        <w:t>56. sējums,</w:t>
      </w:r>
      <w:r w:rsidR="00DA7189">
        <w:t xml:space="preserve"> </w:t>
      </w:r>
      <w:r w:rsidRPr="00F35F4D">
        <w:t>231.–240. lpp.</w:t>
      </w:r>
    </w:p>
    <w:p w14:paraId="2A01F752" w14:textId="77777777" w:rsidR="008E3F72" w:rsidRPr="00F35F4D" w:rsidRDefault="008E3F72" w:rsidP="008E3F72">
      <w:pPr>
        <w:jc w:val="both"/>
        <w:rPr>
          <w:noProof/>
        </w:rPr>
      </w:pPr>
    </w:p>
    <w:p w14:paraId="2879C647" w14:textId="77777777" w:rsidR="008E3F72" w:rsidRPr="00F35F4D" w:rsidRDefault="008E3F72" w:rsidP="008E3F72">
      <w:pPr>
        <w:jc w:val="both"/>
        <w:rPr>
          <w:noProof/>
        </w:rPr>
      </w:pPr>
      <w:r w:rsidRPr="00F35F4D">
        <w:rPr>
          <w:i/>
        </w:rPr>
        <w:lastRenderedPageBreak/>
        <w:t>Amon, B. Th.et al.</w:t>
      </w:r>
      <w:r w:rsidRPr="00F35F4D">
        <w:t xml:space="preserve"> (2001). </w:t>
      </w:r>
      <w:r w:rsidRPr="00F35F4D">
        <w:rPr>
          <w:i/>
        </w:rPr>
        <w:t xml:space="preserve">Emissions of NH3, N2O and CH4 from dairy cows housed in a farmyard manure tying stall (housing, manure storage, manure spreading) </w:t>
      </w:r>
      <w:r w:rsidRPr="00F35F4D">
        <w:t xml:space="preserve">(NH3, N2O un CH4 emisija no piena govīm, kas tiek turētas piesietas steliņģos (novietnes, kūtsmēslu uzkrāšana, mēslošana)). </w:t>
      </w:r>
      <w:r w:rsidRPr="00F35F4D">
        <w:rPr>
          <w:i/>
        </w:rPr>
        <w:t>Nutrient Cycling in Agroecosystems</w:t>
      </w:r>
      <w:r w:rsidRPr="00F35F4D">
        <w:t>, 60. sējums, 103.–113. lpp.</w:t>
      </w:r>
    </w:p>
    <w:p w14:paraId="62B86230" w14:textId="77777777" w:rsidR="008E3F72" w:rsidRPr="00F35F4D" w:rsidRDefault="008E3F72" w:rsidP="008E3F72">
      <w:pPr>
        <w:jc w:val="both"/>
        <w:rPr>
          <w:noProof/>
        </w:rPr>
      </w:pPr>
    </w:p>
    <w:p w14:paraId="569BC7D1" w14:textId="77777777" w:rsidR="008E3F72" w:rsidRPr="00F35F4D" w:rsidRDefault="008E3F72" w:rsidP="008E3F72">
      <w:pPr>
        <w:jc w:val="both"/>
        <w:rPr>
          <w:noProof/>
        </w:rPr>
      </w:pPr>
      <w:r w:rsidRPr="00F35F4D">
        <w:rPr>
          <w:i/>
        </w:rPr>
        <w:t>Atapattu, N. S. B. M., Senaratna, D., Belpagodagamage,</w:t>
      </w:r>
      <w:r w:rsidRPr="00F35F4D">
        <w:t xml:space="preserve"> </w:t>
      </w:r>
      <w:r w:rsidRPr="00F35F4D">
        <w:rPr>
          <w:i/>
        </w:rPr>
        <w:t>U. D.</w:t>
      </w:r>
      <w:r w:rsidRPr="00F35F4D">
        <w:t xml:space="preserve"> (2008). </w:t>
      </w:r>
      <w:r w:rsidRPr="00F35F4D">
        <w:rPr>
          <w:i/>
        </w:rPr>
        <w:t xml:space="preserve">Comparison of Ammonia Emission Rates from Three Types of Broiler Litters </w:t>
      </w:r>
      <w:r w:rsidRPr="00F35F4D">
        <w:t xml:space="preserve">(Amonjaka emisijas salīdzinājums no triju veidu broileru pakaišiem). </w:t>
      </w:r>
      <w:r w:rsidRPr="00F35F4D">
        <w:rPr>
          <w:i/>
        </w:rPr>
        <w:t>Poultry Science</w:t>
      </w:r>
      <w:r w:rsidRPr="00F35F4D">
        <w:t>, 87. sējums, Nr. 12 (decembris), 2436.–2440. lpp.</w:t>
      </w:r>
    </w:p>
    <w:p w14:paraId="314D8AD9" w14:textId="77777777" w:rsidR="008E3F72" w:rsidRPr="00F35F4D" w:rsidRDefault="008E3F72" w:rsidP="008E3F72">
      <w:pPr>
        <w:jc w:val="both"/>
        <w:rPr>
          <w:noProof/>
        </w:rPr>
      </w:pPr>
    </w:p>
    <w:p w14:paraId="06D46C38" w14:textId="77777777" w:rsidR="008E3F72" w:rsidRPr="00F35F4D" w:rsidRDefault="008E3F72" w:rsidP="008E3F72">
      <w:pPr>
        <w:jc w:val="both"/>
        <w:rPr>
          <w:noProof/>
        </w:rPr>
      </w:pPr>
      <w:r w:rsidRPr="00F35F4D">
        <w:rPr>
          <w:i/>
        </w:rPr>
        <w:t>Aubert, C. et al.</w:t>
      </w:r>
      <w:r w:rsidRPr="00F35F4D">
        <w:t xml:space="preserve"> (2011). </w:t>
      </w:r>
      <w:r w:rsidRPr="00F35F4D">
        <w:rPr>
          <w:i/>
        </w:rPr>
        <w:t>Utilisation d’un complexe de microorganismes pour réduire les émissions d’ammoniac en élevage de poulets</w:t>
      </w:r>
      <w:r w:rsidRPr="00F35F4D">
        <w:t xml:space="preserve"> (Mikroorganismu kompleksa izmantošana emisijas samazināšanai mājputnu audzēšanas saimniecībās). </w:t>
      </w:r>
      <w:r w:rsidRPr="00F35F4D">
        <w:rPr>
          <w:i/>
        </w:rPr>
        <w:t>Journées de la Recherche Avicole, Tours, France</w:t>
      </w:r>
      <w:r w:rsidRPr="00F35F4D">
        <w:t>, 2011. gada 29. un 30. marta konferences materiāli, 116.–120. lpp.</w:t>
      </w:r>
    </w:p>
    <w:p w14:paraId="1E485B77" w14:textId="77777777" w:rsidR="008E3F72" w:rsidRPr="00F35F4D" w:rsidRDefault="008E3F72" w:rsidP="008E3F72">
      <w:pPr>
        <w:jc w:val="both"/>
        <w:rPr>
          <w:noProof/>
        </w:rPr>
      </w:pPr>
    </w:p>
    <w:p w14:paraId="58E9A3C5" w14:textId="77777777" w:rsidR="008E3F72" w:rsidRPr="00F35F4D" w:rsidRDefault="008E3F72" w:rsidP="008E3F72">
      <w:pPr>
        <w:jc w:val="both"/>
        <w:rPr>
          <w:noProof/>
        </w:rPr>
      </w:pPr>
      <w:r w:rsidRPr="00F35F4D">
        <w:rPr>
          <w:i/>
        </w:rPr>
        <w:t>Bakker, G. C. M., Smits</w:t>
      </w:r>
      <w:r w:rsidRPr="00F35F4D">
        <w:t xml:space="preserve">, </w:t>
      </w:r>
      <w:r w:rsidRPr="00F35F4D">
        <w:rPr>
          <w:i/>
        </w:rPr>
        <w:t>M. C. J.</w:t>
      </w:r>
      <w:r w:rsidRPr="00F35F4D">
        <w:t xml:space="preserve"> (2002). </w:t>
      </w:r>
      <w:r w:rsidRPr="00F35F4D">
        <w:rPr>
          <w:i/>
        </w:rPr>
        <w:t xml:space="preserve">Dietary factors are additive in reducing in vitro ammonia emission from pig manure </w:t>
      </w:r>
      <w:r w:rsidRPr="00F35F4D">
        <w:t xml:space="preserve">(Barības devu faktori cits citu savstarpēji papildina amonjaka emisijas samazinājumā no cūku kūtsmēsliem </w:t>
      </w:r>
      <w:r w:rsidRPr="00F35F4D">
        <w:rPr>
          <w:i/>
        </w:rPr>
        <w:t>in vitro</w:t>
      </w:r>
      <w:r w:rsidRPr="00F35F4D">
        <w:t>)</w:t>
      </w:r>
      <w:r w:rsidRPr="00F35F4D">
        <w:rPr>
          <w:i/>
        </w:rPr>
        <w:t>.</w:t>
      </w:r>
      <w:r w:rsidRPr="00F35F4D">
        <w:t xml:space="preserve"> </w:t>
      </w:r>
      <w:r w:rsidRPr="00F35F4D">
        <w:rPr>
          <w:i/>
        </w:rPr>
        <w:t>Journal of Animal Science</w:t>
      </w:r>
      <w:r w:rsidRPr="00F35F4D">
        <w:t>, 79. sējums, 1. pielikums, tēzes Nr. 757.</w:t>
      </w:r>
    </w:p>
    <w:p w14:paraId="163C979B" w14:textId="77777777" w:rsidR="008E3F72" w:rsidRPr="00F35F4D" w:rsidRDefault="008E3F72" w:rsidP="008E3F72">
      <w:pPr>
        <w:jc w:val="both"/>
        <w:rPr>
          <w:noProof/>
        </w:rPr>
      </w:pPr>
    </w:p>
    <w:p w14:paraId="2D90E363" w14:textId="77777777" w:rsidR="008E3F72" w:rsidRPr="00F35F4D" w:rsidRDefault="008E3F72" w:rsidP="008E3F72">
      <w:pPr>
        <w:jc w:val="both"/>
        <w:rPr>
          <w:noProof/>
        </w:rPr>
      </w:pPr>
      <w:r w:rsidRPr="00F35F4D">
        <w:rPr>
          <w:i/>
        </w:rPr>
        <w:t>Baltussen, W. H. M. et al.</w:t>
      </w:r>
      <w:r w:rsidRPr="00F35F4D">
        <w:t xml:space="preserve"> (2010). </w:t>
      </w:r>
      <w:r w:rsidRPr="00F35F4D">
        <w:rPr>
          <w:i/>
        </w:rPr>
        <w:t>Economische gevolgen van bestaande regelgeving voor de Nederlandse varkenshouderij</w:t>
      </w:r>
      <w:r w:rsidRPr="00F35F4D">
        <w:t xml:space="preserve"> (Valdības veikto politikas pasākumu ietekme uz cūkkopības nozari Nīderlandē). </w:t>
      </w:r>
      <w:r w:rsidRPr="00F35F4D">
        <w:rPr>
          <w:i/>
        </w:rPr>
        <w:t>Landbouw-Economisch Instituut (LEI) Rapport</w:t>
      </w:r>
      <w:r w:rsidRPr="00F35F4D">
        <w:t xml:space="preserve"> </w:t>
      </w:r>
      <w:r w:rsidRPr="00F35F4D">
        <w:rPr>
          <w:i/>
        </w:rPr>
        <w:t>2010-010.</w:t>
      </w:r>
      <w:r w:rsidRPr="00F35F4D">
        <w:t xml:space="preserve"> Hāga, Nīderlande.</w:t>
      </w:r>
    </w:p>
    <w:p w14:paraId="2A700AC8" w14:textId="77777777" w:rsidR="008E3F72" w:rsidRPr="00F35F4D" w:rsidRDefault="008E3F72" w:rsidP="008E3F72">
      <w:pPr>
        <w:jc w:val="both"/>
        <w:rPr>
          <w:noProof/>
        </w:rPr>
      </w:pPr>
    </w:p>
    <w:p w14:paraId="275A6EE1" w14:textId="77777777" w:rsidR="008E3F72" w:rsidRPr="00F35F4D" w:rsidRDefault="008E3F72" w:rsidP="008E3F72">
      <w:pPr>
        <w:jc w:val="both"/>
        <w:rPr>
          <w:noProof/>
        </w:rPr>
      </w:pPr>
      <w:r w:rsidRPr="00F35F4D">
        <w:rPr>
          <w:i/>
        </w:rPr>
        <w:t>Bannink, A., Valk, H., Van Vuuren,</w:t>
      </w:r>
      <w:r w:rsidRPr="00F35F4D">
        <w:t xml:space="preserve"> </w:t>
      </w:r>
      <w:r w:rsidRPr="00F35F4D">
        <w:rPr>
          <w:i/>
        </w:rPr>
        <w:t>A. M.</w:t>
      </w:r>
      <w:r w:rsidRPr="00F35F4D">
        <w:t xml:space="preserve"> (1999). </w:t>
      </w:r>
      <w:r w:rsidRPr="00F35F4D">
        <w:rPr>
          <w:i/>
        </w:rPr>
        <w:t>Intake and Excretion of Sodium, Potassium, and Nitrogen and the Effects on Urine Production by Lactating Dairy Cows</w:t>
      </w:r>
      <w:r w:rsidRPr="00F35F4D">
        <w:t xml:space="preserve"> (Nātrija, kālija un slāpekļa uzņemšana un ekskrēcija, un tās ietekme uz urīnu, ko izdala piena govis laktācija periodā). </w:t>
      </w:r>
      <w:r w:rsidRPr="00F35F4D">
        <w:rPr>
          <w:i/>
        </w:rPr>
        <w:t>Journal of Dairy Science</w:t>
      </w:r>
      <w:r w:rsidRPr="00F35F4D">
        <w:t>, 82. sējums, Nr. 5 (maijs), 1008.–1018. lpp.</w:t>
      </w:r>
    </w:p>
    <w:p w14:paraId="535C6782" w14:textId="77777777" w:rsidR="008E3F72" w:rsidRPr="00F35F4D" w:rsidRDefault="008E3F72" w:rsidP="008E3F72">
      <w:pPr>
        <w:jc w:val="both"/>
        <w:rPr>
          <w:noProof/>
        </w:rPr>
      </w:pPr>
    </w:p>
    <w:p w14:paraId="1AFBC1CB" w14:textId="77777777" w:rsidR="008E3F72" w:rsidRPr="00F35F4D" w:rsidRDefault="008E3F72" w:rsidP="008E3F72">
      <w:pPr>
        <w:jc w:val="both"/>
        <w:rPr>
          <w:noProof/>
        </w:rPr>
      </w:pPr>
      <w:r w:rsidRPr="00F35F4D">
        <w:rPr>
          <w:i/>
        </w:rPr>
        <w:t>Berntsen, J. et al.</w:t>
      </w:r>
      <w:r w:rsidRPr="00F35F4D">
        <w:t xml:space="preserve"> (2007). </w:t>
      </w:r>
      <w:r w:rsidRPr="00F35F4D">
        <w:rPr>
          <w:i/>
        </w:rPr>
        <w:t>Simulating residual effects of animal manures using 15N isotopes</w:t>
      </w:r>
      <w:r w:rsidRPr="00F35F4D">
        <w:t xml:space="preserve"> (Dzīvnieku kūtsmēslu reziduālās ietekmes imitācija, izmantojot 15N izotopus). </w:t>
      </w:r>
      <w:r w:rsidRPr="00F35F4D">
        <w:rPr>
          <w:i/>
        </w:rPr>
        <w:t>Plant and Soil,</w:t>
      </w:r>
      <w:r w:rsidRPr="00F35F4D">
        <w:t xml:space="preserve"> 290. sējums (janvāris), Nr. 1–2, 173.–187. lpp.</w:t>
      </w:r>
    </w:p>
    <w:p w14:paraId="47463ADF" w14:textId="77777777" w:rsidR="008E3F72" w:rsidRPr="00F35F4D" w:rsidRDefault="008E3F72" w:rsidP="008E3F72">
      <w:pPr>
        <w:jc w:val="both"/>
        <w:rPr>
          <w:noProof/>
        </w:rPr>
      </w:pPr>
    </w:p>
    <w:p w14:paraId="6C4D6AB4" w14:textId="77777777" w:rsidR="008E3F72" w:rsidRPr="00F35F4D" w:rsidRDefault="008E3F72" w:rsidP="008E3F72">
      <w:pPr>
        <w:jc w:val="both"/>
        <w:rPr>
          <w:noProof/>
        </w:rPr>
      </w:pPr>
      <w:r w:rsidRPr="00F35F4D">
        <w:rPr>
          <w:i/>
        </w:rPr>
        <w:t>Bittman, S. et al.</w:t>
      </w:r>
      <w:r w:rsidRPr="00F35F4D">
        <w:t xml:space="preserve"> (2007). </w:t>
      </w:r>
      <w:r w:rsidRPr="00F35F4D">
        <w:rPr>
          <w:i/>
        </w:rPr>
        <w:t>Agronomic effects of multi-year surface-banding of dairy slurry on grass</w:t>
      </w:r>
      <w:r w:rsidRPr="00F35F4D">
        <w:t xml:space="preserve"> (Agronomiskā ietekme, ko rada govju šķidro kūtsmēslu izplatīšana pa zāles virsmu vairāku gadu ilgā posmā). </w:t>
      </w:r>
      <w:r w:rsidRPr="00F35F4D">
        <w:rPr>
          <w:i/>
        </w:rPr>
        <w:t>Bioresource Technology</w:t>
      </w:r>
      <w:r w:rsidRPr="00F35F4D">
        <w:t>, 98. sējums, Nr. 17 (decembris), 3249.–3258. lpp.</w:t>
      </w:r>
    </w:p>
    <w:p w14:paraId="71037898" w14:textId="77777777" w:rsidR="008E3F72" w:rsidRPr="00F35F4D" w:rsidRDefault="008E3F72" w:rsidP="008E3F72">
      <w:pPr>
        <w:jc w:val="both"/>
        <w:rPr>
          <w:noProof/>
        </w:rPr>
      </w:pPr>
    </w:p>
    <w:p w14:paraId="2D364D24" w14:textId="77777777" w:rsidR="008E3F72" w:rsidRPr="00F35F4D" w:rsidRDefault="008E3F72" w:rsidP="008E3F72">
      <w:pPr>
        <w:jc w:val="both"/>
        <w:rPr>
          <w:noProof/>
        </w:rPr>
      </w:pPr>
      <w:r w:rsidRPr="00F35F4D">
        <w:rPr>
          <w:i/>
        </w:rPr>
        <w:t>Bouwman, A. F. et al.</w:t>
      </w:r>
      <w:r w:rsidRPr="00F35F4D">
        <w:t xml:space="preserve"> (1997). </w:t>
      </w:r>
      <w:r w:rsidRPr="00F35F4D">
        <w:rPr>
          <w:i/>
        </w:rPr>
        <w:t>A global high-resolution emission inventory for ammonia</w:t>
      </w:r>
      <w:r w:rsidRPr="00F35F4D">
        <w:t xml:space="preserve"> (Globāla augstas izšķirtspējas līmeņa amonjaka emisijas uzskaite). </w:t>
      </w:r>
      <w:r w:rsidRPr="00F35F4D">
        <w:rPr>
          <w:i/>
        </w:rPr>
        <w:t>Global Biogeochemical Cycles,</w:t>
      </w:r>
      <w:r w:rsidRPr="00F35F4D">
        <w:t xml:space="preserve"> 11. sējums, Nr. 4 (decembris), 561.–587. lpp.</w:t>
      </w:r>
    </w:p>
    <w:p w14:paraId="173A238A" w14:textId="77777777" w:rsidR="008E3F72" w:rsidRPr="00F35F4D" w:rsidRDefault="008E3F72" w:rsidP="008E3F72">
      <w:pPr>
        <w:jc w:val="both"/>
        <w:rPr>
          <w:noProof/>
        </w:rPr>
      </w:pPr>
    </w:p>
    <w:p w14:paraId="2C722739" w14:textId="348726FB" w:rsidR="008E3F72" w:rsidRPr="00F35F4D" w:rsidRDefault="008E3F72" w:rsidP="008E3F72">
      <w:pPr>
        <w:jc w:val="both"/>
        <w:rPr>
          <w:noProof/>
        </w:rPr>
      </w:pPr>
      <w:r w:rsidRPr="00F35F4D">
        <w:rPr>
          <w:i/>
        </w:rPr>
        <w:t>Braam, C. R., Ketelaars, J., Smits</w:t>
      </w:r>
      <w:r w:rsidRPr="00F35F4D">
        <w:t xml:space="preserve">, </w:t>
      </w:r>
      <w:r w:rsidRPr="00F35F4D">
        <w:rPr>
          <w:i/>
        </w:rPr>
        <w:t>M. C. J.</w:t>
      </w:r>
      <w:r w:rsidRPr="00F35F4D">
        <w:t xml:space="preserve"> (1997). </w:t>
      </w:r>
      <w:r w:rsidRPr="00F35F4D">
        <w:rPr>
          <w:i/>
        </w:rPr>
        <w:t>Effects of floor design and floor cleaning on ammonia emission from cubicle houses for dairy cows</w:t>
      </w:r>
      <w:r w:rsidRPr="00F35F4D">
        <w:t xml:space="preserve"> (Grīdas konstrukcijas un tīrīšanas ietekme uz amonjak</w:t>
      </w:r>
      <w:r w:rsidR="00BA688C">
        <w:t>a emisiju no piena govju “boksiem”</w:t>
      </w:r>
      <w:r w:rsidRPr="00F35F4D">
        <w:t xml:space="preserve">). </w:t>
      </w:r>
      <w:r w:rsidRPr="00F35F4D">
        <w:rPr>
          <w:i/>
        </w:rPr>
        <w:t>Netherlands Journal of Agricultural Science</w:t>
      </w:r>
      <w:r w:rsidRPr="00F35F4D">
        <w:t>, 45. sējums, 49.–64. lpp.</w:t>
      </w:r>
    </w:p>
    <w:p w14:paraId="32577120" w14:textId="77777777" w:rsidR="008E3F72" w:rsidRPr="00F35F4D" w:rsidRDefault="008E3F72" w:rsidP="008E3F72">
      <w:pPr>
        <w:jc w:val="both"/>
        <w:rPr>
          <w:noProof/>
        </w:rPr>
      </w:pPr>
    </w:p>
    <w:p w14:paraId="5F9BB409" w14:textId="0ADFD84B" w:rsidR="008E3F72" w:rsidRPr="00F35F4D" w:rsidRDefault="008E3F72" w:rsidP="008E3F72">
      <w:pPr>
        <w:jc w:val="both"/>
        <w:rPr>
          <w:noProof/>
        </w:rPr>
      </w:pPr>
      <w:r w:rsidRPr="00F35F4D">
        <w:rPr>
          <w:i/>
        </w:rPr>
        <w:lastRenderedPageBreak/>
        <w:t>Braam, C. R. et al.</w:t>
      </w:r>
      <w:r w:rsidRPr="00F35F4D">
        <w:t xml:space="preserve"> (1997). </w:t>
      </w:r>
      <w:r w:rsidRPr="00F35F4D">
        <w:rPr>
          <w:i/>
        </w:rPr>
        <w:t>Ammonia Emission from a Double-Sloped Solid Floor in a Cubicle House for Dairy Cows</w:t>
      </w:r>
      <w:r w:rsidRPr="00F35F4D">
        <w:t xml:space="preserve"> (Amonjaka emisija no dubultslīpām vienlaidu gr</w:t>
      </w:r>
      <w:r w:rsidR="00BA688C">
        <w:t>īdām piena lopu turēšanas “boksos”</w:t>
      </w:r>
      <w:r w:rsidRPr="00F35F4D">
        <w:t xml:space="preserve">). </w:t>
      </w:r>
      <w:r w:rsidRPr="00F35F4D">
        <w:rPr>
          <w:i/>
        </w:rPr>
        <w:t>Journal of Agricultural Engineering Research</w:t>
      </w:r>
      <w:r w:rsidRPr="00F35F4D">
        <w:t>, 68. sējums, Nr. 4 (decembris), 375.–386. lpp.</w:t>
      </w:r>
    </w:p>
    <w:p w14:paraId="7356AE2F" w14:textId="77777777" w:rsidR="008E3F72" w:rsidRPr="00F35F4D" w:rsidRDefault="008E3F72" w:rsidP="008E3F72">
      <w:pPr>
        <w:jc w:val="both"/>
        <w:rPr>
          <w:noProof/>
        </w:rPr>
      </w:pPr>
    </w:p>
    <w:p w14:paraId="5F653703" w14:textId="22E1FD30" w:rsidR="008E3F72" w:rsidRPr="00F35F4D" w:rsidRDefault="008E3F72" w:rsidP="008E3F72">
      <w:pPr>
        <w:jc w:val="both"/>
        <w:rPr>
          <w:noProof/>
        </w:rPr>
      </w:pPr>
      <w:r w:rsidRPr="00F35F4D">
        <w:rPr>
          <w:i/>
        </w:rPr>
        <w:t>Bracher, A. et al.</w:t>
      </w:r>
      <w:r w:rsidRPr="00F35F4D">
        <w:t xml:space="preserve"> (drīzumā). </w:t>
      </w:r>
      <w:r w:rsidRPr="00F35F4D">
        <w:rPr>
          <w:i/>
        </w:rPr>
        <w:t>Feeding measures to reduce ammonia emissions</w:t>
      </w:r>
      <w:r w:rsidR="00BA688C">
        <w:t xml:space="preserve"> (Ar ēdināšanu</w:t>
      </w:r>
      <w:r w:rsidRPr="00F35F4D">
        <w:t xml:space="preserve"> saistītie pasākumi amonjaka emisijas mazināšanai). – </w:t>
      </w:r>
      <w:r w:rsidRPr="00F35F4D">
        <w:rPr>
          <w:i/>
        </w:rPr>
        <w:t>Procedures of the International Symposium on Emissions of Gas and Dust from Livestock, Saint-Malo, France</w:t>
      </w:r>
      <w:r w:rsidRPr="00F35F4D">
        <w:t xml:space="preserve">, 2012. gada 10.–13. jūnijā. </w:t>
      </w:r>
      <w:r w:rsidRPr="00F35F4D">
        <w:rPr>
          <w:i/>
        </w:rPr>
        <w:t>Hassouna, M. et al.</w:t>
      </w:r>
      <w:r w:rsidRPr="00F35F4D">
        <w:t xml:space="preserve"> (red.).</w:t>
      </w:r>
    </w:p>
    <w:p w14:paraId="48FC4455" w14:textId="77777777" w:rsidR="008E3F72" w:rsidRPr="00F35F4D" w:rsidRDefault="008E3F72" w:rsidP="008E3F72">
      <w:pPr>
        <w:jc w:val="both"/>
        <w:rPr>
          <w:noProof/>
        </w:rPr>
      </w:pPr>
    </w:p>
    <w:p w14:paraId="10D64D58" w14:textId="77777777" w:rsidR="008E3F72" w:rsidRPr="00F35F4D" w:rsidRDefault="008E3F72" w:rsidP="008E3F72">
      <w:pPr>
        <w:jc w:val="both"/>
        <w:rPr>
          <w:noProof/>
        </w:rPr>
      </w:pPr>
      <w:r w:rsidRPr="00F35F4D">
        <w:rPr>
          <w:i/>
        </w:rPr>
        <w:t>Broderick, G. A.</w:t>
      </w:r>
      <w:r w:rsidRPr="00F35F4D">
        <w:t xml:space="preserve"> (2003). </w:t>
      </w:r>
      <w:r w:rsidRPr="00F35F4D">
        <w:rPr>
          <w:i/>
        </w:rPr>
        <w:t>Effects of Varying Dietary Protein and Energy Levels on the Production of Lactating Dairy Cows</w:t>
      </w:r>
      <w:r w:rsidRPr="00F35F4D">
        <w:t xml:space="preserve"> (Ietekme, ko uz piena govju produktivitāti laktācijas periodā rada atšķirības barības devas olbaltumvielu līmenī un enerģētiskajā vērtībā). </w:t>
      </w:r>
      <w:r w:rsidRPr="00F35F4D">
        <w:rPr>
          <w:i/>
        </w:rPr>
        <w:t>Journal of Dairy Science,</w:t>
      </w:r>
      <w:r w:rsidRPr="00F35F4D">
        <w:t xml:space="preserve"> 86. sējums, 1370.–1381. lpp.</w:t>
      </w:r>
    </w:p>
    <w:p w14:paraId="0861E1FE" w14:textId="77777777" w:rsidR="008E3F72" w:rsidRPr="00F35F4D" w:rsidRDefault="008E3F72" w:rsidP="008E3F72">
      <w:pPr>
        <w:jc w:val="both"/>
        <w:rPr>
          <w:noProof/>
        </w:rPr>
      </w:pPr>
    </w:p>
    <w:p w14:paraId="2E278984" w14:textId="77777777" w:rsidR="008E3F72" w:rsidRPr="00F35F4D" w:rsidRDefault="008E3F72" w:rsidP="008E3F72">
      <w:pPr>
        <w:jc w:val="both"/>
        <w:rPr>
          <w:noProof/>
        </w:rPr>
      </w:pPr>
      <w:r w:rsidRPr="00F35F4D">
        <w:rPr>
          <w:i/>
        </w:rPr>
        <w:t>Burton, C. H., Turner,</w:t>
      </w:r>
      <w:r w:rsidRPr="00F35F4D">
        <w:t xml:space="preserve"> </w:t>
      </w:r>
      <w:r w:rsidRPr="00F35F4D">
        <w:rPr>
          <w:i/>
        </w:rPr>
        <w:t>C.</w:t>
      </w:r>
      <w:r w:rsidRPr="00F35F4D">
        <w:t xml:space="preserve"> (2003). </w:t>
      </w:r>
      <w:r w:rsidRPr="00F35F4D">
        <w:rPr>
          <w:i/>
        </w:rPr>
        <w:t>Manure management – treatment strategies for sustainable agriculture</w:t>
      </w:r>
      <w:r w:rsidRPr="00F35F4D">
        <w:t xml:space="preserve"> (Kūtsmēslu apsaimniekošana – apstrādes stratēģijas ilgtspējīgai lauksaimniecībai), 2. izdevums. </w:t>
      </w:r>
      <w:r w:rsidRPr="00F35F4D">
        <w:rPr>
          <w:i/>
        </w:rPr>
        <w:t>Silsoe</w:t>
      </w:r>
      <w:r w:rsidRPr="00F35F4D">
        <w:t xml:space="preserve">, </w:t>
      </w:r>
      <w:r w:rsidRPr="00F35F4D">
        <w:rPr>
          <w:i/>
        </w:rPr>
        <w:t>United Kingdom,</w:t>
      </w:r>
      <w:r w:rsidRPr="00F35F4D">
        <w:t xml:space="preserve"> </w:t>
      </w:r>
      <w:r w:rsidRPr="00F35F4D">
        <w:rPr>
          <w:i/>
        </w:rPr>
        <w:t>Silsoe Research Institute.</w:t>
      </w:r>
    </w:p>
    <w:p w14:paraId="3DD3684B" w14:textId="77777777" w:rsidR="008E3F72" w:rsidRPr="00F35F4D" w:rsidRDefault="008E3F72" w:rsidP="008E3F72">
      <w:pPr>
        <w:jc w:val="both"/>
        <w:rPr>
          <w:noProof/>
        </w:rPr>
      </w:pPr>
    </w:p>
    <w:p w14:paraId="7254C8D4" w14:textId="77777777" w:rsidR="008E3F72" w:rsidRPr="00F35F4D" w:rsidRDefault="008E3F72" w:rsidP="008E3F72">
      <w:pPr>
        <w:jc w:val="both"/>
        <w:rPr>
          <w:noProof/>
        </w:rPr>
      </w:pPr>
      <w:r w:rsidRPr="00F35F4D">
        <w:rPr>
          <w:i/>
        </w:rPr>
        <w:t>Burton, C. H.</w:t>
      </w:r>
      <w:r w:rsidRPr="00F35F4D">
        <w:t xml:space="preserve"> (2007). </w:t>
      </w:r>
      <w:r w:rsidRPr="00F35F4D">
        <w:rPr>
          <w:i/>
        </w:rPr>
        <w:t>The potential contribution of separation technologies to the management of livestock manure</w:t>
      </w:r>
      <w:r w:rsidRPr="00F35F4D">
        <w:t xml:space="preserve"> (Separācijas tehnoloģiju potenciālais devums kūtsmēslu apsaimniekošanā). </w:t>
      </w:r>
      <w:r w:rsidRPr="00F35F4D">
        <w:rPr>
          <w:i/>
        </w:rPr>
        <w:t>Livestock Science</w:t>
      </w:r>
      <w:r w:rsidRPr="00F35F4D">
        <w:t>, 112. sējums, 208.–216. lpp.</w:t>
      </w:r>
    </w:p>
    <w:p w14:paraId="39A96713" w14:textId="77777777" w:rsidR="008E3F72" w:rsidRPr="00F35F4D" w:rsidRDefault="008E3F72" w:rsidP="008E3F72">
      <w:pPr>
        <w:jc w:val="both"/>
        <w:rPr>
          <w:noProof/>
        </w:rPr>
      </w:pPr>
    </w:p>
    <w:p w14:paraId="32E419B2" w14:textId="77777777" w:rsidR="008E3F72" w:rsidRPr="00F35F4D" w:rsidRDefault="008E3F72" w:rsidP="008E3F72">
      <w:pPr>
        <w:jc w:val="both"/>
        <w:rPr>
          <w:noProof/>
        </w:rPr>
      </w:pPr>
      <w:r w:rsidRPr="00F35F4D">
        <w:rPr>
          <w:i/>
        </w:rPr>
        <w:t>Bussink, D. W., Oenema</w:t>
      </w:r>
      <w:r w:rsidRPr="00F35F4D">
        <w:t xml:space="preserve">, </w:t>
      </w:r>
      <w:r w:rsidRPr="00F35F4D">
        <w:rPr>
          <w:i/>
        </w:rPr>
        <w:t>O.</w:t>
      </w:r>
      <w:r w:rsidRPr="00F35F4D">
        <w:t xml:space="preserve"> (1998). </w:t>
      </w:r>
      <w:r w:rsidRPr="00F35F4D">
        <w:rPr>
          <w:i/>
        </w:rPr>
        <w:t>Ammonia volatilization from dairy farming systems in temperate areas; a review</w:t>
      </w:r>
      <w:r w:rsidRPr="00F35F4D">
        <w:t xml:space="preserve"> (Amonjaka iztvaikošana no piensaimniecības sistēmām mērenā klimata joslā, apskats). </w:t>
      </w:r>
      <w:r w:rsidRPr="00F35F4D">
        <w:rPr>
          <w:i/>
        </w:rPr>
        <w:t>Nutrient Cycling in Agroecosystems</w:t>
      </w:r>
      <w:r w:rsidRPr="00F35F4D">
        <w:t>, 51. sējums, 19.–33. lpp.</w:t>
      </w:r>
    </w:p>
    <w:p w14:paraId="73BA9AAD" w14:textId="77777777" w:rsidR="008E3F72" w:rsidRPr="00F35F4D" w:rsidRDefault="008E3F72" w:rsidP="008E3F72">
      <w:pPr>
        <w:jc w:val="both"/>
        <w:rPr>
          <w:noProof/>
        </w:rPr>
      </w:pPr>
    </w:p>
    <w:p w14:paraId="755D7AC2" w14:textId="14F3935F" w:rsidR="008E3F72" w:rsidRPr="00F35F4D" w:rsidRDefault="008E3F72" w:rsidP="008E3F72">
      <w:pPr>
        <w:jc w:val="both"/>
        <w:rPr>
          <w:noProof/>
        </w:rPr>
      </w:pPr>
      <w:r w:rsidRPr="00F35F4D">
        <w:rPr>
          <w:i/>
        </w:rPr>
        <w:t>Canh, T. T. et al</w:t>
      </w:r>
      <w:r w:rsidRPr="00F35F4D">
        <w:t xml:space="preserve">.(1998a). </w:t>
      </w:r>
      <w:r w:rsidRPr="00F35F4D">
        <w:rPr>
          <w:i/>
        </w:rPr>
        <w:t>Influence of electrolyte balance and acidifying calcium salts in the diet of growing-finishing pigs on urinary pH, slurry pH and ammonia volatilisation from slurry</w:t>
      </w:r>
      <w:r w:rsidRPr="00F35F4D">
        <w:t xml:space="preserve"> (Elektrolītu līdzsvara un barības devā esošo paskābinošo kalcija sāļu ietekme uz pH līmeni urīnā un šķidrajos kūtsmēslos cūkām nobarošanas vēlīnā stadijā un amonija iztvaikošanu no šķidrajiem kūtsmēsliem). </w:t>
      </w:r>
      <w:r w:rsidRPr="00F35F4D">
        <w:rPr>
          <w:i/>
        </w:rPr>
        <w:t>Livestock Production</w:t>
      </w:r>
      <w:r w:rsidR="00DA7189">
        <w:t xml:space="preserve"> </w:t>
      </w:r>
      <w:r w:rsidRPr="00F35F4D">
        <w:rPr>
          <w:i/>
        </w:rPr>
        <w:t>Science</w:t>
      </w:r>
      <w:r w:rsidRPr="00F35F4D">
        <w:t>,</w:t>
      </w:r>
      <w:r w:rsidRPr="00F35F4D">
        <w:tab/>
        <w:t>56. sējums,</w:t>
      </w:r>
      <w:r w:rsidRPr="00F35F4D">
        <w:tab/>
        <w:t>Nr.</w:t>
      </w:r>
      <w:r w:rsidRPr="00F35F4D">
        <w:tab/>
        <w:t>1</w:t>
      </w:r>
      <w:r w:rsidRPr="00F35F4D">
        <w:tab/>
        <w:t>(oktobris),</w:t>
      </w:r>
      <w:r w:rsidR="00DA7189">
        <w:t xml:space="preserve"> </w:t>
      </w:r>
      <w:r w:rsidRPr="00F35F4D">
        <w:t>1.–13. lpp.</w:t>
      </w:r>
    </w:p>
    <w:p w14:paraId="1E3B52D9" w14:textId="77777777" w:rsidR="008E3F72" w:rsidRPr="00F35F4D" w:rsidRDefault="008E3F72" w:rsidP="008E3F72">
      <w:pPr>
        <w:jc w:val="both"/>
        <w:rPr>
          <w:noProof/>
        </w:rPr>
      </w:pPr>
    </w:p>
    <w:p w14:paraId="54BBFCA1" w14:textId="7C445C5D" w:rsidR="008E3F72" w:rsidRPr="00F35F4D" w:rsidRDefault="008E3F72" w:rsidP="008E3F72">
      <w:pPr>
        <w:jc w:val="both"/>
        <w:rPr>
          <w:noProof/>
        </w:rPr>
      </w:pPr>
      <w:r w:rsidRPr="00F35F4D">
        <w:t xml:space="preserve">(1998b). </w:t>
      </w:r>
      <w:r w:rsidRPr="00F35F4D">
        <w:rPr>
          <w:i/>
        </w:rPr>
        <w:t>Dietary protein affects nitrogen excretion and ammonia emission from slurry of</w:t>
      </w:r>
      <w:r w:rsidR="00DA7189">
        <w:rPr>
          <w:i/>
        </w:rPr>
        <w:t xml:space="preserve"> </w:t>
      </w:r>
      <w:r w:rsidRPr="00F35F4D">
        <w:rPr>
          <w:i/>
        </w:rPr>
        <w:t>growing-finishing pigs</w:t>
      </w:r>
      <w:r w:rsidRPr="00F35F4D">
        <w:t xml:space="preserve"> (Izbarotās olbaltumvielas rada ietekmi uz slāpekļa ekskrēciju un amonjaka emisiju no šķidrajiem kūtsmēsliem cūku nobarošanas vēlīnā stadijā). </w:t>
      </w:r>
      <w:r w:rsidRPr="00F35F4D">
        <w:rPr>
          <w:i/>
        </w:rPr>
        <w:t>Livestock Production Science</w:t>
      </w:r>
      <w:r w:rsidRPr="00F35F4D">
        <w:t>, 56. sējums, Nr. 5 (decembris), 81.–191. lpp.</w:t>
      </w:r>
    </w:p>
    <w:p w14:paraId="4AD79922" w14:textId="77777777" w:rsidR="008E3F72" w:rsidRPr="00F35F4D" w:rsidRDefault="008E3F72" w:rsidP="008E3F72">
      <w:pPr>
        <w:jc w:val="both"/>
        <w:rPr>
          <w:noProof/>
        </w:rPr>
      </w:pPr>
    </w:p>
    <w:p w14:paraId="4C1A95BA" w14:textId="52BAD628" w:rsidR="008E3F72" w:rsidRPr="00F35F4D" w:rsidRDefault="008E3F72" w:rsidP="008E3F72">
      <w:pPr>
        <w:jc w:val="both"/>
        <w:rPr>
          <w:noProof/>
        </w:rPr>
      </w:pPr>
      <w:r w:rsidRPr="00F35F4D">
        <w:t xml:space="preserve">(1998c). </w:t>
      </w:r>
      <w:r w:rsidRPr="00F35F4D">
        <w:rPr>
          <w:i/>
        </w:rPr>
        <w:t>Influence of dietary factors on the pH and ammonia emission of slurry from growingfinishing pigs</w:t>
      </w:r>
      <w:r w:rsidRPr="00F35F4D">
        <w:t xml:space="preserve"> (Barošanas faktoru ietekme uz cūku šķidro kūtsmēslu pH līmeni un amonjaka emisiju nobarošanas vēlīnā stadijā). </w:t>
      </w:r>
      <w:r w:rsidRPr="00F35F4D">
        <w:rPr>
          <w:i/>
        </w:rPr>
        <w:t>Journal of Animal Science</w:t>
      </w:r>
      <w:r w:rsidRPr="00F35F4D">
        <w:t>, 76 sējums, Nr. 4 (aprīlis), 1123.–1130. lpp.</w:t>
      </w:r>
    </w:p>
    <w:p w14:paraId="32EEDB62" w14:textId="77777777" w:rsidR="008E3F72" w:rsidRPr="00F35F4D" w:rsidRDefault="008E3F72" w:rsidP="008E3F72">
      <w:pPr>
        <w:jc w:val="both"/>
        <w:rPr>
          <w:noProof/>
        </w:rPr>
      </w:pPr>
    </w:p>
    <w:p w14:paraId="0AE49A4A" w14:textId="7F5A8779" w:rsidR="008E3F72" w:rsidRPr="00F35F4D" w:rsidRDefault="008E3F72" w:rsidP="008E3F72">
      <w:pPr>
        <w:jc w:val="both"/>
        <w:rPr>
          <w:noProof/>
        </w:rPr>
      </w:pPr>
      <w:r w:rsidRPr="00F35F4D">
        <w:t xml:space="preserve">(1998d). </w:t>
      </w:r>
      <w:r w:rsidRPr="00F35F4D">
        <w:rPr>
          <w:i/>
        </w:rPr>
        <w:t>Effect of dietary fermentable fibre from pressed sugar-beet pulp silage on ammonia</w:t>
      </w:r>
      <w:r w:rsidR="00BA688C">
        <w:rPr>
          <w:noProof/>
        </w:rPr>
        <w:t xml:space="preserve"> </w:t>
      </w:r>
      <w:r w:rsidRPr="00F35F4D">
        <w:rPr>
          <w:i/>
        </w:rPr>
        <w:t>emission from slurry of growing-finishing pigs</w:t>
      </w:r>
      <w:r w:rsidRPr="00F35F4D">
        <w:t xml:space="preserve"> (No presētas cukurbiešu masas iegūto fermentētspējīgo šķiedru ietekme uz amonjaka emisiju no cūku šķidrajiem kūtsmēsliem nobarošanas vēlīnā stadijā). </w:t>
      </w:r>
      <w:r w:rsidRPr="00F35F4D">
        <w:rPr>
          <w:i/>
        </w:rPr>
        <w:t>Animal Science</w:t>
      </w:r>
      <w:r w:rsidRPr="00F35F4D">
        <w:t>, 67. sējums, Nr. 3 (decembris), 583.–590. lpp.</w:t>
      </w:r>
    </w:p>
    <w:p w14:paraId="7EFFCD37" w14:textId="77777777" w:rsidR="008E3F72" w:rsidRPr="00F35F4D" w:rsidRDefault="008E3F72" w:rsidP="008E3F72">
      <w:pPr>
        <w:jc w:val="both"/>
        <w:rPr>
          <w:noProof/>
        </w:rPr>
      </w:pPr>
    </w:p>
    <w:p w14:paraId="3670A9FF" w14:textId="4F0C1B53" w:rsidR="008E3F72" w:rsidRPr="00F35F4D" w:rsidRDefault="008E3F72" w:rsidP="008E3F72">
      <w:pPr>
        <w:jc w:val="both"/>
        <w:rPr>
          <w:noProof/>
        </w:rPr>
      </w:pPr>
      <w:r w:rsidRPr="00F35F4D">
        <w:t xml:space="preserve">(1998e). </w:t>
      </w:r>
      <w:r w:rsidRPr="00F35F4D">
        <w:rPr>
          <w:i/>
        </w:rPr>
        <w:t>Dietary carbohydrates alter the fecal composition and pH and ammonia emission from</w:t>
      </w:r>
    </w:p>
    <w:p w14:paraId="1B366E96" w14:textId="77777777" w:rsidR="008E3F72" w:rsidRPr="00F35F4D" w:rsidRDefault="008E3F72" w:rsidP="008E3F72">
      <w:pPr>
        <w:jc w:val="both"/>
        <w:rPr>
          <w:noProof/>
        </w:rPr>
      </w:pPr>
    </w:p>
    <w:p w14:paraId="123D26E5" w14:textId="77777777" w:rsidR="008E3F72" w:rsidRPr="00F35F4D" w:rsidRDefault="008E3F72" w:rsidP="008E3F72">
      <w:pPr>
        <w:jc w:val="both"/>
        <w:rPr>
          <w:noProof/>
        </w:rPr>
      </w:pPr>
      <w:r w:rsidRPr="00F35F4D">
        <w:rPr>
          <w:i/>
        </w:rPr>
        <w:t>slurry of growing pigs</w:t>
      </w:r>
      <w:r w:rsidRPr="00F35F4D">
        <w:t xml:space="preserve"> (Izbarojamie ogļhidrāti maina fekāliju sastāvu un pH līmeni, kā arī amonjaka emisiju no ražotajiem šķidrajiem kūtsmēsliem cūkām audzēšanas stadijā). </w:t>
      </w:r>
      <w:r w:rsidRPr="00F35F4D">
        <w:rPr>
          <w:i/>
        </w:rPr>
        <w:t>Journal of Animal Science</w:t>
      </w:r>
      <w:r w:rsidRPr="00F35F4D">
        <w:t>, 76. sējums, Nr. 7 (jūlijs), 1887.–1895. lpp.</w:t>
      </w:r>
    </w:p>
    <w:p w14:paraId="4F09CDB9" w14:textId="77777777" w:rsidR="008E3F72" w:rsidRPr="00F35F4D" w:rsidRDefault="008E3F72" w:rsidP="008E3F72">
      <w:pPr>
        <w:jc w:val="both"/>
        <w:rPr>
          <w:noProof/>
        </w:rPr>
      </w:pPr>
    </w:p>
    <w:p w14:paraId="46260454" w14:textId="77777777" w:rsidR="008E3F72" w:rsidRPr="00F35F4D" w:rsidRDefault="008E3F72" w:rsidP="008E3F72">
      <w:pPr>
        <w:jc w:val="both"/>
        <w:rPr>
          <w:noProof/>
        </w:rPr>
      </w:pPr>
      <w:r w:rsidRPr="00F35F4D">
        <w:rPr>
          <w:i/>
        </w:rPr>
        <w:t>Castillo, A. R. et al.</w:t>
      </w:r>
      <w:r w:rsidRPr="00F35F4D">
        <w:t xml:space="preserve"> (2000). </w:t>
      </w:r>
      <w:r w:rsidRPr="00F35F4D">
        <w:rPr>
          <w:i/>
        </w:rPr>
        <w:t>A review of efficiency of nitrogen utilisation in dairy cows and its relationship with the environmental pollution</w:t>
      </w:r>
      <w:r w:rsidRPr="00F35F4D">
        <w:t xml:space="preserve"> (Pārskats par piena govīm raksturīgo slāpekļa izmantošanas efektivitāti un tās saistību ar vides piesārņojumu). </w:t>
      </w:r>
      <w:r w:rsidRPr="00F35F4D">
        <w:rPr>
          <w:i/>
        </w:rPr>
        <w:t>Journal of Animal and Feed Sciences</w:t>
      </w:r>
      <w:r w:rsidRPr="00F35F4D">
        <w:t>, 9. sējums, 1.–32. lpp.</w:t>
      </w:r>
    </w:p>
    <w:p w14:paraId="3B80E75A" w14:textId="77777777" w:rsidR="008E3F72" w:rsidRPr="00F35F4D" w:rsidRDefault="008E3F72" w:rsidP="008E3F72">
      <w:pPr>
        <w:jc w:val="both"/>
        <w:rPr>
          <w:noProof/>
        </w:rPr>
      </w:pPr>
    </w:p>
    <w:p w14:paraId="5B38438E" w14:textId="77777777" w:rsidR="008E3F72" w:rsidRPr="00F35F4D" w:rsidRDefault="008E3F72" w:rsidP="008E3F72">
      <w:pPr>
        <w:jc w:val="both"/>
        <w:rPr>
          <w:noProof/>
        </w:rPr>
      </w:pPr>
      <w:r w:rsidRPr="00F35F4D">
        <w:rPr>
          <w:i/>
        </w:rPr>
        <w:t>Chadwick, D. R.</w:t>
      </w:r>
      <w:r w:rsidRPr="00F35F4D">
        <w:t xml:space="preserve"> (2005). </w:t>
      </w:r>
      <w:r w:rsidRPr="00F35F4D">
        <w:rPr>
          <w:i/>
        </w:rPr>
        <w:t>Emissions of ammonia, nitrous oxide and methane from cattle manure heaps: effect of compaction and covering</w:t>
      </w:r>
      <w:r w:rsidRPr="00F35F4D">
        <w:t xml:space="preserve"> (Amonjaka, slāpekļa oksīda un metāna emisija no kaudzēs sakrautiem kūtsmēsliem; ietekme, ko rada kompaktēšana un nosegšana). </w:t>
      </w:r>
      <w:r w:rsidRPr="00F35F4D">
        <w:rPr>
          <w:i/>
        </w:rPr>
        <w:t>Atmospheric Environment</w:t>
      </w:r>
      <w:r w:rsidRPr="00F35F4D">
        <w:t>, 39. sējums, Nr. 4 (februāris), 787.–799. lpp.</w:t>
      </w:r>
    </w:p>
    <w:p w14:paraId="188492F4" w14:textId="77777777" w:rsidR="008E3F72" w:rsidRPr="00F35F4D" w:rsidRDefault="008E3F72" w:rsidP="008E3F72">
      <w:pPr>
        <w:jc w:val="both"/>
        <w:rPr>
          <w:noProof/>
        </w:rPr>
      </w:pPr>
    </w:p>
    <w:p w14:paraId="3106517D" w14:textId="77777777" w:rsidR="008E3F72" w:rsidRPr="00F35F4D" w:rsidRDefault="008E3F72" w:rsidP="008E3F72">
      <w:pPr>
        <w:jc w:val="both"/>
        <w:rPr>
          <w:noProof/>
        </w:rPr>
      </w:pPr>
      <w:r w:rsidRPr="00F35F4D">
        <w:rPr>
          <w:i/>
        </w:rPr>
        <w:t>Chadwick, D. R. et al.</w:t>
      </w:r>
      <w:r w:rsidRPr="00F35F4D">
        <w:t xml:space="preserve"> (2000). </w:t>
      </w:r>
      <w:r w:rsidRPr="00F35F4D">
        <w:rPr>
          <w:i/>
        </w:rPr>
        <w:t>Plant uptake of nitrogen from the organic nitrogen fraction of animal manures:</w:t>
      </w:r>
      <w:r w:rsidRPr="00F35F4D">
        <w:t xml:space="preserve"> </w:t>
      </w:r>
      <w:r w:rsidRPr="00F35F4D">
        <w:rPr>
          <w:i/>
        </w:rPr>
        <w:t>A laboratory experiment</w:t>
      </w:r>
      <w:r w:rsidRPr="00F35F4D">
        <w:t xml:space="preserve"> (Augu uzņemtais slāpeklis no organiskās slāpekļa frakcijas dzīvnieku kūtsmēslos – laboratorijā veikts eksperiments). </w:t>
      </w:r>
      <w:r w:rsidRPr="00F35F4D">
        <w:rPr>
          <w:i/>
        </w:rPr>
        <w:t>Journal of Agricultural Science</w:t>
      </w:r>
      <w:r w:rsidRPr="00F35F4D">
        <w:t>, 134. sējums, Nr. 2 (marts), 159.–168. lpp.</w:t>
      </w:r>
    </w:p>
    <w:p w14:paraId="5A7100C0" w14:textId="77777777" w:rsidR="008E3F72" w:rsidRPr="00F35F4D" w:rsidRDefault="008E3F72" w:rsidP="008E3F72">
      <w:pPr>
        <w:jc w:val="both"/>
        <w:rPr>
          <w:noProof/>
        </w:rPr>
      </w:pPr>
    </w:p>
    <w:p w14:paraId="505F80C4" w14:textId="31BB87DB" w:rsidR="00946FBE" w:rsidRPr="00F35F4D" w:rsidRDefault="00DA7189" w:rsidP="008E3F72">
      <w:pPr>
        <w:jc w:val="both"/>
      </w:pPr>
      <w:r w:rsidRPr="00F35F4D">
        <w:t xml:space="preserve"> </w:t>
      </w:r>
      <w:r w:rsidR="008E3F72" w:rsidRPr="00F35F4D">
        <w:t xml:space="preserve">(2005) </w:t>
      </w:r>
      <w:r w:rsidR="008E3F72" w:rsidRPr="00F35F4D">
        <w:rPr>
          <w:i/>
        </w:rPr>
        <w:t>Ammonia emissions from nitrogen fertiliser applications to grassland and tillage land</w:t>
      </w:r>
      <w:r w:rsidR="008E3F72" w:rsidRPr="00F35F4D">
        <w:t xml:space="preserve"> (Amonjaka emisija no slāpekļa mēslošanas līdzekļiem, ko izmanto zāles platību un aramzemes mēslošanai). Sk.</w:t>
      </w:r>
    </w:p>
    <w:p w14:paraId="17784B50" w14:textId="0D60A9D1" w:rsidR="008E3F72" w:rsidRPr="00F35F4D" w:rsidRDefault="008E3F72" w:rsidP="008E3F72">
      <w:pPr>
        <w:jc w:val="both"/>
        <w:rPr>
          <w:noProof/>
        </w:rPr>
      </w:pPr>
    </w:p>
    <w:p w14:paraId="3524D034" w14:textId="1635A83F" w:rsidR="008E3F72" w:rsidRPr="00F35F4D" w:rsidRDefault="008E3F72" w:rsidP="008E3F72">
      <w:pPr>
        <w:jc w:val="both"/>
        <w:rPr>
          <w:noProof/>
        </w:rPr>
      </w:pPr>
      <w:r w:rsidRPr="00F35F4D">
        <w:rPr>
          <w:i/>
        </w:rPr>
        <w:t>WP1B Ammonia emissions and crop N use efficiency.</w:t>
      </w:r>
      <w:r w:rsidRPr="00F35F4D">
        <w:t xml:space="preserve"> </w:t>
      </w:r>
      <w:r w:rsidRPr="00F35F4D">
        <w:rPr>
          <w:i/>
        </w:rPr>
        <w:t>United Kingdom Department for Environment, Food and Rural Affairs (Defra), component report for Defra Project NT2605 (CSA 6579),</w:t>
      </w:r>
      <w:r w:rsidRPr="00F35F4D">
        <w:t xml:space="preserve"> 2005. gada novembris.</w:t>
      </w:r>
      <w:r w:rsidRPr="00F35F4D">
        <w:tab/>
        <w:t>Materiāls pieejams vietnē</w:t>
      </w:r>
      <w:r w:rsidR="00DA7189">
        <w:t xml:space="preserve"> </w:t>
      </w:r>
      <w:r w:rsidRPr="00F35F4D">
        <w:t>http://randd.defra.gov.uk/Default.aspx?Menu=Menu&amp;Module=More&amp;Location=None&amp;Completed=0&amp;P rojectID=11983.</w:t>
      </w:r>
    </w:p>
    <w:p w14:paraId="60541D47" w14:textId="77777777" w:rsidR="008E3F72" w:rsidRPr="00F35F4D" w:rsidRDefault="008E3F72" w:rsidP="008E3F72">
      <w:pPr>
        <w:jc w:val="both"/>
        <w:rPr>
          <w:noProof/>
        </w:rPr>
      </w:pPr>
    </w:p>
    <w:p w14:paraId="15F40416" w14:textId="77777777" w:rsidR="008E3F72" w:rsidRPr="00F35F4D" w:rsidRDefault="008E3F72" w:rsidP="008E3F72">
      <w:pPr>
        <w:jc w:val="both"/>
        <w:rPr>
          <w:noProof/>
        </w:rPr>
      </w:pPr>
      <w:r w:rsidRPr="00F35F4D">
        <w:rPr>
          <w:i/>
        </w:rPr>
        <w:t>Chambers, B. J., Smith</w:t>
      </w:r>
      <w:r w:rsidRPr="00F35F4D">
        <w:t xml:space="preserve">, </w:t>
      </w:r>
      <w:r w:rsidRPr="00F35F4D">
        <w:rPr>
          <w:i/>
        </w:rPr>
        <w:t>K. A.</w:t>
      </w:r>
      <w:r w:rsidRPr="00F35F4D">
        <w:t xml:space="preserve"> (1995). </w:t>
      </w:r>
      <w:r w:rsidRPr="00F35F4D">
        <w:rPr>
          <w:i/>
        </w:rPr>
        <w:t>Management of farm manures: economic and environmental considerations</w:t>
      </w:r>
      <w:r w:rsidRPr="00F35F4D">
        <w:t xml:space="preserve"> (Saimniecības kūtsmēslu apsaimniekošana – saimnieciskie un vides apsvērumi). </w:t>
      </w:r>
      <w:r w:rsidRPr="00F35F4D">
        <w:rPr>
          <w:i/>
        </w:rPr>
        <w:t>Soil Use and Management</w:t>
      </w:r>
      <w:r w:rsidRPr="00F35F4D">
        <w:t>, 11. sējums, Nr. 3 (septembris), 150–151. lpp.</w:t>
      </w:r>
    </w:p>
    <w:p w14:paraId="4D4D8AEC" w14:textId="77777777" w:rsidR="008E3F72" w:rsidRPr="00F35F4D" w:rsidRDefault="008E3F72" w:rsidP="008E3F72">
      <w:pPr>
        <w:jc w:val="both"/>
        <w:rPr>
          <w:noProof/>
        </w:rPr>
      </w:pPr>
    </w:p>
    <w:p w14:paraId="32D74BCA" w14:textId="77777777" w:rsidR="008E3F72" w:rsidRPr="00F35F4D" w:rsidRDefault="008E3F72" w:rsidP="008E3F72">
      <w:pPr>
        <w:jc w:val="both"/>
        <w:rPr>
          <w:noProof/>
        </w:rPr>
      </w:pPr>
      <w:r w:rsidRPr="00F35F4D">
        <w:rPr>
          <w:i/>
        </w:rPr>
        <w:t>Doberman, A.</w:t>
      </w:r>
      <w:r w:rsidRPr="00F35F4D">
        <w:t xml:space="preserve"> (2007). </w:t>
      </w:r>
      <w:r w:rsidRPr="00F35F4D">
        <w:rPr>
          <w:i/>
        </w:rPr>
        <w:t>Nutrient use efficiency – measurement and management</w:t>
      </w:r>
      <w:r w:rsidRPr="00F35F4D">
        <w:t xml:space="preserve"> (Barības vielu izmantošanas efektivitāte – kvantifikācija un pārvaldība). Sk. </w:t>
      </w:r>
      <w:r w:rsidRPr="00F35F4D">
        <w:rPr>
          <w:i/>
        </w:rPr>
        <w:t>Fertilizer Best Management Practices:</w:t>
      </w:r>
      <w:r w:rsidRPr="00F35F4D">
        <w:t xml:space="preserve"> </w:t>
      </w:r>
      <w:r w:rsidRPr="00F35F4D">
        <w:rPr>
          <w:i/>
        </w:rPr>
        <w:t>General Principles, Strategy for their Adoption and Voluntary Initiatives vs. Regulations.</w:t>
      </w:r>
      <w:r w:rsidRPr="00F35F4D">
        <w:t xml:space="preserve"> </w:t>
      </w:r>
      <w:r w:rsidRPr="00F35F4D">
        <w:rPr>
          <w:i/>
        </w:rPr>
        <w:t>Paris:</w:t>
      </w:r>
      <w:r w:rsidRPr="00F35F4D">
        <w:t xml:space="preserve"> </w:t>
      </w:r>
      <w:r w:rsidRPr="00F35F4D">
        <w:rPr>
          <w:i/>
        </w:rPr>
        <w:t>International Fertilizer Industry Association.</w:t>
      </w:r>
    </w:p>
    <w:p w14:paraId="088345E0" w14:textId="77777777" w:rsidR="008E3F72" w:rsidRPr="00F35F4D" w:rsidRDefault="008E3F72" w:rsidP="008E3F72">
      <w:pPr>
        <w:jc w:val="both"/>
        <w:rPr>
          <w:noProof/>
        </w:rPr>
      </w:pPr>
    </w:p>
    <w:p w14:paraId="2F1C4C69" w14:textId="77777777" w:rsidR="008E3F72" w:rsidRPr="00F35F4D" w:rsidRDefault="008E3F72" w:rsidP="008E3F72">
      <w:pPr>
        <w:jc w:val="both"/>
        <w:rPr>
          <w:noProof/>
        </w:rPr>
      </w:pPr>
      <w:r w:rsidRPr="00F35F4D">
        <w:rPr>
          <w:i/>
        </w:rPr>
        <w:t>Dourmad, J. Y. et al.</w:t>
      </w:r>
      <w:r w:rsidRPr="00F35F4D">
        <w:t xml:space="preserve"> (1993). </w:t>
      </w:r>
      <w:r w:rsidRPr="00F35F4D">
        <w:rPr>
          <w:i/>
        </w:rPr>
        <w:t>Effect of growth potential and dietary protein input on growth performance, carcass characteristics and nitrogen output in growing-finishing pigs</w:t>
      </w:r>
      <w:r w:rsidRPr="00F35F4D">
        <w:t xml:space="preserve"> (Augšanas potenciāla un izbaroto olbaltumvielu ietekme uz cūku augšanu, kautķermeņa parametriem un izdalīto slāpekli nobarošanas vēlīnā stadijā). Sk. </w:t>
      </w:r>
      <w:r w:rsidRPr="00F35F4D">
        <w:rPr>
          <w:i/>
        </w:rPr>
        <w:t>Proceedings of the Congress on Nitrogen Flow in Pig Production and Environmental Consequences, Wageningen, the Netherlands</w:t>
      </w:r>
      <w:r w:rsidRPr="00F35F4D">
        <w:t>, 8.–11. jūnijs, 206.–211. lpp.</w:t>
      </w:r>
    </w:p>
    <w:p w14:paraId="6BAC2E29" w14:textId="77777777" w:rsidR="008E3F72" w:rsidRPr="00F35F4D" w:rsidRDefault="008E3F72" w:rsidP="008E3F72">
      <w:pPr>
        <w:jc w:val="both"/>
        <w:rPr>
          <w:noProof/>
        </w:rPr>
      </w:pPr>
    </w:p>
    <w:p w14:paraId="4773C8D0" w14:textId="77777777" w:rsidR="008E3F72" w:rsidRPr="00F35F4D" w:rsidRDefault="008E3F72" w:rsidP="008E3F72">
      <w:pPr>
        <w:jc w:val="both"/>
        <w:rPr>
          <w:noProof/>
        </w:rPr>
      </w:pPr>
      <w:r w:rsidRPr="00F35F4D">
        <w:rPr>
          <w:i/>
        </w:rPr>
        <w:t xml:space="preserve">Ellen, H. H., Ogink, N. W. M. </w:t>
      </w:r>
      <w:r w:rsidRPr="00F35F4D">
        <w:t xml:space="preserve">(2009). </w:t>
      </w:r>
      <w:r w:rsidRPr="00F35F4D">
        <w:rPr>
          <w:i/>
        </w:rPr>
        <w:t>Emissie-afleiding Kleinvoliere.</w:t>
      </w:r>
      <w:r w:rsidRPr="00F35F4D">
        <w:t xml:space="preserve"> Dzīvnieku zinātņu grupas 234. ziņojums. Vāgeningena, Nīderlande. Vāgeningenas Universitāte un pētniecības centrs. Materiāls pieejams vietnē http://edepot.wur.nl/14940.</w:t>
      </w:r>
    </w:p>
    <w:p w14:paraId="3FEBBF62" w14:textId="77777777" w:rsidR="008E3F72" w:rsidRPr="00F35F4D" w:rsidRDefault="008E3F72" w:rsidP="008E3F72">
      <w:pPr>
        <w:jc w:val="both"/>
        <w:rPr>
          <w:noProof/>
        </w:rPr>
      </w:pPr>
    </w:p>
    <w:p w14:paraId="5219FB0D" w14:textId="77777777" w:rsidR="008E3F72" w:rsidRPr="00F35F4D" w:rsidRDefault="008E3F72" w:rsidP="008E3F72">
      <w:pPr>
        <w:jc w:val="both"/>
        <w:rPr>
          <w:noProof/>
        </w:rPr>
      </w:pPr>
      <w:r w:rsidRPr="00F35F4D">
        <w:rPr>
          <w:i/>
        </w:rPr>
        <w:t>Ellen, H. H. et al.</w:t>
      </w:r>
      <w:r w:rsidRPr="00F35F4D">
        <w:t xml:space="preserve"> (2008). </w:t>
      </w:r>
      <w:r w:rsidRPr="00F35F4D">
        <w:rPr>
          <w:i/>
        </w:rPr>
        <w:t>Ammoniakemissie en kosten van chemische luchtwasser met bypassventilatoren bij vleesvarkens</w:t>
      </w:r>
      <w:r w:rsidRPr="00F35F4D">
        <w:t xml:space="preserve"> (Amonjaka emisija un ķīmiskā gaisa skrubera izmaksas cūku novietnēs ar apvedkanālu ventilāciju). Dzīvnieku zinātņu grupas 151. ziņojums. Vāgeningena, Nīderlande. Vāgeningenas Universitāte un pētniecības centrs. Materiāls pieejams vietnē http://edepot.wur.nl/35138.</w:t>
      </w:r>
    </w:p>
    <w:p w14:paraId="49C10381" w14:textId="77777777" w:rsidR="008E3F72" w:rsidRPr="00F35F4D" w:rsidRDefault="008E3F72" w:rsidP="008E3F72">
      <w:pPr>
        <w:jc w:val="both"/>
        <w:rPr>
          <w:noProof/>
        </w:rPr>
      </w:pPr>
    </w:p>
    <w:p w14:paraId="0CB04747" w14:textId="77777777" w:rsidR="008E3F72" w:rsidRPr="00F35F4D" w:rsidRDefault="008E3F72" w:rsidP="008E3F72">
      <w:pPr>
        <w:jc w:val="both"/>
        <w:rPr>
          <w:noProof/>
        </w:rPr>
      </w:pPr>
      <w:r w:rsidRPr="00F35F4D">
        <w:rPr>
          <w:i/>
        </w:rPr>
        <w:t>Eskov, A. I., et al.</w:t>
      </w:r>
      <w:r w:rsidRPr="00F35F4D">
        <w:t xml:space="preserve"> (2001). Справочная книга по производству и применению органических удобрений (Rokasgrāmata organisko mēslošanas līdzekļu ražošanai un izmantošanai) Владимир, Российская Федерация. </w:t>
      </w:r>
      <w:r w:rsidRPr="00F35F4D">
        <w:rPr>
          <w:i/>
        </w:rPr>
        <w:t xml:space="preserve">ВНИПТИОУ </w:t>
      </w:r>
      <w:r w:rsidRPr="00F35F4D">
        <w:t>(Viskrievijas zinātniski pētnieciskais organisko mēslošanas līdzekļu un kūdras institūts).</w:t>
      </w:r>
    </w:p>
    <w:p w14:paraId="61AB3958" w14:textId="77777777" w:rsidR="008E3F72" w:rsidRPr="00F35F4D" w:rsidRDefault="008E3F72" w:rsidP="008E3F72">
      <w:pPr>
        <w:jc w:val="both"/>
        <w:rPr>
          <w:noProof/>
        </w:rPr>
      </w:pPr>
    </w:p>
    <w:p w14:paraId="63FA4D66" w14:textId="20AC7D33" w:rsidR="008E3F72" w:rsidRPr="00F35F4D" w:rsidRDefault="008E3F72" w:rsidP="008E3F72">
      <w:pPr>
        <w:jc w:val="both"/>
        <w:rPr>
          <w:noProof/>
        </w:rPr>
      </w:pPr>
      <w:r w:rsidRPr="00F35F4D">
        <w:t xml:space="preserve">Eiropas Komisija, 1999. Padomes 1999. gada 19. jūlija Direktīva 1999/74/EK, ar ko nosaka minimālos standartus dējējvistu aizsardzībai. OV L 203, 1999. gada 3. augusts, 53.–57. lpp., 2003. </w:t>
      </w:r>
      <w:r w:rsidRPr="00F35F4D">
        <w:rPr>
          <w:i/>
        </w:rPr>
        <w:t>Reference Document on Best Available Techniques for Intensive Rearing of Poultry and</w:t>
      </w:r>
    </w:p>
    <w:p w14:paraId="14783539" w14:textId="77777777" w:rsidR="008E3F72" w:rsidRPr="00F35F4D" w:rsidRDefault="008E3F72" w:rsidP="008E3F72">
      <w:pPr>
        <w:jc w:val="both"/>
        <w:rPr>
          <w:noProof/>
        </w:rPr>
      </w:pPr>
    </w:p>
    <w:p w14:paraId="26D1939C" w14:textId="4C77A05C" w:rsidR="008E3F72" w:rsidRPr="00F35F4D" w:rsidRDefault="008E3F72" w:rsidP="008E3F72">
      <w:pPr>
        <w:jc w:val="both"/>
        <w:rPr>
          <w:noProof/>
        </w:rPr>
      </w:pPr>
      <w:r w:rsidRPr="00F35F4D">
        <w:rPr>
          <w:i/>
        </w:rPr>
        <w:t>Pigs.</w:t>
      </w:r>
      <w:r w:rsidRPr="00F35F4D">
        <w:tab/>
      </w:r>
      <w:r w:rsidRPr="00F35F4D">
        <w:rPr>
          <w:i/>
        </w:rPr>
        <w:t>Integrated Pollution Prevention and Control (IPPC)</w:t>
      </w:r>
      <w:r w:rsidRPr="00F35F4D">
        <w:t>(Atsauces dokuments par labākajām pieejamām metodēm mājputnu un cūku intensīvai audzēšanai. Piesārņojuma integrēta novēršana un kontrole (PINK)). 2003.gada jūlijs Materiāls pieejams vietnē</w:t>
      </w:r>
      <w:r w:rsidR="00DA7189">
        <w:t xml:space="preserve"> </w:t>
      </w:r>
      <w:r w:rsidRPr="00F35F4D">
        <w:t>http://eippcb.jrc.es/reference/irpp.html.</w:t>
      </w:r>
    </w:p>
    <w:p w14:paraId="51189286" w14:textId="77777777" w:rsidR="008E3F72" w:rsidRPr="00F35F4D" w:rsidRDefault="008E3F72" w:rsidP="008E3F72">
      <w:pPr>
        <w:jc w:val="both"/>
        <w:rPr>
          <w:noProof/>
        </w:rPr>
      </w:pPr>
    </w:p>
    <w:p w14:paraId="36BA0A21" w14:textId="77777777" w:rsidR="008E3F72" w:rsidRPr="00F35F4D" w:rsidRDefault="008E3F72" w:rsidP="008E3F72">
      <w:pPr>
        <w:jc w:val="both"/>
        <w:rPr>
          <w:noProof/>
        </w:rPr>
      </w:pPr>
      <w:r w:rsidRPr="00F35F4D">
        <w:rPr>
          <w:i/>
        </w:rPr>
        <w:t>Fangueiro, D. et al.</w:t>
      </w:r>
      <w:r w:rsidRPr="00F35F4D">
        <w:t xml:space="preserve"> (2008a). </w:t>
      </w:r>
      <w:r w:rsidRPr="00F35F4D">
        <w:rPr>
          <w:i/>
        </w:rPr>
        <w:t>Effect of cattle slurry separation on greenhouse gas and ammonia emissions during storage</w:t>
      </w:r>
      <w:r w:rsidRPr="00F35F4D">
        <w:t xml:space="preserve"> (Liellopu šķidro kūtsmēslu separācijas ietekme uz siltumnīcefekta gāzes un amonjaka emisiju uzkrāšanas laikā). </w:t>
      </w:r>
      <w:r w:rsidRPr="00F35F4D">
        <w:rPr>
          <w:i/>
        </w:rPr>
        <w:t>Journal of Environmental Quality</w:t>
      </w:r>
      <w:r w:rsidRPr="00F35F4D">
        <w:t>, 37. sējums, Nr. 6 (novembris) 2322.–2331. lpp.</w:t>
      </w:r>
    </w:p>
    <w:p w14:paraId="1A235999" w14:textId="77777777" w:rsidR="008E3F72" w:rsidRPr="00F35F4D" w:rsidRDefault="008E3F72" w:rsidP="008E3F72">
      <w:pPr>
        <w:jc w:val="both"/>
        <w:rPr>
          <w:noProof/>
        </w:rPr>
      </w:pPr>
    </w:p>
    <w:p w14:paraId="01EB69FF" w14:textId="5CDEB4F5" w:rsidR="008E3F72" w:rsidRPr="00F35F4D" w:rsidRDefault="008E3F72" w:rsidP="008E3F72">
      <w:pPr>
        <w:jc w:val="both"/>
        <w:rPr>
          <w:noProof/>
        </w:rPr>
      </w:pPr>
      <w:r w:rsidRPr="00F35F4D">
        <w:t xml:space="preserve">(2008b). </w:t>
      </w:r>
      <w:r w:rsidRPr="00F35F4D">
        <w:rPr>
          <w:i/>
        </w:rPr>
        <w:t>Laboratory assessment of the effect of cattle slurry pre-treatment on organic Ndegradation after soil application and N2O and N2 emissions</w:t>
      </w:r>
      <w:r w:rsidRPr="00F35F4D">
        <w:t xml:space="preserve"> (Laboratorijā veikts izvērtējums par liellopu šķidro kūtsmēslu priekšapstrādes ietekmi uz o</w:t>
      </w:r>
      <w:r w:rsidR="00BA688C">
        <w:t>rganiskā N noārdīšanos pēc augsnes</w:t>
      </w:r>
      <w:r w:rsidRPr="00F35F4D">
        <w:t xml:space="preserve"> mēslošanas un N2O un N2 emisiju.) </w:t>
      </w:r>
      <w:r w:rsidRPr="00F35F4D">
        <w:rPr>
          <w:i/>
        </w:rPr>
        <w:t>Nutrient Cycling in Agroecosystems</w:t>
      </w:r>
      <w:r w:rsidRPr="00F35F4D">
        <w:t>, 80. sējums, 107.–120. lpp.</w:t>
      </w:r>
    </w:p>
    <w:p w14:paraId="3F4E1F26" w14:textId="77777777" w:rsidR="008E3F72" w:rsidRPr="00F35F4D" w:rsidRDefault="008E3F72" w:rsidP="008E3F72">
      <w:pPr>
        <w:jc w:val="both"/>
        <w:rPr>
          <w:noProof/>
        </w:rPr>
      </w:pPr>
    </w:p>
    <w:p w14:paraId="330DC189" w14:textId="77777777" w:rsidR="008E3F72" w:rsidRPr="00F35F4D" w:rsidRDefault="008E3F72" w:rsidP="008E3F72">
      <w:pPr>
        <w:jc w:val="both"/>
        <w:rPr>
          <w:noProof/>
        </w:rPr>
      </w:pPr>
      <w:r w:rsidRPr="00F35F4D">
        <w:rPr>
          <w:i/>
        </w:rPr>
        <w:t>FAO</w:t>
      </w:r>
      <w:r w:rsidRPr="00F35F4D">
        <w:t xml:space="preserve"> (2009). </w:t>
      </w:r>
      <w:r w:rsidRPr="00F35F4D">
        <w:rPr>
          <w:i/>
        </w:rPr>
        <w:t>The State of Food and Agriculture 2009:</w:t>
      </w:r>
      <w:r w:rsidRPr="00F35F4D">
        <w:t xml:space="preserve"> </w:t>
      </w:r>
      <w:r w:rsidRPr="00F35F4D">
        <w:rPr>
          <w:i/>
        </w:rPr>
        <w:t>Livestock in the balance</w:t>
      </w:r>
      <w:r w:rsidRPr="00F35F4D">
        <w:t xml:space="preserve"> (Pārtikas un lauksaimniecības stāvoklis 2009. gadā. Lopkopība). </w:t>
      </w:r>
      <w:r w:rsidRPr="00F35F4D">
        <w:rPr>
          <w:i/>
        </w:rPr>
        <w:t>Rome.</w:t>
      </w:r>
    </w:p>
    <w:p w14:paraId="31C66F40" w14:textId="77777777" w:rsidR="008E3F72" w:rsidRPr="00F35F4D" w:rsidRDefault="008E3F72" w:rsidP="008E3F72">
      <w:pPr>
        <w:jc w:val="both"/>
        <w:rPr>
          <w:noProof/>
        </w:rPr>
      </w:pPr>
    </w:p>
    <w:p w14:paraId="686F5B14" w14:textId="111F8523" w:rsidR="008E3F72" w:rsidRPr="00F35F4D" w:rsidRDefault="008E3F72" w:rsidP="008E3F72">
      <w:pPr>
        <w:jc w:val="both"/>
        <w:rPr>
          <w:noProof/>
        </w:rPr>
      </w:pPr>
      <w:r w:rsidRPr="00F35F4D">
        <w:rPr>
          <w:i/>
        </w:rPr>
        <w:t>Galloway, J. N. et al.</w:t>
      </w:r>
      <w:r w:rsidRPr="00F35F4D">
        <w:t xml:space="preserve"> (2003). </w:t>
      </w:r>
      <w:r w:rsidRPr="00F35F4D">
        <w:rPr>
          <w:i/>
        </w:rPr>
        <w:t>The Nitrogen Cascade</w:t>
      </w:r>
      <w:r w:rsidRPr="00F35F4D">
        <w:t xml:space="preserve"> (Slāpekļa kaskāde).</w:t>
      </w:r>
      <w:r w:rsidR="00DA7189" w:rsidRPr="00F35F4D">
        <w:rPr>
          <w:i/>
        </w:rPr>
        <w:t xml:space="preserve"> </w:t>
      </w:r>
      <w:r w:rsidRPr="00F35F4D">
        <w:rPr>
          <w:i/>
        </w:rPr>
        <w:t>BioScience</w:t>
      </w:r>
      <w:r w:rsidRPr="00F35F4D">
        <w:t>, 53. sējums,</w:t>
      </w:r>
      <w:r w:rsidR="00DA7189">
        <w:t xml:space="preserve"> </w:t>
      </w:r>
      <w:r w:rsidRPr="00F35F4D">
        <w:t>341.–356. lpp.</w:t>
      </w:r>
    </w:p>
    <w:p w14:paraId="1305F96B" w14:textId="77777777" w:rsidR="008E3F72" w:rsidRPr="00F35F4D" w:rsidRDefault="008E3F72" w:rsidP="008E3F72">
      <w:pPr>
        <w:jc w:val="both"/>
        <w:rPr>
          <w:noProof/>
        </w:rPr>
      </w:pPr>
    </w:p>
    <w:p w14:paraId="673E279B" w14:textId="77777777" w:rsidR="008E3F72" w:rsidRPr="00F35F4D" w:rsidRDefault="008E3F72" w:rsidP="008E3F72">
      <w:pPr>
        <w:jc w:val="both"/>
        <w:rPr>
          <w:noProof/>
        </w:rPr>
      </w:pPr>
      <w:r w:rsidRPr="00F35F4D">
        <w:rPr>
          <w:i/>
        </w:rPr>
        <w:t xml:space="preserve">Geers, R., Madec, F. </w:t>
      </w:r>
      <w:r w:rsidRPr="00F35F4D">
        <w:t xml:space="preserve">(red.) (2006). </w:t>
      </w:r>
      <w:r w:rsidRPr="00F35F4D">
        <w:rPr>
          <w:i/>
        </w:rPr>
        <w:t>Livestock production and society</w:t>
      </w:r>
      <w:r w:rsidRPr="00F35F4D">
        <w:t xml:space="preserve"> (Lauksaimniecības dzīvnieku audzēšana un sabiedrība). Vāgeningena, Nīderlande. </w:t>
      </w:r>
      <w:r w:rsidRPr="00F35F4D">
        <w:rPr>
          <w:i/>
        </w:rPr>
        <w:t>Wageningen Academic Publishers</w:t>
      </w:r>
      <w:r w:rsidRPr="00F35F4D">
        <w:t>.</w:t>
      </w:r>
    </w:p>
    <w:p w14:paraId="568245D1" w14:textId="77777777" w:rsidR="008E3F72" w:rsidRPr="00F35F4D" w:rsidRDefault="008E3F72" w:rsidP="008E3F72">
      <w:pPr>
        <w:jc w:val="both"/>
        <w:rPr>
          <w:noProof/>
        </w:rPr>
      </w:pPr>
    </w:p>
    <w:p w14:paraId="5EBD3AF7" w14:textId="77777777" w:rsidR="008E3F72" w:rsidRPr="00F35F4D" w:rsidRDefault="008E3F72" w:rsidP="008E3F72">
      <w:pPr>
        <w:jc w:val="both"/>
        <w:rPr>
          <w:noProof/>
        </w:rPr>
      </w:pPr>
      <w:r w:rsidRPr="00F35F4D">
        <w:rPr>
          <w:i/>
        </w:rPr>
        <w:t>Gilhespy, S. L. et al.</w:t>
      </w:r>
      <w:r w:rsidRPr="00F35F4D">
        <w:t xml:space="preserve"> (2009). </w:t>
      </w:r>
      <w:r w:rsidRPr="00F35F4D">
        <w:rPr>
          <w:i/>
        </w:rPr>
        <w:t>Will additional straw bedding in buildings housing cattle and pigs reduce ammonia emissions?</w:t>
      </w:r>
      <w:r w:rsidRPr="00F35F4D">
        <w:t xml:space="preserve"> (Vai papildu salmi pakaišiem liellopu un cūku novietnēs samazinās amonjaka emisiju?). </w:t>
      </w:r>
      <w:r w:rsidRPr="00F35F4D">
        <w:rPr>
          <w:i/>
        </w:rPr>
        <w:t>Biosystems Engineering</w:t>
      </w:r>
      <w:r w:rsidRPr="00F35F4D">
        <w:t>, 102. sējums, 180.–189. lpp.</w:t>
      </w:r>
    </w:p>
    <w:p w14:paraId="1C8BFFFB" w14:textId="77777777" w:rsidR="008E3F72" w:rsidRPr="00F35F4D" w:rsidRDefault="008E3F72" w:rsidP="008E3F72">
      <w:pPr>
        <w:jc w:val="both"/>
        <w:rPr>
          <w:noProof/>
        </w:rPr>
      </w:pPr>
    </w:p>
    <w:p w14:paraId="41E80964" w14:textId="77777777" w:rsidR="008E3F72" w:rsidRPr="00F35F4D" w:rsidRDefault="008E3F72" w:rsidP="008E3F72">
      <w:pPr>
        <w:jc w:val="both"/>
        <w:rPr>
          <w:noProof/>
        </w:rPr>
      </w:pPr>
      <w:r w:rsidRPr="00F35F4D">
        <w:rPr>
          <w:i/>
        </w:rPr>
        <w:t>Groenestein, C. M., van Faassen, H. G.</w:t>
      </w:r>
      <w:r w:rsidRPr="00F35F4D">
        <w:t xml:space="preserve"> (1996). </w:t>
      </w:r>
      <w:r w:rsidRPr="00F35F4D">
        <w:rPr>
          <w:i/>
        </w:rPr>
        <w:t>Volatilization of ammonia, nitrous oxide and nitric oxide in deep-litter systems for fattening pigs</w:t>
      </w:r>
      <w:r w:rsidRPr="00F35F4D">
        <w:t xml:space="preserve"> (Amonjaka, slāpekļa (I) oksīda un slāpekļa (II) oksīda iztvaikošana dziļo pakaišu sistēmās nobarojamām cūkām). </w:t>
      </w:r>
      <w:r w:rsidRPr="00F35F4D">
        <w:rPr>
          <w:i/>
        </w:rPr>
        <w:t>Journal of Agricultural Engineering Research</w:t>
      </w:r>
      <w:r w:rsidRPr="00F35F4D">
        <w:t>, 65. sējums, Nr. 4 (decembris), 269.–274. lpp.</w:t>
      </w:r>
    </w:p>
    <w:p w14:paraId="7DBD068F" w14:textId="77777777" w:rsidR="008E3F72" w:rsidRPr="00F35F4D" w:rsidRDefault="008E3F72" w:rsidP="008E3F72">
      <w:pPr>
        <w:jc w:val="both"/>
        <w:rPr>
          <w:noProof/>
        </w:rPr>
      </w:pPr>
    </w:p>
    <w:p w14:paraId="57B195DB" w14:textId="77777777" w:rsidR="008E3F72" w:rsidRPr="00F35F4D" w:rsidRDefault="008E3F72" w:rsidP="008E3F72">
      <w:pPr>
        <w:jc w:val="both"/>
        <w:rPr>
          <w:noProof/>
        </w:rPr>
      </w:pPr>
      <w:r w:rsidRPr="00F35F4D">
        <w:rPr>
          <w:i/>
        </w:rPr>
        <w:t>Groenestein, C. M. et al.</w:t>
      </w:r>
      <w:r w:rsidRPr="00F35F4D">
        <w:t xml:space="preserve"> (2001). </w:t>
      </w:r>
      <w:r w:rsidRPr="00F35F4D">
        <w:rPr>
          <w:i/>
        </w:rPr>
        <w:t>Ammonia emission from individual- and group-housing systems for sows</w:t>
      </w:r>
      <w:r w:rsidRPr="00F35F4D">
        <w:t xml:space="preserve"> (Amonjaka emisija no novietnēm sivēnmāšu turēšanai individuāli un grupās). </w:t>
      </w:r>
      <w:r w:rsidRPr="00F35F4D">
        <w:rPr>
          <w:i/>
        </w:rPr>
        <w:t>Netherlands Journal of Agricultural Science</w:t>
      </w:r>
      <w:r w:rsidRPr="00F35F4D">
        <w:t>, 49. sējums, 313.–322. lpp.</w:t>
      </w:r>
    </w:p>
    <w:p w14:paraId="52CEE0C7" w14:textId="77777777" w:rsidR="008E3F72" w:rsidRPr="00F35F4D" w:rsidRDefault="008E3F72" w:rsidP="008E3F72">
      <w:pPr>
        <w:jc w:val="both"/>
        <w:rPr>
          <w:noProof/>
        </w:rPr>
      </w:pPr>
    </w:p>
    <w:p w14:paraId="6592138C" w14:textId="77777777" w:rsidR="008E3F72" w:rsidRPr="00F35F4D" w:rsidRDefault="008E3F72" w:rsidP="008E3F72">
      <w:pPr>
        <w:jc w:val="both"/>
        <w:rPr>
          <w:noProof/>
        </w:rPr>
      </w:pPr>
      <w:r w:rsidRPr="00F35F4D">
        <w:rPr>
          <w:i/>
        </w:rPr>
        <w:t>Groot Koerkamp, P. W. G., Groenestein</w:t>
      </w:r>
      <w:r w:rsidRPr="00F35F4D">
        <w:t xml:space="preserve">, </w:t>
      </w:r>
      <w:r w:rsidRPr="00F35F4D">
        <w:rPr>
          <w:i/>
        </w:rPr>
        <w:t>C. M.</w:t>
      </w:r>
      <w:r w:rsidRPr="00F35F4D">
        <w:t xml:space="preserve"> (2008). </w:t>
      </w:r>
      <w:r w:rsidRPr="00F35F4D">
        <w:rPr>
          <w:i/>
        </w:rPr>
        <w:t>Ammonia and odour emission from a broiler house with a litter drying ventilation system</w:t>
      </w:r>
      <w:r w:rsidRPr="00F35F4D">
        <w:t xml:space="preserve"> (Amonjaka un smaku emisija no broileru novietnēm ar ventilācijas sistēmu pakaišu žāvēšanai). </w:t>
      </w:r>
      <w:r w:rsidRPr="00F35F4D">
        <w:rPr>
          <w:i/>
        </w:rPr>
        <w:t>AgEng</w:t>
      </w:r>
      <w:r w:rsidRPr="00F35F4D">
        <w:t xml:space="preserve">2008: </w:t>
      </w:r>
      <w:r w:rsidRPr="00F35F4D">
        <w:rPr>
          <w:i/>
        </w:rPr>
        <w:t>Agricultural and Biosystems Engineering for a Sustainable World.</w:t>
      </w:r>
      <w:r w:rsidRPr="00F35F4D">
        <w:t xml:space="preserve"> Starptautiskās lauksaimniecības inženierzinātņu konferences ziņojums, Krēta, Grieķija, 2008. gada 23.–25. jūnijs.</w:t>
      </w:r>
    </w:p>
    <w:p w14:paraId="3004D939" w14:textId="77777777" w:rsidR="008E3F72" w:rsidRPr="00F35F4D" w:rsidRDefault="008E3F72" w:rsidP="008E3F72">
      <w:pPr>
        <w:jc w:val="both"/>
        <w:rPr>
          <w:noProof/>
        </w:rPr>
      </w:pPr>
    </w:p>
    <w:p w14:paraId="450E20BF" w14:textId="77777777" w:rsidR="008E3F72" w:rsidRPr="00F35F4D" w:rsidRDefault="008E3F72" w:rsidP="008E3F72">
      <w:pPr>
        <w:jc w:val="both"/>
        <w:rPr>
          <w:noProof/>
        </w:rPr>
      </w:pPr>
      <w:r w:rsidRPr="00F35F4D">
        <w:rPr>
          <w:i/>
        </w:rPr>
        <w:t>Guingand, N.</w:t>
      </w:r>
      <w:r w:rsidRPr="00F35F4D">
        <w:t xml:space="preserve"> (2009). </w:t>
      </w:r>
      <w:r w:rsidRPr="00F35F4D">
        <w:rPr>
          <w:i/>
        </w:rPr>
        <w:t>Wet scrubber: one way to reduce ammonia and odours emitted by pig units</w:t>
      </w:r>
      <w:r w:rsidRPr="00F35F4D">
        <w:t xml:space="preserve"> (Mitrā attīrīšana kā viens no veidiem amonjaka un smaku samazināšanai no cūku turēšanas vietām). Referāts Eiropas Dzīvnieku audzētāju asociācijas 60. sanāksmē. Barselona, Spānija, 2009. gada 24.–27. augusts.</w:t>
      </w:r>
    </w:p>
    <w:p w14:paraId="4A0B0C56" w14:textId="77777777" w:rsidR="008E3F72" w:rsidRPr="00F35F4D" w:rsidRDefault="008E3F72" w:rsidP="008E3F72">
      <w:pPr>
        <w:jc w:val="both"/>
        <w:rPr>
          <w:noProof/>
        </w:rPr>
      </w:pPr>
    </w:p>
    <w:p w14:paraId="24E52DFD" w14:textId="77777777" w:rsidR="008E3F72" w:rsidRPr="00F35F4D" w:rsidRDefault="008E3F72" w:rsidP="008E3F72">
      <w:pPr>
        <w:jc w:val="both"/>
        <w:rPr>
          <w:noProof/>
        </w:rPr>
      </w:pPr>
      <w:r w:rsidRPr="00F35F4D">
        <w:rPr>
          <w:i/>
        </w:rPr>
        <w:t>Guingand, N., Courboulay, V.</w:t>
      </w:r>
      <w:r w:rsidRPr="00F35F4D">
        <w:t xml:space="preserve"> (2007). </w:t>
      </w:r>
      <w:r w:rsidRPr="00F35F4D">
        <w:rPr>
          <w:i/>
        </w:rPr>
        <w:t>Reduction of the number of slots for concrete slatted floor in fattening buildings: consequences for pigs and environment</w:t>
      </w:r>
      <w:r w:rsidRPr="00F35F4D">
        <w:t xml:space="preserve"> (Redeļu skaita samazināšana nobarošanas novietņu betona grīdā – cūkām un videi radītās sekas). Sk. </w:t>
      </w:r>
      <w:r w:rsidRPr="00F35F4D">
        <w:rPr>
          <w:i/>
        </w:rPr>
        <w:t>Monteny G. J., Hartung</w:t>
      </w:r>
      <w:r w:rsidRPr="00F35F4D">
        <w:t xml:space="preserve">, </w:t>
      </w:r>
      <w:r w:rsidRPr="00F35F4D">
        <w:rPr>
          <w:i/>
        </w:rPr>
        <w:t>E.</w:t>
      </w:r>
      <w:r w:rsidRPr="00F35F4D">
        <w:t xml:space="preserve"> (red.),</w:t>
      </w:r>
    </w:p>
    <w:p w14:paraId="07220839" w14:textId="77777777" w:rsidR="008E3F72" w:rsidRPr="00F35F4D" w:rsidRDefault="008E3F72" w:rsidP="008E3F72">
      <w:pPr>
        <w:jc w:val="both"/>
        <w:rPr>
          <w:noProof/>
        </w:rPr>
      </w:pPr>
    </w:p>
    <w:p w14:paraId="3FA226DC" w14:textId="77777777" w:rsidR="008E3F72" w:rsidRPr="00F35F4D" w:rsidRDefault="008E3F72" w:rsidP="008E3F72">
      <w:pPr>
        <w:jc w:val="both"/>
        <w:rPr>
          <w:noProof/>
        </w:rPr>
      </w:pPr>
      <w:r w:rsidRPr="00F35F4D">
        <w:rPr>
          <w:i/>
        </w:rPr>
        <w:t>Proceedings of the International Conference on Ammonia in Agriculture:</w:t>
      </w:r>
      <w:r w:rsidRPr="00F35F4D">
        <w:t xml:space="preserve"> </w:t>
      </w:r>
      <w:r w:rsidRPr="00F35F4D">
        <w:rPr>
          <w:i/>
        </w:rPr>
        <w:t>Policy, Science, Control and Implementation</w:t>
      </w:r>
      <w:r w:rsidRPr="00F35F4D">
        <w:t xml:space="preserve">, </w:t>
      </w:r>
      <w:r w:rsidRPr="00F35F4D">
        <w:rPr>
          <w:i/>
        </w:rPr>
        <w:t>19-21 March 2007, Ede, Netherlands</w:t>
      </w:r>
      <w:r w:rsidRPr="00F35F4D">
        <w:t xml:space="preserve">, </w:t>
      </w:r>
      <w:r w:rsidRPr="00F35F4D">
        <w:rPr>
          <w:i/>
        </w:rPr>
        <w:t>pp. 147-148.</w:t>
      </w:r>
      <w:r w:rsidRPr="00F35F4D">
        <w:t xml:space="preserve"> Vāgeningena, Nīderlande. </w:t>
      </w:r>
      <w:r w:rsidRPr="00F35F4D">
        <w:rPr>
          <w:i/>
        </w:rPr>
        <w:t>Wageningen Academic Publishers</w:t>
      </w:r>
      <w:r w:rsidRPr="00F35F4D">
        <w:t>.</w:t>
      </w:r>
    </w:p>
    <w:p w14:paraId="4AB98995" w14:textId="77777777" w:rsidR="008E3F72" w:rsidRPr="00F35F4D" w:rsidRDefault="008E3F72" w:rsidP="008E3F72">
      <w:pPr>
        <w:jc w:val="both"/>
        <w:rPr>
          <w:noProof/>
        </w:rPr>
      </w:pPr>
    </w:p>
    <w:p w14:paraId="5219F664" w14:textId="0567E198" w:rsidR="008E3F72" w:rsidRPr="00F35F4D" w:rsidRDefault="008E3F72" w:rsidP="008E3F72">
      <w:pPr>
        <w:jc w:val="both"/>
        <w:rPr>
          <w:noProof/>
        </w:rPr>
      </w:pPr>
      <w:r w:rsidRPr="00F35F4D">
        <w:rPr>
          <w:i/>
        </w:rPr>
        <w:t>Guingand, N., Demerson, L., Broz</w:t>
      </w:r>
      <w:r w:rsidRPr="00F35F4D">
        <w:t xml:space="preserve"> </w:t>
      </w:r>
      <w:r w:rsidRPr="00F35F4D">
        <w:rPr>
          <w:i/>
        </w:rPr>
        <w:t>J.</w:t>
      </w:r>
      <w:r w:rsidRPr="00F35F4D">
        <w:t xml:space="preserve"> (2005). </w:t>
      </w:r>
      <w:r w:rsidRPr="00F35F4D">
        <w:rPr>
          <w:i/>
        </w:rPr>
        <w:t>Incidence de l’incorporation d’acide benzoïque dans l’alimentation des porcs charcutiers sur les performances zootechniques et l’émssion d’ammoniac.</w:t>
      </w:r>
      <w:r w:rsidR="00FB5D57">
        <w:rPr>
          <w:i/>
        </w:rPr>
        <w:t xml:space="preserve"> </w:t>
      </w:r>
      <w:r w:rsidRPr="00F35F4D">
        <w:rPr>
          <w:i/>
        </w:rPr>
        <w:t>Journées Recherche Porcine, vol. 37, pp. 1-6.</w:t>
      </w:r>
    </w:p>
    <w:p w14:paraId="490E2CAD" w14:textId="77777777" w:rsidR="008E3F72" w:rsidRPr="00F35F4D" w:rsidRDefault="008E3F72" w:rsidP="008E3F72">
      <w:pPr>
        <w:jc w:val="both"/>
        <w:rPr>
          <w:noProof/>
        </w:rPr>
      </w:pPr>
    </w:p>
    <w:p w14:paraId="3FD4B43A" w14:textId="77777777" w:rsidR="008E3F72" w:rsidRPr="00F35F4D" w:rsidRDefault="008E3F72" w:rsidP="008E3F72">
      <w:pPr>
        <w:jc w:val="both"/>
        <w:rPr>
          <w:noProof/>
        </w:rPr>
      </w:pPr>
      <w:r w:rsidRPr="00F35F4D">
        <w:rPr>
          <w:i/>
        </w:rPr>
        <w:t>Gutser, R.et al.</w:t>
      </w:r>
      <w:r w:rsidRPr="00F35F4D">
        <w:t xml:space="preserve"> (2005). </w:t>
      </w:r>
      <w:r w:rsidRPr="00F35F4D">
        <w:rPr>
          <w:i/>
        </w:rPr>
        <w:t>Short-term and residual availability of nitrogen after long-term application of organic fertilizers on arable land</w:t>
      </w:r>
      <w:r w:rsidRPr="00F35F4D">
        <w:t xml:space="preserve"> (Slāpekļa īstermiņa un reziduālā pieejamība pēc aramzemes mēslošanas ar organiskajiem mēslošanas līdzekļiem ilgā laika posmā). </w:t>
      </w:r>
      <w:r w:rsidRPr="00F35F4D">
        <w:rPr>
          <w:i/>
        </w:rPr>
        <w:t>Journal of Plant Nutrition and Soil Science,</w:t>
      </w:r>
      <w:r w:rsidRPr="00F35F4D">
        <w:t xml:space="preserve"> 168. sējums, 439.–446. lpp.</w:t>
      </w:r>
    </w:p>
    <w:p w14:paraId="5E12E491" w14:textId="77777777" w:rsidR="008E3F72" w:rsidRPr="00F35F4D" w:rsidRDefault="008E3F72" w:rsidP="008E3F72">
      <w:pPr>
        <w:jc w:val="both"/>
        <w:rPr>
          <w:noProof/>
        </w:rPr>
      </w:pPr>
    </w:p>
    <w:p w14:paraId="15D7842B" w14:textId="77777777" w:rsidR="008E3F72" w:rsidRPr="00F35F4D" w:rsidRDefault="008E3F72" w:rsidP="008E3F72">
      <w:pPr>
        <w:jc w:val="both"/>
        <w:rPr>
          <w:noProof/>
        </w:rPr>
      </w:pPr>
      <w:r w:rsidRPr="00F35F4D">
        <w:rPr>
          <w:i/>
        </w:rPr>
        <w:t>Hadas, A. et al.</w:t>
      </w:r>
      <w:r w:rsidRPr="00F35F4D">
        <w:t xml:space="preserve"> (2002). </w:t>
      </w:r>
      <w:r w:rsidRPr="00F35F4D">
        <w:rPr>
          <w:i/>
        </w:rPr>
        <w:t>Modelling the turnover of 15N-labelled fertilizer and cover crop in soil and its recovery by maize</w:t>
      </w:r>
      <w:r w:rsidRPr="00F35F4D">
        <w:t xml:space="preserve"> (15N mēslošanas līdzekļa un virsaugu aprites modelēšana augsnē un kukurūzā). </w:t>
      </w:r>
      <w:r w:rsidRPr="00F35F4D">
        <w:rPr>
          <w:i/>
        </w:rPr>
        <w:t>European Journal of Soil Science</w:t>
      </w:r>
      <w:r w:rsidRPr="00F35F4D">
        <w:t>, 53. sējums, Nr. 4 (decembris), 541.–552. lpp.</w:t>
      </w:r>
    </w:p>
    <w:p w14:paraId="07F611E8" w14:textId="77777777" w:rsidR="008E3F72" w:rsidRPr="00F35F4D" w:rsidRDefault="008E3F72" w:rsidP="008E3F72">
      <w:pPr>
        <w:jc w:val="both"/>
        <w:rPr>
          <w:noProof/>
        </w:rPr>
      </w:pPr>
    </w:p>
    <w:p w14:paraId="0619B22C" w14:textId="4F388399" w:rsidR="008E3F72" w:rsidRPr="00F35F4D" w:rsidRDefault="008E3F72" w:rsidP="008E3F72">
      <w:pPr>
        <w:jc w:val="both"/>
        <w:rPr>
          <w:noProof/>
        </w:rPr>
      </w:pPr>
      <w:r w:rsidRPr="00F35F4D">
        <w:rPr>
          <w:i/>
        </w:rPr>
        <w:t>Hart, P. B. S.et al.</w:t>
      </w:r>
      <w:r w:rsidRPr="00F35F4D">
        <w:t xml:space="preserve"> (1993). </w:t>
      </w:r>
      <w:r w:rsidRPr="00F35F4D">
        <w:rPr>
          <w:i/>
        </w:rPr>
        <w:t>The availability of the nitrogen in the crop residues of winter wheat to subsequent crops</w:t>
      </w:r>
      <w:r w:rsidR="00BA688C">
        <w:t xml:space="preserve"> (Ziemas kviešu augu atliekās</w:t>
      </w:r>
      <w:r w:rsidRPr="00F35F4D">
        <w:t xml:space="preserve"> esošā slāpekļa pieejamība secīgi audzētajiem kultūraugiem). </w:t>
      </w:r>
      <w:r w:rsidRPr="00F35F4D">
        <w:rPr>
          <w:i/>
        </w:rPr>
        <w:t>The Journal of Agricultural Science</w:t>
      </w:r>
      <w:r w:rsidRPr="00F35F4D">
        <w:t xml:space="preserve">, 121. sējums, </w:t>
      </w:r>
      <w:r w:rsidRPr="00F35F4D">
        <w:lastRenderedPageBreak/>
        <w:t>Nr. 3 (decembris), 355.–362. lpp.</w:t>
      </w:r>
    </w:p>
    <w:p w14:paraId="22D50100" w14:textId="77777777" w:rsidR="008E3F72" w:rsidRPr="00F35F4D" w:rsidRDefault="008E3F72" w:rsidP="008E3F72">
      <w:pPr>
        <w:jc w:val="both"/>
        <w:rPr>
          <w:noProof/>
        </w:rPr>
      </w:pPr>
    </w:p>
    <w:p w14:paraId="60942D9F" w14:textId="77777777" w:rsidR="008E3F72" w:rsidRPr="00F35F4D" w:rsidRDefault="008E3F72" w:rsidP="008E3F72">
      <w:pPr>
        <w:jc w:val="both"/>
        <w:rPr>
          <w:noProof/>
        </w:rPr>
      </w:pPr>
      <w:r w:rsidRPr="00F35F4D">
        <w:rPr>
          <w:i/>
        </w:rPr>
        <w:t>Hansen, M. N., Henriksen, K., Sommer, S. G.</w:t>
      </w:r>
      <w:r w:rsidRPr="00F35F4D">
        <w:t xml:space="preserve"> (2006). </w:t>
      </w:r>
      <w:r w:rsidRPr="00F35F4D">
        <w:rPr>
          <w:i/>
        </w:rPr>
        <w:t>Observations of production and emission of greenhouse gases and ammonia during storage of solids separated from pig slurry:</w:t>
      </w:r>
      <w:r w:rsidRPr="00F35F4D">
        <w:t xml:space="preserve"> </w:t>
      </w:r>
      <w:r w:rsidRPr="00F35F4D">
        <w:rPr>
          <w:i/>
        </w:rPr>
        <w:t>Effects of covering</w:t>
      </w:r>
      <w:r w:rsidRPr="00F35F4D">
        <w:t xml:space="preserve"> (Novērojumi par siltumnīcefekta gāžu un amonjaka rašanos un emisiju no cūku šķidrajiem kūtsmēsliem atdalītās cietās frakcijas glabāšanas laikā – nosegšanas radītā ietekme).</w:t>
      </w:r>
    </w:p>
    <w:p w14:paraId="2FA717B0" w14:textId="77777777" w:rsidR="008E3F72" w:rsidRPr="00F35F4D" w:rsidRDefault="008E3F72" w:rsidP="008E3F72">
      <w:pPr>
        <w:jc w:val="both"/>
        <w:rPr>
          <w:noProof/>
        </w:rPr>
      </w:pPr>
    </w:p>
    <w:p w14:paraId="38447622" w14:textId="77777777" w:rsidR="008E3F72" w:rsidRPr="00F35F4D" w:rsidRDefault="008E3F72" w:rsidP="008E3F72">
      <w:pPr>
        <w:jc w:val="both"/>
        <w:rPr>
          <w:noProof/>
        </w:rPr>
      </w:pPr>
      <w:r w:rsidRPr="00F35F4D">
        <w:rPr>
          <w:i/>
        </w:rPr>
        <w:t>Atmospheric Environment</w:t>
      </w:r>
      <w:r w:rsidRPr="00F35F4D">
        <w:t>, 40. sējums, 4172.–4181. lpp.</w:t>
      </w:r>
    </w:p>
    <w:p w14:paraId="3574BCDC" w14:textId="77777777" w:rsidR="008E3F72" w:rsidRPr="00F35F4D" w:rsidRDefault="008E3F72" w:rsidP="008E3F72">
      <w:pPr>
        <w:jc w:val="both"/>
        <w:rPr>
          <w:noProof/>
        </w:rPr>
      </w:pPr>
    </w:p>
    <w:p w14:paraId="5A7E1AD6" w14:textId="77777777" w:rsidR="008E3F72" w:rsidRPr="00F35F4D" w:rsidRDefault="008E3F72" w:rsidP="008E3F72">
      <w:pPr>
        <w:jc w:val="both"/>
        <w:rPr>
          <w:noProof/>
        </w:rPr>
      </w:pPr>
      <w:r w:rsidRPr="00F35F4D">
        <w:rPr>
          <w:i/>
        </w:rPr>
        <w:t>Hatch, D. J. et al.</w:t>
      </w:r>
      <w:r w:rsidRPr="00F35F4D">
        <w:t xml:space="preserve"> (red.). (2004). </w:t>
      </w:r>
      <w:r w:rsidRPr="00F35F4D">
        <w:rPr>
          <w:i/>
        </w:rPr>
        <w:t>Controlling nitrogen flows and Losses</w:t>
      </w:r>
      <w:r w:rsidRPr="00F35F4D">
        <w:t xml:space="preserve"> (Slāpekļa plūsmu un zudumu kontrolēšana). Vāgeningena, Nīderlande. </w:t>
      </w:r>
      <w:r w:rsidRPr="00F35F4D">
        <w:rPr>
          <w:i/>
        </w:rPr>
        <w:t>Wageningen Academic Publishers</w:t>
      </w:r>
      <w:r w:rsidRPr="00F35F4D">
        <w:t>.</w:t>
      </w:r>
    </w:p>
    <w:p w14:paraId="32D8788E" w14:textId="77777777" w:rsidR="008E3F72" w:rsidRPr="00F35F4D" w:rsidRDefault="008E3F72" w:rsidP="008E3F72">
      <w:pPr>
        <w:jc w:val="both"/>
        <w:rPr>
          <w:noProof/>
        </w:rPr>
      </w:pPr>
    </w:p>
    <w:p w14:paraId="3595C03F" w14:textId="77777777" w:rsidR="008E3F72" w:rsidRPr="00F35F4D" w:rsidRDefault="008E3F72" w:rsidP="008E3F72">
      <w:pPr>
        <w:jc w:val="both"/>
        <w:rPr>
          <w:noProof/>
        </w:rPr>
      </w:pPr>
      <w:r w:rsidRPr="00F35F4D">
        <w:rPr>
          <w:i/>
        </w:rPr>
        <w:t>Histov, A. N., W. Hazen, J. W. Ellsworth</w:t>
      </w:r>
      <w:r w:rsidRPr="00F35F4D">
        <w:t xml:space="preserve"> (2006). </w:t>
      </w:r>
      <w:r w:rsidRPr="00F35F4D">
        <w:rPr>
          <w:i/>
        </w:rPr>
        <w:t>Efficiency of use of imported nitrogen, phosphorus and potassium and potential for reducing phosphorus imports on Idaho dairy farms</w:t>
      </w:r>
      <w:r w:rsidRPr="00F35F4D">
        <w:t xml:space="preserve"> (Ievestā slāpekļa, fosfora un kālija izmantošanas efektivitāte un potenciāls ievesto fosfora daudzumu samazināšanai Aidaho piensaimniecībās). </w:t>
      </w:r>
      <w:r w:rsidRPr="00F35F4D">
        <w:rPr>
          <w:i/>
        </w:rPr>
        <w:t>Journal of Dairy Science</w:t>
      </w:r>
      <w:r w:rsidRPr="00F35F4D">
        <w:t>, 89. sējums, Nr. 9 (septembris), 3702.–3712. lpp.</w:t>
      </w:r>
    </w:p>
    <w:p w14:paraId="4CFCF080" w14:textId="77777777" w:rsidR="008E3F72" w:rsidRPr="00F35F4D" w:rsidRDefault="008E3F72" w:rsidP="008E3F72">
      <w:pPr>
        <w:jc w:val="both"/>
        <w:rPr>
          <w:noProof/>
        </w:rPr>
      </w:pPr>
    </w:p>
    <w:p w14:paraId="1EA34082" w14:textId="50189861" w:rsidR="008E3F72" w:rsidRPr="00F35F4D" w:rsidRDefault="008E3F72" w:rsidP="008E3F72">
      <w:pPr>
        <w:jc w:val="both"/>
        <w:rPr>
          <w:noProof/>
        </w:rPr>
      </w:pPr>
      <w:r w:rsidRPr="00F35F4D">
        <w:rPr>
          <w:i/>
        </w:rPr>
        <w:t>Huynh, T. T. T. et al.</w:t>
      </w:r>
      <w:r w:rsidRPr="00F35F4D">
        <w:t xml:space="preserve"> (2004). </w:t>
      </w:r>
      <w:r w:rsidRPr="00F35F4D">
        <w:rPr>
          <w:i/>
        </w:rPr>
        <w:t>Effects of floor cooling during high ambient temperatures on the lying behavior and productivity of growing finishing pigs</w:t>
      </w:r>
      <w:r w:rsidRPr="00F35F4D">
        <w:t xml:space="preserve"> (Ietekme, ko augstā apkārtējās vides temperatūrā rada grīdas atvēsināšana uz cūku gulēšanas ieradumiem un produktivitāti nobarošanas vēlīnā stadijā). </w:t>
      </w:r>
      <w:r w:rsidRPr="00F35F4D">
        <w:rPr>
          <w:i/>
        </w:rPr>
        <w:t>Transactions of the ASAE</w:t>
      </w:r>
      <w:r w:rsidRPr="00F35F4D">
        <w:t>,</w:t>
      </w:r>
      <w:r w:rsidR="00FB5D57">
        <w:rPr>
          <w:rStyle w:val="FootnoteReference"/>
        </w:rPr>
        <w:footnoteReference w:id="15"/>
      </w:r>
      <w:r w:rsidR="00FB5D57">
        <w:t xml:space="preserve"> </w:t>
      </w:r>
      <w:r w:rsidRPr="00F35F4D">
        <w:t>47. sējums, Nr. 5, 1773.–1782. lpp.</w:t>
      </w:r>
    </w:p>
    <w:p w14:paraId="0021C1B1" w14:textId="77777777" w:rsidR="008E3F72" w:rsidRPr="00F35F4D" w:rsidRDefault="008E3F72" w:rsidP="008E3F72">
      <w:pPr>
        <w:jc w:val="both"/>
        <w:rPr>
          <w:noProof/>
        </w:rPr>
      </w:pPr>
    </w:p>
    <w:p w14:paraId="2A105222" w14:textId="77777777" w:rsidR="008E3F72" w:rsidRPr="00F35F4D" w:rsidRDefault="008E3F72" w:rsidP="008E3F72">
      <w:pPr>
        <w:jc w:val="both"/>
        <w:rPr>
          <w:noProof/>
        </w:rPr>
      </w:pPr>
      <w:r w:rsidRPr="00F35F4D">
        <w:t>Starptautiskā Mēslošanas līdzekļu nozares asociācija (</w:t>
      </w:r>
      <w:r w:rsidRPr="00F35F4D">
        <w:rPr>
          <w:i/>
        </w:rPr>
        <w:t>International Fertilizer Industry Association</w:t>
      </w:r>
      <w:r w:rsidRPr="00F35F4D">
        <w:t xml:space="preserve">) (2007). </w:t>
      </w:r>
      <w:r w:rsidRPr="00F35F4D">
        <w:rPr>
          <w:i/>
        </w:rPr>
        <w:t>Fertilizer Best Management Practices:</w:t>
      </w:r>
      <w:r w:rsidRPr="00F35F4D">
        <w:t xml:space="preserve"> </w:t>
      </w:r>
      <w:r w:rsidRPr="00F35F4D">
        <w:rPr>
          <w:i/>
        </w:rPr>
        <w:t>General Principles, Strategy for their Adoption and Voluntary Initiatives vs Regulations</w:t>
      </w:r>
      <w:r w:rsidRPr="00F35F4D">
        <w:t xml:space="preserve"> (Mēslošanas līdzekļu apsaimniekošanas labākā prakse – vispārējie principi, to apstiprināšanas stratēģija, brīvprātīgās iniciatīvas un noteikumi) </w:t>
      </w:r>
      <w:r w:rsidRPr="00F35F4D">
        <w:rPr>
          <w:i/>
        </w:rPr>
        <w:t>Paris, France.</w:t>
      </w:r>
    </w:p>
    <w:p w14:paraId="4F2BA9FC" w14:textId="77777777" w:rsidR="008E3F72" w:rsidRPr="00F35F4D" w:rsidRDefault="008E3F72" w:rsidP="008E3F72">
      <w:pPr>
        <w:jc w:val="both"/>
        <w:rPr>
          <w:noProof/>
        </w:rPr>
      </w:pPr>
    </w:p>
    <w:p w14:paraId="59250349" w14:textId="77777777" w:rsidR="008E3F72" w:rsidRPr="00F35F4D" w:rsidRDefault="008E3F72" w:rsidP="008E3F72">
      <w:pPr>
        <w:jc w:val="both"/>
        <w:rPr>
          <w:noProof/>
        </w:rPr>
      </w:pPr>
      <w:r w:rsidRPr="00F35F4D">
        <w:rPr>
          <w:i/>
        </w:rPr>
        <w:t>Janssen, B. H.</w:t>
      </w:r>
      <w:r w:rsidRPr="00F35F4D">
        <w:t xml:space="preserve"> (1984). </w:t>
      </w:r>
      <w:r w:rsidRPr="00F35F4D">
        <w:rPr>
          <w:i/>
        </w:rPr>
        <w:t>A simple method for calculating decomposition and accumulation of ‘young’ soil organic matter</w:t>
      </w:r>
      <w:r w:rsidRPr="00F35F4D">
        <w:t xml:space="preserve"> (Vienkārša metode, ka aprēķināt trūdēšanu un „jaunu” augsnes organisko vielu uzkrāšanos). </w:t>
      </w:r>
      <w:r w:rsidRPr="00F35F4D">
        <w:rPr>
          <w:i/>
        </w:rPr>
        <w:t>Plant and Soil,</w:t>
      </w:r>
      <w:r w:rsidRPr="00F35F4D">
        <w:t xml:space="preserve"> 76. sējums, 297.–304. lpp.</w:t>
      </w:r>
    </w:p>
    <w:p w14:paraId="7BFBE015" w14:textId="77777777" w:rsidR="008E3F72" w:rsidRPr="00F35F4D" w:rsidRDefault="008E3F72" w:rsidP="008E3F72">
      <w:pPr>
        <w:jc w:val="both"/>
        <w:rPr>
          <w:noProof/>
        </w:rPr>
      </w:pPr>
    </w:p>
    <w:p w14:paraId="08D07A4C" w14:textId="77777777" w:rsidR="008E3F72" w:rsidRPr="00F35F4D" w:rsidRDefault="008E3F72" w:rsidP="008E3F72">
      <w:pPr>
        <w:jc w:val="both"/>
        <w:rPr>
          <w:noProof/>
        </w:rPr>
      </w:pPr>
      <w:r w:rsidRPr="00F35F4D">
        <w:rPr>
          <w:i/>
        </w:rPr>
        <w:t>Jarret G., Martinez J., Dourmad</w:t>
      </w:r>
      <w:r w:rsidRPr="00F35F4D">
        <w:t xml:space="preserve">, </w:t>
      </w:r>
      <w:r w:rsidRPr="00F35F4D">
        <w:rPr>
          <w:i/>
        </w:rPr>
        <w:t>J.-Y.</w:t>
      </w:r>
      <w:r w:rsidRPr="00F35F4D">
        <w:t xml:space="preserve"> (2011). </w:t>
      </w:r>
      <w:r w:rsidRPr="00F35F4D">
        <w:rPr>
          <w:i/>
        </w:rPr>
        <w:t>Effect of biofuel co-products in pig diets on the excretory patterns of N and C and on the subsequent ammonia and methane emissions from pig effluent</w:t>
      </w:r>
      <w:r w:rsidRPr="00F35F4D">
        <w:t xml:space="preserve"> (Cūkām izbaroto biodegvielas blakusproduktu ietekme uz N un C ekskrēciju un amonjaka un metāna emisiju no cūku ekskrēcijas produktiem). </w:t>
      </w:r>
      <w:r w:rsidRPr="00F35F4D">
        <w:rPr>
          <w:i/>
        </w:rPr>
        <w:t>Animal</w:t>
      </w:r>
      <w:r w:rsidRPr="00F35F4D">
        <w:t>, 5. sējums, Nr. 4 (februāris), 622.–631. lpp.</w:t>
      </w:r>
    </w:p>
    <w:p w14:paraId="40F0620B" w14:textId="77777777" w:rsidR="008E3F72" w:rsidRPr="00F35F4D" w:rsidRDefault="008E3F72" w:rsidP="008E3F72">
      <w:pPr>
        <w:jc w:val="both"/>
        <w:rPr>
          <w:noProof/>
        </w:rPr>
      </w:pPr>
    </w:p>
    <w:p w14:paraId="60EE0ED2" w14:textId="77777777" w:rsidR="008E3F72" w:rsidRPr="00F35F4D" w:rsidRDefault="008E3F72" w:rsidP="008E3F72">
      <w:pPr>
        <w:jc w:val="both"/>
        <w:rPr>
          <w:noProof/>
        </w:rPr>
      </w:pPr>
      <w:r w:rsidRPr="00F35F4D">
        <w:rPr>
          <w:i/>
        </w:rPr>
        <w:t>Jarvis, S. C., Pain,</w:t>
      </w:r>
      <w:r w:rsidRPr="00F35F4D">
        <w:t xml:space="preserve"> </w:t>
      </w:r>
      <w:r w:rsidRPr="00F35F4D">
        <w:rPr>
          <w:i/>
        </w:rPr>
        <w:t>B. F.</w:t>
      </w:r>
      <w:r w:rsidRPr="00F35F4D">
        <w:t xml:space="preserve"> (red.). (1997). </w:t>
      </w:r>
      <w:r w:rsidRPr="00F35F4D">
        <w:rPr>
          <w:i/>
        </w:rPr>
        <w:t>Gaseous Nitrogen Emissions from Grasslands</w:t>
      </w:r>
      <w:r w:rsidRPr="00F35F4D">
        <w:t xml:space="preserve"> (Slāpekļa emisija no zālājiem gāzes veidā). </w:t>
      </w:r>
      <w:r w:rsidRPr="00F35F4D">
        <w:rPr>
          <w:i/>
        </w:rPr>
        <w:t>Wallingford, United Kingdom:</w:t>
      </w:r>
      <w:r w:rsidRPr="00F35F4D">
        <w:t xml:space="preserve"> </w:t>
      </w:r>
      <w:r w:rsidRPr="00F35F4D">
        <w:rPr>
          <w:i/>
        </w:rPr>
        <w:t>CAB International.</w:t>
      </w:r>
    </w:p>
    <w:p w14:paraId="27BB6B6D" w14:textId="77777777" w:rsidR="008E3F72" w:rsidRPr="00F35F4D" w:rsidRDefault="008E3F72" w:rsidP="008E3F72">
      <w:pPr>
        <w:jc w:val="both"/>
        <w:rPr>
          <w:noProof/>
        </w:rPr>
      </w:pPr>
    </w:p>
    <w:p w14:paraId="5C1505F8" w14:textId="77777777" w:rsidR="008E3F72" w:rsidRPr="00F35F4D" w:rsidRDefault="008E3F72" w:rsidP="008E3F72">
      <w:pPr>
        <w:jc w:val="both"/>
        <w:rPr>
          <w:noProof/>
        </w:rPr>
      </w:pPr>
      <w:r w:rsidRPr="00F35F4D">
        <w:rPr>
          <w:i/>
        </w:rPr>
        <w:t>Jarvis, S. et al.</w:t>
      </w:r>
      <w:r w:rsidRPr="00F35F4D">
        <w:t xml:space="preserve"> (2011). </w:t>
      </w:r>
      <w:r w:rsidRPr="00F35F4D">
        <w:rPr>
          <w:i/>
        </w:rPr>
        <w:t>Nitrogen flows in farming systems across Europe</w:t>
      </w:r>
      <w:r w:rsidRPr="00F35F4D">
        <w:t xml:space="preserve"> (Slāpekļa </w:t>
      </w:r>
      <w:r w:rsidRPr="00F35F4D">
        <w:lastRenderedPageBreak/>
        <w:t xml:space="preserve">plūsmas Eiropas lauksaimnieciskās ražošanas sistēmās). </w:t>
      </w:r>
      <w:r w:rsidRPr="00F35F4D">
        <w:rPr>
          <w:i/>
        </w:rPr>
        <w:t>The European Nitrogen Assessment:</w:t>
      </w:r>
      <w:r w:rsidRPr="00F35F4D">
        <w:t xml:space="preserve"> </w:t>
      </w:r>
      <w:r w:rsidRPr="00F35F4D">
        <w:rPr>
          <w:i/>
        </w:rPr>
        <w:t>Sources, Effects and Policy Perspectives, M. A. Sutton et al. (red.),</w:t>
      </w:r>
      <w:r w:rsidRPr="00F35F4D">
        <w:t xml:space="preserve"> </w:t>
      </w:r>
      <w:r w:rsidRPr="00F35F4D">
        <w:rPr>
          <w:i/>
        </w:rPr>
        <w:t>Cambridge, United Kingdom:</w:t>
      </w:r>
      <w:r w:rsidRPr="00F35F4D">
        <w:t xml:space="preserve"> </w:t>
      </w:r>
      <w:r w:rsidRPr="00F35F4D">
        <w:rPr>
          <w:i/>
        </w:rPr>
        <w:t>Cambridge University Press, pp. 211-228.</w:t>
      </w:r>
    </w:p>
    <w:p w14:paraId="2D92DEFA" w14:textId="77777777" w:rsidR="008E3F72" w:rsidRPr="00F35F4D" w:rsidRDefault="008E3F72" w:rsidP="008E3F72">
      <w:pPr>
        <w:jc w:val="both"/>
        <w:rPr>
          <w:noProof/>
        </w:rPr>
      </w:pPr>
    </w:p>
    <w:p w14:paraId="7680D52A" w14:textId="77777777" w:rsidR="008E3F72" w:rsidRPr="00F35F4D" w:rsidRDefault="008E3F72" w:rsidP="008E3F72">
      <w:pPr>
        <w:jc w:val="both"/>
        <w:rPr>
          <w:noProof/>
        </w:rPr>
      </w:pPr>
      <w:r w:rsidRPr="00F35F4D">
        <w:rPr>
          <w:i/>
        </w:rPr>
        <w:t>Jenkinson, D. S., Smith,</w:t>
      </w:r>
      <w:r w:rsidRPr="00F35F4D">
        <w:t xml:space="preserve"> </w:t>
      </w:r>
      <w:r w:rsidRPr="00F35F4D">
        <w:rPr>
          <w:i/>
        </w:rPr>
        <w:t>K. A.</w:t>
      </w:r>
      <w:r w:rsidRPr="00F35F4D">
        <w:t xml:space="preserve"> (red.). (1988). </w:t>
      </w:r>
      <w:r w:rsidRPr="00F35F4D">
        <w:rPr>
          <w:i/>
        </w:rPr>
        <w:t>Nitrogen Efficiency in Agricultural Soils</w:t>
      </w:r>
      <w:r w:rsidRPr="00F35F4D">
        <w:t xml:space="preserve"> (Ekonomiska rīcība ar slāpekli lauksaimniecības zemēs). </w:t>
      </w:r>
      <w:r w:rsidRPr="00F35F4D">
        <w:rPr>
          <w:i/>
        </w:rPr>
        <w:t>London:</w:t>
      </w:r>
      <w:r w:rsidRPr="00F35F4D">
        <w:t xml:space="preserve"> </w:t>
      </w:r>
      <w:r w:rsidRPr="00F35F4D">
        <w:rPr>
          <w:i/>
        </w:rPr>
        <w:t>Elsevier Applied Science.</w:t>
      </w:r>
    </w:p>
    <w:p w14:paraId="477E9CE0" w14:textId="77777777" w:rsidR="008E3F72" w:rsidRPr="00F35F4D" w:rsidRDefault="008E3F72" w:rsidP="008E3F72">
      <w:pPr>
        <w:jc w:val="both"/>
        <w:rPr>
          <w:noProof/>
        </w:rPr>
      </w:pPr>
    </w:p>
    <w:p w14:paraId="5F551783" w14:textId="77777777" w:rsidR="008E3F72" w:rsidRPr="00F35F4D" w:rsidRDefault="008E3F72" w:rsidP="008E3F72">
      <w:pPr>
        <w:jc w:val="both"/>
        <w:rPr>
          <w:noProof/>
        </w:rPr>
      </w:pPr>
      <w:r w:rsidRPr="00F35F4D">
        <w:rPr>
          <w:i/>
        </w:rPr>
        <w:t>Kebreab, E. et al.</w:t>
      </w:r>
      <w:r w:rsidRPr="00F35F4D">
        <w:t xml:space="preserve"> (2001). </w:t>
      </w:r>
      <w:r w:rsidRPr="00F35F4D">
        <w:rPr>
          <w:i/>
        </w:rPr>
        <w:t>Nitrogen pollution by dairy cows and its mitigation by dietary manipulation</w:t>
      </w:r>
      <w:r w:rsidRPr="00F35F4D">
        <w:t xml:space="preserve"> (Piena govju radītais slāpekļa piesārņojums un tā samazināšana, veicot barošanas pasākumus).</w:t>
      </w:r>
    </w:p>
    <w:p w14:paraId="5E73EA22" w14:textId="77777777" w:rsidR="008E3F72" w:rsidRPr="00F35F4D" w:rsidRDefault="008E3F72" w:rsidP="008E3F72">
      <w:pPr>
        <w:jc w:val="both"/>
        <w:rPr>
          <w:noProof/>
        </w:rPr>
      </w:pPr>
    </w:p>
    <w:p w14:paraId="1FEA099F" w14:textId="77777777" w:rsidR="008E3F72" w:rsidRPr="00F35F4D" w:rsidRDefault="008E3F72" w:rsidP="008E3F72">
      <w:pPr>
        <w:jc w:val="both"/>
        <w:rPr>
          <w:noProof/>
        </w:rPr>
      </w:pPr>
      <w:r w:rsidRPr="00F35F4D">
        <w:rPr>
          <w:i/>
        </w:rPr>
        <w:t>Nutrient Cycling in Agroecosystems</w:t>
      </w:r>
      <w:r w:rsidRPr="00F35F4D">
        <w:t>, 60. sējums, Nr. 1.–3. (jūlijs), 275.–285. lpp.</w:t>
      </w:r>
    </w:p>
    <w:p w14:paraId="707FE87C" w14:textId="77777777" w:rsidR="008E3F72" w:rsidRPr="00F35F4D" w:rsidRDefault="008E3F72" w:rsidP="008E3F72">
      <w:pPr>
        <w:jc w:val="both"/>
        <w:rPr>
          <w:noProof/>
        </w:rPr>
      </w:pPr>
    </w:p>
    <w:p w14:paraId="7606C113" w14:textId="77777777" w:rsidR="008E3F72" w:rsidRPr="00F35F4D" w:rsidRDefault="008E3F72" w:rsidP="008E3F72">
      <w:pPr>
        <w:jc w:val="both"/>
        <w:rPr>
          <w:noProof/>
        </w:rPr>
      </w:pPr>
      <w:r w:rsidRPr="00F35F4D">
        <w:rPr>
          <w:i/>
        </w:rPr>
        <w:t>Kirchgessner, M. et al.</w:t>
      </w:r>
      <w:r w:rsidRPr="00F35F4D">
        <w:t xml:space="preserve"> (1991). </w:t>
      </w:r>
      <w:r w:rsidRPr="00F35F4D">
        <w:rPr>
          <w:i/>
        </w:rPr>
        <w:t>Bestimmungsfaktoren der Güllecharakteristik beim Schwein.</w:t>
      </w:r>
      <w:r w:rsidRPr="00F35F4D">
        <w:t xml:space="preserve"> 2. </w:t>
      </w:r>
      <w:r w:rsidRPr="00F35F4D">
        <w:rPr>
          <w:i/>
        </w:rPr>
        <w:t>Einfluss von Fütterungsintensität und den Anteilen an unverdaulichen sowie an bakteriell fermentierbaren Substanzen (BFS) im Futter.</w:t>
      </w:r>
      <w:r w:rsidRPr="00F35F4D">
        <w:t xml:space="preserve"> </w:t>
      </w:r>
      <w:r w:rsidRPr="00F35F4D">
        <w:rPr>
          <w:i/>
        </w:rPr>
        <w:t>Agribiological Research</w:t>
      </w:r>
      <w:r w:rsidRPr="00F35F4D">
        <w:t>, 44. sējums, 325.–344. lpp.</w:t>
      </w:r>
    </w:p>
    <w:p w14:paraId="7C29E29F" w14:textId="77777777" w:rsidR="008E3F72" w:rsidRPr="00F35F4D" w:rsidRDefault="008E3F72" w:rsidP="008E3F72">
      <w:pPr>
        <w:jc w:val="both"/>
        <w:rPr>
          <w:noProof/>
        </w:rPr>
      </w:pPr>
    </w:p>
    <w:p w14:paraId="6DE7DD2D" w14:textId="77777777" w:rsidR="008E3F72" w:rsidRPr="00F35F4D" w:rsidRDefault="008E3F72" w:rsidP="008E3F72">
      <w:pPr>
        <w:jc w:val="both"/>
        <w:rPr>
          <w:noProof/>
        </w:rPr>
      </w:pPr>
      <w:r w:rsidRPr="00F35F4D">
        <w:rPr>
          <w:i/>
        </w:rPr>
        <w:t>Kolenbrander, G. J., De La Lande Cremer</w:t>
      </w:r>
      <w:r w:rsidRPr="00F35F4D">
        <w:t xml:space="preserve">, </w:t>
      </w:r>
      <w:r w:rsidRPr="00F35F4D">
        <w:rPr>
          <w:i/>
        </w:rPr>
        <w:t>L. C. N.</w:t>
      </w:r>
      <w:r w:rsidRPr="00F35F4D">
        <w:t xml:space="preserve"> (1967). </w:t>
      </w:r>
      <w:r w:rsidRPr="00F35F4D">
        <w:rPr>
          <w:i/>
        </w:rPr>
        <w:t>Stalmest en gier:</w:t>
      </w:r>
      <w:r w:rsidRPr="00F35F4D">
        <w:t xml:space="preserve"> </w:t>
      </w:r>
      <w:r w:rsidRPr="00F35F4D">
        <w:rPr>
          <w:i/>
        </w:rPr>
        <w:t>Waarde en mogelijkheden</w:t>
      </w:r>
      <w:r w:rsidRPr="00F35F4D">
        <w:t xml:space="preserve"> (Cietie un šķidrie kūtsmēsli – lietderība un iespējas). Vāgeningena, Nīderlande.</w:t>
      </w:r>
      <w:r w:rsidRPr="00F35F4D">
        <w:rPr>
          <w:i/>
        </w:rPr>
        <w:t xml:space="preserve"> H. Veenman &amp; Zonen NV.</w:t>
      </w:r>
    </w:p>
    <w:p w14:paraId="731D0B72" w14:textId="77777777" w:rsidR="008E3F72" w:rsidRPr="00F35F4D" w:rsidRDefault="008E3F72" w:rsidP="008E3F72">
      <w:pPr>
        <w:jc w:val="both"/>
        <w:rPr>
          <w:noProof/>
        </w:rPr>
      </w:pPr>
    </w:p>
    <w:p w14:paraId="3C4CF73F" w14:textId="77777777" w:rsidR="008E3F72" w:rsidRPr="00F35F4D" w:rsidRDefault="008E3F72" w:rsidP="008E3F72">
      <w:pPr>
        <w:rPr>
          <w:noProof/>
        </w:rPr>
      </w:pPr>
      <w:r w:rsidRPr="00F35F4D">
        <w:br w:type="page"/>
      </w:r>
    </w:p>
    <w:p w14:paraId="6FB5F5D7" w14:textId="77777777" w:rsidR="008E3F72" w:rsidRPr="00F35F4D" w:rsidRDefault="008E3F72" w:rsidP="00FB5D57">
      <w:pPr>
        <w:pStyle w:val="Heading1"/>
        <w:rPr>
          <w:szCs w:val="24"/>
        </w:rPr>
      </w:pPr>
      <w:bookmarkStart w:id="36" w:name="_Toc426033287"/>
      <w:r w:rsidRPr="00F35F4D">
        <w:lastRenderedPageBreak/>
        <w:t>Par autoriem</w:t>
      </w:r>
      <w:bookmarkEnd w:id="36"/>
    </w:p>
    <w:p w14:paraId="32A51DA9" w14:textId="77777777" w:rsidR="008E3F72" w:rsidRPr="00F35F4D" w:rsidRDefault="008E3F72" w:rsidP="008E3F72">
      <w:pPr>
        <w:pStyle w:val="BodyText"/>
        <w:widowControl/>
        <w:kinsoku w:val="0"/>
        <w:overflowPunct w:val="0"/>
        <w:spacing w:before="0"/>
        <w:ind w:left="0"/>
        <w:jc w:val="both"/>
        <w:rPr>
          <w:b/>
          <w:bCs/>
          <w:noProof/>
          <w:sz w:val="24"/>
          <w:szCs w:val="24"/>
        </w:rPr>
      </w:pPr>
    </w:p>
    <w:tbl>
      <w:tblPr>
        <w:tblW w:w="5000" w:type="pct"/>
        <w:tblCellMar>
          <w:left w:w="0" w:type="dxa"/>
          <w:right w:w="0" w:type="dxa"/>
        </w:tblCellMar>
        <w:tblLook w:val="0000" w:firstRow="0" w:lastRow="0" w:firstColumn="0" w:lastColumn="0" w:noHBand="0" w:noVBand="0"/>
      </w:tblPr>
      <w:tblGrid>
        <w:gridCol w:w="1734"/>
        <w:gridCol w:w="2427"/>
        <w:gridCol w:w="2867"/>
        <w:gridCol w:w="1198"/>
      </w:tblGrid>
      <w:tr w:rsidR="008E3F72" w:rsidRPr="00FB5D57" w14:paraId="4AF82559" w14:textId="77777777" w:rsidTr="0010018A">
        <w:tc>
          <w:tcPr>
            <w:tcW w:w="1064" w:type="pct"/>
            <w:tcBorders>
              <w:top w:val="single" w:sz="8" w:space="0" w:color="000000"/>
              <w:left w:val="nil"/>
              <w:bottom w:val="single" w:sz="8" w:space="0" w:color="000000"/>
              <w:right w:val="nil"/>
            </w:tcBorders>
            <w:shd w:val="clear" w:color="auto" w:fill="F1F1F1"/>
          </w:tcPr>
          <w:p w14:paraId="036FAD3F" w14:textId="77777777" w:rsidR="008E3F72" w:rsidRPr="00FB5D57" w:rsidRDefault="008E3F72" w:rsidP="0010018A">
            <w:pPr>
              <w:pStyle w:val="TableParagraph"/>
              <w:widowControl/>
              <w:kinsoku w:val="0"/>
              <w:overflowPunct w:val="0"/>
              <w:jc w:val="both"/>
              <w:rPr>
                <w:b/>
                <w:bCs/>
                <w:noProof/>
                <w:sz w:val="20"/>
                <w:szCs w:val="20"/>
              </w:rPr>
            </w:pPr>
            <w:r w:rsidRPr="00FB5D57">
              <w:rPr>
                <w:b/>
                <w:noProof/>
                <w:sz w:val="20"/>
                <w:szCs w:val="20"/>
              </w:rPr>
              <w:t>Autors</w:t>
            </w:r>
          </w:p>
        </w:tc>
        <w:tc>
          <w:tcPr>
            <w:tcW w:w="1485" w:type="pct"/>
            <w:tcBorders>
              <w:top w:val="single" w:sz="8" w:space="0" w:color="000000"/>
              <w:left w:val="nil"/>
              <w:bottom w:val="single" w:sz="8" w:space="0" w:color="000000"/>
              <w:right w:val="nil"/>
            </w:tcBorders>
            <w:shd w:val="clear" w:color="auto" w:fill="F1F1F1"/>
          </w:tcPr>
          <w:p w14:paraId="6E55FCFC" w14:textId="77777777" w:rsidR="008E3F72" w:rsidRPr="00FB5D57" w:rsidRDefault="008E3F72" w:rsidP="00FB5D57">
            <w:pPr>
              <w:pStyle w:val="TableParagraph"/>
              <w:widowControl/>
              <w:kinsoku w:val="0"/>
              <w:overflowPunct w:val="0"/>
              <w:jc w:val="center"/>
              <w:rPr>
                <w:b/>
                <w:bCs/>
                <w:noProof/>
                <w:sz w:val="20"/>
                <w:szCs w:val="20"/>
              </w:rPr>
            </w:pPr>
            <w:r w:rsidRPr="00FB5D57">
              <w:rPr>
                <w:b/>
                <w:noProof/>
                <w:sz w:val="20"/>
                <w:szCs w:val="20"/>
              </w:rPr>
              <w:t>Organizācija</w:t>
            </w:r>
          </w:p>
        </w:tc>
        <w:tc>
          <w:tcPr>
            <w:tcW w:w="1712" w:type="pct"/>
            <w:tcBorders>
              <w:top w:val="single" w:sz="8" w:space="0" w:color="000000"/>
              <w:left w:val="nil"/>
              <w:bottom w:val="single" w:sz="8" w:space="0" w:color="000000"/>
              <w:right w:val="nil"/>
            </w:tcBorders>
            <w:shd w:val="clear" w:color="auto" w:fill="F1F1F1"/>
          </w:tcPr>
          <w:p w14:paraId="73D74B1A" w14:textId="77777777" w:rsidR="008E3F72" w:rsidRPr="00FB5D57" w:rsidRDefault="008E3F72" w:rsidP="0010018A">
            <w:pPr>
              <w:pStyle w:val="TableParagraph"/>
              <w:widowControl/>
              <w:kinsoku w:val="0"/>
              <w:overflowPunct w:val="0"/>
              <w:jc w:val="both"/>
              <w:rPr>
                <w:b/>
                <w:bCs/>
                <w:noProof/>
                <w:sz w:val="20"/>
                <w:szCs w:val="20"/>
              </w:rPr>
            </w:pPr>
            <w:r w:rsidRPr="00FB5D57">
              <w:rPr>
                <w:b/>
                <w:noProof/>
                <w:sz w:val="20"/>
                <w:szCs w:val="20"/>
              </w:rPr>
              <w:t>E-pasts</w:t>
            </w:r>
          </w:p>
        </w:tc>
        <w:tc>
          <w:tcPr>
            <w:tcW w:w="738" w:type="pct"/>
            <w:tcBorders>
              <w:top w:val="single" w:sz="8" w:space="0" w:color="000000"/>
              <w:left w:val="nil"/>
              <w:bottom w:val="single" w:sz="8" w:space="0" w:color="000000"/>
              <w:right w:val="nil"/>
            </w:tcBorders>
            <w:shd w:val="clear" w:color="auto" w:fill="F1F1F1"/>
          </w:tcPr>
          <w:p w14:paraId="25691284" w14:textId="77777777" w:rsidR="008E3F72" w:rsidRPr="00FB5D57" w:rsidRDefault="008E3F72" w:rsidP="0010018A">
            <w:pPr>
              <w:pStyle w:val="TableParagraph"/>
              <w:widowControl/>
              <w:kinsoku w:val="0"/>
              <w:overflowPunct w:val="0"/>
              <w:jc w:val="both"/>
              <w:rPr>
                <w:b/>
                <w:bCs/>
                <w:noProof/>
                <w:sz w:val="20"/>
                <w:szCs w:val="20"/>
              </w:rPr>
            </w:pPr>
            <w:r w:rsidRPr="00FB5D57">
              <w:rPr>
                <w:b/>
                <w:noProof/>
                <w:sz w:val="20"/>
                <w:szCs w:val="20"/>
              </w:rPr>
              <w:t>Valsts</w:t>
            </w:r>
          </w:p>
        </w:tc>
      </w:tr>
      <w:tr w:rsidR="008E3F72" w:rsidRPr="00FB5D57" w14:paraId="01E530FE" w14:textId="77777777" w:rsidTr="0010018A">
        <w:tc>
          <w:tcPr>
            <w:tcW w:w="1064" w:type="pct"/>
            <w:tcBorders>
              <w:top w:val="single" w:sz="8" w:space="0" w:color="000000"/>
              <w:left w:val="nil"/>
              <w:bottom w:val="nil"/>
              <w:right w:val="nil"/>
            </w:tcBorders>
            <w:shd w:val="clear" w:color="auto" w:fill="C0C0C0"/>
          </w:tcPr>
          <w:p w14:paraId="2CBDA78B"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A.J.A.</w:t>
            </w:r>
            <w:r w:rsidRPr="00FB5D57">
              <w:rPr>
                <w:b/>
                <w:noProof/>
                <w:sz w:val="20"/>
                <w:szCs w:val="20"/>
              </w:rPr>
              <w:t xml:space="preserve"> </w:t>
            </w:r>
            <w:r w:rsidRPr="00FB5D57">
              <w:rPr>
                <w:b/>
                <w:i/>
                <w:noProof/>
                <w:sz w:val="20"/>
                <w:szCs w:val="20"/>
              </w:rPr>
              <w:t>Aarnink</w:t>
            </w:r>
          </w:p>
        </w:tc>
        <w:tc>
          <w:tcPr>
            <w:tcW w:w="1485" w:type="pct"/>
            <w:tcBorders>
              <w:top w:val="single" w:sz="8" w:space="0" w:color="000000"/>
              <w:left w:val="nil"/>
              <w:bottom w:val="nil"/>
              <w:right w:val="nil"/>
            </w:tcBorders>
            <w:shd w:val="clear" w:color="auto" w:fill="C0C0C0"/>
          </w:tcPr>
          <w:p w14:paraId="02D13BAB"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Vāgeningenas Universitātes un pētniecības centra Lopkopības pētījumu institūts (</w:t>
            </w:r>
            <w:r w:rsidRPr="00FB5D57">
              <w:rPr>
                <w:i/>
                <w:sz w:val="20"/>
                <w:szCs w:val="20"/>
              </w:rPr>
              <w:t>Wageningen UR Livestock Research</w:t>
            </w:r>
            <w:r w:rsidRPr="00FB5D57">
              <w:rPr>
                <w:sz w:val="20"/>
                <w:szCs w:val="20"/>
              </w:rPr>
              <w:t>)</w:t>
            </w:r>
          </w:p>
        </w:tc>
        <w:tc>
          <w:tcPr>
            <w:tcW w:w="1712" w:type="pct"/>
            <w:tcBorders>
              <w:top w:val="single" w:sz="8" w:space="0" w:color="000000"/>
              <w:left w:val="nil"/>
              <w:bottom w:val="nil"/>
              <w:right w:val="nil"/>
            </w:tcBorders>
            <w:shd w:val="clear" w:color="auto" w:fill="C0C0C0"/>
          </w:tcPr>
          <w:p w14:paraId="2FEABD21" w14:textId="77777777" w:rsidR="008E3F72" w:rsidRPr="00FB5D57" w:rsidRDefault="0085568E" w:rsidP="0010018A">
            <w:pPr>
              <w:pStyle w:val="TableParagraph"/>
              <w:widowControl/>
              <w:kinsoku w:val="0"/>
              <w:overflowPunct w:val="0"/>
              <w:jc w:val="both"/>
              <w:rPr>
                <w:noProof/>
                <w:sz w:val="20"/>
                <w:szCs w:val="20"/>
              </w:rPr>
            </w:pPr>
            <w:hyperlink r:id="rId22">
              <w:r w:rsidR="008E3F72" w:rsidRPr="00FB5D57">
                <w:rPr>
                  <w:noProof/>
                  <w:sz w:val="20"/>
                  <w:szCs w:val="20"/>
                </w:rPr>
                <w:t>andre.aarnink@wur.nl</w:t>
              </w:r>
            </w:hyperlink>
          </w:p>
        </w:tc>
        <w:tc>
          <w:tcPr>
            <w:tcW w:w="738" w:type="pct"/>
            <w:tcBorders>
              <w:top w:val="single" w:sz="8" w:space="0" w:color="000000"/>
              <w:left w:val="nil"/>
              <w:bottom w:val="nil"/>
              <w:right w:val="nil"/>
            </w:tcBorders>
            <w:shd w:val="clear" w:color="auto" w:fill="C0C0C0"/>
          </w:tcPr>
          <w:p w14:paraId="5B6662B2"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Nīderlande</w:t>
            </w:r>
          </w:p>
        </w:tc>
      </w:tr>
      <w:tr w:rsidR="008E3F72" w:rsidRPr="00FB5D57" w14:paraId="315A4448" w14:textId="77777777" w:rsidTr="0010018A">
        <w:tc>
          <w:tcPr>
            <w:tcW w:w="1064" w:type="pct"/>
            <w:tcBorders>
              <w:top w:val="nil"/>
              <w:left w:val="nil"/>
              <w:bottom w:val="nil"/>
              <w:right w:val="nil"/>
            </w:tcBorders>
          </w:tcPr>
          <w:p w14:paraId="50952A15"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B. Amon</w:t>
            </w:r>
          </w:p>
        </w:tc>
        <w:tc>
          <w:tcPr>
            <w:tcW w:w="1485" w:type="pct"/>
            <w:tcBorders>
              <w:top w:val="nil"/>
              <w:left w:val="nil"/>
              <w:bottom w:val="nil"/>
              <w:right w:val="nil"/>
            </w:tcBorders>
          </w:tcPr>
          <w:p w14:paraId="057C4F1C"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Leibnica Lauksaimniecības inženierzinātņu institūts (</w:t>
            </w:r>
            <w:r w:rsidRPr="00FB5D57">
              <w:rPr>
                <w:i/>
                <w:sz w:val="20"/>
                <w:szCs w:val="20"/>
              </w:rPr>
              <w:t>Leibniz Institute for Agricultural Engineering</w:t>
            </w:r>
            <w:r w:rsidRPr="00FB5D57">
              <w:rPr>
                <w:sz w:val="20"/>
                <w:szCs w:val="20"/>
              </w:rPr>
              <w:t>)</w:t>
            </w:r>
          </w:p>
        </w:tc>
        <w:tc>
          <w:tcPr>
            <w:tcW w:w="1712" w:type="pct"/>
            <w:tcBorders>
              <w:top w:val="nil"/>
              <w:left w:val="nil"/>
              <w:bottom w:val="nil"/>
              <w:right w:val="nil"/>
            </w:tcBorders>
          </w:tcPr>
          <w:p w14:paraId="0CF3A9BC" w14:textId="77777777" w:rsidR="008E3F72" w:rsidRPr="00FB5D57" w:rsidRDefault="0085568E" w:rsidP="0010018A">
            <w:pPr>
              <w:pStyle w:val="TableParagraph"/>
              <w:widowControl/>
              <w:kinsoku w:val="0"/>
              <w:overflowPunct w:val="0"/>
              <w:jc w:val="both"/>
              <w:rPr>
                <w:noProof/>
                <w:sz w:val="20"/>
                <w:szCs w:val="20"/>
              </w:rPr>
            </w:pPr>
            <w:hyperlink r:id="rId23">
              <w:r w:rsidR="008E3F72" w:rsidRPr="00FB5D57">
                <w:rPr>
                  <w:noProof/>
                  <w:sz w:val="20"/>
                  <w:szCs w:val="20"/>
                </w:rPr>
                <w:t>bamon@atb-potsdam.de</w:t>
              </w:r>
            </w:hyperlink>
          </w:p>
        </w:tc>
        <w:tc>
          <w:tcPr>
            <w:tcW w:w="738" w:type="pct"/>
            <w:tcBorders>
              <w:top w:val="nil"/>
              <w:left w:val="nil"/>
              <w:bottom w:val="nil"/>
              <w:right w:val="nil"/>
            </w:tcBorders>
          </w:tcPr>
          <w:p w14:paraId="7AC34C7D"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Vācija</w:t>
            </w:r>
          </w:p>
        </w:tc>
      </w:tr>
      <w:tr w:rsidR="008E3F72" w:rsidRPr="00FB5D57" w14:paraId="5F9DC6DC" w14:textId="77777777" w:rsidTr="0010018A">
        <w:tc>
          <w:tcPr>
            <w:tcW w:w="1064" w:type="pct"/>
            <w:tcBorders>
              <w:top w:val="nil"/>
              <w:left w:val="nil"/>
              <w:bottom w:val="nil"/>
              <w:right w:val="nil"/>
            </w:tcBorders>
            <w:shd w:val="clear" w:color="auto" w:fill="C0C0C0"/>
          </w:tcPr>
          <w:p w14:paraId="6EFA5525"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S. Bittman</w:t>
            </w:r>
          </w:p>
        </w:tc>
        <w:tc>
          <w:tcPr>
            <w:tcW w:w="1485" w:type="pct"/>
            <w:tcBorders>
              <w:top w:val="nil"/>
              <w:left w:val="nil"/>
              <w:bottom w:val="nil"/>
              <w:right w:val="nil"/>
            </w:tcBorders>
            <w:shd w:val="clear" w:color="auto" w:fill="C0C0C0"/>
          </w:tcPr>
          <w:p w14:paraId="14A1683A"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Kanādas Lauksaimniecības un lauksaimniecības pārtikas ministrija (</w:t>
            </w:r>
            <w:r w:rsidRPr="00FB5D57">
              <w:rPr>
                <w:i/>
                <w:sz w:val="20"/>
                <w:szCs w:val="20"/>
              </w:rPr>
              <w:t>Agriculture and Agri-Food Canada</w:t>
            </w:r>
            <w:r w:rsidRPr="00FB5D57">
              <w:rPr>
                <w:sz w:val="20"/>
                <w:szCs w:val="20"/>
              </w:rPr>
              <w:t>)</w:t>
            </w:r>
          </w:p>
        </w:tc>
        <w:tc>
          <w:tcPr>
            <w:tcW w:w="1712" w:type="pct"/>
            <w:tcBorders>
              <w:top w:val="nil"/>
              <w:left w:val="nil"/>
              <w:bottom w:val="nil"/>
              <w:right w:val="nil"/>
            </w:tcBorders>
            <w:shd w:val="clear" w:color="auto" w:fill="C0C0C0"/>
          </w:tcPr>
          <w:p w14:paraId="0F282F3F" w14:textId="77777777" w:rsidR="008E3F72" w:rsidRPr="00FB5D57" w:rsidRDefault="0085568E" w:rsidP="0010018A">
            <w:pPr>
              <w:pStyle w:val="TableParagraph"/>
              <w:widowControl/>
              <w:kinsoku w:val="0"/>
              <w:overflowPunct w:val="0"/>
              <w:jc w:val="both"/>
              <w:rPr>
                <w:noProof/>
                <w:sz w:val="20"/>
                <w:szCs w:val="20"/>
              </w:rPr>
            </w:pPr>
            <w:hyperlink r:id="rId24">
              <w:r w:rsidR="008E3F72" w:rsidRPr="00FB5D57">
                <w:rPr>
                  <w:noProof/>
                  <w:sz w:val="20"/>
                  <w:szCs w:val="20"/>
                </w:rPr>
                <w:t>shabtai.bittman@agr.gc.ca</w:t>
              </w:r>
            </w:hyperlink>
          </w:p>
        </w:tc>
        <w:tc>
          <w:tcPr>
            <w:tcW w:w="738" w:type="pct"/>
            <w:tcBorders>
              <w:top w:val="nil"/>
              <w:left w:val="nil"/>
              <w:bottom w:val="nil"/>
              <w:right w:val="nil"/>
            </w:tcBorders>
            <w:shd w:val="clear" w:color="auto" w:fill="C0C0C0"/>
          </w:tcPr>
          <w:p w14:paraId="13A943E1"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Kanāda</w:t>
            </w:r>
          </w:p>
        </w:tc>
      </w:tr>
      <w:tr w:rsidR="008E3F72" w:rsidRPr="00FB5D57" w14:paraId="3E2F5A1F" w14:textId="77777777" w:rsidTr="0010018A">
        <w:tc>
          <w:tcPr>
            <w:tcW w:w="1064" w:type="pct"/>
            <w:tcBorders>
              <w:top w:val="nil"/>
              <w:left w:val="nil"/>
              <w:bottom w:val="nil"/>
              <w:right w:val="nil"/>
            </w:tcBorders>
          </w:tcPr>
          <w:p w14:paraId="42E2C1A2"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G. Bonazzi</w:t>
            </w:r>
          </w:p>
        </w:tc>
        <w:tc>
          <w:tcPr>
            <w:tcW w:w="1485" w:type="pct"/>
            <w:tcBorders>
              <w:top w:val="nil"/>
              <w:left w:val="nil"/>
              <w:bottom w:val="nil"/>
              <w:right w:val="nil"/>
            </w:tcBorders>
          </w:tcPr>
          <w:p w14:paraId="102B4A48"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Lauksaimniecības dzīvnieku audzēšanas pētījumu centrs (</w:t>
            </w:r>
            <w:r w:rsidRPr="00FB5D57">
              <w:rPr>
                <w:i/>
                <w:sz w:val="20"/>
                <w:szCs w:val="20"/>
              </w:rPr>
              <w:t>Research Centre on Animal Production (CRPA)</w:t>
            </w:r>
            <w:r w:rsidRPr="00FB5D57">
              <w:rPr>
                <w:sz w:val="20"/>
                <w:szCs w:val="20"/>
              </w:rPr>
              <w:t>)</w:t>
            </w:r>
          </w:p>
        </w:tc>
        <w:tc>
          <w:tcPr>
            <w:tcW w:w="1712" w:type="pct"/>
            <w:tcBorders>
              <w:top w:val="nil"/>
              <w:left w:val="nil"/>
              <w:bottom w:val="nil"/>
              <w:right w:val="nil"/>
            </w:tcBorders>
          </w:tcPr>
          <w:p w14:paraId="67CD6B3E" w14:textId="77777777" w:rsidR="008E3F72" w:rsidRPr="00FB5D57" w:rsidRDefault="0085568E" w:rsidP="0010018A">
            <w:pPr>
              <w:pStyle w:val="TableParagraph"/>
              <w:widowControl/>
              <w:kinsoku w:val="0"/>
              <w:overflowPunct w:val="0"/>
              <w:jc w:val="both"/>
              <w:rPr>
                <w:noProof/>
                <w:sz w:val="20"/>
                <w:szCs w:val="20"/>
              </w:rPr>
            </w:pPr>
            <w:hyperlink r:id="rId25">
              <w:r w:rsidR="008E3F72" w:rsidRPr="00FB5D57">
                <w:rPr>
                  <w:noProof/>
                  <w:sz w:val="20"/>
                  <w:szCs w:val="20"/>
                </w:rPr>
                <w:t>g.bonazzi@crpa.it</w:t>
              </w:r>
            </w:hyperlink>
          </w:p>
        </w:tc>
        <w:tc>
          <w:tcPr>
            <w:tcW w:w="738" w:type="pct"/>
            <w:tcBorders>
              <w:top w:val="nil"/>
              <w:left w:val="nil"/>
              <w:bottom w:val="nil"/>
              <w:right w:val="nil"/>
            </w:tcBorders>
          </w:tcPr>
          <w:p w14:paraId="4E98277A"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Itālija</w:t>
            </w:r>
          </w:p>
        </w:tc>
      </w:tr>
      <w:tr w:rsidR="008E3F72" w:rsidRPr="00FB5D57" w14:paraId="73CC96A5" w14:textId="77777777" w:rsidTr="0010018A">
        <w:tc>
          <w:tcPr>
            <w:tcW w:w="1064" w:type="pct"/>
            <w:tcBorders>
              <w:top w:val="nil"/>
              <w:left w:val="nil"/>
              <w:bottom w:val="nil"/>
              <w:right w:val="nil"/>
            </w:tcBorders>
            <w:shd w:val="clear" w:color="auto" w:fill="C0C0C0"/>
          </w:tcPr>
          <w:p w14:paraId="39A13932"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T. Dalgaard</w:t>
            </w:r>
          </w:p>
        </w:tc>
        <w:tc>
          <w:tcPr>
            <w:tcW w:w="1485" w:type="pct"/>
            <w:tcBorders>
              <w:top w:val="nil"/>
              <w:left w:val="nil"/>
              <w:bottom w:val="nil"/>
              <w:right w:val="nil"/>
            </w:tcBorders>
            <w:shd w:val="clear" w:color="auto" w:fill="C0C0C0"/>
          </w:tcPr>
          <w:p w14:paraId="791BF626"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Orhūsas Universitāte (</w:t>
            </w:r>
            <w:r w:rsidRPr="00FB5D57">
              <w:rPr>
                <w:i/>
                <w:sz w:val="20"/>
                <w:szCs w:val="20"/>
              </w:rPr>
              <w:t>Aarhus University</w:t>
            </w:r>
            <w:r w:rsidRPr="00FB5D57">
              <w:rPr>
                <w:sz w:val="20"/>
                <w:szCs w:val="20"/>
              </w:rPr>
              <w:t>)</w:t>
            </w:r>
          </w:p>
        </w:tc>
        <w:tc>
          <w:tcPr>
            <w:tcW w:w="1712" w:type="pct"/>
            <w:tcBorders>
              <w:top w:val="nil"/>
              <w:left w:val="nil"/>
              <w:bottom w:val="nil"/>
              <w:right w:val="nil"/>
            </w:tcBorders>
            <w:shd w:val="clear" w:color="auto" w:fill="C0C0C0"/>
          </w:tcPr>
          <w:p w14:paraId="40BEF87B" w14:textId="77777777" w:rsidR="008E3F72" w:rsidRPr="00FB5D57" w:rsidRDefault="0085568E" w:rsidP="0010018A">
            <w:pPr>
              <w:pStyle w:val="TableParagraph"/>
              <w:widowControl/>
              <w:kinsoku w:val="0"/>
              <w:overflowPunct w:val="0"/>
              <w:jc w:val="both"/>
              <w:rPr>
                <w:noProof/>
                <w:sz w:val="20"/>
                <w:szCs w:val="20"/>
              </w:rPr>
            </w:pPr>
            <w:hyperlink r:id="rId26">
              <w:r w:rsidR="008E3F72" w:rsidRPr="00FB5D57">
                <w:rPr>
                  <w:noProof/>
                  <w:sz w:val="20"/>
                  <w:szCs w:val="20"/>
                </w:rPr>
                <w:t>tommy.dalgaard@agrsci.dk</w:t>
              </w:r>
            </w:hyperlink>
          </w:p>
        </w:tc>
        <w:tc>
          <w:tcPr>
            <w:tcW w:w="738" w:type="pct"/>
            <w:tcBorders>
              <w:top w:val="nil"/>
              <w:left w:val="nil"/>
              <w:bottom w:val="nil"/>
              <w:right w:val="nil"/>
            </w:tcBorders>
            <w:shd w:val="clear" w:color="auto" w:fill="C0C0C0"/>
          </w:tcPr>
          <w:p w14:paraId="794F5714"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Dānija</w:t>
            </w:r>
          </w:p>
        </w:tc>
      </w:tr>
      <w:tr w:rsidR="008E3F72" w:rsidRPr="00FB5D57" w14:paraId="5FB9D1D0" w14:textId="77777777" w:rsidTr="0010018A">
        <w:tc>
          <w:tcPr>
            <w:tcW w:w="1064" w:type="pct"/>
            <w:tcBorders>
              <w:top w:val="nil"/>
              <w:left w:val="nil"/>
              <w:bottom w:val="nil"/>
              <w:right w:val="nil"/>
            </w:tcBorders>
          </w:tcPr>
          <w:p w14:paraId="0ABC25DD"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M. Dedina</w:t>
            </w:r>
          </w:p>
        </w:tc>
        <w:tc>
          <w:tcPr>
            <w:tcW w:w="1485" w:type="pct"/>
            <w:tcBorders>
              <w:top w:val="nil"/>
              <w:left w:val="nil"/>
              <w:bottom w:val="nil"/>
              <w:right w:val="nil"/>
            </w:tcBorders>
          </w:tcPr>
          <w:p w14:paraId="6F0554BE"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Lauksaimniecības inženierzinātņu pētniecības institūts (</w:t>
            </w:r>
            <w:r w:rsidRPr="00FB5D57">
              <w:rPr>
                <w:i/>
                <w:sz w:val="20"/>
                <w:szCs w:val="20"/>
              </w:rPr>
              <w:t>Research Institute of Agricultural Engineering</w:t>
            </w:r>
            <w:r w:rsidRPr="00FB5D57">
              <w:rPr>
                <w:sz w:val="20"/>
                <w:szCs w:val="20"/>
              </w:rPr>
              <w:t>)</w:t>
            </w:r>
          </w:p>
        </w:tc>
        <w:tc>
          <w:tcPr>
            <w:tcW w:w="1712" w:type="pct"/>
            <w:tcBorders>
              <w:top w:val="nil"/>
              <w:left w:val="nil"/>
              <w:bottom w:val="nil"/>
              <w:right w:val="nil"/>
            </w:tcBorders>
          </w:tcPr>
          <w:p w14:paraId="3A90E579" w14:textId="77777777" w:rsidR="008E3F72" w:rsidRPr="00FB5D57" w:rsidRDefault="0085568E" w:rsidP="0010018A">
            <w:pPr>
              <w:pStyle w:val="TableParagraph"/>
              <w:widowControl/>
              <w:kinsoku w:val="0"/>
              <w:overflowPunct w:val="0"/>
              <w:jc w:val="both"/>
              <w:rPr>
                <w:noProof/>
                <w:sz w:val="20"/>
                <w:szCs w:val="20"/>
              </w:rPr>
            </w:pPr>
            <w:hyperlink r:id="rId27">
              <w:r w:rsidR="008E3F72" w:rsidRPr="00FB5D57">
                <w:rPr>
                  <w:noProof/>
                  <w:sz w:val="20"/>
                  <w:szCs w:val="20"/>
                </w:rPr>
                <w:t>martin.dedina@vuzt.cz</w:t>
              </w:r>
            </w:hyperlink>
          </w:p>
        </w:tc>
        <w:tc>
          <w:tcPr>
            <w:tcW w:w="738" w:type="pct"/>
            <w:tcBorders>
              <w:top w:val="nil"/>
              <w:left w:val="nil"/>
              <w:bottom w:val="nil"/>
              <w:right w:val="nil"/>
            </w:tcBorders>
          </w:tcPr>
          <w:p w14:paraId="63C034E3"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Čehijas Republika</w:t>
            </w:r>
          </w:p>
        </w:tc>
      </w:tr>
      <w:tr w:rsidR="008E3F72" w:rsidRPr="00FB5D57" w14:paraId="50BA38D9" w14:textId="77777777" w:rsidTr="0010018A">
        <w:tc>
          <w:tcPr>
            <w:tcW w:w="1064" w:type="pct"/>
            <w:tcBorders>
              <w:top w:val="nil"/>
              <w:left w:val="nil"/>
              <w:bottom w:val="nil"/>
              <w:right w:val="nil"/>
            </w:tcBorders>
            <w:shd w:val="clear" w:color="auto" w:fill="C0C0C0"/>
          </w:tcPr>
          <w:p w14:paraId="76B3013C"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H. Döhler</w:t>
            </w:r>
          </w:p>
        </w:tc>
        <w:tc>
          <w:tcPr>
            <w:tcW w:w="1485" w:type="pct"/>
            <w:tcBorders>
              <w:top w:val="nil"/>
              <w:left w:val="nil"/>
              <w:bottom w:val="nil"/>
              <w:right w:val="nil"/>
            </w:tcBorders>
            <w:shd w:val="clear" w:color="auto" w:fill="C0C0C0"/>
          </w:tcPr>
          <w:p w14:paraId="4C43517C" w14:textId="77777777" w:rsidR="008E3F72" w:rsidRPr="00FB5D57" w:rsidRDefault="008E3F72" w:rsidP="00FB5D57">
            <w:pPr>
              <w:pStyle w:val="TableParagraph"/>
              <w:widowControl/>
              <w:kinsoku w:val="0"/>
              <w:overflowPunct w:val="0"/>
              <w:jc w:val="center"/>
              <w:rPr>
                <w:noProof/>
                <w:sz w:val="20"/>
                <w:szCs w:val="20"/>
              </w:rPr>
            </w:pPr>
            <w:r w:rsidRPr="00FB5D57">
              <w:rPr>
                <w:i/>
                <w:sz w:val="20"/>
                <w:szCs w:val="20"/>
              </w:rPr>
              <w:t>Kuratorium für Technik und Bauwesen in der Landwirtschaft</w:t>
            </w:r>
            <w:r w:rsidRPr="00FB5D57">
              <w:rPr>
                <w:sz w:val="20"/>
                <w:szCs w:val="20"/>
              </w:rPr>
              <w:t xml:space="preserve"> (</w:t>
            </w:r>
            <w:r w:rsidRPr="00FB5D57">
              <w:rPr>
                <w:i/>
                <w:sz w:val="20"/>
                <w:szCs w:val="20"/>
              </w:rPr>
              <w:t>KTBL</w:t>
            </w:r>
            <w:r w:rsidRPr="00FB5D57">
              <w:rPr>
                <w:sz w:val="20"/>
                <w:szCs w:val="20"/>
              </w:rPr>
              <w:t>)</w:t>
            </w:r>
          </w:p>
        </w:tc>
        <w:tc>
          <w:tcPr>
            <w:tcW w:w="1712" w:type="pct"/>
            <w:tcBorders>
              <w:top w:val="nil"/>
              <w:left w:val="nil"/>
              <w:bottom w:val="nil"/>
              <w:right w:val="nil"/>
            </w:tcBorders>
            <w:shd w:val="clear" w:color="auto" w:fill="C0C0C0"/>
          </w:tcPr>
          <w:p w14:paraId="4D99D119" w14:textId="77777777" w:rsidR="008E3F72" w:rsidRPr="00FB5D57" w:rsidRDefault="0085568E" w:rsidP="0010018A">
            <w:pPr>
              <w:pStyle w:val="TableParagraph"/>
              <w:widowControl/>
              <w:kinsoku w:val="0"/>
              <w:overflowPunct w:val="0"/>
              <w:jc w:val="both"/>
              <w:rPr>
                <w:noProof/>
                <w:sz w:val="20"/>
                <w:szCs w:val="20"/>
              </w:rPr>
            </w:pPr>
            <w:hyperlink r:id="rId28">
              <w:r w:rsidR="008E3F72" w:rsidRPr="00FB5D57">
                <w:rPr>
                  <w:noProof/>
                  <w:sz w:val="20"/>
                  <w:szCs w:val="20"/>
                </w:rPr>
                <w:t>h.doehler@ktbl.de</w:t>
              </w:r>
            </w:hyperlink>
          </w:p>
        </w:tc>
        <w:tc>
          <w:tcPr>
            <w:tcW w:w="738" w:type="pct"/>
            <w:tcBorders>
              <w:top w:val="nil"/>
              <w:left w:val="nil"/>
              <w:bottom w:val="nil"/>
              <w:right w:val="nil"/>
            </w:tcBorders>
            <w:shd w:val="clear" w:color="auto" w:fill="C0C0C0"/>
          </w:tcPr>
          <w:p w14:paraId="20F777C3"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Vācija</w:t>
            </w:r>
          </w:p>
        </w:tc>
      </w:tr>
      <w:tr w:rsidR="008E3F72" w:rsidRPr="00FB5D57" w14:paraId="4618FF1A" w14:textId="77777777" w:rsidTr="0010018A">
        <w:tc>
          <w:tcPr>
            <w:tcW w:w="1064" w:type="pct"/>
            <w:tcBorders>
              <w:top w:val="nil"/>
              <w:left w:val="nil"/>
              <w:bottom w:val="nil"/>
              <w:right w:val="nil"/>
            </w:tcBorders>
          </w:tcPr>
          <w:p w14:paraId="1323C1D7"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E. Fiani</w:t>
            </w:r>
          </w:p>
        </w:tc>
        <w:tc>
          <w:tcPr>
            <w:tcW w:w="1485" w:type="pct"/>
            <w:tcBorders>
              <w:top w:val="nil"/>
              <w:left w:val="nil"/>
              <w:bottom w:val="nil"/>
              <w:right w:val="nil"/>
            </w:tcBorders>
          </w:tcPr>
          <w:p w14:paraId="5DD002E3"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Francijas Vides un enerģijas pārvaldības aģentūra (</w:t>
            </w:r>
            <w:r w:rsidRPr="00FB5D57">
              <w:rPr>
                <w:i/>
                <w:sz w:val="20"/>
                <w:szCs w:val="20"/>
              </w:rPr>
              <w:t>ADEME – French Agency for Environment and Energy Management</w:t>
            </w:r>
            <w:r w:rsidRPr="00FB5D57">
              <w:rPr>
                <w:sz w:val="20"/>
                <w:szCs w:val="20"/>
              </w:rPr>
              <w:t>)</w:t>
            </w:r>
          </w:p>
        </w:tc>
        <w:tc>
          <w:tcPr>
            <w:tcW w:w="1712" w:type="pct"/>
            <w:tcBorders>
              <w:top w:val="nil"/>
              <w:left w:val="nil"/>
              <w:bottom w:val="nil"/>
              <w:right w:val="nil"/>
            </w:tcBorders>
          </w:tcPr>
          <w:p w14:paraId="100B97A2" w14:textId="77777777" w:rsidR="008E3F72" w:rsidRPr="00FB5D57" w:rsidRDefault="0085568E" w:rsidP="0010018A">
            <w:pPr>
              <w:pStyle w:val="TableParagraph"/>
              <w:widowControl/>
              <w:kinsoku w:val="0"/>
              <w:overflowPunct w:val="0"/>
              <w:jc w:val="both"/>
              <w:rPr>
                <w:noProof/>
                <w:sz w:val="20"/>
                <w:szCs w:val="20"/>
              </w:rPr>
            </w:pPr>
            <w:hyperlink r:id="rId29">
              <w:r w:rsidR="008E3F72" w:rsidRPr="00FB5D57">
                <w:rPr>
                  <w:noProof/>
                  <w:sz w:val="20"/>
                  <w:szCs w:val="20"/>
                </w:rPr>
                <w:t>emmanuel.fiani@ademe.fr</w:t>
              </w:r>
            </w:hyperlink>
          </w:p>
        </w:tc>
        <w:tc>
          <w:tcPr>
            <w:tcW w:w="738" w:type="pct"/>
            <w:tcBorders>
              <w:top w:val="nil"/>
              <w:left w:val="nil"/>
              <w:bottom w:val="nil"/>
              <w:right w:val="nil"/>
            </w:tcBorders>
          </w:tcPr>
          <w:p w14:paraId="27C4DB2C"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Francija</w:t>
            </w:r>
          </w:p>
        </w:tc>
      </w:tr>
      <w:tr w:rsidR="008E3F72" w:rsidRPr="00FB5D57" w14:paraId="4056A97F" w14:textId="77777777" w:rsidTr="0010018A">
        <w:tc>
          <w:tcPr>
            <w:tcW w:w="1064" w:type="pct"/>
            <w:tcBorders>
              <w:top w:val="nil"/>
              <w:left w:val="nil"/>
              <w:bottom w:val="nil"/>
              <w:right w:val="nil"/>
            </w:tcBorders>
            <w:shd w:val="clear" w:color="auto" w:fill="C0C0C0"/>
          </w:tcPr>
          <w:p w14:paraId="47FF534C" w14:textId="77777777" w:rsidR="008E3F72" w:rsidRPr="00FB5D57" w:rsidRDefault="008E3F72" w:rsidP="0010018A">
            <w:pPr>
              <w:pStyle w:val="TableParagraph"/>
              <w:widowControl/>
              <w:kinsoku w:val="0"/>
              <w:overflowPunct w:val="0"/>
              <w:jc w:val="both"/>
              <w:rPr>
                <w:b/>
                <w:bCs/>
                <w:noProof/>
                <w:sz w:val="20"/>
                <w:szCs w:val="20"/>
              </w:rPr>
            </w:pPr>
            <w:r w:rsidRPr="00FB5D57">
              <w:rPr>
                <w:b/>
                <w:noProof/>
                <w:sz w:val="20"/>
                <w:szCs w:val="20"/>
              </w:rPr>
              <w:t xml:space="preserve">C.M. </w:t>
            </w:r>
            <w:r w:rsidRPr="00FB5D57">
              <w:rPr>
                <w:b/>
                <w:i/>
                <w:noProof/>
                <w:sz w:val="20"/>
                <w:szCs w:val="20"/>
              </w:rPr>
              <w:t>Groenestein</w:t>
            </w:r>
          </w:p>
        </w:tc>
        <w:tc>
          <w:tcPr>
            <w:tcW w:w="1485" w:type="pct"/>
            <w:tcBorders>
              <w:top w:val="nil"/>
              <w:left w:val="nil"/>
              <w:bottom w:val="nil"/>
              <w:right w:val="nil"/>
            </w:tcBorders>
            <w:shd w:val="clear" w:color="auto" w:fill="C0C0C0"/>
          </w:tcPr>
          <w:p w14:paraId="292B760F"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Vāgeningenas Universitātes un pētniecības centra Lopkopības pētījumu institūts (</w:t>
            </w:r>
            <w:r w:rsidRPr="00FB5D57">
              <w:rPr>
                <w:i/>
                <w:sz w:val="20"/>
                <w:szCs w:val="20"/>
              </w:rPr>
              <w:t>Wageningen UR Livestock Research</w:t>
            </w:r>
            <w:r w:rsidRPr="00FB5D57">
              <w:rPr>
                <w:sz w:val="20"/>
                <w:szCs w:val="20"/>
              </w:rPr>
              <w:t>)</w:t>
            </w:r>
          </w:p>
        </w:tc>
        <w:tc>
          <w:tcPr>
            <w:tcW w:w="1712" w:type="pct"/>
            <w:tcBorders>
              <w:top w:val="nil"/>
              <w:left w:val="nil"/>
              <w:bottom w:val="nil"/>
              <w:right w:val="nil"/>
            </w:tcBorders>
            <w:shd w:val="clear" w:color="auto" w:fill="C0C0C0"/>
          </w:tcPr>
          <w:p w14:paraId="035CE310" w14:textId="77777777" w:rsidR="008E3F72" w:rsidRPr="00FB5D57" w:rsidRDefault="0085568E" w:rsidP="0010018A">
            <w:pPr>
              <w:pStyle w:val="TableParagraph"/>
              <w:widowControl/>
              <w:kinsoku w:val="0"/>
              <w:overflowPunct w:val="0"/>
              <w:jc w:val="both"/>
              <w:rPr>
                <w:noProof/>
                <w:sz w:val="20"/>
                <w:szCs w:val="20"/>
              </w:rPr>
            </w:pPr>
            <w:hyperlink r:id="rId30">
              <w:r w:rsidR="008E3F72" w:rsidRPr="00FB5D57">
                <w:rPr>
                  <w:noProof/>
                  <w:sz w:val="20"/>
                  <w:szCs w:val="20"/>
                </w:rPr>
                <w:t>karin.groenestein@wur.nl</w:t>
              </w:r>
            </w:hyperlink>
          </w:p>
        </w:tc>
        <w:tc>
          <w:tcPr>
            <w:tcW w:w="738" w:type="pct"/>
            <w:tcBorders>
              <w:top w:val="nil"/>
              <w:left w:val="nil"/>
              <w:bottom w:val="nil"/>
              <w:right w:val="nil"/>
            </w:tcBorders>
            <w:shd w:val="clear" w:color="auto" w:fill="C0C0C0"/>
          </w:tcPr>
          <w:p w14:paraId="1D7F867A"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Nīderlande</w:t>
            </w:r>
          </w:p>
        </w:tc>
      </w:tr>
      <w:tr w:rsidR="008E3F72" w:rsidRPr="00FB5D57" w14:paraId="2557EB3D" w14:textId="77777777" w:rsidTr="0010018A">
        <w:tc>
          <w:tcPr>
            <w:tcW w:w="1064" w:type="pct"/>
            <w:tcBorders>
              <w:top w:val="nil"/>
              <w:left w:val="nil"/>
              <w:bottom w:val="nil"/>
              <w:right w:val="nil"/>
            </w:tcBorders>
          </w:tcPr>
          <w:p w14:paraId="57B1494C"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S. Gyldenkærne</w:t>
            </w:r>
          </w:p>
        </w:tc>
        <w:tc>
          <w:tcPr>
            <w:tcW w:w="1485" w:type="pct"/>
            <w:tcBorders>
              <w:top w:val="nil"/>
              <w:left w:val="nil"/>
              <w:bottom w:val="nil"/>
              <w:right w:val="nil"/>
            </w:tcBorders>
          </w:tcPr>
          <w:p w14:paraId="4755D27C"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Orhūsas Universitāte (</w:t>
            </w:r>
            <w:r w:rsidRPr="00FB5D57">
              <w:rPr>
                <w:i/>
                <w:sz w:val="20"/>
                <w:szCs w:val="20"/>
              </w:rPr>
              <w:t>Aarhus University</w:t>
            </w:r>
            <w:r w:rsidRPr="00FB5D57">
              <w:rPr>
                <w:sz w:val="20"/>
                <w:szCs w:val="20"/>
              </w:rPr>
              <w:t>)</w:t>
            </w:r>
          </w:p>
        </w:tc>
        <w:tc>
          <w:tcPr>
            <w:tcW w:w="1712" w:type="pct"/>
            <w:tcBorders>
              <w:top w:val="nil"/>
              <w:left w:val="nil"/>
              <w:bottom w:val="nil"/>
              <w:right w:val="nil"/>
            </w:tcBorders>
          </w:tcPr>
          <w:p w14:paraId="4278ABC6" w14:textId="77777777" w:rsidR="008E3F72" w:rsidRPr="00FB5D57" w:rsidRDefault="0085568E" w:rsidP="0010018A">
            <w:pPr>
              <w:pStyle w:val="TableParagraph"/>
              <w:widowControl/>
              <w:kinsoku w:val="0"/>
              <w:overflowPunct w:val="0"/>
              <w:jc w:val="both"/>
              <w:rPr>
                <w:noProof/>
                <w:sz w:val="20"/>
                <w:szCs w:val="20"/>
              </w:rPr>
            </w:pPr>
            <w:hyperlink r:id="rId31">
              <w:r w:rsidR="008E3F72" w:rsidRPr="00FB5D57">
                <w:rPr>
                  <w:noProof/>
                  <w:sz w:val="20"/>
                  <w:szCs w:val="20"/>
                </w:rPr>
                <w:t>sgy@dmu.dk</w:t>
              </w:r>
            </w:hyperlink>
          </w:p>
        </w:tc>
        <w:tc>
          <w:tcPr>
            <w:tcW w:w="738" w:type="pct"/>
            <w:tcBorders>
              <w:top w:val="nil"/>
              <w:left w:val="nil"/>
              <w:bottom w:val="nil"/>
              <w:right w:val="nil"/>
            </w:tcBorders>
          </w:tcPr>
          <w:p w14:paraId="2A62A4C5"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Dānija</w:t>
            </w:r>
          </w:p>
        </w:tc>
      </w:tr>
      <w:tr w:rsidR="008E3F72" w:rsidRPr="00FB5D57" w14:paraId="0BAE2F7D" w14:textId="77777777" w:rsidTr="0010018A">
        <w:tc>
          <w:tcPr>
            <w:tcW w:w="1064" w:type="pct"/>
            <w:tcBorders>
              <w:top w:val="nil"/>
              <w:left w:val="nil"/>
              <w:bottom w:val="nil"/>
              <w:right w:val="nil"/>
            </w:tcBorders>
            <w:shd w:val="clear" w:color="auto" w:fill="C0C0C0"/>
          </w:tcPr>
          <w:p w14:paraId="38E85C8D"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M.N.</w:t>
            </w:r>
            <w:r w:rsidRPr="00FB5D57">
              <w:rPr>
                <w:b/>
                <w:noProof/>
                <w:sz w:val="20"/>
                <w:szCs w:val="20"/>
              </w:rPr>
              <w:t xml:space="preserve"> </w:t>
            </w:r>
            <w:r w:rsidRPr="00FB5D57">
              <w:rPr>
                <w:b/>
                <w:i/>
                <w:noProof/>
                <w:sz w:val="20"/>
                <w:szCs w:val="20"/>
              </w:rPr>
              <w:t>Hansen</w:t>
            </w:r>
          </w:p>
        </w:tc>
        <w:tc>
          <w:tcPr>
            <w:tcW w:w="1485" w:type="pct"/>
            <w:tcBorders>
              <w:top w:val="nil"/>
              <w:left w:val="nil"/>
              <w:bottom w:val="nil"/>
              <w:right w:val="nil"/>
            </w:tcBorders>
            <w:shd w:val="clear" w:color="auto" w:fill="C0C0C0"/>
          </w:tcPr>
          <w:p w14:paraId="45335B73" w14:textId="77777777" w:rsidR="008E3F72" w:rsidRPr="00FB5D57" w:rsidRDefault="008E3F72" w:rsidP="00FB5D57">
            <w:pPr>
              <w:pStyle w:val="TableParagraph"/>
              <w:widowControl/>
              <w:kinsoku w:val="0"/>
              <w:overflowPunct w:val="0"/>
              <w:jc w:val="center"/>
              <w:rPr>
                <w:noProof/>
                <w:sz w:val="20"/>
                <w:szCs w:val="20"/>
              </w:rPr>
            </w:pPr>
            <w:r w:rsidRPr="00FB5D57">
              <w:rPr>
                <w:i/>
                <w:sz w:val="20"/>
                <w:szCs w:val="20"/>
              </w:rPr>
              <w:t>Agrotech</w:t>
            </w:r>
          </w:p>
        </w:tc>
        <w:tc>
          <w:tcPr>
            <w:tcW w:w="1712" w:type="pct"/>
            <w:tcBorders>
              <w:top w:val="nil"/>
              <w:left w:val="nil"/>
              <w:bottom w:val="nil"/>
              <w:right w:val="nil"/>
            </w:tcBorders>
            <w:shd w:val="clear" w:color="auto" w:fill="C0C0C0"/>
          </w:tcPr>
          <w:p w14:paraId="5E481687" w14:textId="77777777" w:rsidR="008E3F72" w:rsidRPr="00FB5D57" w:rsidRDefault="0085568E" w:rsidP="0010018A">
            <w:pPr>
              <w:pStyle w:val="TableParagraph"/>
              <w:widowControl/>
              <w:kinsoku w:val="0"/>
              <w:overflowPunct w:val="0"/>
              <w:jc w:val="both"/>
              <w:rPr>
                <w:noProof/>
                <w:sz w:val="20"/>
                <w:szCs w:val="20"/>
              </w:rPr>
            </w:pPr>
            <w:hyperlink r:id="rId32">
              <w:r w:rsidR="008E3F72" w:rsidRPr="00FB5D57">
                <w:rPr>
                  <w:noProof/>
                  <w:sz w:val="20"/>
                  <w:szCs w:val="20"/>
                </w:rPr>
                <w:t>mno@agrotech.dk</w:t>
              </w:r>
            </w:hyperlink>
          </w:p>
        </w:tc>
        <w:tc>
          <w:tcPr>
            <w:tcW w:w="738" w:type="pct"/>
            <w:tcBorders>
              <w:top w:val="nil"/>
              <w:left w:val="nil"/>
              <w:bottom w:val="nil"/>
              <w:right w:val="nil"/>
            </w:tcBorders>
            <w:shd w:val="clear" w:color="auto" w:fill="C0C0C0"/>
          </w:tcPr>
          <w:p w14:paraId="0E952B63"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Dānija</w:t>
            </w:r>
          </w:p>
        </w:tc>
      </w:tr>
      <w:tr w:rsidR="008E3F72" w:rsidRPr="00FB5D57" w14:paraId="56AAB2A3" w14:textId="77777777" w:rsidTr="0010018A">
        <w:tc>
          <w:tcPr>
            <w:tcW w:w="1064" w:type="pct"/>
            <w:tcBorders>
              <w:top w:val="nil"/>
              <w:left w:val="nil"/>
              <w:bottom w:val="nil"/>
              <w:right w:val="nil"/>
            </w:tcBorders>
          </w:tcPr>
          <w:p w14:paraId="34607C91"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K. van der Hoek</w:t>
            </w:r>
          </w:p>
        </w:tc>
        <w:tc>
          <w:tcPr>
            <w:tcW w:w="1485" w:type="pct"/>
            <w:tcBorders>
              <w:top w:val="nil"/>
              <w:left w:val="nil"/>
              <w:bottom w:val="nil"/>
              <w:right w:val="nil"/>
            </w:tcBorders>
          </w:tcPr>
          <w:p w14:paraId="74979C51"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Nacionālais Sabiedrības veselības un vides institūts (</w:t>
            </w:r>
            <w:r w:rsidRPr="00FB5D57">
              <w:rPr>
                <w:i/>
                <w:sz w:val="20"/>
                <w:szCs w:val="20"/>
              </w:rPr>
              <w:t>National Institute for Public Health and the Environment (RIVM)</w:t>
            </w:r>
            <w:r w:rsidRPr="00FB5D57">
              <w:rPr>
                <w:sz w:val="20"/>
                <w:szCs w:val="20"/>
              </w:rPr>
              <w:t>)</w:t>
            </w:r>
          </w:p>
        </w:tc>
        <w:tc>
          <w:tcPr>
            <w:tcW w:w="1712" w:type="pct"/>
            <w:tcBorders>
              <w:top w:val="nil"/>
              <w:left w:val="nil"/>
              <w:bottom w:val="nil"/>
              <w:right w:val="nil"/>
            </w:tcBorders>
          </w:tcPr>
          <w:p w14:paraId="7754C0DD" w14:textId="77777777" w:rsidR="008E3F72" w:rsidRPr="00FB5D57" w:rsidRDefault="0085568E" w:rsidP="0010018A">
            <w:pPr>
              <w:pStyle w:val="TableParagraph"/>
              <w:widowControl/>
              <w:kinsoku w:val="0"/>
              <w:overflowPunct w:val="0"/>
              <w:jc w:val="both"/>
              <w:rPr>
                <w:noProof/>
                <w:sz w:val="20"/>
                <w:szCs w:val="20"/>
              </w:rPr>
            </w:pPr>
            <w:hyperlink r:id="rId33">
              <w:r w:rsidR="008E3F72" w:rsidRPr="00FB5D57">
                <w:rPr>
                  <w:noProof/>
                  <w:sz w:val="20"/>
                  <w:szCs w:val="20"/>
                </w:rPr>
                <w:t>Klaas.van.der.Hoek@rivm.nl</w:t>
              </w:r>
            </w:hyperlink>
          </w:p>
        </w:tc>
        <w:tc>
          <w:tcPr>
            <w:tcW w:w="738" w:type="pct"/>
            <w:tcBorders>
              <w:top w:val="nil"/>
              <w:left w:val="nil"/>
              <w:bottom w:val="nil"/>
              <w:right w:val="nil"/>
            </w:tcBorders>
          </w:tcPr>
          <w:p w14:paraId="0977DECA"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Nīderlande</w:t>
            </w:r>
          </w:p>
        </w:tc>
      </w:tr>
      <w:tr w:rsidR="008E3F72" w:rsidRPr="00FB5D57" w14:paraId="533DFFDE" w14:textId="77777777" w:rsidTr="0010018A">
        <w:tc>
          <w:tcPr>
            <w:tcW w:w="1064" w:type="pct"/>
            <w:tcBorders>
              <w:top w:val="nil"/>
              <w:left w:val="nil"/>
              <w:bottom w:val="nil"/>
              <w:right w:val="nil"/>
            </w:tcBorders>
            <w:shd w:val="clear" w:color="auto" w:fill="C0C0C0"/>
          </w:tcPr>
          <w:p w14:paraId="6D940D73" w14:textId="77777777" w:rsidR="008E3F72" w:rsidRPr="00FB5D57" w:rsidRDefault="008E3F72" w:rsidP="0010018A">
            <w:pPr>
              <w:pStyle w:val="TableParagraph"/>
              <w:widowControl/>
              <w:kinsoku w:val="0"/>
              <w:overflowPunct w:val="0"/>
              <w:jc w:val="both"/>
              <w:rPr>
                <w:b/>
                <w:bCs/>
                <w:noProof/>
                <w:sz w:val="20"/>
                <w:szCs w:val="20"/>
              </w:rPr>
            </w:pPr>
            <w:r w:rsidRPr="00FB5D57">
              <w:rPr>
                <w:b/>
                <w:noProof/>
                <w:sz w:val="20"/>
                <w:szCs w:val="20"/>
              </w:rPr>
              <w:t>C.M. Howard</w:t>
            </w:r>
          </w:p>
        </w:tc>
        <w:tc>
          <w:tcPr>
            <w:tcW w:w="1485" w:type="pct"/>
            <w:tcBorders>
              <w:top w:val="nil"/>
              <w:left w:val="nil"/>
              <w:bottom w:val="nil"/>
              <w:right w:val="nil"/>
            </w:tcBorders>
            <w:shd w:val="clear" w:color="auto" w:fill="C0C0C0"/>
          </w:tcPr>
          <w:p w14:paraId="63D4E6BE"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Dabiskās vides pētniecības padomes Ekoloģijas un hidroloģijas centrs un Edinburgas Universitāte (</w:t>
            </w:r>
            <w:r w:rsidRPr="00FB5D57">
              <w:rPr>
                <w:i/>
                <w:sz w:val="20"/>
                <w:szCs w:val="20"/>
              </w:rPr>
              <w:t>Centre for Ecology and Hydrology, NERC &amp; University of Edinburgh</w:t>
            </w:r>
            <w:r w:rsidRPr="00FB5D57">
              <w:rPr>
                <w:sz w:val="20"/>
                <w:szCs w:val="20"/>
              </w:rPr>
              <w:t>)</w:t>
            </w:r>
          </w:p>
        </w:tc>
        <w:tc>
          <w:tcPr>
            <w:tcW w:w="1712" w:type="pct"/>
            <w:tcBorders>
              <w:top w:val="nil"/>
              <w:left w:val="nil"/>
              <w:bottom w:val="nil"/>
              <w:right w:val="nil"/>
            </w:tcBorders>
            <w:shd w:val="clear" w:color="auto" w:fill="C0C0C0"/>
          </w:tcPr>
          <w:p w14:paraId="79A4EB80" w14:textId="77777777" w:rsidR="008E3F72" w:rsidRPr="00FB5D57" w:rsidRDefault="0085568E" w:rsidP="0010018A">
            <w:pPr>
              <w:pStyle w:val="TableParagraph"/>
              <w:widowControl/>
              <w:kinsoku w:val="0"/>
              <w:overflowPunct w:val="0"/>
              <w:jc w:val="both"/>
              <w:rPr>
                <w:noProof/>
                <w:sz w:val="20"/>
                <w:szCs w:val="20"/>
              </w:rPr>
            </w:pPr>
            <w:hyperlink r:id="rId34">
              <w:r w:rsidR="008E3F72" w:rsidRPr="00FB5D57">
                <w:rPr>
                  <w:noProof/>
                  <w:sz w:val="20"/>
                  <w:szCs w:val="20"/>
                </w:rPr>
                <w:t>cbritt@ceh.ac.uk</w:t>
              </w:r>
            </w:hyperlink>
          </w:p>
        </w:tc>
        <w:tc>
          <w:tcPr>
            <w:tcW w:w="738" w:type="pct"/>
            <w:tcBorders>
              <w:top w:val="nil"/>
              <w:left w:val="nil"/>
              <w:bottom w:val="nil"/>
              <w:right w:val="nil"/>
            </w:tcBorders>
            <w:shd w:val="clear" w:color="auto" w:fill="C0C0C0"/>
          </w:tcPr>
          <w:p w14:paraId="46EB7D98"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Apvienotā Karaliste</w:t>
            </w:r>
          </w:p>
        </w:tc>
      </w:tr>
      <w:tr w:rsidR="008E3F72" w:rsidRPr="00FB5D57" w14:paraId="2C0CBD9E" w14:textId="77777777" w:rsidTr="0010018A">
        <w:tc>
          <w:tcPr>
            <w:tcW w:w="1064" w:type="pct"/>
            <w:tcBorders>
              <w:top w:val="nil"/>
              <w:left w:val="nil"/>
              <w:bottom w:val="nil"/>
              <w:right w:val="nil"/>
            </w:tcBorders>
          </w:tcPr>
          <w:p w14:paraId="0C8DC4B6"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N.J.</w:t>
            </w:r>
            <w:r w:rsidRPr="00FB5D57">
              <w:rPr>
                <w:b/>
                <w:noProof/>
                <w:sz w:val="20"/>
                <w:szCs w:val="20"/>
              </w:rPr>
              <w:t xml:space="preserve"> </w:t>
            </w:r>
            <w:r w:rsidRPr="00FB5D57">
              <w:rPr>
                <w:b/>
                <w:i/>
                <w:noProof/>
                <w:sz w:val="20"/>
                <w:szCs w:val="20"/>
              </w:rPr>
              <w:t>Hutchings</w:t>
            </w:r>
          </w:p>
        </w:tc>
        <w:tc>
          <w:tcPr>
            <w:tcW w:w="1485" w:type="pct"/>
            <w:tcBorders>
              <w:top w:val="nil"/>
              <w:left w:val="nil"/>
              <w:bottom w:val="nil"/>
              <w:right w:val="nil"/>
            </w:tcBorders>
          </w:tcPr>
          <w:p w14:paraId="35C04486"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Orhūsas Universitāte (</w:t>
            </w:r>
            <w:r w:rsidRPr="00FB5D57">
              <w:rPr>
                <w:i/>
                <w:sz w:val="20"/>
                <w:szCs w:val="20"/>
              </w:rPr>
              <w:t>Aarhus University</w:t>
            </w:r>
            <w:r w:rsidRPr="00FB5D57">
              <w:rPr>
                <w:sz w:val="20"/>
                <w:szCs w:val="20"/>
              </w:rPr>
              <w:t>)</w:t>
            </w:r>
          </w:p>
        </w:tc>
        <w:tc>
          <w:tcPr>
            <w:tcW w:w="1712" w:type="pct"/>
            <w:tcBorders>
              <w:top w:val="nil"/>
              <w:left w:val="nil"/>
              <w:bottom w:val="nil"/>
              <w:right w:val="nil"/>
            </w:tcBorders>
          </w:tcPr>
          <w:p w14:paraId="2C118A52" w14:textId="77777777" w:rsidR="008E3F72" w:rsidRPr="00FB5D57" w:rsidRDefault="0085568E" w:rsidP="0010018A">
            <w:pPr>
              <w:pStyle w:val="TableParagraph"/>
              <w:widowControl/>
              <w:kinsoku w:val="0"/>
              <w:overflowPunct w:val="0"/>
              <w:jc w:val="both"/>
              <w:rPr>
                <w:noProof/>
                <w:sz w:val="20"/>
                <w:szCs w:val="20"/>
              </w:rPr>
            </w:pPr>
            <w:hyperlink r:id="rId35">
              <w:r w:rsidR="008E3F72" w:rsidRPr="00FB5D57">
                <w:rPr>
                  <w:noProof/>
                  <w:sz w:val="20"/>
                  <w:szCs w:val="20"/>
                </w:rPr>
                <w:t>Nick.Hutchings@agrsci.dk</w:t>
              </w:r>
            </w:hyperlink>
          </w:p>
        </w:tc>
        <w:tc>
          <w:tcPr>
            <w:tcW w:w="738" w:type="pct"/>
            <w:tcBorders>
              <w:top w:val="nil"/>
              <w:left w:val="nil"/>
              <w:bottom w:val="nil"/>
              <w:right w:val="nil"/>
            </w:tcBorders>
          </w:tcPr>
          <w:p w14:paraId="37F423C3"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Dānija</w:t>
            </w:r>
          </w:p>
        </w:tc>
      </w:tr>
      <w:tr w:rsidR="008E3F72" w:rsidRPr="00FB5D57" w14:paraId="43425F4E" w14:textId="77777777" w:rsidTr="0010018A">
        <w:tc>
          <w:tcPr>
            <w:tcW w:w="1064" w:type="pct"/>
            <w:tcBorders>
              <w:top w:val="nil"/>
              <w:left w:val="nil"/>
              <w:bottom w:val="nil"/>
              <w:right w:val="nil"/>
            </w:tcBorders>
            <w:shd w:val="clear" w:color="auto" w:fill="C0C0C0"/>
          </w:tcPr>
          <w:p w14:paraId="7FD31EB3" w14:textId="77777777" w:rsidR="008E3F72" w:rsidRPr="00FB5D57" w:rsidRDefault="008E3F72" w:rsidP="00FB5D57">
            <w:pPr>
              <w:pStyle w:val="TableParagraph"/>
              <w:keepNext/>
              <w:widowControl/>
              <w:kinsoku w:val="0"/>
              <w:overflowPunct w:val="0"/>
              <w:jc w:val="both"/>
              <w:rPr>
                <w:b/>
                <w:bCs/>
                <w:noProof/>
                <w:sz w:val="20"/>
                <w:szCs w:val="20"/>
              </w:rPr>
            </w:pPr>
            <w:r w:rsidRPr="00FB5D57">
              <w:rPr>
                <w:b/>
                <w:i/>
                <w:noProof/>
                <w:sz w:val="20"/>
                <w:szCs w:val="20"/>
              </w:rPr>
              <w:lastRenderedPageBreak/>
              <w:t>Z. Klimont</w:t>
            </w:r>
          </w:p>
        </w:tc>
        <w:tc>
          <w:tcPr>
            <w:tcW w:w="1485" w:type="pct"/>
            <w:tcBorders>
              <w:top w:val="nil"/>
              <w:left w:val="nil"/>
              <w:bottom w:val="nil"/>
              <w:right w:val="nil"/>
            </w:tcBorders>
            <w:shd w:val="clear" w:color="auto" w:fill="C0C0C0"/>
          </w:tcPr>
          <w:p w14:paraId="614DC418" w14:textId="77777777" w:rsidR="008E3F72" w:rsidRPr="00FB5D57" w:rsidRDefault="008E3F72" w:rsidP="00FB5D57">
            <w:pPr>
              <w:pStyle w:val="TableParagraph"/>
              <w:keepNext/>
              <w:widowControl/>
              <w:kinsoku w:val="0"/>
              <w:overflowPunct w:val="0"/>
              <w:jc w:val="center"/>
              <w:rPr>
                <w:noProof/>
                <w:sz w:val="20"/>
                <w:szCs w:val="20"/>
              </w:rPr>
            </w:pPr>
            <w:r w:rsidRPr="00FB5D57">
              <w:rPr>
                <w:sz w:val="20"/>
                <w:szCs w:val="20"/>
              </w:rPr>
              <w:t>Starptautiskais Lietišķo sistēmu analīzes institūts (</w:t>
            </w:r>
            <w:r w:rsidRPr="00FB5D57">
              <w:rPr>
                <w:i/>
                <w:sz w:val="20"/>
                <w:szCs w:val="20"/>
              </w:rPr>
              <w:t>International Institute for Applied Systems Analysis (IIASA)</w:t>
            </w:r>
            <w:r w:rsidRPr="00FB5D57">
              <w:rPr>
                <w:sz w:val="20"/>
                <w:szCs w:val="20"/>
              </w:rPr>
              <w:t>)</w:t>
            </w:r>
          </w:p>
        </w:tc>
        <w:tc>
          <w:tcPr>
            <w:tcW w:w="1712" w:type="pct"/>
            <w:tcBorders>
              <w:top w:val="nil"/>
              <w:left w:val="nil"/>
              <w:bottom w:val="nil"/>
              <w:right w:val="nil"/>
            </w:tcBorders>
            <w:shd w:val="clear" w:color="auto" w:fill="C0C0C0"/>
          </w:tcPr>
          <w:p w14:paraId="7F68AB5A" w14:textId="77777777" w:rsidR="008E3F72" w:rsidRPr="00FB5D57" w:rsidRDefault="0085568E" w:rsidP="0010018A">
            <w:pPr>
              <w:pStyle w:val="TableParagraph"/>
              <w:widowControl/>
              <w:kinsoku w:val="0"/>
              <w:overflowPunct w:val="0"/>
              <w:jc w:val="both"/>
              <w:rPr>
                <w:noProof/>
                <w:sz w:val="20"/>
                <w:szCs w:val="20"/>
              </w:rPr>
            </w:pPr>
            <w:hyperlink r:id="rId36">
              <w:r w:rsidR="008E3F72" w:rsidRPr="00FB5D57">
                <w:rPr>
                  <w:noProof/>
                  <w:sz w:val="20"/>
                  <w:szCs w:val="20"/>
                </w:rPr>
                <w:t>klimont@iiasa.ac.at</w:t>
              </w:r>
            </w:hyperlink>
          </w:p>
        </w:tc>
        <w:tc>
          <w:tcPr>
            <w:tcW w:w="738" w:type="pct"/>
            <w:tcBorders>
              <w:top w:val="nil"/>
              <w:left w:val="nil"/>
              <w:bottom w:val="nil"/>
              <w:right w:val="nil"/>
            </w:tcBorders>
            <w:shd w:val="clear" w:color="auto" w:fill="C0C0C0"/>
          </w:tcPr>
          <w:p w14:paraId="6D828557"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Austrija</w:t>
            </w:r>
          </w:p>
        </w:tc>
      </w:tr>
      <w:tr w:rsidR="008E3F72" w:rsidRPr="00FB5D57" w14:paraId="22C49066" w14:textId="77777777" w:rsidTr="0010018A">
        <w:tc>
          <w:tcPr>
            <w:tcW w:w="1064" w:type="pct"/>
            <w:tcBorders>
              <w:top w:val="nil"/>
              <w:left w:val="nil"/>
              <w:bottom w:val="nil"/>
              <w:right w:val="nil"/>
            </w:tcBorders>
          </w:tcPr>
          <w:p w14:paraId="644F012F"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N. Kozlova</w:t>
            </w:r>
          </w:p>
        </w:tc>
        <w:tc>
          <w:tcPr>
            <w:tcW w:w="1485" w:type="pct"/>
            <w:tcBorders>
              <w:top w:val="nil"/>
              <w:left w:val="nil"/>
              <w:bottom w:val="nil"/>
              <w:right w:val="nil"/>
            </w:tcBorders>
          </w:tcPr>
          <w:p w14:paraId="45ED5DB6"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Ziemeļrietumu Lauksaimniecības mehanizācijas un elektrifikācijas zinātniski pētnieciskais institūts (</w:t>
            </w:r>
            <w:r w:rsidRPr="00FB5D57">
              <w:rPr>
                <w:i/>
                <w:sz w:val="20"/>
                <w:szCs w:val="20"/>
              </w:rPr>
              <w:t>Северо-Западный научно-исследовательский институт механизации и электрификации сельского хозяйства, (SZNIIMESH)</w:t>
            </w:r>
            <w:r w:rsidRPr="00FB5D57">
              <w:rPr>
                <w:sz w:val="20"/>
                <w:szCs w:val="20"/>
              </w:rPr>
              <w:t>)</w:t>
            </w:r>
          </w:p>
        </w:tc>
        <w:tc>
          <w:tcPr>
            <w:tcW w:w="1712" w:type="pct"/>
            <w:tcBorders>
              <w:top w:val="nil"/>
              <w:left w:val="nil"/>
              <w:bottom w:val="nil"/>
              <w:right w:val="nil"/>
            </w:tcBorders>
          </w:tcPr>
          <w:p w14:paraId="3E30EFB3" w14:textId="77777777" w:rsidR="008E3F72" w:rsidRPr="00FB5D57" w:rsidRDefault="0085568E" w:rsidP="0010018A">
            <w:pPr>
              <w:pStyle w:val="TableParagraph"/>
              <w:widowControl/>
              <w:kinsoku w:val="0"/>
              <w:overflowPunct w:val="0"/>
              <w:jc w:val="both"/>
              <w:rPr>
                <w:noProof/>
                <w:sz w:val="20"/>
                <w:szCs w:val="20"/>
              </w:rPr>
            </w:pPr>
            <w:hyperlink r:id="rId37">
              <w:r w:rsidR="008E3F72" w:rsidRPr="00FB5D57">
                <w:rPr>
                  <w:noProof/>
                  <w:sz w:val="20"/>
                  <w:szCs w:val="20"/>
                </w:rPr>
                <w:t>natalia.kozlova@sznii.ru</w:t>
              </w:r>
            </w:hyperlink>
          </w:p>
        </w:tc>
        <w:tc>
          <w:tcPr>
            <w:tcW w:w="738" w:type="pct"/>
            <w:tcBorders>
              <w:top w:val="nil"/>
              <w:left w:val="nil"/>
              <w:bottom w:val="nil"/>
              <w:right w:val="nil"/>
            </w:tcBorders>
          </w:tcPr>
          <w:p w14:paraId="76688509"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Krievijas Federācija</w:t>
            </w:r>
          </w:p>
        </w:tc>
      </w:tr>
      <w:tr w:rsidR="008E3F72" w:rsidRPr="00FB5D57" w14:paraId="2D7D66D3" w14:textId="77777777" w:rsidTr="0010018A">
        <w:tc>
          <w:tcPr>
            <w:tcW w:w="1064" w:type="pct"/>
            <w:tcBorders>
              <w:top w:val="nil"/>
              <w:left w:val="nil"/>
              <w:bottom w:val="nil"/>
              <w:right w:val="nil"/>
            </w:tcBorders>
            <w:shd w:val="clear" w:color="auto" w:fill="C0C0C0"/>
          </w:tcPr>
          <w:p w14:paraId="69E462B5"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T. Kuczynski</w:t>
            </w:r>
          </w:p>
        </w:tc>
        <w:tc>
          <w:tcPr>
            <w:tcW w:w="1485" w:type="pct"/>
            <w:tcBorders>
              <w:top w:val="nil"/>
              <w:left w:val="nil"/>
              <w:bottom w:val="nil"/>
              <w:right w:val="nil"/>
            </w:tcBorders>
            <w:shd w:val="clear" w:color="auto" w:fill="C0C0C0"/>
          </w:tcPr>
          <w:p w14:paraId="79ABA8CB"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Zeļenogoras Universitāte (</w:t>
            </w:r>
            <w:r w:rsidRPr="00FB5D57">
              <w:rPr>
                <w:i/>
                <w:sz w:val="20"/>
                <w:szCs w:val="20"/>
              </w:rPr>
              <w:t>University of Zielona Góra</w:t>
            </w:r>
            <w:r w:rsidRPr="00FB5D57">
              <w:rPr>
                <w:sz w:val="20"/>
                <w:szCs w:val="20"/>
              </w:rPr>
              <w:t>)</w:t>
            </w:r>
          </w:p>
        </w:tc>
        <w:tc>
          <w:tcPr>
            <w:tcW w:w="1712" w:type="pct"/>
            <w:tcBorders>
              <w:top w:val="nil"/>
              <w:left w:val="nil"/>
              <w:bottom w:val="nil"/>
              <w:right w:val="nil"/>
            </w:tcBorders>
            <w:shd w:val="clear" w:color="auto" w:fill="C0C0C0"/>
          </w:tcPr>
          <w:p w14:paraId="49777B4B" w14:textId="77777777" w:rsidR="008E3F72" w:rsidRPr="00FB5D57" w:rsidRDefault="0085568E" w:rsidP="0010018A">
            <w:pPr>
              <w:pStyle w:val="TableParagraph"/>
              <w:widowControl/>
              <w:kinsoku w:val="0"/>
              <w:overflowPunct w:val="0"/>
              <w:jc w:val="both"/>
              <w:rPr>
                <w:noProof/>
                <w:sz w:val="20"/>
                <w:szCs w:val="20"/>
              </w:rPr>
            </w:pPr>
            <w:hyperlink r:id="rId38">
              <w:r w:rsidR="008E3F72" w:rsidRPr="00FB5D57">
                <w:rPr>
                  <w:noProof/>
                  <w:sz w:val="20"/>
                  <w:szCs w:val="20"/>
                </w:rPr>
                <w:t>T.Kuczynski@iis.uz.zgora.pl</w:t>
              </w:r>
            </w:hyperlink>
          </w:p>
        </w:tc>
        <w:tc>
          <w:tcPr>
            <w:tcW w:w="738" w:type="pct"/>
            <w:tcBorders>
              <w:top w:val="nil"/>
              <w:left w:val="nil"/>
              <w:bottom w:val="nil"/>
              <w:right w:val="nil"/>
            </w:tcBorders>
            <w:shd w:val="clear" w:color="auto" w:fill="C0C0C0"/>
          </w:tcPr>
          <w:p w14:paraId="07C1B65B"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Polija</w:t>
            </w:r>
          </w:p>
        </w:tc>
      </w:tr>
      <w:tr w:rsidR="008E3F72" w:rsidRPr="00FB5D57" w14:paraId="591C7FD4" w14:textId="77777777" w:rsidTr="0010018A">
        <w:tc>
          <w:tcPr>
            <w:tcW w:w="1064" w:type="pct"/>
            <w:tcBorders>
              <w:top w:val="nil"/>
              <w:left w:val="nil"/>
              <w:bottom w:val="nil"/>
              <w:right w:val="nil"/>
            </w:tcBorders>
          </w:tcPr>
          <w:p w14:paraId="3EDE751C"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S.T.J.</w:t>
            </w:r>
            <w:r w:rsidRPr="00FB5D57">
              <w:rPr>
                <w:b/>
                <w:noProof/>
                <w:sz w:val="20"/>
                <w:szCs w:val="20"/>
              </w:rPr>
              <w:t xml:space="preserve"> </w:t>
            </w:r>
            <w:r w:rsidRPr="00FB5D57">
              <w:rPr>
                <w:b/>
                <w:i/>
                <w:noProof/>
                <w:sz w:val="20"/>
                <w:szCs w:val="20"/>
              </w:rPr>
              <w:t>Lalor</w:t>
            </w:r>
          </w:p>
        </w:tc>
        <w:tc>
          <w:tcPr>
            <w:tcW w:w="1485" w:type="pct"/>
            <w:tcBorders>
              <w:top w:val="nil"/>
              <w:left w:val="nil"/>
              <w:bottom w:val="nil"/>
              <w:right w:val="nil"/>
            </w:tcBorders>
          </w:tcPr>
          <w:p w14:paraId="773F7F72"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Īrijas Lauksaimniecības un pārtikas attīstības iestādes Kultūraugu vides un zemes izmantošanas programma (</w:t>
            </w:r>
            <w:r w:rsidRPr="00FB5D57">
              <w:rPr>
                <w:i/>
                <w:sz w:val="20"/>
                <w:szCs w:val="20"/>
              </w:rPr>
              <w:t>Teagasc, Crops Environment and Land Use Programme</w:t>
            </w:r>
            <w:r w:rsidRPr="00FB5D57">
              <w:rPr>
                <w:sz w:val="20"/>
                <w:szCs w:val="20"/>
              </w:rPr>
              <w:t>)</w:t>
            </w:r>
          </w:p>
        </w:tc>
        <w:tc>
          <w:tcPr>
            <w:tcW w:w="1712" w:type="pct"/>
            <w:tcBorders>
              <w:top w:val="nil"/>
              <w:left w:val="nil"/>
              <w:bottom w:val="nil"/>
              <w:right w:val="nil"/>
            </w:tcBorders>
          </w:tcPr>
          <w:p w14:paraId="5A09352B" w14:textId="77777777" w:rsidR="008E3F72" w:rsidRPr="00FB5D57" w:rsidRDefault="0085568E" w:rsidP="0010018A">
            <w:pPr>
              <w:pStyle w:val="TableParagraph"/>
              <w:widowControl/>
              <w:kinsoku w:val="0"/>
              <w:overflowPunct w:val="0"/>
              <w:jc w:val="both"/>
              <w:rPr>
                <w:noProof/>
                <w:sz w:val="20"/>
                <w:szCs w:val="20"/>
              </w:rPr>
            </w:pPr>
            <w:hyperlink r:id="rId39">
              <w:r w:rsidR="008E3F72" w:rsidRPr="00FB5D57">
                <w:rPr>
                  <w:noProof/>
                  <w:sz w:val="20"/>
                  <w:szCs w:val="20"/>
                </w:rPr>
                <w:t>Stan.Lalor@teagasc.ie</w:t>
              </w:r>
            </w:hyperlink>
          </w:p>
        </w:tc>
        <w:tc>
          <w:tcPr>
            <w:tcW w:w="738" w:type="pct"/>
            <w:tcBorders>
              <w:top w:val="nil"/>
              <w:left w:val="nil"/>
              <w:bottom w:val="nil"/>
              <w:right w:val="nil"/>
            </w:tcBorders>
          </w:tcPr>
          <w:p w14:paraId="2E499D18"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Īrija</w:t>
            </w:r>
          </w:p>
        </w:tc>
      </w:tr>
      <w:tr w:rsidR="008E3F72" w:rsidRPr="00FB5D57" w14:paraId="306E420F" w14:textId="77777777" w:rsidTr="0010018A">
        <w:tc>
          <w:tcPr>
            <w:tcW w:w="1064" w:type="pct"/>
            <w:tcBorders>
              <w:top w:val="nil"/>
              <w:left w:val="nil"/>
              <w:bottom w:val="nil"/>
              <w:right w:val="nil"/>
            </w:tcBorders>
            <w:shd w:val="clear" w:color="auto" w:fill="C0C0C0"/>
          </w:tcPr>
          <w:p w14:paraId="3560C740"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S. Lukin</w:t>
            </w:r>
          </w:p>
        </w:tc>
        <w:tc>
          <w:tcPr>
            <w:tcW w:w="1485" w:type="pct"/>
            <w:tcBorders>
              <w:top w:val="nil"/>
              <w:left w:val="nil"/>
              <w:bottom w:val="single" w:sz="2" w:space="0" w:color="C0C0C0"/>
              <w:right w:val="nil"/>
            </w:tcBorders>
            <w:shd w:val="clear" w:color="auto" w:fill="C0C0C0"/>
          </w:tcPr>
          <w:p w14:paraId="5CC8B6EB"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Viskrievijas zinātniski pētnieciskais organisko mēslošanas līdzekļu un kūdras institūts (</w:t>
            </w:r>
            <w:r w:rsidRPr="00FB5D57">
              <w:rPr>
                <w:i/>
                <w:sz w:val="20"/>
                <w:szCs w:val="20"/>
              </w:rPr>
              <w:t>ВНИПТИ органических удобрений и торфа</w:t>
            </w:r>
            <w:r w:rsidRPr="00FB5D57">
              <w:rPr>
                <w:sz w:val="20"/>
                <w:szCs w:val="20"/>
              </w:rPr>
              <w:t>)</w:t>
            </w:r>
          </w:p>
        </w:tc>
        <w:tc>
          <w:tcPr>
            <w:tcW w:w="1712" w:type="pct"/>
            <w:tcBorders>
              <w:top w:val="nil"/>
              <w:left w:val="nil"/>
              <w:bottom w:val="nil"/>
              <w:right w:val="nil"/>
            </w:tcBorders>
            <w:shd w:val="clear" w:color="auto" w:fill="C0C0C0"/>
          </w:tcPr>
          <w:p w14:paraId="1B1E38F4" w14:textId="77777777" w:rsidR="008E3F72" w:rsidRPr="00FB5D57" w:rsidRDefault="0085568E" w:rsidP="0010018A">
            <w:pPr>
              <w:pStyle w:val="TableParagraph"/>
              <w:widowControl/>
              <w:kinsoku w:val="0"/>
              <w:overflowPunct w:val="0"/>
              <w:jc w:val="both"/>
              <w:rPr>
                <w:noProof/>
                <w:sz w:val="20"/>
                <w:szCs w:val="20"/>
              </w:rPr>
            </w:pPr>
            <w:hyperlink r:id="rId40">
              <w:r w:rsidR="008E3F72" w:rsidRPr="00FB5D57">
                <w:rPr>
                  <w:noProof/>
                  <w:sz w:val="20"/>
                  <w:szCs w:val="20"/>
                </w:rPr>
                <w:t>vnion@vtsnet.ru</w:t>
              </w:r>
            </w:hyperlink>
          </w:p>
        </w:tc>
        <w:tc>
          <w:tcPr>
            <w:tcW w:w="738" w:type="pct"/>
            <w:tcBorders>
              <w:top w:val="nil"/>
              <w:left w:val="nil"/>
              <w:bottom w:val="nil"/>
              <w:right w:val="nil"/>
            </w:tcBorders>
            <w:shd w:val="clear" w:color="auto" w:fill="C0C0C0"/>
          </w:tcPr>
          <w:p w14:paraId="717BAB79"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Krievijas Federācija</w:t>
            </w:r>
          </w:p>
        </w:tc>
      </w:tr>
      <w:tr w:rsidR="008E3F72" w:rsidRPr="00FB5D57" w14:paraId="49925E35" w14:textId="77777777" w:rsidTr="0010018A">
        <w:tc>
          <w:tcPr>
            <w:tcW w:w="1064" w:type="pct"/>
            <w:tcBorders>
              <w:top w:val="nil"/>
              <w:left w:val="nil"/>
              <w:bottom w:val="single" w:sz="8" w:space="0" w:color="000000"/>
              <w:right w:val="nil"/>
            </w:tcBorders>
          </w:tcPr>
          <w:p w14:paraId="10E91218"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H. Menzi</w:t>
            </w:r>
          </w:p>
        </w:tc>
        <w:tc>
          <w:tcPr>
            <w:tcW w:w="1485" w:type="pct"/>
            <w:tcBorders>
              <w:top w:val="single" w:sz="2" w:space="0" w:color="C0C0C0"/>
              <w:left w:val="nil"/>
              <w:bottom w:val="single" w:sz="8" w:space="0" w:color="000000"/>
              <w:right w:val="nil"/>
            </w:tcBorders>
          </w:tcPr>
          <w:p w14:paraId="5867D19F" w14:textId="77777777" w:rsidR="008E3F72" w:rsidRPr="00FB5D57" w:rsidRDefault="008E3F72" w:rsidP="00FB5D57">
            <w:pPr>
              <w:pStyle w:val="TableParagraph"/>
              <w:widowControl/>
              <w:kinsoku w:val="0"/>
              <w:overflowPunct w:val="0"/>
              <w:jc w:val="center"/>
              <w:rPr>
                <w:noProof/>
                <w:sz w:val="20"/>
                <w:szCs w:val="20"/>
              </w:rPr>
            </w:pPr>
            <w:r w:rsidRPr="00FB5D57">
              <w:rPr>
                <w:i/>
                <w:sz w:val="20"/>
                <w:szCs w:val="20"/>
              </w:rPr>
              <w:t>Agroscope</w:t>
            </w:r>
          </w:p>
        </w:tc>
        <w:tc>
          <w:tcPr>
            <w:tcW w:w="1712" w:type="pct"/>
            <w:tcBorders>
              <w:top w:val="nil"/>
              <w:left w:val="nil"/>
              <w:bottom w:val="single" w:sz="8" w:space="0" w:color="000000"/>
              <w:right w:val="nil"/>
            </w:tcBorders>
          </w:tcPr>
          <w:p w14:paraId="21E1B5BA" w14:textId="77777777" w:rsidR="008E3F72" w:rsidRPr="00FB5D57" w:rsidRDefault="0085568E" w:rsidP="0010018A">
            <w:pPr>
              <w:pStyle w:val="TableParagraph"/>
              <w:widowControl/>
              <w:kinsoku w:val="0"/>
              <w:overflowPunct w:val="0"/>
              <w:jc w:val="both"/>
              <w:rPr>
                <w:noProof/>
                <w:sz w:val="20"/>
                <w:szCs w:val="20"/>
              </w:rPr>
            </w:pPr>
            <w:hyperlink r:id="rId41">
              <w:r w:rsidR="008E3F72" w:rsidRPr="00FB5D57">
                <w:rPr>
                  <w:noProof/>
                  <w:sz w:val="20"/>
                  <w:szCs w:val="20"/>
                </w:rPr>
                <w:t>Harald.menzi@agroscope.admin.ch</w:t>
              </w:r>
            </w:hyperlink>
          </w:p>
        </w:tc>
        <w:tc>
          <w:tcPr>
            <w:tcW w:w="738" w:type="pct"/>
            <w:tcBorders>
              <w:top w:val="nil"/>
              <w:left w:val="nil"/>
              <w:bottom w:val="single" w:sz="8" w:space="0" w:color="000000"/>
              <w:right w:val="nil"/>
            </w:tcBorders>
          </w:tcPr>
          <w:p w14:paraId="6B0568CD"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Šveice</w:t>
            </w:r>
          </w:p>
        </w:tc>
      </w:tr>
    </w:tbl>
    <w:p w14:paraId="0F34FA16" w14:textId="77777777" w:rsidR="008E3F72" w:rsidRPr="00F35F4D" w:rsidRDefault="008E3F72" w:rsidP="008E3F72">
      <w:pPr>
        <w:pStyle w:val="BodyText"/>
        <w:widowControl/>
        <w:kinsoku w:val="0"/>
        <w:overflowPunct w:val="0"/>
        <w:spacing w:before="0"/>
        <w:ind w:left="0"/>
        <w:jc w:val="both"/>
        <w:rPr>
          <w:noProof/>
          <w:sz w:val="24"/>
          <w:szCs w:val="24"/>
        </w:rPr>
      </w:pPr>
    </w:p>
    <w:tbl>
      <w:tblPr>
        <w:tblW w:w="5000" w:type="pct"/>
        <w:tblCellMar>
          <w:left w:w="0" w:type="dxa"/>
          <w:right w:w="0" w:type="dxa"/>
        </w:tblCellMar>
        <w:tblLook w:val="0000" w:firstRow="0" w:lastRow="0" w:firstColumn="0" w:lastColumn="0" w:noHBand="0" w:noVBand="0"/>
      </w:tblPr>
      <w:tblGrid>
        <w:gridCol w:w="1886"/>
        <w:gridCol w:w="2267"/>
        <w:gridCol w:w="2890"/>
        <w:gridCol w:w="1183"/>
      </w:tblGrid>
      <w:tr w:rsidR="008E3F72" w:rsidRPr="00FB5D57" w14:paraId="26F28EE4" w14:textId="77777777" w:rsidTr="0010018A">
        <w:tc>
          <w:tcPr>
            <w:tcW w:w="1159" w:type="pct"/>
            <w:tcBorders>
              <w:top w:val="single" w:sz="8" w:space="0" w:color="000000"/>
              <w:left w:val="nil"/>
              <w:bottom w:val="nil"/>
              <w:right w:val="nil"/>
            </w:tcBorders>
            <w:shd w:val="clear" w:color="auto" w:fill="C0C0C0"/>
          </w:tcPr>
          <w:p w14:paraId="7E6AE7DE"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T. Misselbrook</w:t>
            </w:r>
          </w:p>
        </w:tc>
        <w:tc>
          <w:tcPr>
            <w:tcW w:w="1391" w:type="pct"/>
            <w:tcBorders>
              <w:top w:val="single" w:sz="8" w:space="0" w:color="000000"/>
              <w:left w:val="nil"/>
              <w:bottom w:val="nil"/>
              <w:right w:val="nil"/>
            </w:tcBorders>
            <w:shd w:val="clear" w:color="auto" w:fill="C0C0C0"/>
          </w:tcPr>
          <w:p w14:paraId="664E3398" w14:textId="77777777" w:rsidR="008E3F72" w:rsidRPr="00FB5D57" w:rsidRDefault="008E3F72" w:rsidP="00FB5D57">
            <w:pPr>
              <w:pStyle w:val="TableParagraph"/>
              <w:widowControl/>
              <w:kinsoku w:val="0"/>
              <w:overflowPunct w:val="0"/>
              <w:jc w:val="center"/>
              <w:rPr>
                <w:noProof/>
                <w:sz w:val="20"/>
                <w:szCs w:val="20"/>
              </w:rPr>
            </w:pPr>
            <w:r w:rsidRPr="00FB5D57">
              <w:rPr>
                <w:i/>
                <w:sz w:val="20"/>
                <w:szCs w:val="20"/>
              </w:rPr>
              <w:t>Rothamsted Research</w:t>
            </w:r>
          </w:p>
        </w:tc>
        <w:tc>
          <w:tcPr>
            <w:tcW w:w="1719" w:type="pct"/>
            <w:tcBorders>
              <w:top w:val="single" w:sz="8" w:space="0" w:color="000000"/>
              <w:left w:val="nil"/>
              <w:bottom w:val="nil"/>
              <w:right w:val="nil"/>
            </w:tcBorders>
            <w:shd w:val="clear" w:color="auto" w:fill="C0C0C0"/>
          </w:tcPr>
          <w:p w14:paraId="611E4979" w14:textId="77777777" w:rsidR="008E3F72" w:rsidRPr="00FB5D57" w:rsidRDefault="0085568E" w:rsidP="0010018A">
            <w:pPr>
              <w:pStyle w:val="TableParagraph"/>
              <w:widowControl/>
              <w:kinsoku w:val="0"/>
              <w:overflowPunct w:val="0"/>
              <w:jc w:val="both"/>
              <w:rPr>
                <w:noProof/>
                <w:sz w:val="20"/>
                <w:szCs w:val="20"/>
              </w:rPr>
            </w:pPr>
            <w:hyperlink r:id="rId42">
              <w:r w:rsidR="008E3F72" w:rsidRPr="00FB5D57">
                <w:rPr>
                  <w:noProof/>
                  <w:sz w:val="20"/>
                  <w:szCs w:val="20"/>
                </w:rPr>
                <w:t>tom.misselbrook@rothamsted.ac.uk</w:t>
              </w:r>
            </w:hyperlink>
          </w:p>
        </w:tc>
        <w:tc>
          <w:tcPr>
            <w:tcW w:w="732" w:type="pct"/>
            <w:tcBorders>
              <w:top w:val="single" w:sz="8" w:space="0" w:color="000000"/>
              <w:left w:val="nil"/>
              <w:bottom w:val="nil"/>
              <w:right w:val="nil"/>
            </w:tcBorders>
            <w:shd w:val="clear" w:color="auto" w:fill="C0C0C0"/>
          </w:tcPr>
          <w:p w14:paraId="61F59F71"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Apvienotā Karaliste</w:t>
            </w:r>
          </w:p>
        </w:tc>
      </w:tr>
      <w:tr w:rsidR="008E3F72" w:rsidRPr="00FB5D57" w14:paraId="53955B57" w14:textId="77777777" w:rsidTr="0010018A">
        <w:tc>
          <w:tcPr>
            <w:tcW w:w="1159" w:type="pct"/>
            <w:tcBorders>
              <w:top w:val="nil"/>
              <w:left w:val="nil"/>
              <w:bottom w:val="nil"/>
              <w:right w:val="nil"/>
            </w:tcBorders>
          </w:tcPr>
          <w:p w14:paraId="42607654" w14:textId="77777777" w:rsidR="008E3F72" w:rsidRPr="00FB5D57" w:rsidRDefault="008E3F72" w:rsidP="0010018A">
            <w:pPr>
              <w:pStyle w:val="TableParagraph"/>
              <w:widowControl/>
              <w:kinsoku w:val="0"/>
              <w:overflowPunct w:val="0"/>
              <w:jc w:val="both"/>
              <w:rPr>
                <w:b/>
                <w:bCs/>
                <w:noProof/>
                <w:sz w:val="20"/>
                <w:szCs w:val="20"/>
              </w:rPr>
            </w:pPr>
            <w:r w:rsidRPr="00FB5D57">
              <w:rPr>
                <w:b/>
                <w:noProof/>
                <w:sz w:val="20"/>
                <w:szCs w:val="20"/>
              </w:rPr>
              <w:t>G. Montalvo Bermejo</w:t>
            </w:r>
          </w:p>
        </w:tc>
        <w:tc>
          <w:tcPr>
            <w:tcW w:w="1391" w:type="pct"/>
            <w:tcBorders>
              <w:top w:val="nil"/>
              <w:left w:val="nil"/>
              <w:bottom w:val="nil"/>
              <w:right w:val="nil"/>
            </w:tcBorders>
          </w:tcPr>
          <w:p w14:paraId="09A84285" w14:textId="77777777" w:rsidR="008E3F72" w:rsidRPr="00FB5D57" w:rsidRDefault="008E3F72" w:rsidP="00FB5D57">
            <w:pPr>
              <w:pStyle w:val="TableParagraph"/>
              <w:widowControl/>
              <w:kinsoku w:val="0"/>
              <w:overflowPunct w:val="0"/>
              <w:jc w:val="center"/>
              <w:rPr>
                <w:noProof/>
                <w:sz w:val="20"/>
                <w:szCs w:val="20"/>
              </w:rPr>
            </w:pPr>
            <w:r w:rsidRPr="00FB5D57">
              <w:rPr>
                <w:i/>
                <w:sz w:val="20"/>
                <w:szCs w:val="20"/>
              </w:rPr>
              <w:t>Tragsatec</w:t>
            </w:r>
          </w:p>
        </w:tc>
        <w:tc>
          <w:tcPr>
            <w:tcW w:w="1719" w:type="pct"/>
            <w:tcBorders>
              <w:top w:val="nil"/>
              <w:left w:val="nil"/>
              <w:bottom w:val="nil"/>
              <w:right w:val="nil"/>
            </w:tcBorders>
          </w:tcPr>
          <w:p w14:paraId="170C9F2B"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gema.montalvo@pigchamp- pro.com</w:t>
            </w:r>
          </w:p>
        </w:tc>
        <w:tc>
          <w:tcPr>
            <w:tcW w:w="732" w:type="pct"/>
            <w:tcBorders>
              <w:top w:val="nil"/>
              <w:left w:val="nil"/>
              <w:bottom w:val="nil"/>
              <w:right w:val="nil"/>
            </w:tcBorders>
          </w:tcPr>
          <w:p w14:paraId="5A42E699"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Spānija</w:t>
            </w:r>
          </w:p>
        </w:tc>
      </w:tr>
      <w:tr w:rsidR="008E3F72" w:rsidRPr="00FB5D57" w14:paraId="3C4DFF99" w14:textId="77777777" w:rsidTr="0010018A">
        <w:tc>
          <w:tcPr>
            <w:tcW w:w="1159" w:type="pct"/>
            <w:tcBorders>
              <w:top w:val="nil"/>
              <w:left w:val="nil"/>
              <w:bottom w:val="nil"/>
              <w:right w:val="nil"/>
            </w:tcBorders>
            <w:shd w:val="clear" w:color="auto" w:fill="C0C0C0"/>
          </w:tcPr>
          <w:p w14:paraId="23DDF7B1"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O. Oenema</w:t>
            </w:r>
          </w:p>
        </w:tc>
        <w:tc>
          <w:tcPr>
            <w:tcW w:w="1391" w:type="pct"/>
            <w:tcBorders>
              <w:top w:val="nil"/>
              <w:left w:val="nil"/>
              <w:bottom w:val="nil"/>
              <w:right w:val="nil"/>
            </w:tcBorders>
            <w:shd w:val="clear" w:color="auto" w:fill="C0C0C0"/>
          </w:tcPr>
          <w:p w14:paraId="15740809"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Vāgeningenas Universitāte (</w:t>
            </w:r>
            <w:r w:rsidRPr="00FB5D57">
              <w:rPr>
                <w:i/>
                <w:sz w:val="20"/>
                <w:szCs w:val="20"/>
              </w:rPr>
              <w:t>Wageningen University</w:t>
            </w:r>
            <w:r w:rsidRPr="00FB5D57">
              <w:rPr>
                <w:sz w:val="20"/>
                <w:szCs w:val="20"/>
              </w:rPr>
              <w:t xml:space="preserve">), </w:t>
            </w:r>
            <w:r w:rsidRPr="00FB5D57">
              <w:rPr>
                <w:i/>
                <w:sz w:val="20"/>
                <w:szCs w:val="20"/>
              </w:rPr>
              <w:t>Alterra</w:t>
            </w:r>
          </w:p>
        </w:tc>
        <w:tc>
          <w:tcPr>
            <w:tcW w:w="1719" w:type="pct"/>
            <w:tcBorders>
              <w:top w:val="nil"/>
              <w:left w:val="nil"/>
              <w:bottom w:val="nil"/>
              <w:right w:val="nil"/>
            </w:tcBorders>
            <w:shd w:val="clear" w:color="auto" w:fill="C0C0C0"/>
          </w:tcPr>
          <w:p w14:paraId="1F6506BB" w14:textId="77777777" w:rsidR="008E3F72" w:rsidRPr="00FB5D57" w:rsidRDefault="0085568E" w:rsidP="0010018A">
            <w:pPr>
              <w:pStyle w:val="TableParagraph"/>
              <w:widowControl/>
              <w:kinsoku w:val="0"/>
              <w:overflowPunct w:val="0"/>
              <w:jc w:val="both"/>
              <w:rPr>
                <w:noProof/>
                <w:sz w:val="20"/>
                <w:szCs w:val="20"/>
              </w:rPr>
            </w:pPr>
            <w:hyperlink r:id="rId43">
              <w:r w:rsidR="008E3F72" w:rsidRPr="00FB5D57">
                <w:rPr>
                  <w:noProof/>
                  <w:sz w:val="20"/>
                  <w:szCs w:val="20"/>
                </w:rPr>
                <w:t>oene.oenema@wur.nl</w:t>
              </w:r>
            </w:hyperlink>
          </w:p>
        </w:tc>
        <w:tc>
          <w:tcPr>
            <w:tcW w:w="732" w:type="pct"/>
            <w:tcBorders>
              <w:top w:val="nil"/>
              <w:left w:val="nil"/>
              <w:bottom w:val="nil"/>
              <w:right w:val="nil"/>
            </w:tcBorders>
            <w:shd w:val="clear" w:color="auto" w:fill="C0C0C0"/>
          </w:tcPr>
          <w:p w14:paraId="01BFF606"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Nīderlande</w:t>
            </w:r>
          </w:p>
        </w:tc>
      </w:tr>
      <w:tr w:rsidR="008E3F72" w:rsidRPr="00FB5D57" w14:paraId="4AB0F832" w14:textId="77777777" w:rsidTr="0010018A">
        <w:tc>
          <w:tcPr>
            <w:tcW w:w="1159" w:type="pct"/>
            <w:tcBorders>
              <w:top w:val="nil"/>
              <w:left w:val="nil"/>
              <w:bottom w:val="nil"/>
              <w:right w:val="nil"/>
            </w:tcBorders>
          </w:tcPr>
          <w:p w14:paraId="17536C00"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C. Pallière</w:t>
            </w:r>
          </w:p>
        </w:tc>
        <w:tc>
          <w:tcPr>
            <w:tcW w:w="1391" w:type="pct"/>
            <w:tcBorders>
              <w:top w:val="nil"/>
              <w:left w:val="nil"/>
              <w:bottom w:val="nil"/>
              <w:right w:val="nil"/>
            </w:tcBorders>
          </w:tcPr>
          <w:p w14:paraId="7662F731" w14:textId="77777777" w:rsidR="008E3F72" w:rsidRPr="00FB5D57" w:rsidRDefault="008E3F72" w:rsidP="00FB5D57">
            <w:pPr>
              <w:pStyle w:val="TableParagraph"/>
              <w:widowControl/>
              <w:kinsoku w:val="0"/>
              <w:overflowPunct w:val="0"/>
              <w:jc w:val="center"/>
              <w:rPr>
                <w:noProof/>
                <w:sz w:val="20"/>
                <w:szCs w:val="20"/>
              </w:rPr>
            </w:pPr>
            <w:r w:rsidRPr="00FB5D57">
              <w:rPr>
                <w:i/>
                <w:sz w:val="20"/>
                <w:szCs w:val="20"/>
              </w:rPr>
              <w:t>Fertilizers Europe</w:t>
            </w:r>
          </w:p>
        </w:tc>
        <w:tc>
          <w:tcPr>
            <w:tcW w:w="1719" w:type="pct"/>
            <w:tcBorders>
              <w:top w:val="nil"/>
              <w:left w:val="nil"/>
              <w:bottom w:val="nil"/>
              <w:right w:val="nil"/>
            </w:tcBorders>
          </w:tcPr>
          <w:p w14:paraId="4DB1FFAC" w14:textId="77777777" w:rsidR="008E3F72" w:rsidRPr="00FB5D57" w:rsidRDefault="0085568E" w:rsidP="0010018A">
            <w:pPr>
              <w:pStyle w:val="TableParagraph"/>
              <w:widowControl/>
              <w:kinsoku w:val="0"/>
              <w:overflowPunct w:val="0"/>
              <w:jc w:val="both"/>
              <w:rPr>
                <w:noProof/>
                <w:sz w:val="20"/>
                <w:szCs w:val="20"/>
              </w:rPr>
            </w:pPr>
            <w:hyperlink r:id="rId44">
              <w:r w:rsidR="008E3F72" w:rsidRPr="00FB5D57">
                <w:rPr>
                  <w:noProof/>
                  <w:sz w:val="20"/>
                  <w:szCs w:val="20"/>
                </w:rPr>
                <w:t>Christian.palliere@fertilizerseurope</w:t>
              </w:r>
            </w:hyperlink>
          </w:p>
          <w:p w14:paraId="40AA407A" w14:textId="77777777" w:rsidR="008E3F72" w:rsidRPr="00FB5D57" w:rsidRDefault="0085568E" w:rsidP="0010018A">
            <w:pPr>
              <w:pStyle w:val="TableParagraph"/>
              <w:widowControl/>
              <w:kinsoku w:val="0"/>
              <w:overflowPunct w:val="0"/>
              <w:jc w:val="both"/>
              <w:rPr>
                <w:noProof/>
                <w:sz w:val="20"/>
                <w:szCs w:val="20"/>
              </w:rPr>
            </w:pPr>
            <w:hyperlink r:id="rId45">
              <w:r w:rsidR="008E3F72" w:rsidRPr="00FB5D57">
                <w:rPr>
                  <w:noProof/>
                  <w:sz w:val="20"/>
                  <w:szCs w:val="20"/>
                </w:rPr>
                <w:t>.com</w:t>
              </w:r>
            </w:hyperlink>
          </w:p>
        </w:tc>
        <w:tc>
          <w:tcPr>
            <w:tcW w:w="732" w:type="pct"/>
            <w:tcBorders>
              <w:top w:val="nil"/>
              <w:left w:val="nil"/>
              <w:bottom w:val="nil"/>
              <w:right w:val="nil"/>
            </w:tcBorders>
          </w:tcPr>
          <w:p w14:paraId="5E785DBD"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Beļģija</w:t>
            </w:r>
          </w:p>
        </w:tc>
      </w:tr>
      <w:tr w:rsidR="008E3F72" w:rsidRPr="00FB5D57" w14:paraId="064D1D70" w14:textId="77777777" w:rsidTr="0010018A">
        <w:tc>
          <w:tcPr>
            <w:tcW w:w="1159" w:type="pct"/>
            <w:tcBorders>
              <w:top w:val="nil"/>
              <w:left w:val="nil"/>
              <w:bottom w:val="nil"/>
              <w:right w:val="nil"/>
            </w:tcBorders>
            <w:shd w:val="clear" w:color="auto" w:fill="C0C0C0"/>
          </w:tcPr>
          <w:p w14:paraId="022E7C85"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C. Piñeiro Noguera</w:t>
            </w:r>
          </w:p>
        </w:tc>
        <w:tc>
          <w:tcPr>
            <w:tcW w:w="1391" w:type="pct"/>
            <w:tcBorders>
              <w:top w:val="nil"/>
              <w:left w:val="nil"/>
              <w:bottom w:val="nil"/>
              <w:right w:val="nil"/>
            </w:tcBorders>
            <w:shd w:val="clear" w:color="auto" w:fill="C0C0C0"/>
          </w:tcPr>
          <w:p w14:paraId="4C6BB270" w14:textId="77777777" w:rsidR="008E3F72" w:rsidRPr="00FB5D57" w:rsidRDefault="008E3F72" w:rsidP="00FB5D57">
            <w:pPr>
              <w:pStyle w:val="TableParagraph"/>
              <w:widowControl/>
              <w:kinsoku w:val="0"/>
              <w:overflowPunct w:val="0"/>
              <w:jc w:val="center"/>
              <w:rPr>
                <w:noProof/>
                <w:sz w:val="20"/>
                <w:szCs w:val="20"/>
              </w:rPr>
            </w:pPr>
            <w:r w:rsidRPr="00FB5D57">
              <w:rPr>
                <w:i/>
                <w:sz w:val="20"/>
                <w:szCs w:val="20"/>
              </w:rPr>
              <w:t>PigCHAMP Pro Europa S.L.</w:t>
            </w:r>
          </w:p>
        </w:tc>
        <w:tc>
          <w:tcPr>
            <w:tcW w:w="1719" w:type="pct"/>
            <w:tcBorders>
              <w:top w:val="nil"/>
              <w:left w:val="nil"/>
              <w:bottom w:val="nil"/>
              <w:right w:val="nil"/>
            </w:tcBorders>
            <w:shd w:val="clear" w:color="auto" w:fill="C0C0C0"/>
          </w:tcPr>
          <w:p w14:paraId="5AA94E67" w14:textId="77777777" w:rsidR="008E3F72" w:rsidRPr="00FB5D57" w:rsidRDefault="0085568E" w:rsidP="0010018A">
            <w:pPr>
              <w:pStyle w:val="TableParagraph"/>
              <w:widowControl/>
              <w:kinsoku w:val="0"/>
              <w:overflowPunct w:val="0"/>
              <w:jc w:val="both"/>
              <w:rPr>
                <w:noProof/>
                <w:sz w:val="20"/>
                <w:szCs w:val="20"/>
              </w:rPr>
            </w:pPr>
            <w:hyperlink r:id="rId46">
              <w:r w:rsidR="008E3F72" w:rsidRPr="00FB5D57">
                <w:rPr>
                  <w:noProof/>
                  <w:sz w:val="20"/>
                  <w:szCs w:val="20"/>
                </w:rPr>
                <w:t>carlos.pineiro@pigchamp-pro.com</w:t>
              </w:r>
            </w:hyperlink>
          </w:p>
        </w:tc>
        <w:tc>
          <w:tcPr>
            <w:tcW w:w="732" w:type="pct"/>
            <w:tcBorders>
              <w:top w:val="nil"/>
              <w:left w:val="nil"/>
              <w:bottom w:val="nil"/>
              <w:right w:val="nil"/>
            </w:tcBorders>
            <w:shd w:val="clear" w:color="auto" w:fill="C0C0C0"/>
          </w:tcPr>
          <w:p w14:paraId="2C319C7C"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Spānija</w:t>
            </w:r>
          </w:p>
        </w:tc>
      </w:tr>
      <w:tr w:rsidR="008E3F72" w:rsidRPr="00FB5D57" w14:paraId="595B700D" w14:textId="77777777" w:rsidTr="0010018A">
        <w:tc>
          <w:tcPr>
            <w:tcW w:w="1159" w:type="pct"/>
            <w:tcBorders>
              <w:top w:val="nil"/>
              <w:left w:val="nil"/>
              <w:bottom w:val="nil"/>
              <w:right w:val="nil"/>
            </w:tcBorders>
          </w:tcPr>
          <w:p w14:paraId="576F03BD"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M.A. Sutton</w:t>
            </w:r>
          </w:p>
        </w:tc>
        <w:tc>
          <w:tcPr>
            <w:tcW w:w="1391" w:type="pct"/>
            <w:tcBorders>
              <w:top w:val="nil"/>
              <w:left w:val="nil"/>
              <w:bottom w:val="nil"/>
              <w:right w:val="nil"/>
            </w:tcBorders>
          </w:tcPr>
          <w:p w14:paraId="58EF5063"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Dabiskās vides pētniecības padomes Ekoloģijas un hidroloģijas centrs un Edinburgas Universitāte (</w:t>
            </w:r>
            <w:r w:rsidRPr="00FB5D57">
              <w:rPr>
                <w:i/>
                <w:sz w:val="20"/>
                <w:szCs w:val="20"/>
              </w:rPr>
              <w:t>Centre for Ecology and Hydrology, NERC &amp; University of Edinburgh</w:t>
            </w:r>
            <w:r w:rsidRPr="00FB5D57">
              <w:rPr>
                <w:sz w:val="20"/>
                <w:szCs w:val="20"/>
              </w:rPr>
              <w:t>)</w:t>
            </w:r>
          </w:p>
        </w:tc>
        <w:tc>
          <w:tcPr>
            <w:tcW w:w="1719" w:type="pct"/>
            <w:tcBorders>
              <w:top w:val="nil"/>
              <w:left w:val="nil"/>
              <w:bottom w:val="nil"/>
              <w:right w:val="nil"/>
            </w:tcBorders>
          </w:tcPr>
          <w:p w14:paraId="6FEBC0ED" w14:textId="77777777" w:rsidR="008E3F72" w:rsidRPr="00FB5D57" w:rsidRDefault="0085568E" w:rsidP="0010018A">
            <w:pPr>
              <w:pStyle w:val="TableParagraph"/>
              <w:widowControl/>
              <w:kinsoku w:val="0"/>
              <w:overflowPunct w:val="0"/>
              <w:jc w:val="both"/>
              <w:rPr>
                <w:noProof/>
                <w:sz w:val="20"/>
                <w:szCs w:val="20"/>
              </w:rPr>
            </w:pPr>
            <w:hyperlink r:id="rId47">
              <w:r w:rsidR="008E3F72" w:rsidRPr="00FB5D57">
                <w:rPr>
                  <w:noProof/>
                  <w:sz w:val="20"/>
                  <w:szCs w:val="20"/>
                </w:rPr>
                <w:t>ms@ceh.ac.uk</w:t>
              </w:r>
            </w:hyperlink>
          </w:p>
        </w:tc>
        <w:tc>
          <w:tcPr>
            <w:tcW w:w="732" w:type="pct"/>
            <w:tcBorders>
              <w:top w:val="nil"/>
              <w:left w:val="nil"/>
              <w:bottom w:val="nil"/>
              <w:right w:val="nil"/>
            </w:tcBorders>
          </w:tcPr>
          <w:p w14:paraId="42553191"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Apvienotā Karaliste</w:t>
            </w:r>
          </w:p>
        </w:tc>
      </w:tr>
      <w:tr w:rsidR="008E3F72" w:rsidRPr="00FB5D57" w14:paraId="5BC8E00E" w14:textId="77777777" w:rsidTr="0010018A">
        <w:tc>
          <w:tcPr>
            <w:tcW w:w="1159" w:type="pct"/>
            <w:tcBorders>
              <w:top w:val="nil"/>
              <w:left w:val="nil"/>
              <w:bottom w:val="nil"/>
              <w:right w:val="nil"/>
            </w:tcBorders>
            <w:shd w:val="clear" w:color="auto" w:fill="C0C0C0"/>
          </w:tcPr>
          <w:p w14:paraId="23E67D8A"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S. Tamminga</w:t>
            </w:r>
          </w:p>
        </w:tc>
        <w:tc>
          <w:tcPr>
            <w:tcW w:w="1391" w:type="pct"/>
            <w:tcBorders>
              <w:top w:val="nil"/>
              <w:left w:val="nil"/>
              <w:bottom w:val="nil"/>
              <w:right w:val="nil"/>
            </w:tcBorders>
            <w:shd w:val="clear" w:color="auto" w:fill="C0C0C0"/>
          </w:tcPr>
          <w:p w14:paraId="5C6AD04D"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Vāgeningenas Universitāte (</w:t>
            </w:r>
            <w:r w:rsidRPr="00FB5D57">
              <w:rPr>
                <w:i/>
                <w:sz w:val="20"/>
                <w:szCs w:val="20"/>
              </w:rPr>
              <w:t>Wageningen University</w:t>
            </w:r>
            <w:r w:rsidRPr="00FB5D57">
              <w:rPr>
                <w:sz w:val="20"/>
                <w:szCs w:val="20"/>
              </w:rPr>
              <w:t>) (pensijā)</w:t>
            </w:r>
          </w:p>
        </w:tc>
        <w:tc>
          <w:tcPr>
            <w:tcW w:w="1719" w:type="pct"/>
            <w:tcBorders>
              <w:top w:val="nil"/>
              <w:left w:val="nil"/>
              <w:bottom w:val="nil"/>
              <w:right w:val="nil"/>
            </w:tcBorders>
            <w:shd w:val="clear" w:color="auto" w:fill="C0C0C0"/>
          </w:tcPr>
          <w:p w14:paraId="08C60A85" w14:textId="77777777" w:rsidR="008E3F72" w:rsidRPr="00FB5D57" w:rsidRDefault="0085568E" w:rsidP="0010018A">
            <w:pPr>
              <w:pStyle w:val="TableParagraph"/>
              <w:widowControl/>
              <w:kinsoku w:val="0"/>
              <w:overflowPunct w:val="0"/>
              <w:jc w:val="both"/>
              <w:rPr>
                <w:noProof/>
                <w:sz w:val="20"/>
                <w:szCs w:val="20"/>
              </w:rPr>
            </w:pPr>
            <w:hyperlink r:id="rId48">
              <w:r w:rsidR="008E3F72" w:rsidRPr="00FB5D57">
                <w:rPr>
                  <w:noProof/>
                  <w:sz w:val="20"/>
                  <w:szCs w:val="20"/>
                </w:rPr>
                <w:t>seerp.tamminga@wur.nl</w:t>
              </w:r>
            </w:hyperlink>
          </w:p>
        </w:tc>
        <w:tc>
          <w:tcPr>
            <w:tcW w:w="732" w:type="pct"/>
            <w:tcBorders>
              <w:top w:val="nil"/>
              <w:left w:val="nil"/>
              <w:bottom w:val="nil"/>
              <w:right w:val="nil"/>
            </w:tcBorders>
            <w:shd w:val="clear" w:color="auto" w:fill="C0C0C0"/>
          </w:tcPr>
          <w:p w14:paraId="308E3D0D"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Nīderlande</w:t>
            </w:r>
          </w:p>
        </w:tc>
      </w:tr>
      <w:tr w:rsidR="008E3F72" w:rsidRPr="00FB5D57" w14:paraId="37F8092B" w14:textId="77777777" w:rsidTr="0010018A">
        <w:tc>
          <w:tcPr>
            <w:tcW w:w="1159" w:type="pct"/>
            <w:tcBorders>
              <w:top w:val="nil"/>
              <w:left w:val="nil"/>
              <w:bottom w:val="nil"/>
              <w:right w:val="nil"/>
            </w:tcBorders>
          </w:tcPr>
          <w:p w14:paraId="44486C1A"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L. Valli</w:t>
            </w:r>
          </w:p>
        </w:tc>
        <w:tc>
          <w:tcPr>
            <w:tcW w:w="1391" w:type="pct"/>
            <w:tcBorders>
              <w:top w:val="nil"/>
              <w:left w:val="nil"/>
              <w:bottom w:val="nil"/>
              <w:right w:val="nil"/>
            </w:tcBorders>
          </w:tcPr>
          <w:p w14:paraId="2967F451"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Lauksaimniecības dzīvnieku audzēšanas pētījumu centrs (</w:t>
            </w:r>
            <w:r w:rsidRPr="00FB5D57">
              <w:rPr>
                <w:i/>
                <w:sz w:val="20"/>
                <w:szCs w:val="20"/>
              </w:rPr>
              <w:t>Research Centre on Animal Production (CRPA)</w:t>
            </w:r>
            <w:r w:rsidRPr="00FB5D57">
              <w:rPr>
                <w:sz w:val="20"/>
                <w:szCs w:val="20"/>
              </w:rPr>
              <w:t>)</w:t>
            </w:r>
          </w:p>
        </w:tc>
        <w:tc>
          <w:tcPr>
            <w:tcW w:w="1719" w:type="pct"/>
            <w:tcBorders>
              <w:top w:val="nil"/>
              <w:left w:val="nil"/>
              <w:bottom w:val="nil"/>
              <w:right w:val="nil"/>
            </w:tcBorders>
          </w:tcPr>
          <w:p w14:paraId="14149D39" w14:textId="77777777" w:rsidR="008E3F72" w:rsidRPr="00FB5D57" w:rsidRDefault="0085568E" w:rsidP="0010018A">
            <w:pPr>
              <w:pStyle w:val="TableParagraph"/>
              <w:widowControl/>
              <w:kinsoku w:val="0"/>
              <w:overflowPunct w:val="0"/>
              <w:jc w:val="both"/>
              <w:rPr>
                <w:noProof/>
                <w:sz w:val="20"/>
                <w:szCs w:val="20"/>
              </w:rPr>
            </w:pPr>
            <w:hyperlink r:id="rId49">
              <w:r w:rsidR="008E3F72" w:rsidRPr="00FB5D57">
                <w:rPr>
                  <w:noProof/>
                  <w:sz w:val="20"/>
                  <w:szCs w:val="20"/>
                </w:rPr>
                <w:t>l.valli@crpa.it</w:t>
              </w:r>
            </w:hyperlink>
          </w:p>
        </w:tc>
        <w:tc>
          <w:tcPr>
            <w:tcW w:w="732" w:type="pct"/>
            <w:tcBorders>
              <w:top w:val="nil"/>
              <w:left w:val="nil"/>
              <w:bottom w:val="nil"/>
              <w:right w:val="nil"/>
            </w:tcBorders>
          </w:tcPr>
          <w:p w14:paraId="75E0465B"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Itālija</w:t>
            </w:r>
          </w:p>
        </w:tc>
      </w:tr>
      <w:tr w:rsidR="008E3F72" w:rsidRPr="00FB5D57" w14:paraId="14B7C182" w14:textId="77777777" w:rsidTr="0010018A">
        <w:tc>
          <w:tcPr>
            <w:tcW w:w="1159" w:type="pct"/>
            <w:tcBorders>
              <w:top w:val="nil"/>
              <w:left w:val="nil"/>
              <w:bottom w:val="nil"/>
              <w:right w:val="nil"/>
            </w:tcBorders>
            <w:shd w:val="clear" w:color="auto" w:fill="C0C0C0"/>
          </w:tcPr>
          <w:p w14:paraId="4184970E"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B. Wade</w:t>
            </w:r>
          </w:p>
        </w:tc>
        <w:tc>
          <w:tcPr>
            <w:tcW w:w="1391" w:type="pct"/>
            <w:tcBorders>
              <w:top w:val="nil"/>
              <w:left w:val="nil"/>
              <w:bottom w:val="nil"/>
              <w:right w:val="nil"/>
            </w:tcBorders>
            <w:shd w:val="clear" w:color="auto" w:fill="C0C0C0"/>
          </w:tcPr>
          <w:p w14:paraId="16A3C529" w14:textId="77777777" w:rsidR="008E3F72" w:rsidRPr="00FB5D57" w:rsidRDefault="008E3F72" w:rsidP="00FB5D57">
            <w:pPr>
              <w:pStyle w:val="TableParagraph"/>
              <w:widowControl/>
              <w:kinsoku w:val="0"/>
              <w:overflowPunct w:val="0"/>
              <w:jc w:val="center"/>
              <w:rPr>
                <w:noProof/>
                <w:sz w:val="20"/>
                <w:szCs w:val="20"/>
              </w:rPr>
            </w:pPr>
            <w:r w:rsidRPr="00FB5D57">
              <w:rPr>
                <w:i/>
                <w:sz w:val="20"/>
                <w:szCs w:val="20"/>
              </w:rPr>
              <w:t>Agrotain</w:t>
            </w:r>
          </w:p>
        </w:tc>
        <w:tc>
          <w:tcPr>
            <w:tcW w:w="1719" w:type="pct"/>
            <w:tcBorders>
              <w:top w:val="nil"/>
              <w:left w:val="nil"/>
              <w:bottom w:val="nil"/>
              <w:right w:val="nil"/>
            </w:tcBorders>
            <w:shd w:val="clear" w:color="auto" w:fill="C0C0C0"/>
          </w:tcPr>
          <w:p w14:paraId="23CF7DE7"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nav norādīts</w:t>
            </w:r>
          </w:p>
        </w:tc>
        <w:tc>
          <w:tcPr>
            <w:tcW w:w="732" w:type="pct"/>
            <w:tcBorders>
              <w:top w:val="nil"/>
              <w:left w:val="nil"/>
              <w:bottom w:val="nil"/>
              <w:right w:val="nil"/>
            </w:tcBorders>
            <w:shd w:val="clear" w:color="auto" w:fill="C0C0C0"/>
          </w:tcPr>
          <w:p w14:paraId="6A1DCFBF"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Šveice</w:t>
            </w:r>
          </w:p>
        </w:tc>
      </w:tr>
      <w:tr w:rsidR="008E3F72" w:rsidRPr="00FB5D57" w14:paraId="08BF3822" w14:textId="77777777" w:rsidTr="0010018A">
        <w:tc>
          <w:tcPr>
            <w:tcW w:w="1159" w:type="pct"/>
            <w:tcBorders>
              <w:top w:val="nil"/>
              <w:left w:val="nil"/>
              <w:bottom w:val="nil"/>
              <w:right w:val="nil"/>
            </w:tcBorders>
          </w:tcPr>
          <w:p w14:paraId="68875A03"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J. Webb</w:t>
            </w:r>
          </w:p>
        </w:tc>
        <w:tc>
          <w:tcPr>
            <w:tcW w:w="1391" w:type="pct"/>
            <w:tcBorders>
              <w:top w:val="nil"/>
              <w:left w:val="nil"/>
              <w:bottom w:val="nil"/>
              <w:right w:val="nil"/>
            </w:tcBorders>
          </w:tcPr>
          <w:p w14:paraId="2B95115D"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Ricardo-AEA</w:t>
            </w:r>
          </w:p>
        </w:tc>
        <w:tc>
          <w:tcPr>
            <w:tcW w:w="1719" w:type="pct"/>
            <w:tcBorders>
              <w:top w:val="nil"/>
              <w:left w:val="nil"/>
              <w:bottom w:val="nil"/>
              <w:right w:val="nil"/>
            </w:tcBorders>
          </w:tcPr>
          <w:p w14:paraId="10C7E252" w14:textId="77777777" w:rsidR="008E3F72" w:rsidRPr="00FB5D57" w:rsidRDefault="0085568E" w:rsidP="0010018A">
            <w:pPr>
              <w:pStyle w:val="TableParagraph"/>
              <w:widowControl/>
              <w:kinsoku w:val="0"/>
              <w:overflowPunct w:val="0"/>
              <w:jc w:val="both"/>
              <w:rPr>
                <w:noProof/>
                <w:sz w:val="20"/>
                <w:szCs w:val="20"/>
              </w:rPr>
            </w:pPr>
            <w:hyperlink r:id="rId50">
              <w:r w:rsidR="008E3F72" w:rsidRPr="00FB5D57">
                <w:rPr>
                  <w:noProof/>
                  <w:sz w:val="20"/>
                  <w:szCs w:val="20"/>
                </w:rPr>
                <w:t>j.webb@ricardo-aea.com</w:t>
              </w:r>
            </w:hyperlink>
          </w:p>
        </w:tc>
        <w:tc>
          <w:tcPr>
            <w:tcW w:w="732" w:type="pct"/>
            <w:tcBorders>
              <w:top w:val="nil"/>
              <w:left w:val="nil"/>
              <w:bottom w:val="nil"/>
              <w:right w:val="nil"/>
            </w:tcBorders>
          </w:tcPr>
          <w:p w14:paraId="5F422CD8"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Apvienotā Karaliste</w:t>
            </w:r>
          </w:p>
        </w:tc>
      </w:tr>
      <w:tr w:rsidR="008E3F72" w:rsidRPr="00FB5D57" w14:paraId="69DABA5E" w14:textId="77777777" w:rsidTr="0010018A">
        <w:tc>
          <w:tcPr>
            <w:tcW w:w="1159" w:type="pct"/>
            <w:tcBorders>
              <w:top w:val="nil"/>
              <w:left w:val="nil"/>
              <w:bottom w:val="nil"/>
              <w:right w:val="nil"/>
            </w:tcBorders>
            <w:shd w:val="clear" w:color="auto" w:fill="C0C0C0"/>
          </w:tcPr>
          <w:p w14:paraId="2AD925C7" w14:textId="77777777" w:rsidR="008E3F72" w:rsidRPr="00FB5D57" w:rsidRDefault="008E3F72" w:rsidP="0010018A">
            <w:pPr>
              <w:pStyle w:val="TableParagraph"/>
              <w:widowControl/>
              <w:kinsoku w:val="0"/>
              <w:overflowPunct w:val="0"/>
              <w:jc w:val="both"/>
              <w:rPr>
                <w:b/>
                <w:bCs/>
                <w:noProof/>
                <w:sz w:val="20"/>
                <w:szCs w:val="20"/>
              </w:rPr>
            </w:pPr>
            <w:r w:rsidRPr="00FB5D57">
              <w:rPr>
                <w:b/>
                <w:noProof/>
                <w:sz w:val="20"/>
                <w:szCs w:val="20"/>
              </w:rPr>
              <w:lastRenderedPageBreak/>
              <w:t>W. Winiwarter</w:t>
            </w:r>
          </w:p>
        </w:tc>
        <w:tc>
          <w:tcPr>
            <w:tcW w:w="1391" w:type="pct"/>
            <w:tcBorders>
              <w:top w:val="nil"/>
              <w:left w:val="nil"/>
              <w:bottom w:val="nil"/>
              <w:right w:val="nil"/>
            </w:tcBorders>
            <w:shd w:val="clear" w:color="auto" w:fill="C0C0C0"/>
          </w:tcPr>
          <w:p w14:paraId="678B0A53" w14:textId="77777777" w:rsidR="008E3F72" w:rsidRPr="00FB5D57" w:rsidRDefault="008E3F72" w:rsidP="00FB5D57">
            <w:pPr>
              <w:pStyle w:val="TableParagraph"/>
              <w:widowControl/>
              <w:kinsoku w:val="0"/>
              <w:overflowPunct w:val="0"/>
              <w:jc w:val="center"/>
              <w:rPr>
                <w:noProof/>
                <w:sz w:val="20"/>
                <w:szCs w:val="20"/>
              </w:rPr>
            </w:pPr>
            <w:r w:rsidRPr="00FB5D57">
              <w:rPr>
                <w:sz w:val="20"/>
                <w:szCs w:val="20"/>
              </w:rPr>
              <w:t>Starptautiskais Lietišķo sistēmu analīzes institūts (</w:t>
            </w:r>
            <w:r w:rsidRPr="00FB5D57">
              <w:rPr>
                <w:i/>
                <w:sz w:val="20"/>
                <w:szCs w:val="20"/>
              </w:rPr>
              <w:t>International Institute for Applied Systems Analysis (IIASA)</w:t>
            </w:r>
            <w:r w:rsidRPr="00FB5D57">
              <w:rPr>
                <w:sz w:val="20"/>
                <w:szCs w:val="20"/>
              </w:rPr>
              <w:t>)</w:t>
            </w:r>
          </w:p>
        </w:tc>
        <w:tc>
          <w:tcPr>
            <w:tcW w:w="1719" w:type="pct"/>
            <w:tcBorders>
              <w:top w:val="nil"/>
              <w:left w:val="nil"/>
              <w:bottom w:val="nil"/>
              <w:right w:val="nil"/>
            </w:tcBorders>
            <w:shd w:val="clear" w:color="auto" w:fill="C0C0C0"/>
          </w:tcPr>
          <w:p w14:paraId="5C17F37C" w14:textId="77777777" w:rsidR="008E3F72" w:rsidRPr="00FB5D57" w:rsidRDefault="0085568E" w:rsidP="0010018A">
            <w:pPr>
              <w:pStyle w:val="TableParagraph"/>
              <w:widowControl/>
              <w:kinsoku w:val="0"/>
              <w:overflowPunct w:val="0"/>
              <w:jc w:val="both"/>
              <w:rPr>
                <w:noProof/>
                <w:sz w:val="20"/>
                <w:szCs w:val="20"/>
              </w:rPr>
            </w:pPr>
            <w:hyperlink r:id="rId51">
              <w:r w:rsidR="008E3F72" w:rsidRPr="00FB5D57">
                <w:rPr>
                  <w:noProof/>
                  <w:sz w:val="20"/>
                  <w:szCs w:val="20"/>
                </w:rPr>
                <w:t>winiwart@iiasa.ac.at</w:t>
              </w:r>
            </w:hyperlink>
          </w:p>
        </w:tc>
        <w:tc>
          <w:tcPr>
            <w:tcW w:w="732" w:type="pct"/>
            <w:tcBorders>
              <w:top w:val="nil"/>
              <w:left w:val="nil"/>
              <w:bottom w:val="nil"/>
              <w:right w:val="nil"/>
            </w:tcBorders>
            <w:shd w:val="clear" w:color="auto" w:fill="C0C0C0"/>
          </w:tcPr>
          <w:p w14:paraId="1DE4B404"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Austrija</w:t>
            </w:r>
          </w:p>
        </w:tc>
      </w:tr>
      <w:tr w:rsidR="008E3F72" w:rsidRPr="00FB5D57" w14:paraId="48D9778D" w14:textId="77777777" w:rsidTr="0010018A">
        <w:tc>
          <w:tcPr>
            <w:tcW w:w="1159" w:type="pct"/>
            <w:tcBorders>
              <w:top w:val="nil"/>
              <w:left w:val="nil"/>
              <w:bottom w:val="single" w:sz="8" w:space="0" w:color="000000"/>
              <w:right w:val="nil"/>
            </w:tcBorders>
          </w:tcPr>
          <w:p w14:paraId="072C9BD7" w14:textId="77777777" w:rsidR="008E3F72" w:rsidRPr="00FB5D57" w:rsidRDefault="008E3F72" w:rsidP="0010018A">
            <w:pPr>
              <w:pStyle w:val="TableParagraph"/>
              <w:widowControl/>
              <w:kinsoku w:val="0"/>
              <w:overflowPunct w:val="0"/>
              <w:jc w:val="both"/>
              <w:rPr>
                <w:b/>
                <w:bCs/>
                <w:noProof/>
                <w:sz w:val="20"/>
                <w:szCs w:val="20"/>
              </w:rPr>
            </w:pPr>
            <w:r w:rsidRPr="00FB5D57">
              <w:rPr>
                <w:b/>
                <w:i/>
                <w:noProof/>
                <w:sz w:val="20"/>
                <w:szCs w:val="20"/>
              </w:rPr>
              <w:t>S. Wulf</w:t>
            </w:r>
          </w:p>
        </w:tc>
        <w:tc>
          <w:tcPr>
            <w:tcW w:w="1391" w:type="pct"/>
            <w:tcBorders>
              <w:top w:val="nil"/>
              <w:left w:val="nil"/>
              <w:bottom w:val="single" w:sz="8" w:space="0" w:color="000000"/>
              <w:right w:val="nil"/>
            </w:tcBorders>
          </w:tcPr>
          <w:p w14:paraId="55634BF7" w14:textId="77777777" w:rsidR="008E3F72" w:rsidRPr="00FB5D57" w:rsidRDefault="008E3F72" w:rsidP="00FB5D57">
            <w:pPr>
              <w:pStyle w:val="TableParagraph"/>
              <w:widowControl/>
              <w:kinsoku w:val="0"/>
              <w:overflowPunct w:val="0"/>
              <w:jc w:val="center"/>
              <w:rPr>
                <w:noProof/>
                <w:sz w:val="20"/>
                <w:szCs w:val="20"/>
              </w:rPr>
            </w:pPr>
            <w:r w:rsidRPr="00FB5D57">
              <w:rPr>
                <w:i/>
                <w:sz w:val="20"/>
                <w:szCs w:val="20"/>
              </w:rPr>
              <w:t>Kuratorium für Technik und Bauwesen in der Landwirtschaft</w:t>
            </w:r>
            <w:r w:rsidRPr="00FB5D57">
              <w:rPr>
                <w:sz w:val="20"/>
                <w:szCs w:val="20"/>
              </w:rPr>
              <w:t xml:space="preserve"> (</w:t>
            </w:r>
            <w:r w:rsidRPr="00FB5D57">
              <w:rPr>
                <w:i/>
                <w:sz w:val="20"/>
                <w:szCs w:val="20"/>
              </w:rPr>
              <w:t>KTBL</w:t>
            </w:r>
            <w:r w:rsidRPr="00FB5D57">
              <w:rPr>
                <w:sz w:val="20"/>
                <w:szCs w:val="20"/>
              </w:rPr>
              <w:t>)</w:t>
            </w:r>
          </w:p>
        </w:tc>
        <w:tc>
          <w:tcPr>
            <w:tcW w:w="1719" w:type="pct"/>
            <w:tcBorders>
              <w:top w:val="nil"/>
              <w:left w:val="nil"/>
              <w:bottom w:val="single" w:sz="8" w:space="0" w:color="000000"/>
              <w:right w:val="nil"/>
            </w:tcBorders>
          </w:tcPr>
          <w:p w14:paraId="5D6619CC" w14:textId="77777777" w:rsidR="008E3F72" w:rsidRPr="00FB5D57" w:rsidRDefault="0085568E" w:rsidP="0010018A">
            <w:pPr>
              <w:pStyle w:val="TableParagraph"/>
              <w:widowControl/>
              <w:kinsoku w:val="0"/>
              <w:overflowPunct w:val="0"/>
              <w:jc w:val="both"/>
              <w:rPr>
                <w:noProof/>
                <w:sz w:val="20"/>
                <w:szCs w:val="20"/>
              </w:rPr>
            </w:pPr>
            <w:hyperlink r:id="rId52">
              <w:r w:rsidR="008E3F72" w:rsidRPr="00FB5D57">
                <w:rPr>
                  <w:noProof/>
                  <w:sz w:val="20"/>
                  <w:szCs w:val="20"/>
                </w:rPr>
                <w:t>s.wulf@ktbl.de</w:t>
              </w:r>
            </w:hyperlink>
          </w:p>
        </w:tc>
        <w:tc>
          <w:tcPr>
            <w:tcW w:w="732" w:type="pct"/>
            <w:tcBorders>
              <w:top w:val="nil"/>
              <w:left w:val="nil"/>
              <w:bottom w:val="single" w:sz="8" w:space="0" w:color="000000"/>
              <w:right w:val="nil"/>
            </w:tcBorders>
          </w:tcPr>
          <w:p w14:paraId="30F8837F" w14:textId="77777777" w:rsidR="008E3F72" w:rsidRPr="00FB5D57" w:rsidRDefault="008E3F72" w:rsidP="0010018A">
            <w:pPr>
              <w:pStyle w:val="TableParagraph"/>
              <w:widowControl/>
              <w:kinsoku w:val="0"/>
              <w:overflowPunct w:val="0"/>
              <w:jc w:val="both"/>
              <w:rPr>
                <w:noProof/>
                <w:sz w:val="20"/>
                <w:szCs w:val="20"/>
              </w:rPr>
            </w:pPr>
            <w:r w:rsidRPr="00FB5D57">
              <w:rPr>
                <w:sz w:val="20"/>
                <w:szCs w:val="20"/>
              </w:rPr>
              <w:t>Vācija</w:t>
            </w:r>
          </w:p>
        </w:tc>
      </w:tr>
    </w:tbl>
    <w:p w14:paraId="59CC42F3" w14:textId="77777777" w:rsidR="008E3F72" w:rsidRPr="00F35F4D" w:rsidRDefault="008E3F72" w:rsidP="008E3F72">
      <w:pPr>
        <w:pStyle w:val="BodyText"/>
        <w:widowControl/>
        <w:kinsoku w:val="0"/>
        <w:overflowPunct w:val="0"/>
        <w:spacing w:before="0"/>
        <w:ind w:left="0"/>
        <w:jc w:val="both"/>
        <w:rPr>
          <w:noProof/>
          <w:sz w:val="24"/>
          <w:szCs w:val="24"/>
        </w:rPr>
      </w:pPr>
    </w:p>
    <w:p w14:paraId="0C313F3E" w14:textId="77777777" w:rsidR="008E3F72" w:rsidRPr="00F35F4D" w:rsidRDefault="008E3F72" w:rsidP="008E3F72">
      <w:pPr>
        <w:jc w:val="both"/>
        <w:rPr>
          <w:noProof/>
        </w:rPr>
      </w:pPr>
      <w:r w:rsidRPr="00F35F4D">
        <w:br w:type="page"/>
      </w:r>
    </w:p>
    <w:tbl>
      <w:tblPr>
        <w:tblStyle w:val="TableGrid"/>
        <w:tblW w:w="0" w:type="auto"/>
        <w:tblLook w:val="04A0" w:firstRow="1" w:lastRow="0" w:firstColumn="1" w:lastColumn="0" w:noHBand="0" w:noVBand="1"/>
      </w:tblPr>
      <w:tblGrid>
        <w:gridCol w:w="8181"/>
      </w:tblGrid>
      <w:tr w:rsidR="008E3F72" w:rsidRPr="00F35F4D" w14:paraId="68B67474" w14:textId="77777777" w:rsidTr="008E3F72">
        <w:tc>
          <w:tcPr>
            <w:tcW w:w="8181" w:type="dxa"/>
            <w:shd w:val="clear" w:color="auto" w:fill="2E74B5"/>
          </w:tcPr>
          <w:p w14:paraId="5853F4A1" w14:textId="77777777" w:rsidR="008E3F72" w:rsidRPr="00F35F4D" w:rsidRDefault="008E3F72" w:rsidP="0010018A">
            <w:pPr>
              <w:jc w:val="both"/>
              <w:rPr>
                <w:noProof/>
                <w:color w:val="FFFFFF"/>
                <w:sz w:val="28"/>
              </w:rPr>
            </w:pPr>
            <w:r w:rsidRPr="00F35F4D">
              <w:rPr>
                <w:noProof/>
                <w:color w:val="FFFFFF"/>
                <w:sz w:val="28"/>
              </w:rPr>
              <w:lastRenderedPageBreak/>
              <w:t>„Amonjaka emisijas samazināšanas iespējas – Ķīmiski aktīvā slāpekļa darba grupas metodiskie norādījumi ir tapuši liela darba rezultātā, cenšoties apkopot un aktualizēt zināšanas par to, kā kontrolēt lauksaimniecības radīto amonjaka emisiju atmosfērā.</w:t>
            </w:r>
          </w:p>
          <w:p w14:paraId="27DCACCA" w14:textId="77777777" w:rsidR="008E3F72" w:rsidRPr="00F35F4D" w:rsidRDefault="008E3F72" w:rsidP="0010018A">
            <w:pPr>
              <w:jc w:val="both"/>
              <w:rPr>
                <w:noProof/>
                <w:color w:val="FFFFFF"/>
              </w:rPr>
            </w:pPr>
          </w:p>
          <w:p w14:paraId="57DD953A" w14:textId="77777777" w:rsidR="008E3F72" w:rsidRPr="00F35F4D" w:rsidRDefault="008E3F72" w:rsidP="0010018A">
            <w:pPr>
              <w:jc w:val="both"/>
              <w:rPr>
                <w:noProof/>
                <w:color w:val="FFFFFF"/>
              </w:rPr>
            </w:pPr>
            <w:r w:rsidRPr="00F35F4D">
              <w:rPr>
                <w:noProof/>
                <w:color w:val="FFFFFF"/>
              </w:rPr>
              <w:t>ANO Eiropas Ekonomikas komisijas Konvencijas par robežšķērsojošo gaisa piesārņošanu lielos attālumos (</w:t>
            </w:r>
            <w:r w:rsidRPr="00F35F4D">
              <w:rPr>
                <w:i/>
                <w:noProof/>
                <w:color w:val="FFFFFF"/>
              </w:rPr>
              <w:t>CLTRAP</w:t>
            </w:r>
            <w:r w:rsidRPr="00F35F4D">
              <w:rPr>
                <w:noProof/>
                <w:color w:val="FFFFFF"/>
              </w:rPr>
              <w:t xml:space="preserve">) Gēteborgas protokolā ir noteikti maksimāli pieļaujamie amonjaka emisijas daudzumi valstu līmenī, kā arī obligātie amonjaka emisijas mazināšanas pasākumi, kas izklāstīti Protokola IX pielikumā. Lai sniegtu atbalstu </w:t>
            </w:r>
            <w:r w:rsidRPr="00F35F4D">
              <w:rPr>
                <w:i/>
                <w:noProof/>
                <w:color w:val="FFFFFF"/>
              </w:rPr>
              <w:t>CLTRAP</w:t>
            </w:r>
            <w:r w:rsidRPr="00F35F4D">
              <w:rPr>
                <w:noProof/>
                <w:color w:val="FFFFFF"/>
              </w:rPr>
              <w:t xml:space="preserve"> Pusēm šo saistību izpildē, Konvencijas izpildinstitūcijas 17. sesija 1999. gadā pieņēma lēmumu izstrādāt „Metodiskos norādījumus par amonjaku” (</w:t>
            </w:r>
            <w:r w:rsidRPr="00F35F4D">
              <w:rPr>
                <w:i/>
                <w:noProof/>
                <w:color w:val="FFFFFF"/>
              </w:rPr>
              <w:t>Ammonia Guidance Document</w:t>
            </w:r>
            <w:r w:rsidRPr="00F35F4D">
              <w:rPr>
                <w:noProof/>
                <w:color w:val="FFFFFF"/>
              </w:rPr>
              <w:t>).</w:t>
            </w:r>
          </w:p>
          <w:p w14:paraId="6AB2B5B9" w14:textId="77777777" w:rsidR="008E3F72" w:rsidRPr="00F35F4D" w:rsidRDefault="008E3F72" w:rsidP="0010018A">
            <w:pPr>
              <w:jc w:val="both"/>
              <w:rPr>
                <w:noProof/>
                <w:color w:val="FFFFFF"/>
              </w:rPr>
            </w:pPr>
          </w:p>
          <w:p w14:paraId="64F26A5F" w14:textId="77777777" w:rsidR="008E3F72" w:rsidRPr="00F35F4D" w:rsidRDefault="008E3F72" w:rsidP="0010018A">
            <w:pPr>
              <w:jc w:val="both"/>
              <w:rPr>
                <w:noProof/>
                <w:color w:val="FFFFFF"/>
              </w:rPr>
            </w:pPr>
            <w:r w:rsidRPr="00F35F4D">
              <w:rPr>
                <w:noProof/>
                <w:color w:val="FFFFFF"/>
              </w:rPr>
              <w:t>„Metodisko norādījumu par amonjaku” pirmais pārstrādātais izdevums tika pabeigts neilgi pirms tam, kad 2005. gadā stājās spēkā Gēteborgas protokols. Kopš tā laika ir kļuvis pieejams ievērojams daudzums papildu informācijas par amonjaka emisijas samazināšanas metodēm, to izmaksām, sniegto guvumu un praktiskiem jautājumiem. Arī pats Gēteborgas protokols ir ievērojami pārskatīts, 2012. gada maijā pieņemot jaunus maksimāli pieļaujamos emisijas daudzumus un noteikumus (Izpildinstitūcijas Lēmums 2012/1). Šīm vajadzībām un saskaņā ar Izpildinstitūcijas apstiprināto darba plānu Ķīmiski aktīvā slāpekļa darba grupa ir sagatavojusi šo „Metodisko norādījumu par amonjaku” pārskatīto variantu.</w:t>
            </w:r>
          </w:p>
          <w:p w14:paraId="42E7BB7E" w14:textId="77777777" w:rsidR="008E3F72" w:rsidRPr="00F35F4D" w:rsidRDefault="008E3F72" w:rsidP="0010018A">
            <w:pPr>
              <w:jc w:val="both"/>
              <w:rPr>
                <w:noProof/>
                <w:color w:val="FFFFFF"/>
              </w:rPr>
            </w:pPr>
          </w:p>
          <w:p w14:paraId="4F10A9B6" w14:textId="461D5F78" w:rsidR="008E3F72" w:rsidRPr="00F35F4D" w:rsidRDefault="008E3F72" w:rsidP="0010018A">
            <w:pPr>
              <w:jc w:val="both"/>
              <w:rPr>
                <w:noProof/>
                <w:color w:val="FFFFFF"/>
              </w:rPr>
            </w:pPr>
            <w:r w:rsidRPr="00F35F4D">
              <w:rPr>
                <w:noProof/>
                <w:color w:val="FFFFFF"/>
              </w:rPr>
              <w:t xml:space="preserve">Ziņojumā </w:t>
            </w:r>
            <w:r w:rsidRPr="00F35F4D">
              <w:rPr>
                <w:i/>
                <w:noProof/>
                <w:color w:val="FFFFFF"/>
              </w:rPr>
              <w:t>CLTRAP</w:t>
            </w:r>
            <w:r w:rsidRPr="00F35F4D">
              <w:rPr>
                <w:noProof/>
                <w:color w:val="FFFFFF"/>
              </w:rPr>
              <w:t xml:space="preserve"> Darba grupai stratēģiju un pārskatīšanas jautājumos Ķīmiski aktīvā slāpekļa darba grupa norāda uz „ilgtermiņa mērķi izstrādāt tehnisko un zinātnisko informāciju un variantus, ko varētu izmantot visā ANO Eiropas Ekonomikas komisijas reģionā, lai, ņemot vērā slāpekļa</w:t>
            </w:r>
            <w:r w:rsidR="00BA688C">
              <w:rPr>
                <w:noProof/>
                <w:color w:val="FFFFFF"/>
              </w:rPr>
              <w:t xml:space="preserve"> aprites</w:t>
            </w:r>
            <w:r w:rsidRPr="00F35F4D">
              <w:rPr>
                <w:noProof/>
                <w:color w:val="FFFFFF"/>
              </w:rPr>
              <w:t xml:space="preserve"> ciklu, labāk saskaņotu gaisa piesārņošanas mazināšanas politiku slāpekļa jomā un darītu to tā, lai šo politiku spētu izmantot arī struktūras ārpus Konvencijas, apsverot citus kontroles pasākumus” (www.clrtap-tfrn.org). Šis ziņojums, kurā ir apkopota bagātīga informācija, kas lieti noder valdībām, konsultantiem un padomdevējiem lauksaimniecības jautājumos, ir ieguldījums šī mērķa sasniegšanā.</w:t>
            </w:r>
          </w:p>
          <w:p w14:paraId="4D4B9C42" w14:textId="77777777" w:rsidR="008E3F72" w:rsidRPr="00F35F4D" w:rsidRDefault="008E3F72" w:rsidP="0010018A">
            <w:pPr>
              <w:jc w:val="both"/>
              <w:rPr>
                <w:noProof/>
              </w:rPr>
            </w:pPr>
          </w:p>
        </w:tc>
      </w:tr>
    </w:tbl>
    <w:p w14:paraId="3A9E763C" w14:textId="77777777" w:rsidR="008E3F72" w:rsidRPr="00F35F4D" w:rsidRDefault="008E3F72" w:rsidP="008E3F72">
      <w:pPr>
        <w:jc w:val="both"/>
        <w:rPr>
          <w:noProof/>
        </w:rPr>
      </w:pPr>
    </w:p>
    <w:p w14:paraId="6C2AAB71" w14:textId="7CE7B7DB" w:rsidR="008E3F72" w:rsidRPr="00F35F4D" w:rsidRDefault="00720C1E" w:rsidP="008E3F72">
      <w:pPr>
        <w:jc w:val="both"/>
        <w:rPr>
          <w:noProof/>
        </w:rPr>
      </w:pPr>
      <w:r w:rsidRPr="00F35F4D">
        <w:rPr>
          <w:noProof/>
          <w:lang w:bidi="ar-SA"/>
        </w:rPr>
        <w:drawing>
          <wp:inline distT="0" distB="0" distL="0" distR="0" wp14:anchorId="540936D5" wp14:editId="054681A1">
            <wp:extent cx="2386965" cy="7956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86965" cy="795655"/>
                    </a:xfrm>
                    <a:prstGeom prst="rect">
                      <a:avLst/>
                    </a:prstGeom>
                    <a:noFill/>
                    <a:ln>
                      <a:noFill/>
                    </a:ln>
                  </pic:spPr>
                </pic:pic>
              </a:graphicData>
            </a:graphic>
          </wp:inline>
        </w:drawing>
      </w:r>
    </w:p>
    <w:p w14:paraId="3C00117A" w14:textId="77777777" w:rsidR="008E3F72" w:rsidRPr="00F35F4D" w:rsidRDefault="008E3F72" w:rsidP="008E3F72">
      <w:pPr>
        <w:jc w:val="both"/>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0"/>
        <w:gridCol w:w="4091"/>
      </w:tblGrid>
      <w:tr w:rsidR="008E3F72" w:rsidRPr="00F35F4D" w14:paraId="4341975F" w14:textId="77777777" w:rsidTr="00FB5D57">
        <w:tc>
          <w:tcPr>
            <w:tcW w:w="4090" w:type="dxa"/>
          </w:tcPr>
          <w:p w14:paraId="69AB3FDF" w14:textId="77777777" w:rsidR="008E3F72" w:rsidRPr="00F35F4D" w:rsidRDefault="008E3F72" w:rsidP="0010018A">
            <w:pPr>
              <w:jc w:val="both"/>
              <w:rPr>
                <w:noProof/>
              </w:rPr>
            </w:pPr>
            <w:r w:rsidRPr="00F35F4D">
              <w:t>Dabiskās vides pētniecības padomes</w:t>
            </w:r>
          </w:p>
        </w:tc>
        <w:tc>
          <w:tcPr>
            <w:tcW w:w="4091" w:type="dxa"/>
          </w:tcPr>
          <w:p w14:paraId="69BE43F2" w14:textId="77777777" w:rsidR="008E3F72" w:rsidRPr="00F35F4D" w:rsidRDefault="008E3F72" w:rsidP="0010018A">
            <w:pPr>
              <w:jc w:val="both"/>
              <w:rPr>
                <w:noProof/>
              </w:rPr>
            </w:pPr>
          </w:p>
        </w:tc>
      </w:tr>
      <w:tr w:rsidR="008E3F72" w:rsidRPr="00F35F4D" w14:paraId="0477090D" w14:textId="77777777" w:rsidTr="00FB5D57">
        <w:tc>
          <w:tcPr>
            <w:tcW w:w="4090" w:type="dxa"/>
          </w:tcPr>
          <w:p w14:paraId="4658E609" w14:textId="77777777" w:rsidR="008E3F72" w:rsidRPr="00F35F4D" w:rsidRDefault="008E3F72" w:rsidP="0010018A">
            <w:pPr>
              <w:jc w:val="both"/>
              <w:rPr>
                <w:noProof/>
              </w:rPr>
            </w:pPr>
            <w:r w:rsidRPr="00F35F4D">
              <w:t>Ekoloģijas un hidroloģijas centrs</w:t>
            </w:r>
          </w:p>
        </w:tc>
        <w:tc>
          <w:tcPr>
            <w:tcW w:w="4091" w:type="dxa"/>
          </w:tcPr>
          <w:p w14:paraId="5B7DCEE5" w14:textId="77777777" w:rsidR="008E3F72" w:rsidRPr="00F35F4D" w:rsidRDefault="008E3F72" w:rsidP="0010018A">
            <w:pPr>
              <w:jc w:val="both"/>
              <w:rPr>
                <w:noProof/>
              </w:rPr>
            </w:pPr>
          </w:p>
        </w:tc>
      </w:tr>
    </w:tbl>
    <w:p w14:paraId="65A2F3BD" w14:textId="77777777" w:rsidR="008E3F72" w:rsidRPr="00F35F4D" w:rsidRDefault="008E3F72" w:rsidP="008E3F72">
      <w:pPr>
        <w:jc w:val="both"/>
        <w:rPr>
          <w:noProof/>
        </w:rPr>
      </w:pPr>
    </w:p>
    <w:p w14:paraId="376D8675" w14:textId="77777777" w:rsidR="008E3F72" w:rsidRPr="00F35F4D" w:rsidRDefault="008E3F72" w:rsidP="008E3F72">
      <w:pPr>
        <w:jc w:val="both"/>
        <w:rPr>
          <w:noProof/>
        </w:rPr>
      </w:pPr>
    </w:p>
    <w:sectPr w:rsidR="008E3F72" w:rsidRPr="00F35F4D" w:rsidSect="006178D5">
      <w:headerReference w:type="default" r:id="rId54"/>
      <w:footerReference w:type="default" r:id="rId55"/>
      <w:headerReference w:type="first" r:id="rId56"/>
      <w:footerReference w:type="first" r:id="rId57"/>
      <w:pgSz w:w="11907" w:h="16840" w:code="9"/>
      <w:pgMar w:top="1134" w:right="1134" w:bottom="1134" w:left="1701" w:header="567" w:footer="567" w:gutter="0"/>
      <w:cols w:space="720" w:equalWidth="0">
        <w:col w:w="8226"/>
      </w:cols>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41E32" w14:textId="77777777" w:rsidR="0085568E" w:rsidRPr="008E3F72" w:rsidRDefault="0085568E">
      <w:pPr>
        <w:rPr>
          <w:noProof/>
          <w:lang w:val="en-US"/>
        </w:rPr>
      </w:pPr>
      <w:r w:rsidRPr="008E3F72">
        <w:rPr>
          <w:noProof/>
          <w:lang w:val="en-US"/>
        </w:rPr>
        <w:separator/>
      </w:r>
    </w:p>
  </w:endnote>
  <w:endnote w:type="continuationSeparator" w:id="0">
    <w:p w14:paraId="7F80A779" w14:textId="77777777" w:rsidR="0085568E" w:rsidRPr="008E3F72" w:rsidRDefault="0085568E">
      <w:pPr>
        <w:rPr>
          <w:noProof/>
          <w:lang w:val="en-US"/>
        </w:rPr>
      </w:pPr>
      <w:r w:rsidRPr="008E3F7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Calibri">
    <w:panose1 w:val="020F0502020204030204"/>
    <w:charset w:val="BA"/>
    <w:family w:val="swiss"/>
    <w:pitch w:val="variable"/>
    <w:sig w:usb0="E00002FF" w:usb1="4000A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E7325" w14:textId="77777777" w:rsidR="0085568E" w:rsidRPr="005D04BD" w:rsidRDefault="0085568E" w:rsidP="006178D5">
    <w:pPr>
      <w:pStyle w:val="Header"/>
      <w:tabs>
        <w:tab w:val="clear" w:pos="4153"/>
        <w:tab w:val="clear" w:pos="8306"/>
        <w:tab w:val="left" w:pos="9072"/>
      </w:tabs>
      <w:rPr>
        <w:rStyle w:val="PageNumber"/>
        <w:sz w:val="18"/>
        <w:szCs w:val="18"/>
      </w:rPr>
    </w:pPr>
  </w:p>
  <w:p w14:paraId="29D431FA" w14:textId="77777777" w:rsidR="0085568E" w:rsidRPr="005D04BD" w:rsidRDefault="0085568E" w:rsidP="006178D5">
    <w:pPr>
      <w:pStyle w:val="Header"/>
      <w:tabs>
        <w:tab w:val="clear" w:pos="4153"/>
        <w:tab w:val="clear" w:pos="8306"/>
        <w:tab w:val="right" w:leader="underscore" w:pos="9072"/>
      </w:tabs>
      <w:rPr>
        <w:rStyle w:val="PageNumber"/>
        <w:sz w:val="18"/>
        <w:szCs w:val="18"/>
      </w:rPr>
    </w:pPr>
    <w:r w:rsidRPr="005D04BD">
      <w:rPr>
        <w:rStyle w:val="PageNumber"/>
        <w:sz w:val="18"/>
        <w:szCs w:val="18"/>
      </w:rPr>
      <w:tab/>
    </w:r>
  </w:p>
  <w:p w14:paraId="4C8E0E00" w14:textId="77777777" w:rsidR="0085568E" w:rsidRPr="005D04BD" w:rsidRDefault="0085568E" w:rsidP="006178D5">
    <w:pPr>
      <w:pStyle w:val="Header"/>
      <w:tabs>
        <w:tab w:val="clear" w:pos="4153"/>
        <w:tab w:val="clear" w:pos="8306"/>
        <w:tab w:val="right" w:pos="9072"/>
      </w:tabs>
      <w:rPr>
        <w:rStyle w:val="PageNumber"/>
        <w:sz w:val="18"/>
        <w:szCs w:val="18"/>
      </w:rPr>
    </w:pPr>
  </w:p>
  <w:p w14:paraId="00BBE91A" w14:textId="77777777" w:rsidR="0085568E" w:rsidRPr="005D04BD" w:rsidRDefault="0085568E" w:rsidP="006178D5">
    <w:pPr>
      <w:pStyle w:val="Footer"/>
      <w:tabs>
        <w:tab w:val="clear" w:pos="4153"/>
        <w:tab w:val="clear" w:pos="8306"/>
        <w:tab w:val="right" w:pos="9072"/>
      </w:tabs>
      <w:rPr>
        <w:sz w:val="18"/>
        <w:szCs w:val="18"/>
      </w:rPr>
    </w:pPr>
    <w:r w:rsidRPr="005D04BD">
      <w:rPr>
        <w:noProof/>
        <w:sz w:val="18"/>
        <w:szCs w:val="18"/>
      </w:rPr>
      <w:t xml:space="preserve">Tulkojums </w:t>
    </w:r>
    <w:r w:rsidRPr="005D04BD">
      <w:rPr>
        <w:noProof/>
        <w:sz w:val="18"/>
        <w:szCs w:val="18"/>
      </w:rPr>
      <w:fldChar w:fldCharType="begin"/>
    </w:r>
    <w:r w:rsidRPr="005D04BD">
      <w:rPr>
        <w:noProof/>
        <w:sz w:val="18"/>
        <w:szCs w:val="18"/>
      </w:rPr>
      <w:instrText>symbol 211 \f "Symbol" \s 9</w:instrText>
    </w:r>
    <w:r w:rsidRPr="005D04BD">
      <w:rPr>
        <w:noProof/>
        <w:sz w:val="18"/>
        <w:szCs w:val="18"/>
      </w:rPr>
      <w:fldChar w:fldCharType="separate"/>
    </w:r>
    <w:r w:rsidRPr="005D04BD">
      <w:rPr>
        <w:noProof/>
        <w:sz w:val="18"/>
        <w:szCs w:val="18"/>
      </w:rPr>
      <w:t>Ó</w:t>
    </w:r>
    <w:r w:rsidRPr="005D04BD">
      <w:rPr>
        <w:noProof/>
        <w:sz w:val="18"/>
        <w:szCs w:val="18"/>
      </w:rPr>
      <w:fldChar w:fldCharType="end"/>
    </w:r>
    <w:r>
      <w:rPr>
        <w:noProof/>
        <w:sz w:val="18"/>
        <w:szCs w:val="18"/>
      </w:rPr>
      <w:t xml:space="preserve"> Valsts valodas centrs, 2015</w:t>
    </w:r>
    <w:r w:rsidRPr="005D04BD">
      <w:rPr>
        <w:sz w:val="18"/>
        <w:szCs w:val="18"/>
      </w:rPr>
      <w:tab/>
    </w:r>
    <w:r w:rsidRPr="005D04BD">
      <w:rPr>
        <w:rStyle w:val="PageNumber"/>
        <w:sz w:val="18"/>
        <w:szCs w:val="18"/>
      </w:rPr>
      <w:fldChar w:fldCharType="begin"/>
    </w:r>
    <w:r w:rsidRPr="005D04BD">
      <w:rPr>
        <w:rStyle w:val="PageNumber"/>
        <w:sz w:val="18"/>
        <w:szCs w:val="18"/>
      </w:rPr>
      <w:instrText xml:space="preserve">page </w:instrText>
    </w:r>
    <w:r w:rsidRPr="005D04BD">
      <w:rPr>
        <w:rStyle w:val="PageNumber"/>
        <w:sz w:val="18"/>
        <w:szCs w:val="18"/>
      </w:rPr>
      <w:fldChar w:fldCharType="separate"/>
    </w:r>
    <w:r w:rsidR="0022094F">
      <w:rPr>
        <w:rStyle w:val="PageNumber"/>
        <w:noProof/>
        <w:sz w:val="18"/>
        <w:szCs w:val="18"/>
      </w:rPr>
      <w:t>109</w:t>
    </w:r>
    <w:r w:rsidRPr="005D04BD">
      <w:rPr>
        <w:rStyle w:val="PageNumber"/>
        <w:sz w:val="18"/>
        <w:szCs w:val="18"/>
      </w:rPr>
      <w:fldChar w:fldCharType="end"/>
    </w:r>
  </w:p>
  <w:p w14:paraId="3E44A38B" w14:textId="77777777" w:rsidR="0085568E" w:rsidRPr="007B740C" w:rsidRDefault="0085568E">
    <w:pPr>
      <w:pStyle w:val="BodyText"/>
      <w:kinsoku w:val="0"/>
      <w:overflowPunct w:val="0"/>
      <w:spacing w:before="0" w:line="14" w:lineRule="auto"/>
      <w:ind w:left="0"/>
      <w:rPr>
        <w:noProof/>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51ED7" w14:textId="77777777" w:rsidR="0085568E" w:rsidRPr="005D04BD" w:rsidRDefault="0085568E" w:rsidP="006178D5">
    <w:pPr>
      <w:pStyle w:val="Header"/>
      <w:tabs>
        <w:tab w:val="clear" w:pos="4153"/>
        <w:tab w:val="clear" w:pos="8306"/>
        <w:tab w:val="left" w:pos="9072"/>
      </w:tabs>
      <w:rPr>
        <w:rStyle w:val="PageNumber"/>
        <w:sz w:val="18"/>
        <w:szCs w:val="18"/>
      </w:rPr>
    </w:pPr>
  </w:p>
  <w:p w14:paraId="58BCE9DB" w14:textId="77777777" w:rsidR="0085568E" w:rsidRPr="005D04BD" w:rsidRDefault="0085568E" w:rsidP="006178D5">
    <w:pPr>
      <w:pStyle w:val="Header"/>
      <w:tabs>
        <w:tab w:val="clear" w:pos="4153"/>
        <w:tab w:val="clear" w:pos="8306"/>
        <w:tab w:val="left" w:leader="underscore" w:pos="9072"/>
      </w:tabs>
      <w:rPr>
        <w:rStyle w:val="PageNumber"/>
        <w:sz w:val="18"/>
        <w:szCs w:val="18"/>
      </w:rPr>
    </w:pPr>
    <w:r w:rsidRPr="005D04BD">
      <w:rPr>
        <w:rStyle w:val="PageNumber"/>
        <w:sz w:val="18"/>
        <w:szCs w:val="18"/>
      </w:rPr>
      <w:tab/>
    </w:r>
  </w:p>
  <w:p w14:paraId="626468E6" w14:textId="77777777" w:rsidR="0085568E" w:rsidRPr="005D04BD" w:rsidRDefault="0085568E" w:rsidP="006178D5">
    <w:pPr>
      <w:pStyle w:val="Header"/>
      <w:tabs>
        <w:tab w:val="clear" w:pos="4153"/>
        <w:tab w:val="clear" w:pos="8306"/>
        <w:tab w:val="left" w:pos="9072"/>
      </w:tabs>
      <w:rPr>
        <w:rStyle w:val="PageNumber"/>
        <w:sz w:val="18"/>
        <w:szCs w:val="18"/>
      </w:rPr>
    </w:pPr>
  </w:p>
  <w:p w14:paraId="3A6AA4AC" w14:textId="7BFE3D34" w:rsidR="0085568E" w:rsidRPr="006178D5" w:rsidRDefault="0085568E">
    <w:pPr>
      <w:pStyle w:val="Footer"/>
      <w:rPr>
        <w:sz w:val="18"/>
        <w:szCs w:val="18"/>
      </w:rPr>
    </w:pPr>
    <w:r w:rsidRPr="005D04BD">
      <w:rPr>
        <w:noProof/>
        <w:sz w:val="18"/>
        <w:szCs w:val="18"/>
      </w:rPr>
      <w:t xml:space="preserve">Tulkojums </w:t>
    </w:r>
    <w:r w:rsidRPr="005D04BD">
      <w:rPr>
        <w:noProof/>
        <w:sz w:val="18"/>
        <w:szCs w:val="18"/>
      </w:rPr>
      <w:fldChar w:fldCharType="begin"/>
    </w:r>
    <w:r w:rsidRPr="005D04BD">
      <w:rPr>
        <w:noProof/>
        <w:sz w:val="18"/>
        <w:szCs w:val="18"/>
      </w:rPr>
      <w:instrText>symbol 211 \f "Symbol" \s 9</w:instrText>
    </w:r>
    <w:r w:rsidRPr="005D04BD">
      <w:rPr>
        <w:noProof/>
        <w:sz w:val="18"/>
        <w:szCs w:val="18"/>
      </w:rPr>
      <w:fldChar w:fldCharType="separate"/>
    </w:r>
    <w:r w:rsidRPr="005D04BD">
      <w:rPr>
        <w:noProof/>
        <w:sz w:val="18"/>
        <w:szCs w:val="18"/>
      </w:rPr>
      <w:t>Ó</w:t>
    </w:r>
    <w:r w:rsidRPr="005D04BD">
      <w:rPr>
        <w:noProof/>
        <w:sz w:val="18"/>
        <w:szCs w:val="18"/>
      </w:rPr>
      <w:fldChar w:fldCharType="end"/>
    </w:r>
    <w:r>
      <w:rPr>
        <w:noProof/>
        <w:sz w:val="18"/>
        <w:szCs w:val="18"/>
      </w:rPr>
      <w:t xml:space="preserve"> Valsts valodas centrs,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3A011" w14:textId="77777777" w:rsidR="0085568E" w:rsidRPr="008E3F72" w:rsidRDefault="0085568E">
      <w:pPr>
        <w:rPr>
          <w:noProof/>
          <w:lang w:val="en-US"/>
        </w:rPr>
      </w:pPr>
      <w:r w:rsidRPr="008E3F72">
        <w:rPr>
          <w:noProof/>
          <w:lang w:val="en-US"/>
        </w:rPr>
        <w:separator/>
      </w:r>
    </w:p>
  </w:footnote>
  <w:footnote w:type="continuationSeparator" w:id="0">
    <w:p w14:paraId="1A1A97A2" w14:textId="77777777" w:rsidR="0085568E" w:rsidRPr="008E3F72" w:rsidRDefault="0085568E">
      <w:pPr>
        <w:rPr>
          <w:noProof/>
          <w:lang w:val="en-US"/>
        </w:rPr>
      </w:pPr>
      <w:r w:rsidRPr="008E3F72">
        <w:rPr>
          <w:noProof/>
          <w:lang w:val="en-US"/>
        </w:rPr>
        <w:continuationSeparator/>
      </w:r>
    </w:p>
  </w:footnote>
  <w:footnote w:id="1">
    <w:p w14:paraId="0FA4B843" w14:textId="7DC608F0" w:rsidR="0085568E" w:rsidRPr="002D5684" w:rsidRDefault="0085568E" w:rsidP="002D5684">
      <w:pPr>
        <w:pStyle w:val="FootnoteText"/>
        <w:jc w:val="both"/>
      </w:pPr>
      <w:r w:rsidRPr="002D5684">
        <w:rPr>
          <w:rStyle w:val="FootnoteReference"/>
        </w:rPr>
        <w:footnoteRef/>
      </w:r>
      <w:r w:rsidRPr="002D5684">
        <w:t xml:space="preserve"> Dokumenta oficiālais nosaukums ir „</w:t>
      </w:r>
      <w:r w:rsidRPr="002D5684">
        <w:rPr>
          <w:i/>
        </w:rPr>
        <w:t>Guidance Document for Preventing and Abating Ammonia Emissions from Agricultural Sources</w:t>
      </w:r>
      <w:r w:rsidRPr="002D5684">
        <w:t>” (Metodiskie norādījumi par amonjaka emisijas novēršanu un mazināšanu no lauksaimniecības avotiem), un tas ir V norādījumu dokuments izpildinstitūcijas Lēmumā 1999/1.</w:t>
      </w:r>
    </w:p>
  </w:footnote>
  <w:footnote w:id="2">
    <w:p w14:paraId="4E7D8D3F" w14:textId="20631D5B" w:rsidR="0085568E" w:rsidRPr="002D5684" w:rsidRDefault="0085568E" w:rsidP="002D5684">
      <w:pPr>
        <w:pStyle w:val="FootnoteText"/>
        <w:jc w:val="both"/>
      </w:pPr>
      <w:r w:rsidRPr="002D5684">
        <w:rPr>
          <w:rStyle w:val="FootnoteReference"/>
        </w:rPr>
        <w:footnoteRef/>
      </w:r>
      <w:r w:rsidRPr="002D5684">
        <w:t xml:space="preserve"> </w:t>
      </w:r>
      <w:r w:rsidRPr="002D5684">
        <w:rPr>
          <w:i/>
          <w:noProof/>
        </w:rPr>
        <w:t>Līdzpriekšsēdētājs līdz 2013. gadam</w:t>
      </w:r>
    </w:p>
  </w:footnote>
  <w:footnote w:id="3">
    <w:p w14:paraId="2A926846" w14:textId="561B44E0" w:rsidR="0085568E" w:rsidRPr="002D5684" w:rsidRDefault="0085568E" w:rsidP="002D5684">
      <w:pPr>
        <w:pStyle w:val="FootnoteText"/>
        <w:jc w:val="both"/>
      </w:pPr>
      <w:r w:rsidRPr="002D5684">
        <w:rPr>
          <w:rStyle w:val="FootnoteReference"/>
        </w:rPr>
        <w:footnoteRef/>
      </w:r>
      <w:r w:rsidRPr="002D5684">
        <w:t xml:space="preserve"> </w:t>
      </w:r>
      <w:r w:rsidRPr="002D5684">
        <w:rPr>
          <w:i/>
          <w:noProof/>
        </w:rPr>
        <w:t>Līdzpriekšsēdētājs kopš 2014. gada</w:t>
      </w:r>
    </w:p>
  </w:footnote>
  <w:footnote w:id="4">
    <w:p w14:paraId="404B5CCC" w14:textId="068DA6F9" w:rsidR="0085568E" w:rsidRPr="002D5684" w:rsidRDefault="0085568E" w:rsidP="002D5684">
      <w:pPr>
        <w:pStyle w:val="FootnoteText"/>
        <w:jc w:val="both"/>
      </w:pPr>
      <w:r w:rsidRPr="002D5684">
        <w:rPr>
          <w:rStyle w:val="FootnoteReference"/>
        </w:rPr>
        <w:footnoteRef/>
      </w:r>
      <w:r w:rsidRPr="002D5684">
        <w:t xml:space="preserve"> </w:t>
      </w:r>
      <w:r w:rsidRPr="002D5684">
        <w:rPr>
          <w:noProof/>
        </w:rPr>
        <w:t>Dažādo kategoriju aprakstu skatīt 18.un 19. punktā.</w:t>
      </w:r>
    </w:p>
  </w:footnote>
  <w:footnote w:id="5">
    <w:p w14:paraId="1C3ED91A" w14:textId="2C1F5E28" w:rsidR="0085568E" w:rsidRPr="002D5684" w:rsidRDefault="0085568E" w:rsidP="002D5684">
      <w:pPr>
        <w:pStyle w:val="FootnoteText"/>
        <w:jc w:val="both"/>
      </w:pPr>
      <w:r w:rsidRPr="002D5684">
        <w:rPr>
          <w:rStyle w:val="FootnoteReference"/>
        </w:rPr>
        <w:footnoteRef/>
      </w:r>
      <w:r w:rsidRPr="002D5684">
        <w:t xml:space="preserve"> </w:t>
      </w:r>
      <w:r w:rsidRPr="002D5684">
        <w:rPr>
          <w:noProof/>
        </w:rPr>
        <w:t>Dažādo kategoriju aprakstu skatīt 18.un 19. punktā.</w:t>
      </w:r>
    </w:p>
  </w:footnote>
  <w:footnote w:id="6">
    <w:p w14:paraId="1512EAF0" w14:textId="4CFB4E8D" w:rsidR="0085568E" w:rsidRPr="002D5684" w:rsidRDefault="0085568E" w:rsidP="002D5684">
      <w:pPr>
        <w:pStyle w:val="BodyText"/>
        <w:widowControl/>
        <w:tabs>
          <w:tab w:val="left" w:pos="1580"/>
        </w:tabs>
        <w:kinsoku w:val="0"/>
        <w:overflowPunct w:val="0"/>
        <w:spacing w:before="0"/>
        <w:ind w:left="0"/>
        <w:jc w:val="both"/>
      </w:pPr>
      <w:r w:rsidRPr="002D5684">
        <w:rPr>
          <w:rStyle w:val="FootnoteReference"/>
        </w:rPr>
        <w:footnoteRef/>
      </w:r>
      <w:r w:rsidRPr="002D5684">
        <w:t xml:space="preserve"> Eiropas Parlamenta un Padomes 2008. gada 15. janvāra Direktīva 2008/1/EK par piesārņojuma integrētu novēršanu un kontroli.</w:t>
      </w:r>
    </w:p>
  </w:footnote>
  <w:footnote w:id="7">
    <w:p w14:paraId="47C909AC" w14:textId="5D03116D" w:rsidR="0085568E" w:rsidRPr="002D5684" w:rsidRDefault="0085568E" w:rsidP="002D5684">
      <w:pPr>
        <w:pStyle w:val="BodyText"/>
        <w:widowControl/>
        <w:tabs>
          <w:tab w:val="left" w:pos="1580"/>
        </w:tabs>
        <w:kinsoku w:val="0"/>
        <w:overflowPunct w:val="0"/>
        <w:spacing w:before="0"/>
        <w:ind w:left="0"/>
        <w:jc w:val="both"/>
        <w:rPr>
          <w:noProof/>
        </w:rPr>
      </w:pPr>
      <w:r w:rsidRPr="002D5684">
        <w:rPr>
          <w:rStyle w:val="FootnoteReference"/>
        </w:rPr>
        <w:footnoteRef/>
      </w:r>
      <w:r w:rsidRPr="002D5684">
        <w:t xml:space="preserve"> Eiropas Parlamenta un Padomes 2010. gada 24. novembra Direktīva 2010/75/EK par rūpnieciskajām emisijām (piesārņojuma integrētu novēršanu un kontroli).</w:t>
      </w:r>
    </w:p>
  </w:footnote>
  <w:footnote w:id="8">
    <w:p w14:paraId="6C708E54" w14:textId="6D0E65DE" w:rsidR="0085568E" w:rsidRPr="002D5684" w:rsidRDefault="0085568E" w:rsidP="002D5684">
      <w:pPr>
        <w:pStyle w:val="BodyText"/>
        <w:widowControl/>
        <w:tabs>
          <w:tab w:val="left" w:pos="1580"/>
        </w:tabs>
        <w:kinsoku w:val="0"/>
        <w:overflowPunct w:val="0"/>
        <w:spacing w:before="0"/>
        <w:ind w:left="0"/>
        <w:jc w:val="both"/>
        <w:rPr>
          <w:noProof/>
          <w:color w:val="000000"/>
        </w:rPr>
      </w:pPr>
      <w:r w:rsidRPr="002D5684">
        <w:rPr>
          <w:rStyle w:val="FootnoteReference"/>
        </w:rPr>
        <w:footnoteRef/>
      </w:r>
      <w:r w:rsidRPr="002D5684">
        <w:t xml:space="preserve"> </w:t>
      </w:r>
      <w:r w:rsidRPr="002D5684">
        <w:rPr>
          <w:noProof/>
        </w:rPr>
        <w:t xml:space="preserve">Pieejams vietnē </w:t>
      </w:r>
      <w:hyperlink r:id="rId1">
        <w:r w:rsidRPr="002D5684">
          <w:rPr>
            <w:noProof/>
            <w:color w:val="000080"/>
          </w:rPr>
          <w:t>http://eippcb.jrc.es/reference/irpp.html</w:t>
        </w:r>
      </w:hyperlink>
      <w:r w:rsidRPr="002D5684">
        <w:rPr>
          <w:noProof/>
          <w:color w:val="000080"/>
        </w:rPr>
        <w:t xml:space="preserve"> (citēts 2013. gada 24. maijā)</w:t>
      </w:r>
      <w:r w:rsidRPr="002D5684">
        <w:rPr>
          <w:noProof/>
          <w:color w:val="000000"/>
        </w:rPr>
        <w:t>.</w:t>
      </w:r>
    </w:p>
  </w:footnote>
  <w:footnote w:id="9">
    <w:p w14:paraId="579B5B91" w14:textId="49D5AE29" w:rsidR="0085568E" w:rsidRPr="002D5684" w:rsidRDefault="0085568E" w:rsidP="002D5684">
      <w:pPr>
        <w:pStyle w:val="FootnoteText"/>
        <w:jc w:val="both"/>
      </w:pPr>
      <w:r w:rsidRPr="002D5684">
        <w:rPr>
          <w:rStyle w:val="FootnoteReference"/>
        </w:rPr>
        <w:footnoteRef/>
      </w:r>
      <w:r w:rsidRPr="002D5684">
        <w:t xml:space="preserve"> </w:t>
      </w:r>
      <w:r w:rsidRPr="002D5684">
        <w:rPr>
          <w:noProof/>
        </w:rPr>
        <w:t xml:space="preserve">Ar </w:t>
      </w:r>
      <w:r w:rsidRPr="002D5684">
        <w:rPr>
          <w:i/>
          <w:noProof/>
        </w:rPr>
        <w:t>CAPEX</w:t>
      </w:r>
      <w:r w:rsidRPr="002D5684">
        <w:rPr>
          <w:noProof/>
        </w:rPr>
        <w:t xml:space="preserve"> (jauns) apzīmē ieguldījumus jaunās būvēs atšķirībā no </w:t>
      </w:r>
      <w:r w:rsidRPr="002D5684">
        <w:rPr>
          <w:i/>
          <w:noProof/>
        </w:rPr>
        <w:t>CAPEX</w:t>
      </w:r>
      <w:r w:rsidRPr="002D5684">
        <w:rPr>
          <w:noProof/>
        </w:rPr>
        <w:t xml:space="preserve"> (modernizācija), ko izmanto ēku pārbūves vai renovācijas apzīmēšanai.</w:t>
      </w:r>
    </w:p>
  </w:footnote>
  <w:footnote w:id="10">
    <w:p w14:paraId="3C3A731B" w14:textId="39005257" w:rsidR="0085568E" w:rsidRPr="002D5684" w:rsidRDefault="0085568E" w:rsidP="002D5684">
      <w:pPr>
        <w:pStyle w:val="FootnoteText"/>
        <w:jc w:val="both"/>
      </w:pPr>
      <w:r w:rsidRPr="002D5684">
        <w:rPr>
          <w:rStyle w:val="FootnoteReference"/>
        </w:rPr>
        <w:footnoteRef/>
      </w:r>
      <w:r w:rsidRPr="002D5684">
        <w:t xml:space="preserve"> </w:t>
      </w:r>
      <w:r w:rsidRPr="002D5684">
        <w:rPr>
          <w:noProof/>
        </w:rPr>
        <w:t>Metodisko norādījumu dokuments par nacionālajiem slāpekļa budžetiem (</w:t>
      </w:r>
      <w:r w:rsidRPr="002D5684">
        <w:rPr>
          <w:i/>
          <w:noProof/>
        </w:rPr>
        <w:t>EEK/EB.AIR/119</w:t>
      </w:r>
      <w:r w:rsidRPr="002D5684">
        <w:rPr>
          <w:noProof/>
        </w:rPr>
        <w:t>); pieejams vietnē http://www.unece.org/environmental-policy/treaties/air-pollution/guidance-documents-and-other-methodological- materials/gothenburg-protocol.html</w:t>
      </w:r>
    </w:p>
  </w:footnote>
  <w:footnote w:id="11">
    <w:p w14:paraId="7C110975" w14:textId="350998BD" w:rsidR="0085568E" w:rsidRPr="002D5684" w:rsidRDefault="0085568E" w:rsidP="002D5684">
      <w:pPr>
        <w:pStyle w:val="BodyText"/>
        <w:widowControl/>
        <w:tabs>
          <w:tab w:val="left" w:pos="1600"/>
        </w:tabs>
        <w:kinsoku w:val="0"/>
        <w:overflowPunct w:val="0"/>
        <w:spacing w:before="0"/>
        <w:ind w:left="0"/>
        <w:jc w:val="both"/>
        <w:rPr>
          <w:noProof/>
        </w:rPr>
      </w:pPr>
      <w:r w:rsidRPr="002D5684">
        <w:rPr>
          <w:rStyle w:val="FootnoteReference"/>
        </w:rPr>
        <w:footnoteRef/>
      </w:r>
      <w:r w:rsidRPr="002D5684">
        <w:t xml:space="preserve"> Šķidros kūtsmēslus definē kā plūstošus mēslus, kuros </w:t>
      </w:r>
      <w:r>
        <w:t xml:space="preserve">parasti ir mazāk par 12 % </w:t>
      </w:r>
      <w:r w:rsidRPr="00F56792">
        <w:rPr>
          <w:i/>
        </w:rPr>
        <w:t>DM</w:t>
      </w:r>
      <w:r w:rsidRPr="002D5684">
        <w:t>.</w:t>
      </w:r>
      <w:r>
        <w:rPr>
          <w:noProof/>
        </w:rPr>
        <w:t xml:space="preserve"> Materiālam ar lielāku </w:t>
      </w:r>
      <w:r w:rsidRPr="00F56792">
        <w:rPr>
          <w:i/>
          <w:noProof/>
        </w:rPr>
        <w:t>DM</w:t>
      </w:r>
      <w:r w:rsidRPr="002D5684">
        <w:rPr>
          <w:noProof/>
        </w:rPr>
        <w:t xml:space="preserve"> saturu vai lielu daudzumu šķiedrainu augu atlieku var būt vajadzīga priekšapstrāde (piemēram, smalcināšana vai ūdens pievienošana), lai to varētu izmantot kā šķidros kūtsmēslus, un bez šādas apstr</w:t>
      </w:r>
      <w:r w:rsidR="00CC42D4">
        <w:rPr>
          <w:noProof/>
        </w:rPr>
        <w:t>ādes tas jāuzskata par</w:t>
      </w:r>
      <w:r>
        <w:rPr>
          <w:noProof/>
        </w:rPr>
        <w:t xml:space="preserve"> pakaišu</w:t>
      </w:r>
      <w:r w:rsidRPr="002D5684">
        <w:rPr>
          <w:noProof/>
        </w:rPr>
        <w:t xml:space="preserve"> kūtsmēsliem (15. tabula). Izmaksas paredz augstu vai vidēju aprīkojuma izmantošanas pakāpi. Tur, kur attiecīgais aprīkojums tiek izmantots maz, izmaksas par ietaupītā N vienību var būt augstākas.</w:t>
      </w:r>
    </w:p>
  </w:footnote>
  <w:footnote w:id="12">
    <w:p w14:paraId="45111882" w14:textId="43C2FA82" w:rsidR="0085568E" w:rsidRPr="002D5684" w:rsidRDefault="0085568E" w:rsidP="002D5684">
      <w:pPr>
        <w:pStyle w:val="BodyText"/>
        <w:widowControl/>
        <w:tabs>
          <w:tab w:val="left" w:pos="1600"/>
        </w:tabs>
        <w:kinsoku w:val="0"/>
        <w:overflowPunct w:val="0"/>
        <w:spacing w:before="0"/>
        <w:ind w:left="0"/>
        <w:jc w:val="both"/>
        <w:rPr>
          <w:noProof/>
        </w:rPr>
      </w:pPr>
      <w:r w:rsidRPr="002D5684">
        <w:rPr>
          <w:rStyle w:val="FootnoteReference"/>
        </w:rPr>
        <w:footnoteRef/>
      </w:r>
      <w:r w:rsidR="00CC42D4">
        <w:t xml:space="preserve"> P</w:t>
      </w:r>
      <w:r>
        <w:t>akaišu</w:t>
      </w:r>
      <w:r w:rsidRPr="002D5684">
        <w:t xml:space="preserve"> kūtsmēslus definē kā neplūstošus mēslus, ku</w:t>
      </w:r>
      <w:r>
        <w:t xml:space="preserve">ros parasti ir vairāk par 12 % </w:t>
      </w:r>
      <w:r w:rsidRPr="00F56792">
        <w:rPr>
          <w:i/>
        </w:rPr>
        <w:t>DM</w:t>
      </w:r>
      <w:r w:rsidRPr="002D5684">
        <w:t>.</w:t>
      </w:r>
    </w:p>
  </w:footnote>
  <w:footnote w:id="13">
    <w:p w14:paraId="0F42ACA8" w14:textId="4369C850" w:rsidR="0085568E" w:rsidRPr="002D5684" w:rsidRDefault="0085568E" w:rsidP="002D5684">
      <w:pPr>
        <w:pStyle w:val="BodyText"/>
        <w:widowControl/>
        <w:kinsoku w:val="0"/>
        <w:overflowPunct w:val="0"/>
        <w:spacing w:before="0"/>
        <w:ind w:left="0"/>
        <w:jc w:val="both"/>
        <w:rPr>
          <w:noProof/>
        </w:rPr>
      </w:pPr>
      <w:r w:rsidRPr="002D5684">
        <w:rPr>
          <w:rStyle w:val="FootnoteReference"/>
        </w:rPr>
        <w:footnoteRef/>
      </w:r>
      <w:r w:rsidRPr="002D5684">
        <w:t xml:space="preserve"> </w:t>
      </w:r>
      <w:r w:rsidRPr="002D5684">
        <w:rPr>
          <w:noProof/>
        </w:rPr>
        <w:t xml:space="preserve">Komisijas 2008. gada 7. novembra Regula (EK) Nr. 1107/2008, ar ko groza Eiropas Parlamenta un Padomes Regulu (EK) Nr. 2003/2003 par mēslošanas līdzekļiem ar mērķi pielāgot regulas I un IV pielikumu tehnikas attīstībai </w:t>
      </w:r>
      <w:r w:rsidRPr="002D5684">
        <w:t xml:space="preserve">pieejama vietnē </w:t>
      </w:r>
      <w:r w:rsidRPr="002D5684">
        <w:rPr>
          <w:noProof/>
          <w:color w:val="0000FF"/>
          <w:u w:val="single"/>
        </w:rPr>
        <w:t>http://eur-</w:t>
      </w:r>
      <w:r w:rsidRPr="002D5684">
        <w:rPr>
          <w:noProof/>
          <w:color w:val="0000FF"/>
        </w:rPr>
        <w:t xml:space="preserve"> </w:t>
      </w:r>
      <w:hyperlink r:id="rId2">
        <w:r w:rsidRPr="002D5684">
          <w:rPr>
            <w:noProof/>
            <w:color w:val="0000FF"/>
            <w:u w:val="single"/>
          </w:rPr>
          <w:t xml:space="preserve">lex.europa.eu/LexUriServ/LexUriServ.do?uri=CELEX:32008R1107:EN:NOT </w:t>
        </w:r>
      </w:hyperlink>
      <w:r w:rsidRPr="002D5684">
        <w:rPr>
          <w:noProof/>
          <w:color w:val="000000"/>
        </w:rPr>
        <w:t>(citēta 2013. gada 29. maijā)</w:t>
      </w:r>
    </w:p>
  </w:footnote>
  <w:footnote w:id="14">
    <w:p w14:paraId="0374B144" w14:textId="6534F3B7" w:rsidR="0085568E" w:rsidRPr="002D5684" w:rsidRDefault="0085568E" w:rsidP="002D5684">
      <w:pPr>
        <w:pStyle w:val="FootnoteText"/>
        <w:jc w:val="both"/>
      </w:pPr>
      <w:r w:rsidRPr="002D5684">
        <w:rPr>
          <w:rStyle w:val="FootnoteReference"/>
        </w:rPr>
        <w:footnoteRef/>
      </w:r>
      <w:r w:rsidRPr="002D5684">
        <w:t xml:space="preserve"> </w:t>
      </w:r>
      <w:r w:rsidRPr="002D5684">
        <w:rPr>
          <w:noProof/>
        </w:rPr>
        <w:t>Aptuveni iztulkoti, šie saīsinājumi apzīmē zarnu traktā sagremojamās olbaltumvielas (</w:t>
      </w:r>
      <w:r w:rsidRPr="002D5684">
        <w:rPr>
          <w:i/>
          <w:noProof/>
        </w:rPr>
        <w:t>PDI</w:t>
      </w:r>
      <w:r w:rsidRPr="002D5684">
        <w:rPr>
          <w:noProof/>
        </w:rPr>
        <w:t>); metabolizējamās olbaltumvielas (</w:t>
      </w:r>
      <w:r w:rsidRPr="002D5684">
        <w:rPr>
          <w:i/>
          <w:noProof/>
        </w:rPr>
        <w:t>MP</w:t>
      </w:r>
      <w:r w:rsidRPr="002D5684">
        <w:rPr>
          <w:noProof/>
        </w:rPr>
        <w:t>); olbaltumvielas, kas tiek sagremotas tievajā zarnā/noārdīto olbaltumvielu bilance (</w:t>
      </w:r>
      <w:r w:rsidRPr="002D5684">
        <w:rPr>
          <w:i/>
          <w:noProof/>
        </w:rPr>
        <w:t>DVE/OEB</w:t>
      </w:r>
      <w:r w:rsidRPr="002D5684">
        <w:rPr>
          <w:noProof/>
        </w:rPr>
        <w:t>) un zarnu traktā absorbētās aminoskābes/noārdīto olbaltumvielu bilance (</w:t>
      </w:r>
      <w:r w:rsidRPr="002D5684">
        <w:rPr>
          <w:i/>
          <w:noProof/>
        </w:rPr>
        <w:t>AAT/PBV</w:t>
      </w:r>
      <w:r w:rsidRPr="002D5684">
        <w:rPr>
          <w:noProof/>
        </w:rPr>
        <w:t>).</w:t>
      </w:r>
    </w:p>
  </w:footnote>
  <w:footnote w:id="15">
    <w:p w14:paraId="1CE805AF" w14:textId="2241C468" w:rsidR="0085568E" w:rsidRDefault="0085568E">
      <w:pPr>
        <w:pStyle w:val="FootnoteText"/>
      </w:pPr>
      <w:r>
        <w:rPr>
          <w:rStyle w:val="FootnoteReference"/>
        </w:rPr>
        <w:footnoteRef/>
      </w:r>
      <w:r>
        <w:t xml:space="preserve"> </w:t>
      </w:r>
      <w:r w:rsidRPr="00F35F4D">
        <w:t>Amerikas Lauksaimniecības inženieru biedrība, vēlāk Amerikas Lauksaimniecības un bioloģijas inženieru biedrība (</w:t>
      </w:r>
      <w:r w:rsidRPr="00F35F4D">
        <w:rPr>
          <w:i/>
        </w:rPr>
        <w:t>American Society of Agricultural and Biological Engineers (ASABE)</w:t>
      </w:r>
      <w:r w:rsidRPr="00F35F4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79E9A" w14:textId="77777777" w:rsidR="0085568E" w:rsidRPr="005D04BD" w:rsidRDefault="0085568E" w:rsidP="006178D5">
    <w:pPr>
      <w:pStyle w:val="Header"/>
      <w:tabs>
        <w:tab w:val="clear" w:pos="4153"/>
        <w:tab w:val="clear" w:pos="8306"/>
      </w:tabs>
      <w:rPr>
        <w:rStyle w:val="PageNumber"/>
        <w:sz w:val="18"/>
        <w:szCs w:val="18"/>
      </w:rPr>
    </w:pPr>
  </w:p>
  <w:p w14:paraId="4E4C71D4" w14:textId="77777777" w:rsidR="0085568E" w:rsidRPr="005D04BD" w:rsidRDefault="0085568E" w:rsidP="006178D5">
    <w:pPr>
      <w:pStyle w:val="Header"/>
      <w:tabs>
        <w:tab w:val="clear" w:pos="4153"/>
        <w:tab w:val="clear" w:pos="8306"/>
        <w:tab w:val="right" w:leader="underscore" w:pos="9072"/>
      </w:tabs>
      <w:rPr>
        <w:rStyle w:val="PageNumber"/>
        <w:sz w:val="18"/>
        <w:szCs w:val="18"/>
      </w:rPr>
    </w:pPr>
    <w:r w:rsidRPr="005D04BD">
      <w:rPr>
        <w:rStyle w:val="PageNumber"/>
        <w:sz w:val="18"/>
        <w:szCs w:val="18"/>
      </w:rPr>
      <w:tab/>
    </w:r>
  </w:p>
  <w:p w14:paraId="2CCB8BA9" w14:textId="77777777" w:rsidR="0085568E" w:rsidRDefault="008556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67128" w14:textId="77777777" w:rsidR="0085568E" w:rsidRPr="005D04BD" w:rsidRDefault="0085568E" w:rsidP="006178D5">
    <w:pPr>
      <w:pBdr>
        <w:bottom w:val="single" w:sz="12" w:space="5" w:color="auto"/>
      </w:pBdr>
      <w:rPr>
        <w:spacing w:val="-2"/>
        <w:sz w:val="18"/>
        <w:szCs w:val="18"/>
      </w:rPr>
    </w:pPr>
  </w:p>
  <w:p w14:paraId="454323AA" w14:textId="77777777" w:rsidR="0085568E" w:rsidRDefault="008556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E9C255EE"/>
    <w:lvl w:ilvl="0">
      <w:start w:val="1"/>
      <w:numFmt w:val="decimal"/>
      <w:lvlText w:val="%1."/>
      <w:lvlJc w:val="left"/>
      <w:pPr>
        <w:ind w:left="140" w:hanging="720"/>
      </w:pPr>
      <w:rPr>
        <w:rFonts w:ascii="Times New Roman" w:hAnsi="Times New Roman" w:cs="Times New Roman"/>
        <w:b w:val="0"/>
        <w:bCs w:val="0"/>
        <w:spacing w:val="1"/>
        <w:w w:val="99"/>
        <w:sz w:val="24"/>
        <w:szCs w:val="24"/>
      </w:rPr>
    </w:lvl>
    <w:lvl w:ilvl="1">
      <w:start w:val="1"/>
      <w:numFmt w:val="lowerLetter"/>
      <w:lvlText w:val="%2)"/>
      <w:lvlJc w:val="left"/>
      <w:pPr>
        <w:ind w:left="1580" w:hanging="720"/>
      </w:pPr>
      <w:rPr>
        <w:rFonts w:hint="default"/>
        <w:b w:val="0"/>
        <w:bCs w:val="0"/>
        <w:w w:val="99"/>
        <w:position w:val="2"/>
        <w:sz w:val="24"/>
        <w:szCs w:val="24"/>
      </w:rPr>
    </w:lvl>
    <w:lvl w:ilvl="2">
      <w:start w:val="1"/>
      <w:numFmt w:val="lowerRoman"/>
      <w:lvlText w:val="%3)"/>
      <w:lvlJc w:val="left"/>
      <w:pPr>
        <w:ind w:left="2300" w:hanging="720"/>
      </w:pPr>
      <w:rPr>
        <w:rFonts w:ascii="Times New Roman" w:eastAsia="Arial" w:hAnsi="Times New Roman" w:cs="Times New Roman" w:hint="default"/>
        <w:b w:val="0"/>
        <w:bCs w:val="0"/>
        <w:w w:val="99"/>
        <w:sz w:val="24"/>
        <w:szCs w:val="24"/>
      </w:rPr>
    </w:lvl>
    <w:lvl w:ilvl="3">
      <w:numFmt w:val="bullet"/>
      <w:lvlText w:val="•"/>
      <w:lvlJc w:val="left"/>
      <w:pPr>
        <w:ind w:left="848" w:hanging="720"/>
      </w:pPr>
    </w:lvl>
    <w:lvl w:ilvl="4">
      <w:numFmt w:val="bullet"/>
      <w:lvlText w:val="•"/>
      <w:lvlJc w:val="left"/>
      <w:pPr>
        <w:ind w:left="848" w:hanging="720"/>
      </w:pPr>
    </w:lvl>
    <w:lvl w:ilvl="5">
      <w:numFmt w:val="bullet"/>
      <w:lvlText w:val="•"/>
      <w:lvlJc w:val="left"/>
      <w:pPr>
        <w:ind w:left="860" w:hanging="720"/>
      </w:pPr>
    </w:lvl>
    <w:lvl w:ilvl="6">
      <w:numFmt w:val="bullet"/>
      <w:lvlText w:val="•"/>
      <w:lvlJc w:val="left"/>
      <w:pPr>
        <w:ind w:left="860" w:hanging="720"/>
      </w:pPr>
    </w:lvl>
    <w:lvl w:ilvl="7">
      <w:numFmt w:val="bullet"/>
      <w:lvlText w:val="•"/>
      <w:lvlJc w:val="left"/>
      <w:pPr>
        <w:ind w:left="1558" w:hanging="720"/>
      </w:pPr>
    </w:lvl>
    <w:lvl w:ilvl="8">
      <w:numFmt w:val="bullet"/>
      <w:lvlText w:val="•"/>
      <w:lvlJc w:val="left"/>
      <w:pPr>
        <w:ind w:left="1580" w:hanging="720"/>
      </w:pPr>
    </w:lvl>
  </w:abstractNum>
  <w:abstractNum w:abstractNumId="1">
    <w:nsid w:val="00000403"/>
    <w:multiLevelType w:val="multilevel"/>
    <w:tmpl w:val="37DC4768"/>
    <w:lvl w:ilvl="0">
      <w:start w:val="1"/>
      <w:numFmt w:val="upperLetter"/>
      <w:lvlText w:val="%1."/>
      <w:lvlJc w:val="left"/>
      <w:pPr>
        <w:ind w:left="860" w:hanging="720"/>
      </w:pPr>
      <w:rPr>
        <w:rFonts w:ascii="Times New Roman" w:hAnsi="Times New Roman" w:cs="Times New Roman" w:hint="default"/>
        <w:b/>
        <w:bCs/>
        <w:color w:val="0D0D0D"/>
        <w:spacing w:val="-24"/>
        <w:sz w:val="28"/>
        <w:szCs w:val="28"/>
      </w:rPr>
    </w:lvl>
    <w:lvl w:ilvl="1">
      <w:numFmt w:val="bullet"/>
      <w:lvlText w:val="•"/>
      <w:lvlJc w:val="left"/>
      <w:pPr>
        <w:ind w:left="1695" w:hanging="720"/>
      </w:pPr>
    </w:lvl>
    <w:lvl w:ilvl="2">
      <w:numFmt w:val="bullet"/>
      <w:lvlText w:val="•"/>
      <w:lvlJc w:val="left"/>
      <w:pPr>
        <w:ind w:left="2529" w:hanging="720"/>
      </w:pPr>
    </w:lvl>
    <w:lvl w:ilvl="3">
      <w:numFmt w:val="bullet"/>
      <w:lvlText w:val="•"/>
      <w:lvlJc w:val="left"/>
      <w:pPr>
        <w:ind w:left="3364" w:hanging="720"/>
      </w:pPr>
    </w:lvl>
    <w:lvl w:ilvl="4">
      <w:numFmt w:val="bullet"/>
      <w:lvlText w:val="•"/>
      <w:lvlJc w:val="left"/>
      <w:pPr>
        <w:ind w:left="4198" w:hanging="720"/>
      </w:pPr>
    </w:lvl>
    <w:lvl w:ilvl="5">
      <w:numFmt w:val="bullet"/>
      <w:lvlText w:val="•"/>
      <w:lvlJc w:val="left"/>
      <w:pPr>
        <w:ind w:left="5033" w:hanging="720"/>
      </w:pPr>
    </w:lvl>
    <w:lvl w:ilvl="6">
      <w:numFmt w:val="bullet"/>
      <w:lvlText w:val="•"/>
      <w:lvlJc w:val="left"/>
      <w:pPr>
        <w:ind w:left="5868" w:hanging="720"/>
      </w:pPr>
    </w:lvl>
    <w:lvl w:ilvl="7">
      <w:numFmt w:val="bullet"/>
      <w:lvlText w:val="•"/>
      <w:lvlJc w:val="left"/>
      <w:pPr>
        <w:ind w:left="6702" w:hanging="720"/>
      </w:pPr>
    </w:lvl>
    <w:lvl w:ilvl="8">
      <w:numFmt w:val="bullet"/>
      <w:lvlText w:val="•"/>
      <w:lvlJc w:val="left"/>
      <w:pPr>
        <w:ind w:left="7537" w:hanging="720"/>
      </w:pPr>
    </w:lvl>
  </w:abstractNum>
  <w:abstractNum w:abstractNumId="2">
    <w:nsid w:val="00000404"/>
    <w:multiLevelType w:val="multilevel"/>
    <w:tmpl w:val="00000887"/>
    <w:lvl w:ilvl="0">
      <w:start w:val="97"/>
      <w:numFmt w:val="decimal"/>
      <w:lvlText w:val="%1."/>
      <w:lvlJc w:val="left"/>
      <w:pPr>
        <w:ind w:left="140" w:hanging="720"/>
      </w:pPr>
      <w:rPr>
        <w:rFonts w:ascii="Times New Roman" w:hAnsi="Times New Roman" w:cs="Times New Roman"/>
        <w:b w:val="0"/>
        <w:bCs w:val="0"/>
        <w:spacing w:val="1"/>
        <w:w w:val="99"/>
        <w:sz w:val="20"/>
        <w:szCs w:val="20"/>
      </w:rPr>
    </w:lvl>
    <w:lvl w:ilvl="1">
      <w:numFmt w:val="bullet"/>
      <w:lvlText w:val="•"/>
      <w:lvlJc w:val="left"/>
      <w:pPr>
        <w:ind w:left="1047" w:hanging="720"/>
      </w:pPr>
    </w:lvl>
    <w:lvl w:ilvl="2">
      <w:numFmt w:val="bullet"/>
      <w:lvlText w:val="•"/>
      <w:lvlJc w:val="left"/>
      <w:pPr>
        <w:ind w:left="1953" w:hanging="720"/>
      </w:pPr>
    </w:lvl>
    <w:lvl w:ilvl="3">
      <w:numFmt w:val="bullet"/>
      <w:lvlText w:val="•"/>
      <w:lvlJc w:val="left"/>
      <w:pPr>
        <w:ind w:left="2860" w:hanging="720"/>
      </w:pPr>
    </w:lvl>
    <w:lvl w:ilvl="4">
      <w:numFmt w:val="bullet"/>
      <w:lvlText w:val="•"/>
      <w:lvlJc w:val="left"/>
      <w:pPr>
        <w:ind w:left="3766" w:hanging="720"/>
      </w:pPr>
    </w:lvl>
    <w:lvl w:ilvl="5">
      <w:numFmt w:val="bullet"/>
      <w:lvlText w:val="•"/>
      <w:lvlJc w:val="left"/>
      <w:pPr>
        <w:ind w:left="4673" w:hanging="720"/>
      </w:pPr>
    </w:lvl>
    <w:lvl w:ilvl="6">
      <w:numFmt w:val="bullet"/>
      <w:lvlText w:val="•"/>
      <w:lvlJc w:val="left"/>
      <w:pPr>
        <w:ind w:left="5580" w:hanging="720"/>
      </w:pPr>
    </w:lvl>
    <w:lvl w:ilvl="7">
      <w:numFmt w:val="bullet"/>
      <w:lvlText w:val="•"/>
      <w:lvlJc w:val="left"/>
      <w:pPr>
        <w:ind w:left="6486" w:hanging="720"/>
      </w:pPr>
    </w:lvl>
    <w:lvl w:ilvl="8">
      <w:numFmt w:val="bullet"/>
      <w:lvlText w:val="•"/>
      <w:lvlJc w:val="left"/>
      <w:pPr>
        <w:ind w:left="7393" w:hanging="720"/>
      </w:pPr>
    </w:lvl>
  </w:abstractNum>
  <w:abstractNum w:abstractNumId="3">
    <w:nsid w:val="00000405"/>
    <w:multiLevelType w:val="multilevel"/>
    <w:tmpl w:val="00000888"/>
    <w:lvl w:ilvl="0">
      <w:start w:val="108"/>
      <w:numFmt w:val="decimal"/>
      <w:lvlText w:val="%1."/>
      <w:lvlJc w:val="left"/>
      <w:pPr>
        <w:ind w:left="140" w:hanging="720"/>
      </w:pPr>
      <w:rPr>
        <w:rFonts w:ascii="Times New Roman" w:hAnsi="Times New Roman" w:cs="Times New Roman"/>
        <w:b w:val="0"/>
        <w:bCs w:val="0"/>
        <w:spacing w:val="1"/>
        <w:w w:val="99"/>
        <w:sz w:val="20"/>
        <w:szCs w:val="20"/>
      </w:rPr>
    </w:lvl>
    <w:lvl w:ilvl="1">
      <w:start w:val="1"/>
      <w:numFmt w:val="lowerLetter"/>
      <w:lvlText w:val="(%2)"/>
      <w:lvlJc w:val="left"/>
      <w:pPr>
        <w:ind w:left="1580" w:hanging="732"/>
      </w:pPr>
      <w:rPr>
        <w:rFonts w:ascii="Times New Roman" w:hAnsi="Times New Roman" w:cs="Times New Roman"/>
        <w:b w:val="0"/>
        <w:bCs w:val="0"/>
        <w:w w:val="99"/>
        <w:sz w:val="20"/>
        <w:szCs w:val="20"/>
      </w:rPr>
    </w:lvl>
    <w:lvl w:ilvl="2">
      <w:numFmt w:val="bullet"/>
      <w:lvlText w:val="•"/>
      <w:lvlJc w:val="left"/>
      <w:pPr>
        <w:ind w:left="2427" w:hanging="732"/>
      </w:pPr>
    </w:lvl>
    <w:lvl w:ilvl="3">
      <w:numFmt w:val="bullet"/>
      <w:lvlText w:val="•"/>
      <w:lvlJc w:val="left"/>
      <w:pPr>
        <w:ind w:left="3275" w:hanging="732"/>
      </w:pPr>
    </w:lvl>
    <w:lvl w:ilvl="4">
      <w:numFmt w:val="bullet"/>
      <w:lvlText w:val="•"/>
      <w:lvlJc w:val="left"/>
      <w:pPr>
        <w:ind w:left="4122" w:hanging="732"/>
      </w:pPr>
    </w:lvl>
    <w:lvl w:ilvl="5">
      <w:numFmt w:val="bullet"/>
      <w:lvlText w:val="•"/>
      <w:lvlJc w:val="left"/>
      <w:pPr>
        <w:ind w:left="4969" w:hanging="732"/>
      </w:pPr>
    </w:lvl>
    <w:lvl w:ilvl="6">
      <w:numFmt w:val="bullet"/>
      <w:lvlText w:val="•"/>
      <w:lvlJc w:val="left"/>
      <w:pPr>
        <w:ind w:left="5817" w:hanging="732"/>
      </w:pPr>
    </w:lvl>
    <w:lvl w:ilvl="7">
      <w:numFmt w:val="bullet"/>
      <w:lvlText w:val="•"/>
      <w:lvlJc w:val="left"/>
      <w:pPr>
        <w:ind w:left="6664" w:hanging="732"/>
      </w:pPr>
    </w:lvl>
    <w:lvl w:ilvl="8">
      <w:numFmt w:val="bullet"/>
      <w:lvlText w:val="•"/>
      <w:lvlJc w:val="left"/>
      <w:pPr>
        <w:ind w:left="7511" w:hanging="732"/>
      </w:pPr>
    </w:lvl>
  </w:abstractNum>
  <w:abstractNum w:abstractNumId="4">
    <w:nsid w:val="00000406"/>
    <w:multiLevelType w:val="multilevel"/>
    <w:tmpl w:val="00000889"/>
    <w:lvl w:ilvl="0">
      <w:start w:val="115"/>
      <w:numFmt w:val="decimal"/>
      <w:lvlText w:val="%1."/>
      <w:lvlJc w:val="left"/>
      <w:pPr>
        <w:ind w:left="140" w:hanging="720"/>
      </w:pPr>
      <w:rPr>
        <w:rFonts w:ascii="Times New Roman" w:hAnsi="Times New Roman" w:cs="Times New Roman"/>
        <w:b w:val="0"/>
        <w:bCs w:val="0"/>
        <w:spacing w:val="1"/>
        <w:w w:val="99"/>
        <w:sz w:val="20"/>
        <w:szCs w:val="20"/>
      </w:rPr>
    </w:lvl>
    <w:lvl w:ilvl="1">
      <w:start w:val="1"/>
      <w:numFmt w:val="lowerLetter"/>
      <w:lvlText w:val="(%2)"/>
      <w:lvlJc w:val="left"/>
      <w:pPr>
        <w:ind w:left="1580" w:hanging="732"/>
      </w:pPr>
      <w:rPr>
        <w:rFonts w:ascii="Times New Roman" w:hAnsi="Times New Roman" w:cs="Times New Roman"/>
        <w:b w:val="0"/>
        <w:bCs w:val="0"/>
        <w:w w:val="99"/>
        <w:sz w:val="20"/>
        <w:szCs w:val="20"/>
      </w:rPr>
    </w:lvl>
    <w:lvl w:ilvl="2">
      <w:numFmt w:val="bullet"/>
      <w:lvlText w:val="•"/>
      <w:lvlJc w:val="left"/>
      <w:pPr>
        <w:ind w:left="2427" w:hanging="732"/>
      </w:pPr>
    </w:lvl>
    <w:lvl w:ilvl="3">
      <w:numFmt w:val="bullet"/>
      <w:lvlText w:val="•"/>
      <w:lvlJc w:val="left"/>
      <w:pPr>
        <w:ind w:left="3275" w:hanging="732"/>
      </w:pPr>
    </w:lvl>
    <w:lvl w:ilvl="4">
      <w:numFmt w:val="bullet"/>
      <w:lvlText w:val="•"/>
      <w:lvlJc w:val="left"/>
      <w:pPr>
        <w:ind w:left="4122" w:hanging="732"/>
      </w:pPr>
    </w:lvl>
    <w:lvl w:ilvl="5">
      <w:numFmt w:val="bullet"/>
      <w:lvlText w:val="•"/>
      <w:lvlJc w:val="left"/>
      <w:pPr>
        <w:ind w:left="4969" w:hanging="732"/>
      </w:pPr>
    </w:lvl>
    <w:lvl w:ilvl="6">
      <w:numFmt w:val="bullet"/>
      <w:lvlText w:val="•"/>
      <w:lvlJc w:val="left"/>
      <w:pPr>
        <w:ind w:left="5817" w:hanging="732"/>
      </w:pPr>
    </w:lvl>
    <w:lvl w:ilvl="7">
      <w:numFmt w:val="bullet"/>
      <w:lvlText w:val="•"/>
      <w:lvlJc w:val="left"/>
      <w:pPr>
        <w:ind w:left="6664" w:hanging="732"/>
      </w:pPr>
    </w:lvl>
    <w:lvl w:ilvl="8">
      <w:numFmt w:val="bullet"/>
      <w:lvlText w:val="•"/>
      <w:lvlJc w:val="left"/>
      <w:pPr>
        <w:ind w:left="7511" w:hanging="732"/>
      </w:pPr>
    </w:lvl>
  </w:abstractNum>
  <w:abstractNum w:abstractNumId="5">
    <w:nsid w:val="00000407"/>
    <w:multiLevelType w:val="multilevel"/>
    <w:tmpl w:val="0000088A"/>
    <w:lvl w:ilvl="0">
      <w:start w:val="141"/>
      <w:numFmt w:val="decimal"/>
      <w:lvlText w:val="%1."/>
      <w:lvlJc w:val="left"/>
      <w:pPr>
        <w:ind w:left="160" w:hanging="720"/>
      </w:pPr>
      <w:rPr>
        <w:rFonts w:ascii="Times New Roman" w:hAnsi="Times New Roman" w:cs="Times New Roman"/>
        <w:b w:val="0"/>
        <w:bCs w:val="0"/>
        <w:spacing w:val="1"/>
        <w:w w:val="99"/>
        <w:sz w:val="20"/>
        <w:szCs w:val="20"/>
      </w:rPr>
    </w:lvl>
    <w:lvl w:ilvl="1">
      <w:start w:val="1"/>
      <w:numFmt w:val="lowerLetter"/>
      <w:lvlText w:val="(%2)"/>
      <w:lvlJc w:val="left"/>
      <w:pPr>
        <w:ind w:left="848" w:hanging="732"/>
      </w:pPr>
      <w:rPr>
        <w:rFonts w:ascii="Times New Roman" w:hAnsi="Times New Roman" w:cs="Times New Roman"/>
        <w:b w:val="0"/>
        <w:bCs w:val="0"/>
        <w:w w:val="99"/>
        <w:sz w:val="20"/>
        <w:szCs w:val="20"/>
      </w:rPr>
    </w:lvl>
    <w:lvl w:ilvl="2">
      <w:numFmt w:val="bullet"/>
      <w:lvlText w:val="•"/>
      <w:lvlJc w:val="left"/>
      <w:pPr>
        <w:ind w:left="848" w:hanging="732"/>
      </w:pPr>
    </w:lvl>
    <w:lvl w:ilvl="3">
      <w:numFmt w:val="bullet"/>
      <w:lvlText w:val="•"/>
      <w:lvlJc w:val="left"/>
      <w:pPr>
        <w:ind w:left="1893" w:hanging="732"/>
      </w:pPr>
    </w:lvl>
    <w:lvl w:ilvl="4">
      <w:numFmt w:val="bullet"/>
      <w:lvlText w:val="•"/>
      <w:lvlJc w:val="left"/>
      <w:pPr>
        <w:ind w:left="2937" w:hanging="732"/>
      </w:pPr>
    </w:lvl>
    <w:lvl w:ilvl="5">
      <w:numFmt w:val="bullet"/>
      <w:lvlText w:val="•"/>
      <w:lvlJc w:val="left"/>
      <w:pPr>
        <w:ind w:left="3982" w:hanging="732"/>
      </w:pPr>
    </w:lvl>
    <w:lvl w:ilvl="6">
      <w:numFmt w:val="bullet"/>
      <w:lvlText w:val="•"/>
      <w:lvlJc w:val="left"/>
      <w:pPr>
        <w:ind w:left="5027" w:hanging="732"/>
      </w:pPr>
    </w:lvl>
    <w:lvl w:ilvl="7">
      <w:numFmt w:val="bullet"/>
      <w:lvlText w:val="•"/>
      <w:lvlJc w:val="left"/>
      <w:pPr>
        <w:ind w:left="6072" w:hanging="732"/>
      </w:pPr>
    </w:lvl>
    <w:lvl w:ilvl="8">
      <w:numFmt w:val="bullet"/>
      <w:lvlText w:val="•"/>
      <w:lvlJc w:val="left"/>
      <w:pPr>
        <w:ind w:left="7116" w:hanging="732"/>
      </w:pPr>
    </w:lvl>
  </w:abstractNum>
  <w:abstractNum w:abstractNumId="6">
    <w:nsid w:val="00000408"/>
    <w:multiLevelType w:val="multilevel"/>
    <w:tmpl w:val="0000088B"/>
    <w:lvl w:ilvl="0">
      <w:start w:val="1"/>
      <w:numFmt w:val="lowerLetter"/>
      <w:lvlText w:val="(%1)"/>
      <w:lvlJc w:val="left"/>
      <w:pPr>
        <w:ind w:left="140" w:hanging="720"/>
      </w:pPr>
      <w:rPr>
        <w:rFonts w:ascii="Times New Roman" w:hAnsi="Times New Roman" w:cs="Times New Roman"/>
        <w:b w:val="0"/>
        <w:bCs w:val="0"/>
        <w:w w:val="99"/>
        <w:sz w:val="20"/>
        <w:szCs w:val="20"/>
      </w:rPr>
    </w:lvl>
    <w:lvl w:ilvl="1">
      <w:numFmt w:val="bullet"/>
      <w:lvlText w:val="•"/>
      <w:lvlJc w:val="left"/>
      <w:pPr>
        <w:ind w:left="1047" w:hanging="720"/>
      </w:pPr>
    </w:lvl>
    <w:lvl w:ilvl="2">
      <w:numFmt w:val="bullet"/>
      <w:lvlText w:val="•"/>
      <w:lvlJc w:val="left"/>
      <w:pPr>
        <w:ind w:left="1953" w:hanging="720"/>
      </w:pPr>
    </w:lvl>
    <w:lvl w:ilvl="3">
      <w:numFmt w:val="bullet"/>
      <w:lvlText w:val="•"/>
      <w:lvlJc w:val="left"/>
      <w:pPr>
        <w:ind w:left="2860" w:hanging="720"/>
      </w:pPr>
    </w:lvl>
    <w:lvl w:ilvl="4">
      <w:numFmt w:val="bullet"/>
      <w:lvlText w:val="•"/>
      <w:lvlJc w:val="left"/>
      <w:pPr>
        <w:ind w:left="3766" w:hanging="720"/>
      </w:pPr>
    </w:lvl>
    <w:lvl w:ilvl="5">
      <w:numFmt w:val="bullet"/>
      <w:lvlText w:val="•"/>
      <w:lvlJc w:val="left"/>
      <w:pPr>
        <w:ind w:left="4673" w:hanging="720"/>
      </w:pPr>
    </w:lvl>
    <w:lvl w:ilvl="6">
      <w:numFmt w:val="bullet"/>
      <w:lvlText w:val="•"/>
      <w:lvlJc w:val="left"/>
      <w:pPr>
        <w:ind w:left="5580" w:hanging="720"/>
      </w:pPr>
    </w:lvl>
    <w:lvl w:ilvl="7">
      <w:numFmt w:val="bullet"/>
      <w:lvlText w:val="•"/>
      <w:lvlJc w:val="left"/>
      <w:pPr>
        <w:ind w:left="6486" w:hanging="720"/>
      </w:pPr>
    </w:lvl>
    <w:lvl w:ilvl="8">
      <w:numFmt w:val="bullet"/>
      <w:lvlText w:val="•"/>
      <w:lvlJc w:val="left"/>
      <w:pPr>
        <w:ind w:left="7393" w:hanging="720"/>
      </w:pPr>
    </w:lvl>
  </w:abstractNum>
  <w:abstractNum w:abstractNumId="7">
    <w:nsid w:val="00000409"/>
    <w:multiLevelType w:val="multilevel"/>
    <w:tmpl w:val="0000088C"/>
    <w:lvl w:ilvl="0">
      <w:start w:val="1"/>
      <w:numFmt w:val="lowerLetter"/>
      <w:lvlText w:val="(%1)"/>
      <w:lvlJc w:val="left"/>
      <w:pPr>
        <w:ind w:left="140" w:hanging="720"/>
      </w:pPr>
      <w:rPr>
        <w:rFonts w:ascii="Times New Roman" w:hAnsi="Times New Roman" w:cs="Times New Roman"/>
        <w:b w:val="0"/>
        <w:bCs w:val="0"/>
        <w:w w:val="99"/>
        <w:sz w:val="20"/>
        <w:szCs w:val="20"/>
      </w:rPr>
    </w:lvl>
    <w:lvl w:ilvl="1">
      <w:numFmt w:val="bullet"/>
      <w:lvlText w:val="•"/>
      <w:lvlJc w:val="left"/>
      <w:pPr>
        <w:ind w:left="1047" w:hanging="720"/>
      </w:pPr>
    </w:lvl>
    <w:lvl w:ilvl="2">
      <w:numFmt w:val="bullet"/>
      <w:lvlText w:val="•"/>
      <w:lvlJc w:val="left"/>
      <w:pPr>
        <w:ind w:left="1953" w:hanging="720"/>
      </w:pPr>
    </w:lvl>
    <w:lvl w:ilvl="3">
      <w:numFmt w:val="bullet"/>
      <w:lvlText w:val="•"/>
      <w:lvlJc w:val="left"/>
      <w:pPr>
        <w:ind w:left="2860" w:hanging="720"/>
      </w:pPr>
    </w:lvl>
    <w:lvl w:ilvl="4">
      <w:numFmt w:val="bullet"/>
      <w:lvlText w:val="•"/>
      <w:lvlJc w:val="left"/>
      <w:pPr>
        <w:ind w:left="3766" w:hanging="720"/>
      </w:pPr>
    </w:lvl>
    <w:lvl w:ilvl="5">
      <w:numFmt w:val="bullet"/>
      <w:lvlText w:val="•"/>
      <w:lvlJc w:val="left"/>
      <w:pPr>
        <w:ind w:left="4673" w:hanging="720"/>
      </w:pPr>
    </w:lvl>
    <w:lvl w:ilvl="6">
      <w:numFmt w:val="bullet"/>
      <w:lvlText w:val="•"/>
      <w:lvlJc w:val="left"/>
      <w:pPr>
        <w:ind w:left="5580" w:hanging="720"/>
      </w:pPr>
    </w:lvl>
    <w:lvl w:ilvl="7">
      <w:numFmt w:val="bullet"/>
      <w:lvlText w:val="•"/>
      <w:lvlJc w:val="left"/>
      <w:pPr>
        <w:ind w:left="6486" w:hanging="720"/>
      </w:pPr>
    </w:lvl>
    <w:lvl w:ilvl="8">
      <w:numFmt w:val="bullet"/>
      <w:lvlText w:val="•"/>
      <w:lvlJc w:val="left"/>
      <w:pPr>
        <w:ind w:left="7393" w:hanging="720"/>
      </w:pPr>
    </w:lvl>
  </w:abstractNum>
  <w:abstractNum w:abstractNumId="8">
    <w:nsid w:val="0000040A"/>
    <w:multiLevelType w:val="multilevel"/>
    <w:tmpl w:val="0000088D"/>
    <w:lvl w:ilvl="0">
      <w:start w:val="1"/>
      <w:numFmt w:val="upperLetter"/>
      <w:lvlText w:val="%1."/>
      <w:lvlJc w:val="left"/>
      <w:pPr>
        <w:ind w:left="500" w:hanging="360"/>
      </w:pPr>
      <w:rPr>
        <w:rFonts w:ascii="Arial Black" w:hAnsi="Arial Black" w:cs="Arial Black"/>
        <w:b/>
        <w:bCs/>
        <w:color w:val="0D0D0D"/>
        <w:spacing w:val="-24"/>
        <w:sz w:val="28"/>
        <w:szCs w:val="28"/>
      </w:rPr>
    </w:lvl>
    <w:lvl w:ilvl="1">
      <w:numFmt w:val="bullet"/>
      <w:lvlText w:val="•"/>
      <w:lvlJc w:val="left"/>
      <w:pPr>
        <w:ind w:left="1371" w:hanging="360"/>
      </w:pPr>
    </w:lvl>
    <w:lvl w:ilvl="2">
      <w:numFmt w:val="bullet"/>
      <w:lvlText w:val="•"/>
      <w:lvlJc w:val="left"/>
      <w:pPr>
        <w:ind w:left="2241" w:hanging="360"/>
      </w:pPr>
    </w:lvl>
    <w:lvl w:ilvl="3">
      <w:numFmt w:val="bullet"/>
      <w:lvlText w:val="•"/>
      <w:lvlJc w:val="left"/>
      <w:pPr>
        <w:ind w:left="3112" w:hanging="360"/>
      </w:pPr>
    </w:lvl>
    <w:lvl w:ilvl="4">
      <w:numFmt w:val="bullet"/>
      <w:lvlText w:val="•"/>
      <w:lvlJc w:val="left"/>
      <w:pPr>
        <w:ind w:left="3982" w:hanging="360"/>
      </w:pPr>
    </w:lvl>
    <w:lvl w:ilvl="5">
      <w:numFmt w:val="bullet"/>
      <w:lvlText w:val="•"/>
      <w:lvlJc w:val="left"/>
      <w:pPr>
        <w:ind w:left="4853" w:hanging="360"/>
      </w:pPr>
    </w:lvl>
    <w:lvl w:ilvl="6">
      <w:numFmt w:val="bullet"/>
      <w:lvlText w:val="•"/>
      <w:lvlJc w:val="left"/>
      <w:pPr>
        <w:ind w:left="5724" w:hanging="360"/>
      </w:pPr>
    </w:lvl>
    <w:lvl w:ilvl="7">
      <w:numFmt w:val="bullet"/>
      <w:lvlText w:val="•"/>
      <w:lvlJc w:val="left"/>
      <w:pPr>
        <w:ind w:left="6594" w:hanging="360"/>
      </w:pPr>
    </w:lvl>
    <w:lvl w:ilvl="8">
      <w:numFmt w:val="bullet"/>
      <w:lvlText w:val="•"/>
      <w:lvlJc w:val="left"/>
      <w:pPr>
        <w:ind w:left="7465" w:hanging="360"/>
      </w:pPr>
    </w:lvl>
  </w:abstractNum>
  <w:abstractNum w:abstractNumId="9">
    <w:nsid w:val="0000040B"/>
    <w:multiLevelType w:val="multilevel"/>
    <w:tmpl w:val="0000088E"/>
    <w:lvl w:ilvl="0">
      <w:start w:val="1"/>
      <w:numFmt w:val="upperLetter"/>
      <w:lvlText w:val="%1."/>
      <w:lvlJc w:val="left"/>
      <w:pPr>
        <w:ind w:left="860" w:hanging="720"/>
      </w:pPr>
      <w:rPr>
        <w:rFonts w:ascii="Arial Black" w:hAnsi="Arial Black" w:cs="Arial Black"/>
        <w:b/>
        <w:bCs/>
        <w:color w:val="0D0D0D"/>
        <w:spacing w:val="-24"/>
        <w:sz w:val="28"/>
        <w:szCs w:val="28"/>
      </w:rPr>
    </w:lvl>
    <w:lvl w:ilvl="1">
      <w:numFmt w:val="bullet"/>
      <w:lvlText w:val="•"/>
      <w:lvlJc w:val="left"/>
      <w:pPr>
        <w:ind w:left="1695" w:hanging="720"/>
      </w:pPr>
    </w:lvl>
    <w:lvl w:ilvl="2">
      <w:numFmt w:val="bullet"/>
      <w:lvlText w:val="•"/>
      <w:lvlJc w:val="left"/>
      <w:pPr>
        <w:ind w:left="2529" w:hanging="720"/>
      </w:pPr>
    </w:lvl>
    <w:lvl w:ilvl="3">
      <w:numFmt w:val="bullet"/>
      <w:lvlText w:val="•"/>
      <w:lvlJc w:val="left"/>
      <w:pPr>
        <w:ind w:left="3364" w:hanging="720"/>
      </w:pPr>
    </w:lvl>
    <w:lvl w:ilvl="4">
      <w:numFmt w:val="bullet"/>
      <w:lvlText w:val="•"/>
      <w:lvlJc w:val="left"/>
      <w:pPr>
        <w:ind w:left="4198" w:hanging="720"/>
      </w:pPr>
    </w:lvl>
    <w:lvl w:ilvl="5">
      <w:numFmt w:val="bullet"/>
      <w:lvlText w:val="•"/>
      <w:lvlJc w:val="left"/>
      <w:pPr>
        <w:ind w:left="5033" w:hanging="720"/>
      </w:pPr>
    </w:lvl>
    <w:lvl w:ilvl="6">
      <w:numFmt w:val="bullet"/>
      <w:lvlText w:val="•"/>
      <w:lvlJc w:val="left"/>
      <w:pPr>
        <w:ind w:left="5868" w:hanging="720"/>
      </w:pPr>
    </w:lvl>
    <w:lvl w:ilvl="7">
      <w:numFmt w:val="bullet"/>
      <w:lvlText w:val="•"/>
      <w:lvlJc w:val="left"/>
      <w:pPr>
        <w:ind w:left="6702" w:hanging="720"/>
      </w:pPr>
    </w:lvl>
    <w:lvl w:ilvl="8">
      <w:numFmt w:val="bullet"/>
      <w:lvlText w:val="•"/>
      <w:lvlJc w:val="left"/>
      <w:pPr>
        <w:ind w:left="7537" w:hanging="720"/>
      </w:pPr>
    </w:lvl>
  </w:abstractNum>
  <w:abstractNum w:abstractNumId="10">
    <w:nsid w:val="0000040C"/>
    <w:multiLevelType w:val="multilevel"/>
    <w:tmpl w:val="0000088F"/>
    <w:lvl w:ilvl="0">
      <w:start w:val="1"/>
      <w:numFmt w:val="upperLetter"/>
      <w:lvlText w:val="%1."/>
      <w:lvlJc w:val="left"/>
      <w:pPr>
        <w:ind w:left="860" w:hanging="720"/>
      </w:pPr>
      <w:rPr>
        <w:rFonts w:ascii="Arial Black" w:hAnsi="Arial Black" w:cs="Arial Black"/>
        <w:b/>
        <w:bCs/>
        <w:color w:val="0D0D0D"/>
        <w:spacing w:val="-24"/>
        <w:sz w:val="28"/>
        <w:szCs w:val="28"/>
      </w:rPr>
    </w:lvl>
    <w:lvl w:ilvl="1">
      <w:numFmt w:val="bullet"/>
      <w:lvlText w:val="•"/>
      <w:lvlJc w:val="left"/>
      <w:pPr>
        <w:ind w:left="1695" w:hanging="720"/>
      </w:pPr>
    </w:lvl>
    <w:lvl w:ilvl="2">
      <w:numFmt w:val="bullet"/>
      <w:lvlText w:val="•"/>
      <w:lvlJc w:val="left"/>
      <w:pPr>
        <w:ind w:left="2529" w:hanging="720"/>
      </w:pPr>
    </w:lvl>
    <w:lvl w:ilvl="3">
      <w:numFmt w:val="bullet"/>
      <w:lvlText w:val="•"/>
      <w:lvlJc w:val="left"/>
      <w:pPr>
        <w:ind w:left="3364" w:hanging="720"/>
      </w:pPr>
    </w:lvl>
    <w:lvl w:ilvl="4">
      <w:numFmt w:val="bullet"/>
      <w:lvlText w:val="•"/>
      <w:lvlJc w:val="left"/>
      <w:pPr>
        <w:ind w:left="4198" w:hanging="720"/>
      </w:pPr>
    </w:lvl>
    <w:lvl w:ilvl="5">
      <w:numFmt w:val="bullet"/>
      <w:lvlText w:val="•"/>
      <w:lvlJc w:val="left"/>
      <w:pPr>
        <w:ind w:left="5033" w:hanging="720"/>
      </w:pPr>
    </w:lvl>
    <w:lvl w:ilvl="6">
      <w:numFmt w:val="bullet"/>
      <w:lvlText w:val="•"/>
      <w:lvlJc w:val="left"/>
      <w:pPr>
        <w:ind w:left="5868" w:hanging="720"/>
      </w:pPr>
    </w:lvl>
    <w:lvl w:ilvl="7">
      <w:numFmt w:val="bullet"/>
      <w:lvlText w:val="•"/>
      <w:lvlJc w:val="left"/>
      <w:pPr>
        <w:ind w:left="6702" w:hanging="720"/>
      </w:pPr>
    </w:lvl>
    <w:lvl w:ilvl="8">
      <w:numFmt w:val="bullet"/>
      <w:lvlText w:val="•"/>
      <w:lvlJc w:val="left"/>
      <w:pPr>
        <w:ind w:left="7537" w:hanging="720"/>
      </w:pPr>
    </w:lvl>
  </w:abstractNum>
  <w:abstractNum w:abstractNumId="11">
    <w:nsid w:val="0000040D"/>
    <w:multiLevelType w:val="multilevel"/>
    <w:tmpl w:val="AFF24ADC"/>
    <w:lvl w:ilvl="0">
      <w:start w:val="1"/>
      <w:numFmt w:val="decimal"/>
      <w:lvlText w:val="%1."/>
      <w:lvlJc w:val="left"/>
      <w:pPr>
        <w:ind w:left="140" w:hanging="720"/>
      </w:pPr>
      <w:rPr>
        <w:rFonts w:ascii="Times New Roman" w:hAnsi="Times New Roman" w:cs="Times New Roman"/>
        <w:b w:val="0"/>
        <w:bCs w:val="0"/>
        <w:spacing w:val="1"/>
        <w:w w:val="99"/>
        <w:sz w:val="20"/>
        <w:szCs w:val="20"/>
      </w:rPr>
    </w:lvl>
    <w:lvl w:ilvl="1">
      <w:start w:val="1"/>
      <w:numFmt w:val="lowerLetter"/>
      <w:lvlText w:val="%2)"/>
      <w:lvlJc w:val="left"/>
      <w:pPr>
        <w:ind w:left="1580" w:hanging="732"/>
      </w:pPr>
      <w:rPr>
        <w:b w:val="0"/>
        <w:bCs w:val="0"/>
        <w:w w:val="99"/>
        <w:sz w:val="24"/>
        <w:szCs w:val="24"/>
      </w:rPr>
    </w:lvl>
    <w:lvl w:ilvl="2">
      <w:start w:val="1"/>
      <w:numFmt w:val="lowerRoman"/>
      <w:lvlText w:val="(%3)"/>
      <w:lvlJc w:val="left"/>
      <w:pPr>
        <w:ind w:left="1580" w:hanging="720"/>
      </w:pPr>
      <w:rPr>
        <w:rFonts w:ascii="Times New Roman" w:hAnsi="Times New Roman" w:cs="Times New Roman"/>
        <w:b w:val="0"/>
        <w:bCs w:val="0"/>
        <w:w w:val="99"/>
        <w:sz w:val="20"/>
        <w:szCs w:val="20"/>
      </w:rPr>
    </w:lvl>
    <w:lvl w:ilvl="3">
      <w:numFmt w:val="bullet"/>
      <w:lvlText w:val="•"/>
      <w:lvlJc w:val="left"/>
      <w:pPr>
        <w:ind w:left="1580" w:hanging="720"/>
      </w:pPr>
    </w:lvl>
    <w:lvl w:ilvl="4">
      <w:numFmt w:val="bullet"/>
      <w:lvlText w:val="•"/>
      <w:lvlJc w:val="left"/>
      <w:pPr>
        <w:ind w:left="1580" w:hanging="720"/>
      </w:pPr>
    </w:lvl>
    <w:lvl w:ilvl="5">
      <w:numFmt w:val="bullet"/>
      <w:lvlText w:val="•"/>
      <w:lvlJc w:val="left"/>
      <w:pPr>
        <w:ind w:left="1580" w:hanging="720"/>
      </w:pPr>
    </w:lvl>
    <w:lvl w:ilvl="6">
      <w:numFmt w:val="bullet"/>
      <w:lvlText w:val="•"/>
      <w:lvlJc w:val="left"/>
      <w:pPr>
        <w:ind w:left="1580" w:hanging="720"/>
      </w:pPr>
    </w:lvl>
    <w:lvl w:ilvl="7">
      <w:numFmt w:val="bullet"/>
      <w:lvlText w:val="•"/>
      <w:lvlJc w:val="left"/>
      <w:pPr>
        <w:ind w:left="1580" w:hanging="720"/>
      </w:pPr>
    </w:lvl>
    <w:lvl w:ilvl="8">
      <w:numFmt w:val="bullet"/>
      <w:lvlText w:val="•"/>
      <w:lvlJc w:val="left"/>
      <w:pPr>
        <w:ind w:left="4155" w:hanging="720"/>
      </w:pPr>
    </w:lvl>
  </w:abstractNum>
  <w:abstractNum w:abstractNumId="12">
    <w:nsid w:val="0000040E"/>
    <w:multiLevelType w:val="multilevel"/>
    <w:tmpl w:val="00000891"/>
    <w:lvl w:ilvl="0">
      <w:start w:val="1"/>
      <w:numFmt w:val="upperLetter"/>
      <w:lvlText w:val="%1."/>
      <w:lvlJc w:val="left"/>
      <w:pPr>
        <w:ind w:left="858" w:hanging="721"/>
      </w:pPr>
      <w:rPr>
        <w:rFonts w:ascii="Arial Black" w:hAnsi="Arial Black" w:cs="Arial Black"/>
        <w:b/>
        <w:bCs/>
        <w:color w:val="0D0D0D"/>
        <w:spacing w:val="-24"/>
        <w:sz w:val="28"/>
        <w:szCs w:val="28"/>
      </w:rPr>
    </w:lvl>
    <w:lvl w:ilvl="1">
      <w:start w:val="1"/>
      <w:numFmt w:val="decimal"/>
      <w:lvlText w:val="%2."/>
      <w:lvlJc w:val="left"/>
      <w:pPr>
        <w:ind w:left="137" w:hanging="721"/>
      </w:pPr>
      <w:rPr>
        <w:rFonts w:ascii="Times New Roman" w:hAnsi="Times New Roman" w:cs="Times New Roman"/>
        <w:b w:val="0"/>
        <w:bCs w:val="0"/>
        <w:spacing w:val="1"/>
        <w:w w:val="99"/>
        <w:sz w:val="20"/>
        <w:szCs w:val="20"/>
      </w:rPr>
    </w:lvl>
    <w:lvl w:ilvl="2">
      <w:start w:val="1"/>
      <w:numFmt w:val="lowerLetter"/>
      <w:lvlText w:val="(%3)"/>
      <w:lvlJc w:val="left"/>
      <w:pPr>
        <w:ind w:left="1578" w:hanging="732"/>
      </w:pPr>
      <w:rPr>
        <w:rFonts w:ascii="Times New Roman" w:hAnsi="Times New Roman" w:cs="Times New Roman"/>
        <w:b w:val="0"/>
        <w:bCs w:val="0"/>
        <w:w w:val="99"/>
        <w:sz w:val="20"/>
        <w:szCs w:val="20"/>
      </w:rPr>
    </w:lvl>
    <w:lvl w:ilvl="3">
      <w:start w:val="1"/>
      <w:numFmt w:val="lowerRoman"/>
      <w:lvlText w:val="(%4)"/>
      <w:lvlJc w:val="left"/>
      <w:pPr>
        <w:ind w:left="1578" w:hanging="720"/>
      </w:pPr>
      <w:rPr>
        <w:rFonts w:ascii="Times New Roman" w:hAnsi="Times New Roman" w:cs="Times New Roman"/>
        <w:b w:val="0"/>
        <w:bCs w:val="0"/>
        <w:w w:val="99"/>
        <w:sz w:val="20"/>
        <w:szCs w:val="20"/>
      </w:rPr>
    </w:lvl>
    <w:lvl w:ilvl="4">
      <w:numFmt w:val="bullet"/>
      <w:lvlText w:val="•"/>
      <w:lvlJc w:val="left"/>
      <w:pPr>
        <w:ind w:left="3404" w:hanging="720"/>
      </w:pPr>
    </w:lvl>
    <w:lvl w:ilvl="5">
      <w:numFmt w:val="bullet"/>
      <w:lvlText w:val="•"/>
      <w:lvlJc w:val="left"/>
      <w:pPr>
        <w:ind w:left="4511" w:hanging="720"/>
      </w:pPr>
    </w:lvl>
    <w:lvl w:ilvl="6">
      <w:numFmt w:val="bullet"/>
      <w:lvlText w:val="•"/>
      <w:lvlJc w:val="left"/>
      <w:pPr>
        <w:ind w:left="5618" w:hanging="720"/>
      </w:pPr>
    </w:lvl>
    <w:lvl w:ilvl="7">
      <w:numFmt w:val="bullet"/>
      <w:lvlText w:val="•"/>
      <w:lvlJc w:val="left"/>
      <w:pPr>
        <w:ind w:left="6725" w:hanging="720"/>
      </w:pPr>
    </w:lvl>
    <w:lvl w:ilvl="8">
      <w:numFmt w:val="bullet"/>
      <w:lvlText w:val="•"/>
      <w:lvlJc w:val="left"/>
      <w:pPr>
        <w:ind w:left="7832" w:hanging="720"/>
      </w:pPr>
    </w:lvl>
  </w:abstractNum>
  <w:abstractNum w:abstractNumId="13">
    <w:nsid w:val="0000040F"/>
    <w:multiLevelType w:val="multilevel"/>
    <w:tmpl w:val="00000892"/>
    <w:lvl w:ilvl="0">
      <w:start w:val="1"/>
      <w:numFmt w:val="lowerLetter"/>
      <w:lvlText w:val="(%1)"/>
      <w:lvlJc w:val="left"/>
      <w:pPr>
        <w:ind w:left="137" w:hanging="721"/>
      </w:pPr>
      <w:rPr>
        <w:rFonts w:ascii="Times New Roman" w:hAnsi="Times New Roman" w:cs="Times New Roman"/>
        <w:b w:val="0"/>
        <w:bCs w:val="0"/>
        <w:w w:val="99"/>
        <w:sz w:val="20"/>
        <w:szCs w:val="20"/>
      </w:rPr>
    </w:lvl>
    <w:lvl w:ilvl="1">
      <w:numFmt w:val="bullet"/>
      <w:lvlText w:val="•"/>
      <w:lvlJc w:val="left"/>
      <w:pPr>
        <w:ind w:left="1128" w:hanging="721"/>
      </w:pPr>
    </w:lvl>
    <w:lvl w:ilvl="2">
      <w:numFmt w:val="bullet"/>
      <w:lvlText w:val="•"/>
      <w:lvlJc w:val="left"/>
      <w:pPr>
        <w:ind w:left="2119" w:hanging="721"/>
      </w:pPr>
    </w:lvl>
    <w:lvl w:ilvl="3">
      <w:numFmt w:val="bullet"/>
      <w:lvlText w:val="•"/>
      <w:lvlJc w:val="left"/>
      <w:pPr>
        <w:ind w:left="3110" w:hanging="721"/>
      </w:pPr>
    </w:lvl>
    <w:lvl w:ilvl="4">
      <w:numFmt w:val="bullet"/>
      <w:lvlText w:val="•"/>
      <w:lvlJc w:val="left"/>
      <w:pPr>
        <w:ind w:left="4101" w:hanging="721"/>
      </w:pPr>
    </w:lvl>
    <w:lvl w:ilvl="5">
      <w:numFmt w:val="bullet"/>
      <w:lvlText w:val="•"/>
      <w:lvlJc w:val="left"/>
      <w:pPr>
        <w:ind w:left="5092" w:hanging="721"/>
      </w:pPr>
    </w:lvl>
    <w:lvl w:ilvl="6">
      <w:numFmt w:val="bullet"/>
      <w:lvlText w:val="•"/>
      <w:lvlJc w:val="left"/>
      <w:pPr>
        <w:ind w:left="6082" w:hanging="721"/>
      </w:pPr>
    </w:lvl>
    <w:lvl w:ilvl="7">
      <w:numFmt w:val="bullet"/>
      <w:lvlText w:val="•"/>
      <w:lvlJc w:val="left"/>
      <w:pPr>
        <w:ind w:left="7073" w:hanging="721"/>
      </w:pPr>
    </w:lvl>
    <w:lvl w:ilvl="8">
      <w:numFmt w:val="bullet"/>
      <w:lvlText w:val="•"/>
      <w:lvlJc w:val="left"/>
      <w:pPr>
        <w:ind w:left="8064" w:hanging="721"/>
      </w:pPr>
    </w:lvl>
  </w:abstractNum>
  <w:abstractNum w:abstractNumId="14">
    <w:nsid w:val="00000410"/>
    <w:multiLevelType w:val="multilevel"/>
    <w:tmpl w:val="D15068E6"/>
    <w:lvl w:ilvl="0">
      <w:start w:val="11"/>
      <w:numFmt w:val="decimal"/>
      <w:lvlText w:val="%1."/>
      <w:lvlJc w:val="left"/>
      <w:pPr>
        <w:ind w:left="137" w:hanging="721"/>
      </w:pPr>
      <w:rPr>
        <w:rFonts w:ascii="Times New Roman" w:hAnsi="Times New Roman" w:cs="Times New Roman"/>
        <w:b w:val="0"/>
        <w:bCs w:val="0"/>
        <w:spacing w:val="1"/>
        <w:w w:val="99"/>
        <w:sz w:val="20"/>
        <w:szCs w:val="20"/>
      </w:rPr>
    </w:lvl>
    <w:lvl w:ilvl="1">
      <w:start w:val="1"/>
      <w:numFmt w:val="lowerLetter"/>
      <w:lvlText w:val="%2)"/>
      <w:lvlJc w:val="left"/>
      <w:pPr>
        <w:ind w:left="846" w:hanging="732"/>
      </w:pPr>
      <w:rPr>
        <w:b w:val="0"/>
        <w:bCs w:val="0"/>
        <w:w w:val="99"/>
        <w:sz w:val="24"/>
        <w:szCs w:val="24"/>
      </w:rPr>
    </w:lvl>
    <w:lvl w:ilvl="2">
      <w:numFmt w:val="bullet"/>
      <w:lvlText w:val="•"/>
      <w:lvlJc w:val="left"/>
      <w:pPr>
        <w:ind w:left="1868" w:hanging="732"/>
      </w:pPr>
    </w:lvl>
    <w:lvl w:ilvl="3">
      <w:numFmt w:val="bullet"/>
      <w:lvlText w:val="•"/>
      <w:lvlJc w:val="left"/>
      <w:pPr>
        <w:ind w:left="2890" w:hanging="732"/>
      </w:pPr>
    </w:lvl>
    <w:lvl w:ilvl="4">
      <w:numFmt w:val="bullet"/>
      <w:lvlText w:val="•"/>
      <w:lvlJc w:val="left"/>
      <w:pPr>
        <w:ind w:left="3912" w:hanging="732"/>
      </w:pPr>
    </w:lvl>
    <w:lvl w:ilvl="5">
      <w:numFmt w:val="bullet"/>
      <w:lvlText w:val="•"/>
      <w:lvlJc w:val="left"/>
      <w:pPr>
        <w:ind w:left="4935" w:hanging="732"/>
      </w:pPr>
    </w:lvl>
    <w:lvl w:ilvl="6">
      <w:numFmt w:val="bullet"/>
      <w:lvlText w:val="•"/>
      <w:lvlJc w:val="left"/>
      <w:pPr>
        <w:ind w:left="5957" w:hanging="732"/>
      </w:pPr>
    </w:lvl>
    <w:lvl w:ilvl="7">
      <w:numFmt w:val="bullet"/>
      <w:lvlText w:val="•"/>
      <w:lvlJc w:val="left"/>
      <w:pPr>
        <w:ind w:left="6979" w:hanging="732"/>
      </w:pPr>
    </w:lvl>
    <w:lvl w:ilvl="8">
      <w:numFmt w:val="bullet"/>
      <w:lvlText w:val="•"/>
      <w:lvlJc w:val="left"/>
      <w:pPr>
        <w:ind w:left="8001" w:hanging="732"/>
      </w:pPr>
    </w:lvl>
  </w:abstractNum>
  <w:abstractNum w:abstractNumId="15">
    <w:nsid w:val="00000411"/>
    <w:multiLevelType w:val="multilevel"/>
    <w:tmpl w:val="00000894"/>
    <w:lvl w:ilvl="0">
      <w:start w:val="1"/>
      <w:numFmt w:val="upperLetter"/>
      <w:lvlText w:val="%1."/>
      <w:lvlJc w:val="left"/>
      <w:pPr>
        <w:ind w:left="567" w:hanging="286"/>
      </w:pPr>
      <w:rPr>
        <w:rFonts w:ascii="Times New Roman" w:hAnsi="Times New Roman" w:cs="Times New Roman"/>
        <w:b w:val="0"/>
        <w:bCs w:val="0"/>
        <w:color w:val="0D0D0D"/>
        <w:spacing w:val="-3"/>
        <w:w w:val="99"/>
        <w:sz w:val="20"/>
        <w:szCs w:val="20"/>
      </w:rPr>
    </w:lvl>
    <w:lvl w:ilvl="1">
      <w:numFmt w:val="bullet"/>
      <w:lvlText w:val="•"/>
      <w:lvlJc w:val="left"/>
      <w:pPr>
        <w:ind w:left="1441" w:hanging="286"/>
      </w:pPr>
    </w:lvl>
    <w:lvl w:ilvl="2">
      <w:numFmt w:val="bullet"/>
      <w:lvlText w:val="•"/>
      <w:lvlJc w:val="left"/>
      <w:pPr>
        <w:ind w:left="2315" w:hanging="286"/>
      </w:pPr>
    </w:lvl>
    <w:lvl w:ilvl="3">
      <w:numFmt w:val="bullet"/>
      <w:lvlText w:val="•"/>
      <w:lvlJc w:val="left"/>
      <w:pPr>
        <w:ind w:left="3189" w:hanging="286"/>
      </w:pPr>
    </w:lvl>
    <w:lvl w:ilvl="4">
      <w:numFmt w:val="bullet"/>
      <w:lvlText w:val="•"/>
      <w:lvlJc w:val="left"/>
      <w:pPr>
        <w:ind w:left="4063" w:hanging="286"/>
      </w:pPr>
    </w:lvl>
    <w:lvl w:ilvl="5">
      <w:numFmt w:val="bullet"/>
      <w:lvlText w:val="•"/>
      <w:lvlJc w:val="left"/>
      <w:pPr>
        <w:ind w:left="4937" w:hanging="286"/>
      </w:pPr>
    </w:lvl>
    <w:lvl w:ilvl="6">
      <w:numFmt w:val="bullet"/>
      <w:lvlText w:val="•"/>
      <w:lvlJc w:val="left"/>
      <w:pPr>
        <w:ind w:left="5810" w:hanging="286"/>
      </w:pPr>
    </w:lvl>
    <w:lvl w:ilvl="7">
      <w:numFmt w:val="bullet"/>
      <w:lvlText w:val="•"/>
      <w:lvlJc w:val="left"/>
      <w:pPr>
        <w:ind w:left="6684" w:hanging="286"/>
      </w:pPr>
    </w:lvl>
    <w:lvl w:ilvl="8">
      <w:numFmt w:val="bullet"/>
      <w:lvlText w:val="•"/>
      <w:lvlJc w:val="left"/>
      <w:pPr>
        <w:ind w:left="7558" w:hanging="286"/>
      </w:pPr>
    </w:lvl>
  </w:abstractNum>
  <w:abstractNum w:abstractNumId="16">
    <w:nsid w:val="00FF54B4"/>
    <w:multiLevelType w:val="hybridMultilevel"/>
    <w:tmpl w:val="485C83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1EE447D0"/>
    <w:multiLevelType w:val="hybridMultilevel"/>
    <w:tmpl w:val="60341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0085E7A"/>
    <w:multiLevelType w:val="hybridMultilevel"/>
    <w:tmpl w:val="744274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9774E4A"/>
    <w:multiLevelType w:val="hybridMultilevel"/>
    <w:tmpl w:val="D788F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2FE6739"/>
    <w:multiLevelType w:val="hybridMultilevel"/>
    <w:tmpl w:val="A8765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67963FC3"/>
    <w:multiLevelType w:val="hybridMultilevel"/>
    <w:tmpl w:val="7A0C8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DD97E69"/>
    <w:multiLevelType w:val="hybridMultilevel"/>
    <w:tmpl w:val="1ECCDDEE"/>
    <w:lvl w:ilvl="0" w:tplc="86E218C8">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abstractNumId w:val="15"/>
  </w:num>
  <w:num w:numId="2">
    <w:abstractNumId w:val="14"/>
  </w:num>
  <w:num w:numId="3">
    <w:abstractNumId w:val="13"/>
  </w:num>
  <w:num w:numId="4">
    <w:abstractNumId w:val="12"/>
  </w:num>
  <w:num w:numId="5">
    <w:abstractNumId w:val="11"/>
  </w:num>
  <w:num w:numId="6">
    <w:abstractNumId w:val="10"/>
  </w:num>
  <w:num w:numId="7">
    <w:abstractNumId w:val="9"/>
  </w:num>
  <w:num w:numId="8">
    <w:abstractNumId w:val="8"/>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18"/>
  </w:num>
  <w:num w:numId="18">
    <w:abstractNumId w:val="19"/>
  </w:num>
  <w:num w:numId="19">
    <w:abstractNumId w:val="17"/>
  </w:num>
  <w:num w:numId="20">
    <w:abstractNumId w:val="22"/>
  </w:num>
  <w:num w:numId="21">
    <w:abstractNumId w:val="16"/>
  </w:num>
  <w:num w:numId="22">
    <w:abstractNumId w:val="2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hideGrammaticalError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40C"/>
    <w:rsid w:val="00012926"/>
    <w:rsid w:val="0001763A"/>
    <w:rsid w:val="00021090"/>
    <w:rsid w:val="00033279"/>
    <w:rsid w:val="00054C3F"/>
    <w:rsid w:val="000960CE"/>
    <w:rsid w:val="000A4484"/>
    <w:rsid w:val="000B3BBB"/>
    <w:rsid w:val="000B74DF"/>
    <w:rsid w:val="000F4940"/>
    <w:rsid w:val="0010018A"/>
    <w:rsid w:val="0012197C"/>
    <w:rsid w:val="0014678A"/>
    <w:rsid w:val="00162FB1"/>
    <w:rsid w:val="00163344"/>
    <w:rsid w:val="001957F1"/>
    <w:rsid w:val="001B3A77"/>
    <w:rsid w:val="001B6AF7"/>
    <w:rsid w:val="001E66EB"/>
    <w:rsid w:val="001F6250"/>
    <w:rsid w:val="00206C97"/>
    <w:rsid w:val="0022094F"/>
    <w:rsid w:val="002320EF"/>
    <w:rsid w:val="00241381"/>
    <w:rsid w:val="002907C7"/>
    <w:rsid w:val="002D5684"/>
    <w:rsid w:val="0030687C"/>
    <w:rsid w:val="0034073F"/>
    <w:rsid w:val="00341E9C"/>
    <w:rsid w:val="00356F12"/>
    <w:rsid w:val="003D73BC"/>
    <w:rsid w:val="00446D8E"/>
    <w:rsid w:val="00447C46"/>
    <w:rsid w:val="004565EF"/>
    <w:rsid w:val="004571FA"/>
    <w:rsid w:val="00496106"/>
    <w:rsid w:val="004C1645"/>
    <w:rsid w:val="005119D4"/>
    <w:rsid w:val="00544AB4"/>
    <w:rsid w:val="00556A21"/>
    <w:rsid w:val="005816E9"/>
    <w:rsid w:val="00581D3A"/>
    <w:rsid w:val="005A3969"/>
    <w:rsid w:val="005C6C83"/>
    <w:rsid w:val="005D3BA1"/>
    <w:rsid w:val="0060225B"/>
    <w:rsid w:val="006178D5"/>
    <w:rsid w:val="00665A78"/>
    <w:rsid w:val="00680878"/>
    <w:rsid w:val="006A3DA2"/>
    <w:rsid w:val="006A6A9D"/>
    <w:rsid w:val="006C5661"/>
    <w:rsid w:val="00702DC9"/>
    <w:rsid w:val="007127B1"/>
    <w:rsid w:val="00720C1E"/>
    <w:rsid w:val="007367D4"/>
    <w:rsid w:val="007A090B"/>
    <w:rsid w:val="007A11CB"/>
    <w:rsid w:val="007B5A4A"/>
    <w:rsid w:val="007B740C"/>
    <w:rsid w:val="007F350A"/>
    <w:rsid w:val="008132D5"/>
    <w:rsid w:val="008222B2"/>
    <w:rsid w:val="008410EF"/>
    <w:rsid w:val="00841D83"/>
    <w:rsid w:val="0085568E"/>
    <w:rsid w:val="00855D29"/>
    <w:rsid w:val="008561C0"/>
    <w:rsid w:val="008760A7"/>
    <w:rsid w:val="008B1FFA"/>
    <w:rsid w:val="008B726F"/>
    <w:rsid w:val="008D7D4A"/>
    <w:rsid w:val="008E3F72"/>
    <w:rsid w:val="00903CAA"/>
    <w:rsid w:val="0090465E"/>
    <w:rsid w:val="00926B78"/>
    <w:rsid w:val="009322D1"/>
    <w:rsid w:val="009367E7"/>
    <w:rsid w:val="00943494"/>
    <w:rsid w:val="00946FBE"/>
    <w:rsid w:val="009D4521"/>
    <w:rsid w:val="009E501B"/>
    <w:rsid w:val="009E590E"/>
    <w:rsid w:val="00A177E6"/>
    <w:rsid w:val="00A800B3"/>
    <w:rsid w:val="00A86B70"/>
    <w:rsid w:val="00B1767F"/>
    <w:rsid w:val="00B224A6"/>
    <w:rsid w:val="00B3704E"/>
    <w:rsid w:val="00B436FE"/>
    <w:rsid w:val="00B53D2E"/>
    <w:rsid w:val="00B7613F"/>
    <w:rsid w:val="00BA3405"/>
    <w:rsid w:val="00BA688C"/>
    <w:rsid w:val="00BE45DA"/>
    <w:rsid w:val="00BE4BBC"/>
    <w:rsid w:val="00BE5F6F"/>
    <w:rsid w:val="00C229CA"/>
    <w:rsid w:val="00C32E21"/>
    <w:rsid w:val="00C341AA"/>
    <w:rsid w:val="00C37ADD"/>
    <w:rsid w:val="00C43847"/>
    <w:rsid w:val="00C7060E"/>
    <w:rsid w:val="00C77CF8"/>
    <w:rsid w:val="00C83171"/>
    <w:rsid w:val="00CC42D4"/>
    <w:rsid w:val="00CD1311"/>
    <w:rsid w:val="00D265B8"/>
    <w:rsid w:val="00D67228"/>
    <w:rsid w:val="00D9748E"/>
    <w:rsid w:val="00DA7189"/>
    <w:rsid w:val="00DE2C08"/>
    <w:rsid w:val="00DF1B52"/>
    <w:rsid w:val="00DF7973"/>
    <w:rsid w:val="00E03890"/>
    <w:rsid w:val="00E23E42"/>
    <w:rsid w:val="00E30B0D"/>
    <w:rsid w:val="00E42D67"/>
    <w:rsid w:val="00E501A1"/>
    <w:rsid w:val="00E53BE6"/>
    <w:rsid w:val="00E70BBB"/>
    <w:rsid w:val="00E82BD7"/>
    <w:rsid w:val="00EB4539"/>
    <w:rsid w:val="00F10778"/>
    <w:rsid w:val="00F24F59"/>
    <w:rsid w:val="00F35F4D"/>
    <w:rsid w:val="00F521CC"/>
    <w:rsid w:val="00F56792"/>
    <w:rsid w:val="00F5691F"/>
    <w:rsid w:val="00F76C46"/>
    <w:rsid w:val="00FB5D57"/>
    <w:rsid w:val="00FC0E68"/>
    <w:rsid w:val="00FC6188"/>
    <w:rsid w:val="00FF0E8E"/>
    <w:rsid w:val="00FF5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4C07C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A4484"/>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Heading2"/>
    <w:next w:val="Normal"/>
    <w:link w:val="Heading1Char"/>
    <w:uiPriority w:val="1"/>
    <w:qFormat/>
    <w:rsid w:val="00C43847"/>
    <w:pPr>
      <w:widowControl/>
      <w:kinsoku w:val="0"/>
      <w:overflowPunct w:val="0"/>
      <w:ind w:left="0"/>
      <w:jc w:val="both"/>
      <w:outlineLvl w:val="0"/>
    </w:pPr>
    <w:rPr>
      <w:rFonts w:ascii="Times New Roman" w:hAnsi="Times New Roman" w:cs="Times New Roman"/>
      <w:noProof/>
      <w:sz w:val="32"/>
    </w:rPr>
  </w:style>
  <w:style w:type="paragraph" w:styleId="Heading2">
    <w:name w:val="heading 2"/>
    <w:basedOn w:val="Normal"/>
    <w:next w:val="Normal"/>
    <w:link w:val="Heading2Char"/>
    <w:uiPriority w:val="1"/>
    <w:qFormat/>
    <w:pPr>
      <w:ind w:left="140"/>
      <w:outlineLvl w:val="1"/>
    </w:pPr>
    <w:rPr>
      <w:rFonts w:ascii="Arial Black" w:hAnsi="Arial Black" w:cs="Arial Black"/>
      <w:b/>
      <w:bCs/>
      <w:sz w:val="44"/>
      <w:szCs w:val="44"/>
    </w:rPr>
  </w:style>
  <w:style w:type="paragraph" w:styleId="Heading3">
    <w:name w:val="heading 3"/>
    <w:basedOn w:val="Normal"/>
    <w:next w:val="Normal"/>
    <w:link w:val="Heading3Char"/>
    <w:uiPriority w:val="1"/>
    <w:qFormat/>
    <w:pPr>
      <w:ind w:left="860" w:hanging="720"/>
      <w:outlineLvl w:val="2"/>
    </w:pPr>
    <w:rPr>
      <w:rFonts w:ascii="Arial Black" w:hAnsi="Arial Black" w:cs="Arial Black"/>
      <w:b/>
      <w:bCs/>
      <w:sz w:val="28"/>
      <w:szCs w:val="28"/>
    </w:rPr>
  </w:style>
  <w:style w:type="paragraph" w:styleId="Heading4">
    <w:name w:val="heading 4"/>
    <w:basedOn w:val="Normal"/>
    <w:next w:val="Normal"/>
    <w:link w:val="Heading4Char"/>
    <w:uiPriority w:val="1"/>
    <w:qFormat/>
    <w:pPr>
      <w:spacing w:before="362"/>
      <w:ind w:left="140"/>
      <w:outlineLvl w:val="3"/>
    </w:pPr>
    <w:rPr>
      <w:rFonts w:ascii="Garamond" w:hAnsi="Garamond" w:cs="Garamond"/>
      <w:i/>
      <w:iCs/>
      <w:sz w:val="28"/>
      <w:szCs w:val="28"/>
    </w:rPr>
  </w:style>
  <w:style w:type="paragraph" w:styleId="Heading5">
    <w:name w:val="heading 5"/>
    <w:basedOn w:val="Normal"/>
    <w:next w:val="Normal"/>
    <w:link w:val="Heading5Char"/>
    <w:uiPriority w:val="1"/>
    <w:qFormat/>
    <w:pPr>
      <w:ind w:left="140"/>
      <w:outlineLvl w:val="4"/>
    </w:pPr>
    <w:rPr>
      <w:rFonts w:ascii="Arial Black" w:hAnsi="Arial Black" w:cs="Arial Black"/>
      <w:b/>
      <w:bCs/>
      <w:i/>
      <w:iCs/>
      <w:sz w:val="25"/>
      <w:szCs w:val="25"/>
    </w:rPr>
  </w:style>
  <w:style w:type="paragraph" w:styleId="Heading6">
    <w:name w:val="heading 6"/>
    <w:basedOn w:val="Normal"/>
    <w:next w:val="Normal"/>
    <w:link w:val="Heading6Char"/>
    <w:uiPriority w:val="1"/>
    <w:qFormat/>
    <w:pPr>
      <w:ind w:left="140"/>
      <w:outlineLvl w:val="5"/>
    </w:pPr>
    <w:rPr>
      <w:rFonts w:ascii="Arial Black" w:hAnsi="Arial Black" w:cs="Arial Black"/>
      <w:b/>
      <w:bCs/>
    </w:rPr>
  </w:style>
  <w:style w:type="paragraph" w:styleId="Heading7">
    <w:name w:val="heading 7"/>
    <w:basedOn w:val="Normal"/>
    <w:next w:val="Normal"/>
    <w:link w:val="Heading7Char"/>
    <w:uiPriority w:val="1"/>
    <w:qFormat/>
    <w:pPr>
      <w:spacing w:before="60"/>
      <w:ind w:left="1273"/>
      <w:outlineLvl w:val="6"/>
    </w:pPr>
    <w:rPr>
      <w:b/>
      <w:bCs/>
      <w:sz w:val="22"/>
      <w:szCs w:val="22"/>
    </w:rPr>
  </w:style>
  <w:style w:type="paragraph" w:styleId="Heading8">
    <w:name w:val="heading 8"/>
    <w:basedOn w:val="Normal"/>
    <w:next w:val="Normal"/>
    <w:link w:val="Heading8Char"/>
    <w:uiPriority w:val="1"/>
    <w:qFormat/>
    <w:pPr>
      <w:ind w:left="88"/>
      <w:outlineLvl w:val="7"/>
    </w:pPr>
    <w:rPr>
      <w:rFonts w:ascii="Arial" w:hAnsi="Arial" w:cs="Arial"/>
      <w:sz w:val="21"/>
      <w:szCs w:val="21"/>
    </w:rPr>
  </w:style>
  <w:style w:type="paragraph" w:styleId="Heading9">
    <w:name w:val="heading 9"/>
    <w:basedOn w:val="Normal"/>
    <w:next w:val="Normal"/>
    <w:link w:val="Heading9Char"/>
    <w:uiPriority w:val="1"/>
    <w:qFormat/>
    <w:pPr>
      <w:spacing w:before="17"/>
      <w:ind w:left="1273"/>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C43847"/>
    <w:rPr>
      <w:rFonts w:ascii="Times New Roman" w:hAnsi="Times New Roman"/>
      <w:b/>
      <w:bCs/>
      <w:noProof/>
      <w:sz w:val="32"/>
      <w:szCs w:val="44"/>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1"/>
    <w:qFormat/>
    <w:pPr>
      <w:spacing w:before="120"/>
      <w:ind w:left="140"/>
    </w:pPr>
    <w:rPr>
      <w:sz w:val="20"/>
      <w:szCs w:val="20"/>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B740C"/>
    <w:pPr>
      <w:tabs>
        <w:tab w:val="center" w:pos="4153"/>
        <w:tab w:val="right" w:pos="8306"/>
      </w:tabs>
    </w:pPr>
  </w:style>
  <w:style w:type="character" w:customStyle="1" w:styleId="HeaderChar">
    <w:name w:val="Header Char"/>
    <w:basedOn w:val="DefaultParagraphFont"/>
    <w:link w:val="Header"/>
    <w:uiPriority w:val="99"/>
    <w:locked/>
    <w:rsid w:val="007B740C"/>
    <w:rPr>
      <w:rFonts w:ascii="Times New Roman" w:hAnsi="Times New Roman" w:cs="Times New Roman"/>
      <w:sz w:val="24"/>
      <w:szCs w:val="24"/>
    </w:rPr>
  </w:style>
  <w:style w:type="paragraph" w:styleId="Footer">
    <w:name w:val="footer"/>
    <w:basedOn w:val="Normal"/>
    <w:link w:val="FooterChar"/>
    <w:unhideWhenUsed/>
    <w:rsid w:val="007B740C"/>
    <w:pPr>
      <w:tabs>
        <w:tab w:val="center" w:pos="4153"/>
        <w:tab w:val="right" w:pos="8306"/>
      </w:tabs>
    </w:pPr>
  </w:style>
  <w:style w:type="character" w:customStyle="1" w:styleId="FooterChar">
    <w:name w:val="Footer Char"/>
    <w:basedOn w:val="DefaultParagraphFont"/>
    <w:link w:val="Footer"/>
    <w:uiPriority w:val="99"/>
    <w:locked/>
    <w:rsid w:val="007B740C"/>
    <w:rPr>
      <w:rFonts w:ascii="Times New Roman" w:hAnsi="Times New Roman" w:cs="Times New Roman"/>
      <w:sz w:val="24"/>
      <w:szCs w:val="24"/>
    </w:rPr>
  </w:style>
  <w:style w:type="table" w:styleId="TableGrid">
    <w:name w:val="Table Grid"/>
    <w:basedOn w:val="TableNormal"/>
    <w:uiPriority w:val="39"/>
    <w:rsid w:val="006808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44AB4"/>
    <w:rPr>
      <w:rFonts w:cs="Times New Roman"/>
      <w:color w:val="0563C1" w:themeColor="hyperlink"/>
      <w:u w:val="single"/>
    </w:rPr>
  </w:style>
  <w:style w:type="paragraph" w:styleId="EndnoteText">
    <w:name w:val="endnote text"/>
    <w:basedOn w:val="Normal"/>
    <w:link w:val="EndnoteTextChar"/>
    <w:uiPriority w:val="99"/>
    <w:semiHidden/>
    <w:unhideWhenUsed/>
    <w:rsid w:val="009D4521"/>
    <w:rPr>
      <w:sz w:val="20"/>
      <w:szCs w:val="20"/>
    </w:rPr>
  </w:style>
  <w:style w:type="character" w:customStyle="1" w:styleId="EndnoteTextChar">
    <w:name w:val="Endnote Text Char"/>
    <w:basedOn w:val="DefaultParagraphFont"/>
    <w:link w:val="EndnoteText"/>
    <w:uiPriority w:val="99"/>
    <w:semiHidden/>
    <w:locked/>
    <w:rsid w:val="009D4521"/>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9D4521"/>
    <w:rPr>
      <w:rFonts w:cs="Times New Roman"/>
      <w:vertAlign w:val="superscript"/>
    </w:rPr>
  </w:style>
  <w:style w:type="character" w:styleId="CommentReference">
    <w:name w:val="annotation reference"/>
    <w:basedOn w:val="DefaultParagraphFont"/>
    <w:uiPriority w:val="99"/>
    <w:semiHidden/>
    <w:unhideWhenUsed/>
    <w:rsid w:val="00C32E21"/>
    <w:rPr>
      <w:rFonts w:cs="Times New Roman"/>
      <w:sz w:val="16"/>
      <w:szCs w:val="16"/>
    </w:rPr>
  </w:style>
  <w:style w:type="paragraph" w:styleId="CommentText">
    <w:name w:val="annotation text"/>
    <w:basedOn w:val="Normal"/>
    <w:link w:val="CommentTextChar"/>
    <w:uiPriority w:val="99"/>
    <w:semiHidden/>
    <w:unhideWhenUsed/>
    <w:rsid w:val="00C32E21"/>
    <w:rPr>
      <w:sz w:val="20"/>
      <w:szCs w:val="20"/>
    </w:rPr>
  </w:style>
  <w:style w:type="character" w:customStyle="1" w:styleId="CommentTextChar">
    <w:name w:val="Comment Text Char"/>
    <w:basedOn w:val="DefaultParagraphFont"/>
    <w:link w:val="CommentText"/>
    <w:uiPriority w:val="99"/>
    <w:semiHidden/>
    <w:locked/>
    <w:rsid w:val="00C32E2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E21"/>
    <w:rPr>
      <w:b/>
      <w:bCs/>
    </w:rPr>
  </w:style>
  <w:style w:type="character" w:customStyle="1" w:styleId="CommentSubjectChar">
    <w:name w:val="Comment Subject Char"/>
    <w:basedOn w:val="CommentTextChar"/>
    <w:link w:val="CommentSubject"/>
    <w:uiPriority w:val="99"/>
    <w:semiHidden/>
    <w:locked/>
    <w:rsid w:val="00C32E2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C32E21"/>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32E21"/>
    <w:rPr>
      <w:rFonts w:ascii="Segoe UI" w:hAnsi="Segoe UI" w:cs="Segoe UI"/>
      <w:sz w:val="18"/>
      <w:szCs w:val="18"/>
    </w:rPr>
  </w:style>
  <w:style w:type="paragraph" w:customStyle="1" w:styleId="Default">
    <w:name w:val="Default"/>
    <w:rsid w:val="00DF1B52"/>
    <w:pPr>
      <w:autoSpaceDE w:val="0"/>
      <w:autoSpaceDN w:val="0"/>
      <w:adjustRightInd w:val="0"/>
      <w:spacing w:after="0" w:line="240" w:lineRule="auto"/>
    </w:pPr>
    <w:rPr>
      <w:rFonts w:ascii="Times New Roman" w:hAnsi="Times New Roman"/>
      <w:color w:val="000000"/>
      <w:sz w:val="24"/>
      <w:szCs w:val="24"/>
    </w:rPr>
  </w:style>
  <w:style w:type="character" w:styleId="PageNumber">
    <w:name w:val="page number"/>
    <w:basedOn w:val="DefaultParagraphFont"/>
    <w:semiHidden/>
    <w:rsid w:val="006178D5"/>
  </w:style>
  <w:style w:type="paragraph" w:styleId="FootnoteText">
    <w:name w:val="footnote text"/>
    <w:basedOn w:val="Normal"/>
    <w:link w:val="FootnoteTextChar"/>
    <w:uiPriority w:val="99"/>
    <w:semiHidden/>
    <w:unhideWhenUsed/>
    <w:rsid w:val="006A3DA2"/>
    <w:rPr>
      <w:sz w:val="20"/>
      <w:szCs w:val="20"/>
    </w:rPr>
  </w:style>
  <w:style w:type="character" w:customStyle="1" w:styleId="FootnoteTextChar">
    <w:name w:val="Footnote Text Char"/>
    <w:basedOn w:val="DefaultParagraphFont"/>
    <w:link w:val="FootnoteText"/>
    <w:uiPriority w:val="99"/>
    <w:semiHidden/>
    <w:rsid w:val="006A3DA2"/>
    <w:rPr>
      <w:rFonts w:ascii="Times New Roman" w:hAnsi="Times New Roman"/>
      <w:sz w:val="20"/>
      <w:szCs w:val="20"/>
    </w:rPr>
  </w:style>
  <w:style w:type="character" w:styleId="FootnoteReference">
    <w:name w:val="footnote reference"/>
    <w:basedOn w:val="DefaultParagraphFont"/>
    <w:uiPriority w:val="99"/>
    <w:semiHidden/>
    <w:unhideWhenUsed/>
    <w:rsid w:val="006A3DA2"/>
    <w:rPr>
      <w:vertAlign w:val="superscript"/>
    </w:rPr>
  </w:style>
  <w:style w:type="paragraph" w:styleId="TOCHeading">
    <w:name w:val="TOC Heading"/>
    <w:basedOn w:val="Heading1"/>
    <w:next w:val="Normal"/>
    <w:uiPriority w:val="39"/>
    <w:unhideWhenUsed/>
    <w:qFormat/>
    <w:rsid w:val="005A3969"/>
    <w:pPr>
      <w:keepNext/>
      <w:keepLines/>
      <w:kinsoku/>
      <w:overflowPunct/>
      <w:autoSpaceDE/>
      <w:autoSpaceDN/>
      <w:adjustRightInd/>
      <w:spacing w:before="240" w:line="259" w:lineRule="auto"/>
      <w:jc w:val="left"/>
      <w:outlineLvl w:val="9"/>
    </w:pPr>
    <w:rPr>
      <w:rFonts w:asciiTheme="majorHAnsi" w:eastAsiaTheme="majorEastAsia" w:hAnsiTheme="majorHAnsi" w:cstheme="majorBidi"/>
      <w:b w:val="0"/>
      <w:bCs w:val="0"/>
      <w:noProof w:val="0"/>
      <w:color w:val="2E74B5" w:themeColor="accent1" w:themeShade="BF"/>
      <w:szCs w:val="32"/>
      <w:lang w:val="en-US" w:eastAsia="en-US" w:bidi="ar-SA"/>
    </w:rPr>
  </w:style>
  <w:style w:type="paragraph" w:styleId="TOC2">
    <w:name w:val="toc 2"/>
    <w:basedOn w:val="Normal"/>
    <w:next w:val="Normal"/>
    <w:autoRedefine/>
    <w:uiPriority w:val="39"/>
    <w:unhideWhenUsed/>
    <w:rsid w:val="005A3969"/>
    <w:pPr>
      <w:spacing w:after="100"/>
      <w:ind w:left="240"/>
    </w:pPr>
  </w:style>
  <w:style w:type="paragraph" w:styleId="TOC1">
    <w:name w:val="toc 1"/>
    <w:basedOn w:val="Normal"/>
    <w:next w:val="Normal"/>
    <w:autoRedefine/>
    <w:uiPriority w:val="39"/>
    <w:unhideWhenUsed/>
    <w:rsid w:val="005A3969"/>
    <w:pPr>
      <w:spacing w:after="100"/>
    </w:pPr>
  </w:style>
  <w:style w:type="paragraph" w:styleId="TOC3">
    <w:name w:val="toc 3"/>
    <w:basedOn w:val="Normal"/>
    <w:next w:val="Normal"/>
    <w:autoRedefine/>
    <w:uiPriority w:val="39"/>
    <w:unhideWhenUsed/>
    <w:rsid w:val="005A396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lrtap-tfrn.org/" TargetMode="External"/><Relationship Id="rId18" Type="http://schemas.openxmlformats.org/officeDocument/2006/relationships/image" Target="media/image7.emf"/><Relationship Id="rId26" Type="http://schemas.openxmlformats.org/officeDocument/2006/relationships/hyperlink" Target="mailto:tommy.dalgaard@agrsci.dk" TargetMode="External"/><Relationship Id="rId39" Type="http://schemas.openxmlformats.org/officeDocument/2006/relationships/hyperlink" Target="mailto:Stan.Lalor@teagasc.ie" TargetMode="External"/><Relationship Id="rId21" Type="http://schemas.openxmlformats.org/officeDocument/2006/relationships/image" Target="media/image9.emf"/><Relationship Id="rId34" Type="http://schemas.openxmlformats.org/officeDocument/2006/relationships/hyperlink" Target="mailto:cbritt@ceh.ac.uk" TargetMode="External"/><Relationship Id="rId42" Type="http://schemas.openxmlformats.org/officeDocument/2006/relationships/hyperlink" Target="mailto:tom.misselbrook@rothamsted.ac.uk" TargetMode="External"/><Relationship Id="rId47" Type="http://schemas.openxmlformats.org/officeDocument/2006/relationships/hyperlink" Target="mailto:ms@ceh.ac.uk" TargetMode="External"/><Relationship Id="rId50" Type="http://schemas.openxmlformats.org/officeDocument/2006/relationships/hyperlink" Target="mailto:j.webb@ricardo-aea.com"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hyperlink" Target="mailto:emmanuel.fiani@ademe.fr" TargetMode="External"/><Relationship Id="rId11" Type="http://schemas.openxmlformats.org/officeDocument/2006/relationships/image" Target="media/image2.png"/><Relationship Id="rId24" Type="http://schemas.openxmlformats.org/officeDocument/2006/relationships/hyperlink" Target="mailto:shshabtai.bittman@agr.gc.ca" TargetMode="External"/><Relationship Id="rId32" Type="http://schemas.openxmlformats.org/officeDocument/2006/relationships/hyperlink" Target="mailto:mno@agrotech.dk" TargetMode="External"/><Relationship Id="rId37" Type="http://schemas.openxmlformats.org/officeDocument/2006/relationships/hyperlink" Target="mailto:natalia.kozlova@sznii.ru" TargetMode="External"/><Relationship Id="rId40" Type="http://schemas.openxmlformats.org/officeDocument/2006/relationships/hyperlink" Target="mailto:vnion@vtsnet.ru" TargetMode="External"/><Relationship Id="rId45" Type="http://schemas.openxmlformats.org/officeDocument/2006/relationships/hyperlink" Target="mailto:Christian.palliere@fertilizerseurope.com" TargetMode="External"/><Relationship Id="rId53" Type="http://schemas.openxmlformats.org/officeDocument/2006/relationships/image" Target="media/image10.emf"/><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www.clrtap-tfrn.org/" TargetMode="External"/><Relationship Id="rId14" Type="http://schemas.openxmlformats.org/officeDocument/2006/relationships/image" Target="media/image3.png"/><Relationship Id="rId22" Type="http://schemas.openxmlformats.org/officeDocument/2006/relationships/hyperlink" Target="mailto:andre.aarnink@wur.nl" TargetMode="External"/><Relationship Id="rId27" Type="http://schemas.openxmlformats.org/officeDocument/2006/relationships/hyperlink" Target="mailto:martin.dedina@vuzt.cz" TargetMode="External"/><Relationship Id="rId30" Type="http://schemas.openxmlformats.org/officeDocument/2006/relationships/hyperlink" Target="mailto:karin.groenestein@wur.nl" TargetMode="External"/><Relationship Id="rId35" Type="http://schemas.openxmlformats.org/officeDocument/2006/relationships/hyperlink" Target="mailto:Nick.Hutchings@agrsci.dk" TargetMode="External"/><Relationship Id="rId43" Type="http://schemas.openxmlformats.org/officeDocument/2006/relationships/hyperlink" Target="mailto:oene.oenema@wur.nl" TargetMode="External"/><Relationship Id="rId48" Type="http://schemas.openxmlformats.org/officeDocument/2006/relationships/hyperlink" Target="mailto:seerp.tamminga@wur.nl" TargetMode="External"/><Relationship Id="rId56"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hyperlink" Target="mailto:winiwart@iiasa.ac.at" TargetMode="External"/><Relationship Id="rId3" Type="http://schemas.openxmlformats.org/officeDocument/2006/relationships/styles" Target="styles.xml"/><Relationship Id="rId12" Type="http://schemas.openxmlformats.org/officeDocument/2006/relationships/hyperlink" Target="http://www.clrtap-tfrn.org/" TargetMode="External"/><Relationship Id="rId17" Type="http://schemas.openxmlformats.org/officeDocument/2006/relationships/image" Target="media/image6.emf"/><Relationship Id="rId25" Type="http://schemas.openxmlformats.org/officeDocument/2006/relationships/hyperlink" Target="mailto:g.bonazzi@crpa.it" TargetMode="External"/><Relationship Id="rId33" Type="http://schemas.openxmlformats.org/officeDocument/2006/relationships/hyperlink" Target="mailto:Klaas.van.der.Hoek@rivm.nl" TargetMode="External"/><Relationship Id="rId38" Type="http://schemas.openxmlformats.org/officeDocument/2006/relationships/hyperlink" Target="mailto:T.Kuczynski@iis.uz.zgora.pl" TargetMode="External"/><Relationship Id="rId46" Type="http://schemas.openxmlformats.org/officeDocument/2006/relationships/hyperlink" Target="mailto:carlos.pineiro@pigchamp-pro.com" TargetMode="External"/><Relationship Id="rId59" Type="http://schemas.openxmlformats.org/officeDocument/2006/relationships/theme" Target="theme/theme1.xml"/><Relationship Id="rId20" Type="http://schemas.openxmlformats.org/officeDocument/2006/relationships/hyperlink" Target="http://www.ipni.net/4r" TargetMode="External"/><Relationship Id="rId41" Type="http://schemas.openxmlformats.org/officeDocument/2006/relationships/hyperlink" Target="mailto:Harald.menzi@agroscope.admin.ch"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mailto:bamon@atb-potsdam.de" TargetMode="External"/><Relationship Id="rId28" Type="http://schemas.openxmlformats.org/officeDocument/2006/relationships/hyperlink" Target="mailto:h.doehler@ktbl.de" TargetMode="External"/><Relationship Id="rId36" Type="http://schemas.openxmlformats.org/officeDocument/2006/relationships/hyperlink" Target="mailto:klimont@iiasa.ac.at" TargetMode="External"/><Relationship Id="rId49" Type="http://schemas.openxmlformats.org/officeDocument/2006/relationships/hyperlink" Target="mailto:l.valli@crpa.it" TargetMode="External"/><Relationship Id="rId57" Type="http://schemas.openxmlformats.org/officeDocument/2006/relationships/footer" Target="footer2.xml"/><Relationship Id="rId10" Type="http://schemas.openxmlformats.org/officeDocument/2006/relationships/hyperlink" Target="mailto:tfrn@ceh.ac.uk" TargetMode="External"/><Relationship Id="rId31" Type="http://schemas.openxmlformats.org/officeDocument/2006/relationships/hyperlink" Target="mailto:sgy@dmu.dk" TargetMode="External"/><Relationship Id="rId44" Type="http://schemas.openxmlformats.org/officeDocument/2006/relationships/hyperlink" Target="mailto:Christian.palliere@fertilizerseurope.com" TargetMode="External"/><Relationship Id="rId52" Type="http://schemas.openxmlformats.org/officeDocument/2006/relationships/hyperlink" Target="mailto:s.wulf@ktbl.d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xUriServ/LexUriServ.do?uri=CELEX:32008R1107:EN:NOT" TargetMode="External"/><Relationship Id="rId1" Type="http://schemas.openxmlformats.org/officeDocument/2006/relationships/hyperlink" Target="http://eippcb.jrc.es/reference/irp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59323-6650-47CC-9EEB-2511D211A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40564</Words>
  <Characters>259745</Characters>
  <Application>Microsoft Office Word</Application>
  <DocSecurity>0</DocSecurity>
  <Lines>2164</Lines>
  <Paragraphs>599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299710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2015-04-17T12:10:00Z</dcterms:created>
  <dcterms:modified xsi:type="dcterms:W3CDTF">2017-01-03T10:10:00Z</dcterms:modified>
</cp:coreProperties>
</file>